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rPr>
          <w:color w:val="auto"/>
          <w:highlight w:val="none"/>
        </w:rPr>
      </w:pPr>
    </w:p>
    <w:p>
      <w:pPr>
        <w:pStyle w:val="50"/>
        <w:rPr>
          <w:color w:val="auto"/>
          <w:highlight w:val="none"/>
        </w:rPr>
      </w:pPr>
    </w:p>
    <w:p>
      <w:pPr>
        <w:pStyle w:val="50"/>
        <w:rPr>
          <w:color w:val="auto"/>
          <w:highlight w:val="none"/>
        </w:rPr>
      </w:pPr>
    </w:p>
    <w:p>
      <w:pPr>
        <w:pStyle w:val="50"/>
        <w:rPr>
          <w:color w:val="auto"/>
          <w:highlight w:val="none"/>
        </w:rPr>
      </w:pPr>
    </w:p>
    <w:p>
      <w:pPr>
        <w:pStyle w:val="50"/>
        <w:rPr>
          <w:color w:val="auto"/>
          <w:highlight w:val="none"/>
        </w:rPr>
      </w:pPr>
    </w:p>
    <w:p>
      <w:pPr>
        <w:adjustRightInd w:val="0"/>
        <w:ind w:firstLine="0" w:firstLineChars="0"/>
        <w:jc w:val="center"/>
        <w:outlineLvl w:val="9"/>
        <w:rPr>
          <w:rFonts w:ascii="方正小标宋_GBK" w:eastAsia="方正小标宋_GBK"/>
          <w:color w:val="auto"/>
          <w:sz w:val="60"/>
          <w:szCs w:val="56"/>
          <w:highlight w:val="none"/>
        </w:rPr>
      </w:pPr>
      <w:bookmarkStart w:id="0" w:name="_Toc22759"/>
      <w:r>
        <w:rPr>
          <w:rFonts w:hint="eastAsia" w:ascii="宋体" w:hAnsi="宋体" w:eastAsia="宋体" w:cs="宋体"/>
          <w:b/>
          <w:bCs/>
          <w:color w:val="auto"/>
          <w:sz w:val="60"/>
          <w:szCs w:val="56"/>
          <w:highlight w:val="none"/>
        </w:rPr>
        <w:t>建设项目环境影响报告表</w:t>
      </w:r>
      <w:bookmarkEnd w:id="0"/>
    </w:p>
    <w:p>
      <w:pPr>
        <w:pStyle w:val="48"/>
        <w:outlineLvl w:val="9"/>
        <w:rPr>
          <w:rFonts w:hint="eastAsia" w:ascii="宋体" w:hAnsi="宋体" w:eastAsia="宋体" w:cs="宋体"/>
          <w:b/>
          <w:color w:val="auto"/>
          <w:highlight w:val="none"/>
        </w:rPr>
      </w:pPr>
      <w:r>
        <w:rPr>
          <w:rFonts w:hint="eastAsia" w:ascii="宋体" w:hAnsi="宋体" w:eastAsia="宋体" w:cs="宋体"/>
          <w:b/>
          <w:color w:val="auto"/>
          <w:highlight w:val="none"/>
        </w:rPr>
        <w:t>（污染影响类）</w:t>
      </w:r>
    </w:p>
    <w:p>
      <w:pPr>
        <w:pStyle w:val="50"/>
        <w:rPr>
          <w:color w:val="auto"/>
          <w:highlight w:val="none"/>
        </w:rPr>
      </w:pPr>
    </w:p>
    <w:p>
      <w:pPr>
        <w:pStyle w:val="50"/>
        <w:rPr>
          <w:color w:val="auto"/>
          <w:highlight w:val="none"/>
        </w:rPr>
      </w:pPr>
    </w:p>
    <w:p>
      <w:pPr>
        <w:pStyle w:val="50"/>
        <w:rPr>
          <w:color w:val="auto"/>
          <w:highlight w:val="none"/>
        </w:rPr>
      </w:pPr>
    </w:p>
    <w:p>
      <w:pPr>
        <w:pStyle w:val="50"/>
        <w:rPr>
          <w:color w:val="auto"/>
          <w:highlight w:val="none"/>
        </w:rPr>
      </w:pPr>
    </w:p>
    <w:p>
      <w:pPr>
        <w:pStyle w:val="50"/>
        <w:rPr>
          <w:color w:val="auto"/>
          <w:highlight w:val="none"/>
        </w:rPr>
      </w:pPr>
    </w:p>
    <w:p>
      <w:pPr>
        <w:pStyle w:val="50"/>
        <w:rPr>
          <w:color w:val="auto"/>
          <w:highlight w:val="none"/>
        </w:rPr>
      </w:pPr>
    </w:p>
    <w:p>
      <w:pPr>
        <w:pStyle w:val="50"/>
        <w:rPr>
          <w:color w:val="auto"/>
          <w:highlight w:val="none"/>
        </w:rPr>
      </w:pPr>
    </w:p>
    <w:p>
      <w:pPr>
        <w:pStyle w:val="50"/>
        <w:rPr>
          <w:color w:val="auto"/>
          <w:highlight w:val="none"/>
        </w:rPr>
      </w:pPr>
    </w:p>
    <w:p>
      <w:pPr>
        <w:pStyle w:val="50"/>
        <w:rPr>
          <w:color w:val="auto"/>
          <w:highlight w:val="none"/>
        </w:rPr>
      </w:pPr>
    </w:p>
    <w:p>
      <w:pPr>
        <w:pStyle w:val="50"/>
        <w:rPr>
          <w:color w:val="auto"/>
          <w:highlight w:val="none"/>
        </w:rPr>
      </w:pPr>
    </w:p>
    <w:p>
      <w:pPr>
        <w:pStyle w:val="50"/>
        <w:rPr>
          <w:color w:val="auto"/>
          <w:highlight w:val="none"/>
        </w:rPr>
      </w:pPr>
    </w:p>
    <w:p>
      <w:pPr>
        <w:pStyle w:val="50"/>
        <w:rPr>
          <w:color w:val="auto"/>
          <w:highlight w:val="none"/>
        </w:rPr>
      </w:pPr>
      <w:r>
        <w:rPr>
          <w:color w:val="auto"/>
          <w:sz w:val="21"/>
          <w:highlight w:val="none"/>
        </w:rPr>
        <w:pict>
          <v:shape id="_x0000_s2053" o:spid="_x0000_s2053" o:spt="202" type="#_x0000_t202" style="position:absolute;left:0pt;margin-left:92.45pt;margin-top:17.95pt;height:40.5pt;width:353.5pt;z-index:251661312;mso-width-relative:page;mso-height-relative:page;" filled="f" stroked="f" coordsize="21600,21600">
            <v:path/>
            <v:fill on="f" focussize="0,0"/>
            <v:stroke on="f"/>
            <v:imagedata o:title=""/>
            <o:lock v:ext="edit" aspectratio="f"/>
            <v:textbox>
              <w:txbxContent>
                <w:p>
                  <w:pPr>
                    <w:pStyle w:val="57"/>
                    <w:bidi w:val="0"/>
                    <w:rPr>
                      <w:rFonts w:hint="eastAsia"/>
                      <w:sz w:val="28"/>
                      <w:szCs w:val="28"/>
                      <w:lang w:val="en-US" w:eastAsia="zh-CN"/>
                    </w:rPr>
                  </w:pPr>
                  <w:r>
                    <w:rPr>
                      <w:rFonts w:hint="eastAsia"/>
                      <w:sz w:val="28"/>
                      <w:szCs w:val="28"/>
                      <w:lang w:val="en-US" w:eastAsia="zh-CN"/>
                    </w:rPr>
                    <w:t>巴州敏宇环保科技有限公司固废综合利用年产12万吨钙基产品建设项目（一期）</w:t>
                  </w:r>
                </w:p>
              </w:txbxContent>
            </v:textbox>
          </v:shape>
        </w:pict>
      </w:r>
    </w:p>
    <w:p>
      <w:pPr>
        <w:pStyle w:val="50"/>
        <w:rPr>
          <w:color w:val="auto"/>
          <w:highlight w:val="none"/>
        </w:rPr>
      </w:pPr>
    </w:p>
    <w:p>
      <w:pPr>
        <w:pStyle w:val="50"/>
        <w:ind w:firstLine="560"/>
        <w:rPr>
          <w:rFonts w:hint="default"/>
          <w:bCs/>
          <w:color w:val="auto"/>
          <w:spacing w:val="0"/>
          <w:sz w:val="28"/>
          <w:szCs w:val="32"/>
          <w:highlight w:val="none"/>
          <w:u w:val="single"/>
          <w:lang w:val="en-US" w:eastAsia="zh-CN"/>
        </w:rPr>
      </w:pPr>
      <w:r>
        <w:rPr>
          <w:rFonts w:hint="eastAsia"/>
          <w:color w:val="auto"/>
          <w:sz w:val="28"/>
          <w:szCs w:val="28"/>
          <w:highlight w:val="none"/>
        </w:rPr>
        <w:t>项目名称：</w:t>
      </w:r>
      <w:r>
        <w:rPr>
          <w:rFonts w:hint="eastAsia"/>
          <w:bCs/>
          <w:color w:val="auto"/>
          <w:spacing w:val="0"/>
          <w:sz w:val="28"/>
          <w:szCs w:val="32"/>
          <w:highlight w:val="none"/>
          <w:u w:val="single"/>
          <w:lang w:val="en-US" w:eastAsia="zh-CN"/>
        </w:rPr>
        <w:t xml:space="preserve">                                                 </w:t>
      </w:r>
    </w:p>
    <w:p>
      <w:pPr>
        <w:pStyle w:val="50"/>
        <w:ind w:firstLine="560"/>
        <w:rPr>
          <w:color w:val="auto"/>
          <w:sz w:val="28"/>
          <w:szCs w:val="28"/>
          <w:highlight w:val="none"/>
          <w:u w:val="single"/>
        </w:rPr>
      </w:pPr>
      <w:r>
        <w:rPr>
          <w:rFonts w:hint="eastAsia"/>
          <w:color w:val="auto"/>
          <w:sz w:val="28"/>
          <w:szCs w:val="28"/>
          <w:highlight w:val="none"/>
        </w:rPr>
        <w:t>建设单位（盖章）：</w:t>
      </w:r>
      <w:r>
        <w:rPr>
          <w:rFonts w:hint="eastAsia"/>
          <w:color w:val="auto"/>
          <w:sz w:val="28"/>
          <w:szCs w:val="28"/>
          <w:highlight w:val="none"/>
          <w:u w:val="single"/>
        </w:rPr>
        <w:t xml:space="preserve">  </w:t>
      </w:r>
      <w:r>
        <w:rPr>
          <w:rFonts w:hint="eastAsia"/>
          <w:color w:val="auto"/>
          <w:sz w:val="28"/>
          <w:szCs w:val="28"/>
          <w:highlight w:val="none"/>
          <w:u w:val="single"/>
          <w:lang w:val="en-US" w:eastAsia="zh-CN"/>
        </w:rPr>
        <w:t>巴州敏宇环保科技有限公司</w:t>
      </w:r>
      <w:r>
        <w:rPr>
          <w:rFonts w:hint="eastAsia"/>
          <w:color w:val="auto"/>
          <w:sz w:val="28"/>
          <w:szCs w:val="28"/>
          <w:highlight w:val="none"/>
          <w:u w:val="single"/>
        </w:rPr>
        <w:t xml:space="preserve">      </w:t>
      </w:r>
      <w:r>
        <w:rPr>
          <w:rFonts w:hint="eastAsia"/>
          <w:color w:val="auto"/>
          <w:sz w:val="28"/>
          <w:szCs w:val="28"/>
          <w:highlight w:val="none"/>
          <w:u w:val="single"/>
          <w:lang w:val="en-US" w:eastAsia="zh-CN"/>
        </w:rPr>
        <w:t xml:space="preserve">   </w:t>
      </w:r>
      <w:r>
        <w:rPr>
          <w:rFonts w:hint="eastAsia"/>
          <w:color w:val="auto"/>
          <w:sz w:val="28"/>
          <w:szCs w:val="28"/>
          <w:highlight w:val="none"/>
          <w:u w:val="single"/>
        </w:rPr>
        <w:t xml:space="preserve">       </w:t>
      </w:r>
    </w:p>
    <w:p>
      <w:pPr>
        <w:pStyle w:val="50"/>
        <w:ind w:firstLine="560"/>
        <w:rPr>
          <w:color w:val="auto"/>
          <w:sz w:val="28"/>
          <w:szCs w:val="28"/>
          <w:highlight w:val="none"/>
        </w:rPr>
      </w:pPr>
      <w:r>
        <w:rPr>
          <w:rFonts w:hint="eastAsia"/>
          <w:color w:val="auto"/>
          <w:sz w:val="28"/>
          <w:szCs w:val="28"/>
          <w:highlight w:val="none"/>
        </w:rPr>
        <w:t>编制日期：</w:t>
      </w:r>
      <w:r>
        <w:rPr>
          <w:rFonts w:hint="eastAsia"/>
          <w:color w:val="auto"/>
          <w:sz w:val="28"/>
          <w:szCs w:val="28"/>
          <w:highlight w:val="none"/>
          <w:u w:val="single"/>
        </w:rPr>
        <w:t xml:space="preserve">                202</w:t>
      </w:r>
      <w:r>
        <w:rPr>
          <w:rFonts w:hint="eastAsia"/>
          <w:color w:val="auto"/>
          <w:sz w:val="28"/>
          <w:szCs w:val="28"/>
          <w:highlight w:val="none"/>
          <w:u w:val="single"/>
          <w:lang w:val="en-US" w:eastAsia="zh-CN"/>
        </w:rPr>
        <w:t>6</w:t>
      </w:r>
      <w:r>
        <w:rPr>
          <w:rFonts w:hint="eastAsia"/>
          <w:color w:val="auto"/>
          <w:sz w:val="28"/>
          <w:szCs w:val="28"/>
          <w:highlight w:val="none"/>
          <w:u w:val="single"/>
        </w:rPr>
        <w:t>年</w:t>
      </w:r>
      <w:r>
        <w:rPr>
          <w:rFonts w:hint="eastAsia"/>
          <w:color w:val="auto"/>
          <w:sz w:val="28"/>
          <w:szCs w:val="28"/>
          <w:highlight w:val="none"/>
          <w:u w:val="single"/>
          <w:lang w:val="en-US" w:eastAsia="zh-CN"/>
        </w:rPr>
        <w:t>4</w:t>
      </w:r>
      <w:r>
        <w:rPr>
          <w:rFonts w:hint="eastAsia"/>
          <w:color w:val="auto"/>
          <w:sz w:val="28"/>
          <w:szCs w:val="28"/>
          <w:highlight w:val="none"/>
          <w:u w:val="single"/>
        </w:rPr>
        <w:t xml:space="preserve">月            </w:t>
      </w:r>
      <w:r>
        <w:rPr>
          <w:rFonts w:hint="eastAsia"/>
          <w:color w:val="auto"/>
          <w:sz w:val="28"/>
          <w:szCs w:val="28"/>
          <w:highlight w:val="none"/>
          <w:u w:val="single"/>
          <w:lang w:val="en-US" w:eastAsia="zh-CN"/>
        </w:rPr>
        <w:t xml:space="preserve">  </w:t>
      </w:r>
      <w:r>
        <w:rPr>
          <w:rFonts w:hint="eastAsia"/>
          <w:color w:val="auto"/>
          <w:sz w:val="28"/>
          <w:szCs w:val="28"/>
          <w:highlight w:val="none"/>
          <w:u w:val="single"/>
        </w:rPr>
        <w:t xml:space="preserve">        </w:t>
      </w:r>
    </w:p>
    <w:p>
      <w:pPr>
        <w:pStyle w:val="50"/>
        <w:rPr>
          <w:color w:val="auto"/>
          <w:highlight w:val="none"/>
        </w:rPr>
      </w:pPr>
      <w:bookmarkStart w:id="1" w:name="_Hlk57884087"/>
    </w:p>
    <w:p>
      <w:pPr>
        <w:pStyle w:val="50"/>
        <w:rPr>
          <w:color w:val="auto"/>
          <w:highlight w:val="none"/>
        </w:rPr>
      </w:pPr>
    </w:p>
    <w:p>
      <w:pPr>
        <w:pStyle w:val="50"/>
        <w:rPr>
          <w:color w:val="auto"/>
          <w:highlight w:val="none"/>
        </w:rPr>
      </w:pPr>
    </w:p>
    <w:bookmarkEnd w:id="1"/>
    <w:p>
      <w:pPr>
        <w:pStyle w:val="50"/>
        <w:ind w:firstLine="640"/>
        <w:jc w:val="center"/>
        <w:outlineLvl w:val="9"/>
        <w:rPr>
          <w:color w:val="auto"/>
          <w:sz w:val="32"/>
          <w:szCs w:val="32"/>
          <w:highlight w:val="none"/>
        </w:rPr>
      </w:pPr>
      <w:bookmarkStart w:id="2" w:name="_Toc1982"/>
      <w:r>
        <w:rPr>
          <w:rFonts w:hint="eastAsia"/>
          <w:color w:val="auto"/>
          <w:sz w:val="32"/>
          <w:szCs w:val="32"/>
          <w:highlight w:val="none"/>
        </w:rPr>
        <w:t>中华人民共和国生态环境部制</w:t>
      </w:r>
      <w:bookmarkEnd w:id="2"/>
    </w:p>
    <w:p>
      <w:pPr>
        <w:pStyle w:val="50"/>
        <w:rPr>
          <w:color w:val="auto"/>
          <w:highlight w:val="none"/>
        </w:rPr>
      </w:pPr>
    </w:p>
    <w:p>
      <w:pPr>
        <w:pStyle w:val="50"/>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794" w:footer="1077" w:gutter="0"/>
          <w:pgBorders>
            <w:top w:val="none" w:sz="0" w:space="0"/>
            <w:left w:val="none" w:sz="0" w:space="0"/>
            <w:bottom w:val="none" w:sz="0" w:space="0"/>
            <w:right w:val="none" w:sz="0" w:space="0"/>
          </w:pgBorders>
          <w:pgNumType w:start="1"/>
          <w:cols w:space="720" w:num="1"/>
          <w:docGrid w:linePitch="312" w:charSpace="0"/>
        </w:sectPr>
      </w:pP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2"/>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6" w:type="dxa"/>
            <w:noWrap w:val="0"/>
            <w:vAlign w:val="center"/>
          </w:tcPr>
          <w:p>
            <w:pPr>
              <w:pStyle w:val="65"/>
              <w:bidi w:val="0"/>
              <w:rPr>
                <w:rFonts w:hint="eastAsia" w:ascii="Times New Roman" w:hAnsi="Times New Roman" w:eastAsia="宋体" w:cs="Times New Roman"/>
                <w:b w:val="0"/>
                <w:bCs/>
                <w:color w:val="auto"/>
                <w:sz w:val="24"/>
                <w:szCs w:val="24"/>
                <w:highlight w:val="none"/>
                <w:vertAlign w:val="baseline"/>
                <w:lang w:eastAsia="zh-CN"/>
              </w:rPr>
            </w:pPr>
            <w:r>
              <w:rPr>
                <w:rFonts w:hint="default" w:ascii="Times New Roman" w:hAnsi="Times New Roman" w:eastAsia="宋体" w:cs="Times New Roman"/>
                <w:b/>
                <w:color w:val="auto"/>
                <w:sz w:val="30"/>
                <w:szCs w:val="30"/>
                <w:highlight w:val="none"/>
              </w:rPr>
              <w:drawing>
                <wp:inline distT="0" distB="0" distL="114300" distR="114300">
                  <wp:extent cx="2640330" cy="1979930"/>
                  <wp:effectExtent l="0" t="0" r="7620" b="1270"/>
                  <wp:docPr id="31" name="图片 31" descr="QQ图片2025112418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图片20251124181644"/>
                          <pic:cNvPicPr>
                            <a:picLocks noChangeAspect="1"/>
                          </pic:cNvPicPr>
                        </pic:nvPicPr>
                        <pic:blipFill>
                          <a:blip r:embed="rId15"/>
                          <a:stretch>
                            <a:fillRect/>
                          </a:stretch>
                        </pic:blipFill>
                        <pic:spPr>
                          <a:xfrm>
                            <a:off x="0" y="0"/>
                            <a:ext cx="2640330" cy="1979930"/>
                          </a:xfrm>
                          <a:prstGeom prst="rect">
                            <a:avLst/>
                          </a:prstGeom>
                        </pic:spPr>
                      </pic:pic>
                    </a:graphicData>
                  </a:graphic>
                </wp:inline>
              </w:drawing>
            </w:r>
            <w:r>
              <w:rPr>
                <w:rFonts w:hint="default" w:ascii="Times New Roman" w:hAnsi="Times New Roman" w:eastAsia="宋体" w:cs="Times New Roman"/>
                <w:b/>
                <w:color w:val="auto"/>
                <w:sz w:val="30"/>
                <w:szCs w:val="30"/>
                <w:highlight w:val="none"/>
              </w:rPr>
              <w:br w:type="page"/>
            </w:r>
          </w:p>
        </w:tc>
        <w:tc>
          <w:tcPr>
            <w:tcW w:w="4587"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4"/>
                <w:szCs w:val="24"/>
                <w:highlight w:val="none"/>
                <w:vertAlign w:val="baseline"/>
                <w:lang w:eastAsia="zh-CN"/>
              </w:rPr>
            </w:pPr>
            <w:r>
              <w:rPr>
                <w:rFonts w:hint="eastAsia" w:ascii="Times New Roman" w:hAnsi="Times New Roman" w:eastAsia="宋体" w:cs="Times New Roman"/>
                <w:b w:val="0"/>
                <w:bCs/>
                <w:color w:val="auto"/>
                <w:sz w:val="24"/>
                <w:szCs w:val="24"/>
                <w:highlight w:val="none"/>
                <w:vertAlign w:val="baseline"/>
                <w:lang w:eastAsia="zh-CN"/>
              </w:rPr>
              <w:drawing>
                <wp:inline distT="0" distB="0" distL="114300" distR="114300">
                  <wp:extent cx="2640330" cy="1979930"/>
                  <wp:effectExtent l="0" t="0" r="7620" b="1270"/>
                  <wp:docPr id="29" name="图片 29" descr="微信图片_20260331193332_2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60331193332_24_10"/>
                          <pic:cNvPicPr>
                            <a:picLocks noChangeAspect="1"/>
                          </pic:cNvPicPr>
                        </pic:nvPicPr>
                        <pic:blipFill>
                          <a:blip r:embed="rId16"/>
                          <a:stretch>
                            <a:fillRect/>
                          </a:stretch>
                        </pic:blipFill>
                        <pic:spPr>
                          <a:xfrm>
                            <a:off x="0" y="0"/>
                            <a:ext cx="2640330" cy="1979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6"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color w:val="auto"/>
                <w:sz w:val="24"/>
                <w:szCs w:val="24"/>
                <w:highlight w:val="none"/>
                <w:vertAlign w:val="baseline"/>
                <w:lang w:val="en-US" w:eastAsia="zh-CN"/>
              </w:rPr>
            </w:pPr>
            <w:r>
              <w:rPr>
                <w:rFonts w:hint="eastAsia" w:ascii="Times New Roman" w:hAnsi="Times New Roman" w:cs="Times New Roman"/>
                <w:b w:val="0"/>
                <w:bCs/>
                <w:color w:val="auto"/>
                <w:sz w:val="24"/>
                <w:szCs w:val="24"/>
                <w:highlight w:val="none"/>
                <w:vertAlign w:val="baseline"/>
                <w:lang w:val="en-US" w:eastAsia="zh-CN"/>
              </w:rPr>
              <w:t>巴州敏宇环保科技有限公司</w:t>
            </w:r>
          </w:p>
        </w:tc>
        <w:tc>
          <w:tcPr>
            <w:tcW w:w="4587"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eastAsia" w:ascii="Times New Roman" w:hAnsi="Times New Roman" w:cs="Times New Roman"/>
                <w:b w:val="0"/>
                <w:bCs/>
                <w:color w:val="auto"/>
                <w:sz w:val="24"/>
                <w:szCs w:val="24"/>
                <w:highlight w:val="none"/>
                <w:vertAlign w:val="baseline"/>
                <w:lang w:val="en-US" w:eastAsia="zh-CN"/>
              </w:rPr>
              <w:t>现有工程化粪池（3×4×2m）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6"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4"/>
                <w:szCs w:val="24"/>
                <w:highlight w:val="none"/>
                <w:vertAlign w:val="baseline"/>
                <w:lang w:eastAsia="zh-CN"/>
              </w:rPr>
            </w:pPr>
            <w:r>
              <w:rPr>
                <w:rFonts w:hint="eastAsia" w:ascii="Times New Roman" w:hAnsi="Times New Roman" w:cs="Times New Roman"/>
                <w:b w:val="0"/>
                <w:bCs/>
                <w:color w:val="auto"/>
                <w:sz w:val="24"/>
                <w:szCs w:val="24"/>
                <w:highlight w:val="none"/>
                <w:vertAlign w:val="baseline"/>
                <w:lang w:val="en-US" w:eastAsia="zh-CN"/>
              </w:rPr>
              <w:t>.</w:t>
            </w:r>
            <w:r>
              <w:rPr>
                <w:rFonts w:hint="eastAsia" w:ascii="Times New Roman" w:hAnsi="Times New Roman" w:eastAsia="宋体" w:cs="Times New Roman"/>
                <w:b w:val="0"/>
                <w:bCs/>
                <w:color w:val="auto"/>
                <w:sz w:val="24"/>
                <w:szCs w:val="24"/>
                <w:highlight w:val="none"/>
                <w:vertAlign w:val="baseline"/>
                <w:lang w:eastAsia="zh-CN"/>
              </w:rPr>
              <w:drawing>
                <wp:inline distT="0" distB="0" distL="114300" distR="114300">
                  <wp:extent cx="2639695" cy="1979930"/>
                  <wp:effectExtent l="0" t="0" r="8255" b="1270"/>
                  <wp:docPr id="30" name="图片 30" descr="微信图片_20260331193327_18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60331193327_18_10"/>
                          <pic:cNvPicPr>
                            <a:picLocks noChangeAspect="1"/>
                          </pic:cNvPicPr>
                        </pic:nvPicPr>
                        <pic:blipFill>
                          <a:blip r:embed="rId17"/>
                          <a:stretch>
                            <a:fillRect/>
                          </a:stretch>
                        </pic:blipFill>
                        <pic:spPr>
                          <a:xfrm>
                            <a:off x="0" y="0"/>
                            <a:ext cx="2639695" cy="1979930"/>
                          </a:xfrm>
                          <a:prstGeom prst="rect">
                            <a:avLst/>
                          </a:prstGeom>
                        </pic:spPr>
                      </pic:pic>
                    </a:graphicData>
                  </a:graphic>
                </wp:inline>
              </w:drawing>
            </w:r>
          </w:p>
        </w:tc>
        <w:tc>
          <w:tcPr>
            <w:tcW w:w="4587"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4"/>
                <w:szCs w:val="24"/>
                <w:highlight w:val="none"/>
                <w:vertAlign w:val="baseline"/>
                <w:lang w:eastAsia="zh-CN"/>
              </w:rPr>
            </w:pPr>
            <w:r>
              <w:rPr>
                <w:rFonts w:hint="eastAsia" w:ascii="Times New Roman" w:hAnsi="Times New Roman" w:eastAsia="宋体" w:cs="Times New Roman"/>
                <w:b w:val="0"/>
                <w:bCs/>
                <w:color w:val="auto"/>
                <w:sz w:val="24"/>
                <w:szCs w:val="24"/>
                <w:highlight w:val="none"/>
                <w:vertAlign w:val="baseline"/>
                <w:lang w:eastAsia="zh-CN"/>
              </w:rPr>
              <w:drawing>
                <wp:inline distT="0" distB="0" distL="114300" distR="114300">
                  <wp:extent cx="2639695" cy="1979930"/>
                  <wp:effectExtent l="0" t="0" r="8255" b="1270"/>
                  <wp:docPr id="32" name="图片 32" descr="微信图片_20260331193330_2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60331193330_22_10"/>
                          <pic:cNvPicPr>
                            <a:picLocks noChangeAspect="1"/>
                          </pic:cNvPicPr>
                        </pic:nvPicPr>
                        <pic:blipFill>
                          <a:blip r:embed="rId18"/>
                          <a:stretch>
                            <a:fillRect/>
                          </a:stretch>
                        </pic:blipFill>
                        <pic:spPr>
                          <a:xfrm>
                            <a:off x="0" y="0"/>
                            <a:ext cx="2639695" cy="1979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6"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eastAsia" w:ascii="Times New Roman" w:hAnsi="Times New Roman" w:cs="Times New Roman"/>
                <w:b w:val="0"/>
                <w:bCs/>
                <w:color w:val="auto"/>
                <w:sz w:val="24"/>
                <w:szCs w:val="24"/>
                <w:highlight w:val="none"/>
                <w:vertAlign w:val="baseline"/>
                <w:lang w:val="en-US" w:eastAsia="zh-CN"/>
              </w:rPr>
              <w:t>现有工程</w:t>
            </w:r>
            <w:r>
              <w:rPr>
                <w:rFonts w:hint="eastAsia" w:ascii="Times New Roman" w:hAnsi="Times New Roman" w:eastAsia="宋体" w:cs="Times New Roman"/>
                <w:b w:val="0"/>
                <w:bCs/>
                <w:color w:val="auto"/>
                <w:sz w:val="24"/>
                <w:szCs w:val="24"/>
                <w:highlight w:val="none"/>
                <w:vertAlign w:val="baseline"/>
                <w:lang w:val="en-US" w:eastAsia="zh-CN"/>
              </w:rPr>
              <w:t>生活办公区域</w:t>
            </w:r>
          </w:p>
        </w:tc>
        <w:tc>
          <w:tcPr>
            <w:tcW w:w="4587"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eastAsia" w:ascii="Times New Roman" w:hAnsi="Times New Roman" w:cs="Times New Roman"/>
                <w:b w:val="0"/>
                <w:bCs/>
                <w:color w:val="auto"/>
                <w:sz w:val="24"/>
                <w:szCs w:val="24"/>
                <w:highlight w:val="none"/>
                <w:vertAlign w:val="baseline"/>
                <w:lang w:val="en-US" w:eastAsia="zh-CN"/>
              </w:rPr>
              <w:t>现有工程节能环保型机械石灰竖窑（2套）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6"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4"/>
                <w:szCs w:val="24"/>
                <w:highlight w:val="none"/>
                <w:vertAlign w:val="baseline"/>
                <w:lang w:eastAsia="zh-CN"/>
              </w:rPr>
            </w:pPr>
            <w:r>
              <w:rPr>
                <w:color w:val="auto"/>
                <w:highlight w:val="none"/>
              </w:rPr>
              <w:drawing>
                <wp:inline distT="0" distB="0" distL="114300" distR="114300">
                  <wp:extent cx="2640965" cy="1979930"/>
                  <wp:effectExtent l="0" t="0" r="6985" b="127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9"/>
                          <a:stretch>
                            <a:fillRect/>
                          </a:stretch>
                        </pic:blipFill>
                        <pic:spPr>
                          <a:xfrm>
                            <a:off x="0" y="0"/>
                            <a:ext cx="2640965" cy="1979930"/>
                          </a:xfrm>
                          <a:prstGeom prst="rect">
                            <a:avLst/>
                          </a:prstGeom>
                          <a:noFill/>
                          <a:ln>
                            <a:noFill/>
                          </a:ln>
                        </pic:spPr>
                      </pic:pic>
                    </a:graphicData>
                  </a:graphic>
                </wp:inline>
              </w:drawing>
            </w:r>
          </w:p>
        </w:tc>
        <w:tc>
          <w:tcPr>
            <w:tcW w:w="4587"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4"/>
                <w:szCs w:val="24"/>
                <w:highlight w:val="none"/>
                <w:vertAlign w:val="baseline"/>
                <w:lang w:eastAsia="zh-CN"/>
              </w:rPr>
            </w:pPr>
            <w:r>
              <w:rPr>
                <w:rFonts w:hint="eastAsia" w:ascii="Times New Roman" w:hAnsi="Times New Roman" w:eastAsia="宋体" w:cs="Times New Roman"/>
                <w:b w:val="0"/>
                <w:bCs/>
                <w:color w:val="auto"/>
                <w:sz w:val="24"/>
                <w:szCs w:val="24"/>
                <w:highlight w:val="none"/>
                <w:vertAlign w:val="baseline"/>
                <w:lang w:eastAsia="zh-CN"/>
              </w:rPr>
              <w:drawing>
                <wp:inline distT="0" distB="0" distL="114300" distR="114300">
                  <wp:extent cx="2639695" cy="1979930"/>
                  <wp:effectExtent l="0" t="0" r="8255" b="1270"/>
                  <wp:docPr id="35" name="图片 35" descr="QQ图片2025112418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图片20251124181637"/>
                          <pic:cNvPicPr>
                            <a:picLocks noChangeAspect="1"/>
                          </pic:cNvPicPr>
                        </pic:nvPicPr>
                        <pic:blipFill>
                          <a:blip r:embed="rId20"/>
                          <a:stretch>
                            <a:fillRect/>
                          </a:stretch>
                        </pic:blipFill>
                        <pic:spPr>
                          <a:xfrm>
                            <a:off x="0" y="0"/>
                            <a:ext cx="2639695" cy="1979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6"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4"/>
                <w:szCs w:val="24"/>
                <w:highlight w:val="none"/>
                <w:vertAlign w:val="baseline"/>
                <w:lang w:val="en-US"/>
              </w:rPr>
            </w:pPr>
            <w:r>
              <w:rPr>
                <w:rFonts w:hint="eastAsia" w:ascii="Times New Roman" w:hAnsi="Times New Roman" w:cs="Times New Roman"/>
                <w:b w:val="0"/>
                <w:bCs/>
                <w:color w:val="auto"/>
                <w:sz w:val="24"/>
                <w:szCs w:val="24"/>
                <w:highlight w:val="none"/>
                <w:vertAlign w:val="baseline"/>
                <w:lang w:val="en-US" w:eastAsia="zh-CN"/>
              </w:rPr>
              <w:t>现有工程危险废物贮存点</w:t>
            </w:r>
          </w:p>
        </w:tc>
        <w:tc>
          <w:tcPr>
            <w:tcW w:w="4587"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eastAsia" w:ascii="Times New Roman" w:hAnsi="Times New Roman" w:cs="Times New Roman"/>
                <w:b w:val="0"/>
                <w:bCs/>
                <w:color w:val="auto"/>
                <w:sz w:val="24"/>
                <w:szCs w:val="24"/>
                <w:highlight w:val="none"/>
                <w:vertAlign w:val="baseline"/>
                <w:lang w:val="en-US" w:eastAsia="zh-CN"/>
              </w:rPr>
              <w:t>项目拟选址区域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6"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4"/>
                <w:szCs w:val="24"/>
                <w:highlight w:val="none"/>
                <w:vertAlign w:val="baseline"/>
                <w:lang w:eastAsia="zh-CN"/>
              </w:rPr>
            </w:pPr>
            <w:r>
              <w:rPr>
                <w:rFonts w:hint="eastAsia" w:ascii="Times New Roman" w:hAnsi="Times New Roman" w:eastAsia="宋体" w:cs="Times New Roman"/>
                <w:b w:val="0"/>
                <w:bCs/>
                <w:color w:val="auto"/>
                <w:sz w:val="24"/>
                <w:szCs w:val="24"/>
                <w:highlight w:val="none"/>
                <w:vertAlign w:val="baseline"/>
                <w:lang w:eastAsia="zh-CN"/>
              </w:rPr>
              <w:drawing>
                <wp:inline distT="0" distB="0" distL="114300" distR="114300">
                  <wp:extent cx="2639695" cy="1979930"/>
                  <wp:effectExtent l="0" t="0" r="8255" b="1270"/>
                  <wp:docPr id="36" name="图片 36" descr="QQ图片2025112418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图片20251124181617"/>
                          <pic:cNvPicPr>
                            <a:picLocks noChangeAspect="1"/>
                          </pic:cNvPicPr>
                        </pic:nvPicPr>
                        <pic:blipFill>
                          <a:blip r:embed="rId21"/>
                          <a:stretch>
                            <a:fillRect/>
                          </a:stretch>
                        </pic:blipFill>
                        <pic:spPr>
                          <a:xfrm>
                            <a:off x="0" y="0"/>
                            <a:ext cx="2639695" cy="1979930"/>
                          </a:xfrm>
                          <a:prstGeom prst="rect">
                            <a:avLst/>
                          </a:prstGeom>
                        </pic:spPr>
                      </pic:pic>
                    </a:graphicData>
                  </a:graphic>
                </wp:inline>
              </w:drawing>
            </w:r>
          </w:p>
        </w:tc>
        <w:tc>
          <w:tcPr>
            <w:tcW w:w="4587"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4"/>
                <w:szCs w:val="24"/>
                <w:highlight w:val="none"/>
                <w:vertAlign w:val="baseline"/>
                <w:lang w:eastAsia="zh-CN"/>
              </w:rPr>
            </w:pPr>
            <w:r>
              <w:rPr>
                <w:rFonts w:hint="eastAsia" w:ascii="Times New Roman" w:hAnsi="Times New Roman" w:eastAsia="宋体" w:cs="Times New Roman"/>
                <w:b w:val="0"/>
                <w:bCs/>
                <w:color w:val="auto"/>
                <w:sz w:val="24"/>
                <w:szCs w:val="24"/>
                <w:highlight w:val="none"/>
                <w:vertAlign w:val="baseline"/>
                <w:lang w:eastAsia="zh-CN"/>
              </w:rPr>
              <w:drawing>
                <wp:inline distT="0" distB="0" distL="114300" distR="114300">
                  <wp:extent cx="2639695" cy="1979930"/>
                  <wp:effectExtent l="0" t="0" r="8255" b="1270"/>
                  <wp:docPr id="34" name="图片 34" descr="QQ图片2025112418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图片20251124181434"/>
                          <pic:cNvPicPr>
                            <a:picLocks noChangeAspect="1"/>
                          </pic:cNvPicPr>
                        </pic:nvPicPr>
                        <pic:blipFill>
                          <a:blip r:embed="rId22"/>
                          <a:stretch>
                            <a:fillRect/>
                          </a:stretch>
                        </pic:blipFill>
                        <pic:spPr>
                          <a:xfrm>
                            <a:off x="0" y="0"/>
                            <a:ext cx="2639695" cy="1979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6"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eastAsia" w:ascii="Times New Roman" w:hAnsi="Times New Roman" w:cs="Times New Roman"/>
                <w:b w:val="0"/>
                <w:bCs/>
                <w:color w:val="auto"/>
                <w:sz w:val="24"/>
                <w:szCs w:val="24"/>
                <w:highlight w:val="none"/>
                <w:vertAlign w:val="baseline"/>
                <w:lang w:val="en-US" w:eastAsia="zh-CN"/>
              </w:rPr>
              <w:t>选址区域地面已硬化</w:t>
            </w:r>
          </w:p>
        </w:tc>
        <w:tc>
          <w:tcPr>
            <w:tcW w:w="4587"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eastAsia" w:ascii="Times New Roman" w:hAnsi="Times New Roman" w:eastAsia="宋体" w:cs="Times New Roman"/>
                <w:b w:val="0"/>
                <w:bCs/>
                <w:color w:val="auto"/>
                <w:sz w:val="24"/>
                <w:szCs w:val="24"/>
                <w:highlight w:val="none"/>
                <w:vertAlign w:val="baseline"/>
                <w:lang w:val="en-US" w:eastAsia="zh-CN"/>
              </w:rPr>
              <w:t>现场踏勘人员</w:t>
            </w:r>
          </w:p>
        </w:tc>
      </w:tr>
    </w:tbl>
    <w:p>
      <w:pPr>
        <w:pStyle w:val="2"/>
        <w:ind w:left="0" w:leftChars="0" w:firstLine="0" w:firstLineChars="0"/>
        <w:rPr>
          <w:color w:val="auto"/>
          <w:kern w:val="2"/>
          <w:highlight w:val="none"/>
        </w:rPr>
        <w:sectPr>
          <w:pgSz w:w="11906" w:h="16838"/>
          <w:pgMar w:top="1418" w:right="1418" w:bottom="1418" w:left="1418" w:header="794" w:footer="1077" w:gutter="0"/>
          <w:pgBorders>
            <w:top w:val="none" w:sz="0" w:space="0"/>
            <w:left w:val="none" w:sz="0" w:space="0"/>
            <w:bottom w:val="none" w:sz="0" w:space="0"/>
            <w:right w:val="none" w:sz="0" w:space="0"/>
          </w:pgBorders>
          <w:pgNumType w:start="1"/>
          <w:cols w:space="720" w:num="1"/>
          <w:docGrid w:linePitch="312" w:charSpace="0"/>
        </w:sectPr>
      </w:pPr>
    </w:p>
    <w:p>
      <w:pPr>
        <w:pStyle w:val="2"/>
        <w:keepNext w:val="0"/>
        <w:keepLines w:val="0"/>
        <w:widowControl w:val="0"/>
        <w:jc w:val="center"/>
        <w:rPr>
          <w:color w:val="auto"/>
          <w:kern w:val="2"/>
          <w:sz w:val="28"/>
          <w:szCs w:val="28"/>
          <w:highlight w:val="none"/>
        </w:rPr>
      </w:pPr>
      <w:bookmarkStart w:id="3" w:name="_Toc863"/>
      <w:r>
        <w:rPr>
          <w:rFonts w:hint="eastAsia"/>
          <w:color w:val="auto"/>
          <w:kern w:val="2"/>
          <w:sz w:val="28"/>
          <w:szCs w:val="28"/>
          <w:highlight w:val="none"/>
        </w:rPr>
        <w:t>目 录</w:t>
      </w:r>
      <w:bookmarkEnd w:id="3"/>
    </w:p>
    <w:p>
      <w:pPr>
        <w:pStyle w:val="55"/>
        <w:tabs>
          <w:tab w:val="right" w:leader="dot" w:pos="9070"/>
        </w:tabs>
        <w:spacing w:line="360" w:lineRule="auto"/>
        <w:jc w:val="both"/>
        <w:rPr>
          <w:rFonts w:ascii="宋体" w:hAnsi="宋体" w:cs="宋体"/>
          <w:color w:val="auto"/>
          <w:sz w:val="24"/>
          <w:szCs w:val="24"/>
          <w:highlight w:val="none"/>
        </w:rPr>
      </w:pPr>
      <w:r>
        <w:rPr>
          <w:rFonts w:hint="eastAsia"/>
          <w:color w:val="auto"/>
          <w:kern w:val="2"/>
          <w:highlight w:val="none"/>
        </w:rPr>
        <w:fldChar w:fldCharType="begin"/>
      </w:r>
      <w:r>
        <w:rPr>
          <w:rFonts w:hint="eastAsia"/>
          <w:color w:val="auto"/>
          <w:kern w:val="2"/>
          <w:highlight w:val="none"/>
        </w:rPr>
        <w:instrText xml:space="preserve">TOC \o "1-1" \h \u </w:instrText>
      </w:r>
      <w:r>
        <w:rPr>
          <w:rFonts w:hint="eastAsia"/>
          <w:color w:val="auto"/>
          <w:kern w:val="2"/>
          <w:highlight w:val="none"/>
        </w:rPr>
        <w:fldChar w:fldCharType="separate"/>
      </w:r>
      <w:r>
        <w:rPr>
          <w:color w:val="auto"/>
          <w:highlight w:val="none"/>
        </w:rPr>
        <w:fldChar w:fldCharType="begin"/>
      </w:r>
      <w:r>
        <w:rPr>
          <w:color w:val="auto"/>
          <w:highlight w:val="none"/>
        </w:rPr>
        <w:instrText xml:space="preserve"> HYPERLINK \l "_Toc22142" </w:instrText>
      </w:r>
      <w:r>
        <w:rPr>
          <w:color w:val="auto"/>
          <w:highlight w:val="none"/>
        </w:rPr>
        <w:fldChar w:fldCharType="separate"/>
      </w:r>
      <w:r>
        <w:rPr>
          <w:rFonts w:hint="eastAsia" w:ascii="宋体" w:hAnsi="宋体" w:cs="宋体"/>
          <w:color w:val="auto"/>
          <w:kern w:val="2"/>
          <w:sz w:val="24"/>
          <w:szCs w:val="24"/>
          <w:highlight w:val="none"/>
        </w:rPr>
        <w:t>一、建设项目基本情况</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_Toc22142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pPr>
        <w:pStyle w:val="55"/>
        <w:tabs>
          <w:tab w:val="right" w:leader="dot" w:pos="9070"/>
        </w:tabs>
        <w:spacing w:line="360" w:lineRule="auto"/>
        <w:jc w:val="both"/>
        <w:rPr>
          <w:rFonts w:ascii="宋体" w:hAnsi="宋体" w:cs="宋体"/>
          <w:color w:val="auto"/>
          <w:sz w:val="24"/>
          <w:szCs w:val="24"/>
          <w:highlight w:val="none"/>
        </w:rPr>
      </w:pPr>
      <w:r>
        <w:rPr>
          <w:color w:val="auto"/>
          <w:highlight w:val="none"/>
        </w:rPr>
        <w:fldChar w:fldCharType="begin"/>
      </w:r>
      <w:r>
        <w:rPr>
          <w:color w:val="auto"/>
          <w:highlight w:val="none"/>
        </w:rPr>
        <w:instrText xml:space="preserve"> HYPERLINK \l "_Toc12237" </w:instrText>
      </w:r>
      <w:r>
        <w:rPr>
          <w:color w:val="auto"/>
          <w:highlight w:val="none"/>
        </w:rPr>
        <w:fldChar w:fldCharType="separate"/>
      </w:r>
      <w:r>
        <w:rPr>
          <w:rFonts w:hint="eastAsia" w:ascii="宋体" w:hAnsi="宋体" w:cs="宋体"/>
          <w:snapToGrid w:val="0"/>
          <w:color w:val="auto"/>
          <w:sz w:val="24"/>
          <w:szCs w:val="24"/>
          <w:highlight w:val="none"/>
        </w:rPr>
        <w:t>二、建设项目工程分析</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_Toc12237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21</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pPr>
        <w:pStyle w:val="55"/>
        <w:tabs>
          <w:tab w:val="right" w:leader="dot" w:pos="9070"/>
        </w:tabs>
        <w:spacing w:line="360" w:lineRule="auto"/>
        <w:jc w:val="both"/>
        <w:rPr>
          <w:rFonts w:ascii="宋体" w:hAnsi="宋体" w:cs="宋体"/>
          <w:color w:val="auto"/>
          <w:sz w:val="24"/>
          <w:szCs w:val="24"/>
          <w:highlight w:val="none"/>
        </w:rPr>
      </w:pPr>
      <w:r>
        <w:rPr>
          <w:color w:val="auto"/>
          <w:highlight w:val="none"/>
        </w:rPr>
        <w:fldChar w:fldCharType="begin"/>
      </w:r>
      <w:r>
        <w:rPr>
          <w:color w:val="auto"/>
          <w:highlight w:val="none"/>
        </w:rPr>
        <w:instrText xml:space="preserve"> HYPERLINK \l "_Toc32204" </w:instrText>
      </w:r>
      <w:r>
        <w:rPr>
          <w:color w:val="auto"/>
          <w:highlight w:val="none"/>
        </w:rPr>
        <w:fldChar w:fldCharType="separate"/>
      </w:r>
      <w:r>
        <w:rPr>
          <w:rFonts w:hint="eastAsia" w:ascii="宋体" w:hAnsi="宋体" w:cs="宋体"/>
          <w:color w:val="auto"/>
          <w:sz w:val="24"/>
          <w:szCs w:val="24"/>
          <w:highlight w:val="none"/>
        </w:rPr>
        <w:t>三、区域环境质量现状、环境保护目标及评价标准</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_Toc32204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40</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pPr>
        <w:pStyle w:val="55"/>
        <w:tabs>
          <w:tab w:val="right" w:leader="dot" w:pos="9070"/>
        </w:tabs>
        <w:spacing w:line="360" w:lineRule="auto"/>
        <w:jc w:val="both"/>
        <w:rPr>
          <w:rFonts w:ascii="宋体" w:hAnsi="宋体" w:cs="宋体"/>
          <w:color w:val="auto"/>
          <w:sz w:val="24"/>
          <w:szCs w:val="24"/>
          <w:highlight w:val="none"/>
        </w:rPr>
      </w:pPr>
      <w:r>
        <w:rPr>
          <w:color w:val="auto"/>
          <w:highlight w:val="none"/>
        </w:rPr>
        <w:fldChar w:fldCharType="begin"/>
      </w:r>
      <w:r>
        <w:rPr>
          <w:color w:val="auto"/>
          <w:highlight w:val="none"/>
        </w:rPr>
        <w:instrText xml:space="preserve"> HYPERLINK \l "_Toc20536" </w:instrText>
      </w:r>
      <w:r>
        <w:rPr>
          <w:color w:val="auto"/>
          <w:highlight w:val="none"/>
        </w:rPr>
        <w:fldChar w:fldCharType="separate"/>
      </w:r>
      <w:r>
        <w:rPr>
          <w:rFonts w:hint="eastAsia" w:ascii="宋体" w:hAnsi="宋体" w:cs="宋体"/>
          <w:color w:val="auto"/>
          <w:sz w:val="24"/>
          <w:szCs w:val="24"/>
          <w:highlight w:val="none"/>
        </w:rPr>
        <w:t>四、主要环境影响和保护措施</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_Toc20536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46</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pPr>
        <w:pStyle w:val="55"/>
        <w:tabs>
          <w:tab w:val="right" w:leader="dot" w:pos="9070"/>
        </w:tabs>
        <w:spacing w:line="360" w:lineRule="auto"/>
        <w:jc w:val="both"/>
        <w:rPr>
          <w:rFonts w:ascii="宋体" w:hAnsi="宋体" w:cs="宋体"/>
          <w:color w:val="auto"/>
          <w:sz w:val="24"/>
          <w:szCs w:val="24"/>
          <w:highlight w:val="none"/>
        </w:rPr>
      </w:pPr>
      <w:r>
        <w:rPr>
          <w:color w:val="auto"/>
          <w:highlight w:val="none"/>
        </w:rPr>
        <w:fldChar w:fldCharType="begin"/>
      </w:r>
      <w:r>
        <w:rPr>
          <w:color w:val="auto"/>
          <w:highlight w:val="none"/>
        </w:rPr>
        <w:instrText xml:space="preserve"> HYPERLINK \l "_Toc1321" </w:instrText>
      </w:r>
      <w:r>
        <w:rPr>
          <w:color w:val="auto"/>
          <w:highlight w:val="none"/>
        </w:rPr>
        <w:fldChar w:fldCharType="separate"/>
      </w:r>
      <w:r>
        <w:rPr>
          <w:rFonts w:hint="eastAsia" w:ascii="宋体" w:hAnsi="宋体" w:cs="宋体"/>
          <w:color w:val="auto"/>
          <w:kern w:val="2"/>
          <w:sz w:val="24"/>
          <w:szCs w:val="24"/>
          <w:highlight w:val="none"/>
        </w:rPr>
        <w:t>五、环境保护措施监督检查清单</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_Toc1321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63</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pPr>
        <w:pStyle w:val="55"/>
        <w:tabs>
          <w:tab w:val="right" w:leader="dot" w:pos="9070"/>
        </w:tabs>
        <w:spacing w:line="360" w:lineRule="auto"/>
        <w:jc w:val="both"/>
        <w:rPr>
          <w:color w:val="auto"/>
          <w:highlight w:val="none"/>
        </w:rPr>
      </w:pPr>
      <w:r>
        <w:rPr>
          <w:color w:val="auto"/>
          <w:highlight w:val="none"/>
        </w:rPr>
        <w:fldChar w:fldCharType="begin"/>
      </w:r>
      <w:r>
        <w:rPr>
          <w:color w:val="auto"/>
          <w:highlight w:val="none"/>
        </w:rPr>
        <w:instrText xml:space="preserve"> HYPERLINK \l "_Toc32107" </w:instrText>
      </w:r>
      <w:r>
        <w:rPr>
          <w:color w:val="auto"/>
          <w:highlight w:val="none"/>
        </w:rPr>
        <w:fldChar w:fldCharType="separate"/>
      </w:r>
      <w:r>
        <w:rPr>
          <w:rFonts w:hint="eastAsia" w:ascii="宋体" w:hAnsi="宋体" w:cs="宋体"/>
          <w:color w:val="auto"/>
          <w:kern w:val="2"/>
          <w:sz w:val="24"/>
          <w:szCs w:val="24"/>
          <w:highlight w:val="none"/>
        </w:rPr>
        <w:t>六、结论</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_Toc32107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64</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pPr>
        <w:rPr>
          <w:color w:val="auto"/>
          <w:highlight w:val="none"/>
        </w:rPr>
      </w:pPr>
      <w:r>
        <w:rPr>
          <w:rFonts w:hint="eastAsia"/>
          <w:color w:val="auto"/>
          <w:highlight w:val="none"/>
        </w:rPr>
        <w:fldChar w:fldCharType="end"/>
      </w:r>
    </w:p>
    <w:p>
      <w:pPr>
        <w:rPr>
          <w:color w:val="auto"/>
          <w:szCs w:val="21"/>
          <w:highlight w:val="none"/>
        </w:rPr>
      </w:pPr>
    </w:p>
    <w:p>
      <w:pPr>
        <w:pStyle w:val="2"/>
        <w:rPr>
          <w:color w:val="auto"/>
          <w:kern w:val="2"/>
          <w:highlight w:val="none"/>
        </w:rPr>
        <w:sectPr>
          <w:pgSz w:w="11906" w:h="16838"/>
          <w:pgMar w:top="1418" w:right="1418" w:bottom="1418" w:left="1418" w:header="794" w:footer="1077" w:gutter="0"/>
          <w:pgBorders>
            <w:top w:val="none" w:sz="0" w:space="0"/>
            <w:left w:val="none" w:sz="0" w:space="0"/>
            <w:bottom w:val="none" w:sz="0" w:space="0"/>
            <w:right w:val="none" w:sz="0" w:space="0"/>
          </w:pgBorders>
          <w:pgNumType w:start="1"/>
          <w:cols w:space="720" w:num="1"/>
          <w:docGrid w:linePitch="312" w:charSpace="0"/>
        </w:sectPr>
      </w:pPr>
    </w:p>
    <w:p>
      <w:pPr>
        <w:pStyle w:val="2"/>
        <w:bidi w:val="0"/>
        <w:rPr>
          <w:color w:val="auto"/>
          <w:kern w:val="2"/>
          <w:highlight w:val="none"/>
        </w:rPr>
      </w:pPr>
      <w:bookmarkStart w:id="4" w:name="_Toc22142"/>
      <w:r>
        <w:rPr>
          <w:rFonts w:hint="eastAsia"/>
          <w:color w:val="auto"/>
          <w:highlight w:val="none"/>
        </w:rPr>
        <w:t>一、建设项目基本情况</w:t>
      </w:r>
      <w:bookmarkEnd w:id="4"/>
    </w:p>
    <w:tbl>
      <w:tblPr>
        <w:tblStyle w:val="22"/>
        <w:tblW w:w="9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
        <w:gridCol w:w="793"/>
        <w:gridCol w:w="879"/>
        <w:gridCol w:w="2046"/>
        <w:gridCol w:w="536"/>
        <w:gridCol w:w="1850"/>
        <w:gridCol w:w="2893"/>
        <w:gridCol w:w="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4" w:type="dxa"/>
          <w:trHeight w:val="567" w:hRule="atLeast"/>
          <w:jc w:val="center"/>
        </w:trPr>
        <w:tc>
          <w:tcPr>
            <w:tcW w:w="1746" w:type="dxa"/>
            <w:gridSpan w:val="3"/>
            <w:tcMar>
              <w:top w:w="16" w:type="dxa"/>
              <w:left w:w="16" w:type="dxa"/>
              <w:right w:w="16" w:type="dxa"/>
            </w:tcMar>
            <w:vAlign w:val="center"/>
          </w:tcPr>
          <w:p>
            <w:pPr>
              <w:pStyle w:val="28"/>
              <w:bidi w:val="0"/>
              <w:rPr>
                <w:color w:val="auto"/>
                <w:highlight w:val="none"/>
              </w:rPr>
            </w:pPr>
            <w:r>
              <w:rPr>
                <w:rFonts w:hint="eastAsia"/>
                <w:color w:val="auto"/>
                <w:highlight w:val="none"/>
              </w:rPr>
              <w:t>建设项目名称</w:t>
            </w:r>
          </w:p>
        </w:tc>
        <w:tc>
          <w:tcPr>
            <w:tcW w:w="7325" w:type="dxa"/>
            <w:gridSpan w:val="4"/>
            <w:vAlign w:val="center"/>
          </w:tcPr>
          <w:p>
            <w:pPr>
              <w:pStyle w:val="57"/>
              <w:bidi w:val="0"/>
              <w:rPr>
                <w:rFonts w:hint="eastAsia"/>
                <w:color w:val="auto"/>
                <w:highlight w:val="none"/>
                <w:lang w:eastAsia="zh-CN"/>
              </w:rPr>
            </w:pPr>
            <w:r>
              <w:rPr>
                <w:rFonts w:hint="eastAsia"/>
                <w:color w:val="auto"/>
                <w:highlight w:val="none"/>
                <w:lang w:eastAsia="zh-CN"/>
              </w:rPr>
              <w:t>巴州敏宇环保科技有限公司固废综合利用年产12万吨钙基产品建设项目（一期）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4" w:type="dxa"/>
          <w:trHeight w:val="567" w:hRule="atLeast"/>
          <w:jc w:val="center"/>
        </w:trPr>
        <w:tc>
          <w:tcPr>
            <w:tcW w:w="1746" w:type="dxa"/>
            <w:gridSpan w:val="3"/>
            <w:tcMar>
              <w:top w:w="16" w:type="dxa"/>
              <w:left w:w="16" w:type="dxa"/>
              <w:right w:w="16" w:type="dxa"/>
            </w:tcMar>
            <w:vAlign w:val="center"/>
          </w:tcPr>
          <w:p>
            <w:pPr>
              <w:pStyle w:val="28"/>
              <w:bidi w:val="0"/>
              <w:rPr>
                <w:color w:val="auto"/>
                <w:highlight w:val="none"/>
              </w:rPr>
            </w:pPr>
            <w:r>
              <w:rPr>
                <w:rFonts w:hint="eastAsia"/>
                <w:color w:val="auto"/>
                <w:highlight w:val="none"/>
              </w:rPr>
              <w:t>项目代码</w:t>
            </w:r>
          </w:p>
        </w:tc>
        <w:tc>
          <w:tcPr>
            <w:tcW w:w="7325" w:type="dxa"/>
            <w:gridSpan w:val="4"/>
            <w:vAlign w:val="center"/>
          </w:tcPr>
          <w:p>
            <w:pPr>
              <w:pStyle w:val="57"/>
              <w:bidi w:val="0"/>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4" w:type="dxa"/>
          <w:trHeight w:val="567" w:hRule="atLeast"/>
          <w:jc w:val="center"/>
        </w:trPr>
        <w:tc>
          <w:tcPr>
            <w:tcW w:w="1746" w:type="dxa"/>
            <w:gridSpan w:val="3"/>
            <w:tcMar>
              <w:top w:w="16" w:type="dxa"/>
              <w:left w:w="16" w:type="dxa"/>
              <w:right w:w="16" w:type="dxa"/>
            </w:tcMar>
            <w:vAlign w:val="center"/>
          </w:tcPr>
          <w:p>
            <w:pPr>
              <w:pStyle w:val="28"/>
              <w:bidi w:val="0"/>
              <w:rPr>
                <w:color w:val="auto"/>
                <w:highlight w:val="none"/>
              </w:rPr>
            </w:pPr>
            <w:r>
              <w:rPr>
                <w:rFonts w:hint="eastAsia"/>
                <w:color w:val="auto"/>
                <w:highlight w:val="none"/>
              </w:rPr>
              <w:t>建设单位联系人</w:t>
            </w:r>
          </w:p>
        </w:tc>
        <w:tc>
          <w:tcPr>
            <w:tcW w:w="2046" w:type="dxa"/>
            <w:vAlign w:val="center"/>
          </w:tcPr>
          <w:p>
            <w:pPr>
              <w:pStyle w:val="57"/>
              <w:bidi w:val="0"/>
              <w:rPr>
                <w:rFonts w:hint="eastAsia"/>
                <w:color w:val="auto"/>
                <w:highlight w:val="none"/>
                <w:lang w:eastAsia="zh-CN"/>
              </w:rPr>
            </w:pPr>
          </w:p>
        </w:tc>
        <w:tc>
          <w:tcPr>
            <w:tcW w:w="2386" w:type="dxa"/>
            <w:gridSpan w:val="2"/>
            <w:vAlign w:val="center"/>
          </w:tcPr>
          <w:p>
            <w:pPr>
              <w:pStyle w:val="28"/>
              <w:bidi w:val="0"/>
              <w:rPr>
                <w:color w:val="auto"/>
                <w:highlight w:val="none"/>
              </w:rPr>
            </w:pPr>
          </w:p>
        </w:tc>
        <w:tc>
          <w:tcPr>
            <w:tcW w:w="2893" w:type="dxa"/>
            <w:vAlign w:val="center"/>
          </w:tcPr>
          <w:p>
            <w:pPr>
              <w:pStyle w:val="57"/>
              <w:bidi w:val="0"/>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4" w:type="dxa"/>
          <w:trHeight w:val="567" w:hRule="atLeast"/>
          <w:jc w:val="center"/>
        </w:trPr>
        <w:tc>
          <w:tcPr>
            <w:tcW w:w="1746" w:type="dxa"/>
            <w:gridSpan w:val="3"/>
            <w:tcMar>
              <w:top w:w="16" w:type="dxa"/>
              <w:left w:w="16" w:type="dxa"/>
              <w:right w:w="16" w:type="dxa"/>
            </w:tcMar>
            <w:vAlign w:val="center"/>
          </w:tcPr>
          <w:p>
            <w:pPr>
              <w:pStyle w:val="28"/>
              <w:bidi w:val="0"/>
              <w:rPr>
                <w:color w:val="auto"/>
                <w:highlight w:val="none"/>
              </w:rPr>
            </w:pPr>
            <w:r>
              <w:rPr>
                <w:rFonts w:hint="eastAsia"/>
                <w:color w:val="auto"/>
                <w:highlight w:val="none"/>
              </w:rPr>
              <w:t>建设地点</w:t>
            </w:r>
          </w:p>
        </w:tc>
        <w:tc>
          <w:tcPr>
            <w:tcW w:w="7325" w:type="dxa"/>
            <w:gridSpan w:val="4"/>
            <w:vAlign w:val="center"/>
          </w:tcPr>
          <w:p>
            <w:pPr>
              <w:pStyle w:val="57"/>
              <w:bidi w:val="0"/>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4" w:type="dxa"/>
          <w:trHeight w:val="567" w:hRule="atLeast"/>
          <w:jc w:val="center"/>
        </w:trPr>
        <w:tc>
          <w:tcPr>
            <w:tcW w:w="1746" w:type="dxa"/>
            <w:gridSpan w:val="3"/>
            <w:tcMar>
              <w:top w:w="16" w:type="dxa"/>
              <w:left w:w="16" w:type="dxa"/>
              <w:right w:w="16" w:type="dxa"/>
            </w:tcMar>
            <w:vAlign w:val="center"/>
          </w:tcPr>
          <w:p>
            <w:pPr>
              <w:pStyle w:val="28"/>
              <w:bidi w:val="0"/>
              <w:rPr>
                <w:color w:val="auto"/>
                <w:highlight w:val="none"/>
              </w:rPr>
            </w:pPr>
            <w:r>
              <w:rPr>
                <w:rFonts w:hint="eastAsia"/>
                <w:color w:val="auto"/>
                <w:highlight w:val="none"/>
              </w:rPr>
              <w:t>地理坐标</w:t>
            </w:r>
          </w:p>
        </w:tc>
        <w:tc>
          <w:tcPr>
            <w:tcW w:w="7325" w:type="dxa"/>
            <w:gridSpan w:val="4"/>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4" w:type="dxa"/>
          <w:trHeight w:val="820" w:hRule="atLeast"/>
          <w:jc w:val="center"/>
        </w:trPr>
        <w:tc>
          <w:tcPr>
            <w:tcW w:w="1746" w:type="dxa"/>
            <w:gridSpan w:val="3"/>
            <w:tcMar>
              <w:top w:w="16" w:type="dxa"/>
              <w:left w:w="16" w:type="dxa"/>
              <w:right w:w="16" w:type="dxa"/>
            </w:tcMar>
            <w:vAlign w:val="center"/>
          </w:tcPr>
          <w:p>
            <w:pPr>
              <w:pStyle w:val="28"/>
              <w:bidi w:val="0"/>
              <w:rPr>
                <w:color w:val="auto"/>
                <w:highlight w:val="none"/>
              </w:rPr>
            </w:pPr>
            <w:r>
              <w:rPr>
                <w:rFonts w:hint="eastAsia"/>
                <w:color w:val="auto"/>
                <w:highlight w:val="none"/>
              </w:rPr>
              <w:t>国民经济</w:t>
            </w:r>
          </w:p>
          <w:p>
            <w:pPr>
              <w:pStyle w:val="28"/>
              <w:bidi w:val="0"/>
              <w:rPr>
                <w:color w:val="auto"/>
                <w:highlight w:val="none"/>
              </w:rPr>
            </w:pPr>
            <w:r>
              <w:rPr>
                <w:rFonts w:hint="eastAsia"/>
                <w:color w:val="auto"/>
                <w:highlight w:val="none"/>
              </w:rPr>
              <w:t>行业类别</w:t>
            </w:r>
          </w:p>
        </w:tc>
        <w:tc>
          <w:tcPr>
            <w:tcW w:w="2582" w:type="dxa"/>
            <w:gridSpan w:val="2"/>
            <w:vAlign w:val="center"/>
          </w:tcPr>
          <w:p>
            <w:pPr>
              <w:pStyle w:val="34"/>
              <w:bidi w:val="0"/>
              <w:rPr>
                <w:rFonts w:hint="default"/>
                <w:color w:val="auto"/>
                <w:highlight w:val="none"/>
                <w:lang w:val="en-US"/>
              </w:rPr>
            </w:pPr>
            <w:r>
              <w:rPr>
                <w:rFonts w:hint="eastAsia"/>
                <w:color w:val="auto"/>
                <w:highlight w:val="none"/>
                <w:lang w:val="en-US" w:eastAsia="zh-CN"/>
              </w:rPr>
              <w:t>N7723 固体废物治理</w:t>
            </w:r>
          </w:p>
        </w:tc>
        <w:tc>
          <w:tcPr>
            <w:tcW w:w="1850" w:type="dxa"/>
            <w:vAlign w:val="center"/>
          </w:tcPr>
          <w:p>
            <w:pPr>
              <w:pStyle w:val="28"/>
              <w:bidi w:val="0"/>
              <w:rPr>
                <w:color w:val="auto"/>
                <w:highlight w:val="none"/>
              </w:rPr>
            </w:pPr>
            <w:r>
              <w:rPr>
                <w:rFonts w:hint="eastAsia"/>
                <w:color w:val="auto"/>
                <w:highlight w:val="none"/>
              </w:rPr>
              <w:t>建设项目</w:t>
            </w:r>
          </w:p>
          <w:p>
            <w:pPr>
              <w:pStyle w:val="28"/>
              <w:bidi w:val="0"/>
              <w:rPr>
                <w:color w:val="auto"/>
                <w:highlight w:val="none"/>
              </w:rPr>
            </w:pPr>
            <w:r>
              <w:rPr>
                <w:rFonts w:hint="eastAsia"/>
                <w:color w:val="auto"/>
                <w:highlight w:val="none"/>
              </w:rPr>
              <w:t>行业类别</w:t>
            </w:r>
          </w:p>
        </w:tc>
        <w:tc>
          <w:tcPr>
            <w:tcW w:w="2893" w:type="dxa"/>
            <w:vAlign w:val="center"/>
          </w:tcPr>
          <w:p>
            <w:pPr>
              <w:pStyle w:val="34"/>
              <w:bidi w:val="0"/>
              <w:rPr>
                <w:rFonts w:hint="eastAsia"/>
                <w:color w:val="auto"/>
                <w:highlight w:val="none"/>
                <w:lang w:val="en-US" w:eastAsia="zh-CN"/>
              </w:rPr>
            </w:pPr>
            <w:r>
              <w:rPr>
                <w:rFonts w:hint="eastAsia"/>
                <w:color w:val="auto"/>
                <w:highlight w:val="none"/>
                <w:lang w:val="en-US" w:eastAsia="zh-CN"/>
              </w:rPr>
              <w:t>四十七生态保护和环境治理业</w:t>
            </w:r>
          </w:p>
          <w:p>
            <w:pPr>
              <w:pStyle w:val="34"/>
              <w:bidi w:val="0"/>
              <w:rPr>
                <w:rFonts w:hint="default"/>
                <w:color w:val="auto"/>
                <w:highlight w:val="none"/>
                <w:lang w:val="en-US" w:eastAsia="zh-CN"/>
              </w:rPr>
            </w:pPr>
            <w:r>
              <w:rPr>
                <w:rFonts w:hint="eastAsia"/>
                <w:color w:val="auto"/>
                <w:highlight w:val="none"/>
                <w:lang w:val="en-US" w:eastAsia="zh-CN"/>
              </w:rPr>
              <w:t>103一般工业固体废物（含污水处理污泥）、建筑施工废弃物处置及综合利用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4" w:type="dxa"/>
          <w:trHeight w:val="1362" w:hRule="atLeast"/>
          <w:jc w:val="center"/>
        </w:trPr>
        <w:tc>
          <w:tcPr>
            <w:tcW w:w="1746" w:type="dxa"/>
            <w:gridSpan w:val="3"/>
            <w:tcMar>
              <w:top w:w="16" w:type="dxa"/>
              <w:left w:w="16" w:type="dxa"/>
              <w:right w:w="16" w:type="dxa"/>
            </w:tcMar>
            <w:vAlign w:val="center"/>
          </w:tcPr>
          <w:p>
            <w:pPr>
              <w:pStyle w:val="28"/>
              <w:bidi w:val="0"/>
              <w:rPr>
                <w:color w:val="auto"/>
                <w:highlight w:val="none"/>
              </w:rPr>
            </w:pPr>
            <w:r>
              <w:rPr>
                <w:rFonts w:hint="eastAsia"/>
                <w:color w:val="auto"/>
                <w:highlight w:val="none"/>
              </w:rPr>
              <w:t>建设性质</w:t>
            </w:r>
          </w:p>
        </w:tc>
        <w:tc>
          <w:tcPr>
            <w:tcW w:w="2582" w:type="dxa"/>
            <w:gridSpan w:val="2"/>
            <w:vAlign w:val="center"/>
          </w:tcPr>
          <w:p>
            <w:pPr>
              <w:pStyle w:val="34"/>
              <w:bidi w:val="0"/>
              <w:rPr>
                <w:color w:val="auto"/>
                <w:highlight w:val="none"/>
              </w:rPr>
            </w:pPr>
            <w:r>
              <w:rPr>
                <w:rFonts w:hint="eastAsia"/>
                <w:color w:val="auto"/>
                <w:highlight w:val="none"/>
                <w:lang w:eastAsia="zh-CN"/>
              </w:rPr>
              <w:t>□</w:t>
            </w:r>
            <w:r>
              <w:rPr>
                <w:rFonts w:hint="eastAsia"/>
                <w:color w:val="auto"/>
                <w:highlight w:val="none"/>
              </w:rPr>
              <w:t>新建（迁建）</w:t>
            </w:r>
          </w:p>
          <w:p>
            <w:pPr>
              <w:pStyle w:val="34"/>
              <w:bidi w:val="0"/>
              <w:rPr>
                <w:color w:val="auto"/>
                <w:highlight w:val="none"/>
              </w:rPr>
            </w:pPr>
            <w:r>
              <w:rPr>
                <w:rFonts w:hint="eastAsia"/>
                <w:color w:val="auto"/>
                <w:highlight w:val="none"/>
                <w:lang w:eastAsia="zh-CN"/>
              </w:rPr>
              <w:t>□</w:t>
            </w:r>
            <w:r>
              <w:rPr>
                <w:rFonts w:hint="eastAsia"/>
                <w:color w:val="auto"/>
                <w:highlight w:val="none"/>
              </w:rPr>
              <w:t>改建</w:t>
            </w:r>
          </w:p>
          <w:p>
            <w:pPr>
              <w:pStyle w:val="34"/>
              <w:bidi w:val="0"/>
              <w:rPr>
                <w:color w:val="auto"/>
                <w:highlight w:val="none"/>
              </w:rPr>
            </w:pPr>
            <w:r>
              <w:rPr>
                <w:rFonts w:hint="eastAsia"/>
                <w:color w:val="auto"/>
                <w:highlight w:val="none"/>
                <w:lang w:eastAsia="zh-CN"/>
              </w:rPr>
              <w:t>☑</w:t>
            </w:r>
            <w:r>
              <w:rPr>
                <w:rFonts w:hint="eastAsia"/>
                <w:color w:val="auto"/>
                <w:highlight w:val="none"/>
              </w:rPr>
              <w:t>扩建</w:t>
            </w:r>
          </w:p>
          <w:p>
            <w:pPr>
              <w:pStyle w:val="34"/>
              <w:bidi w:val="0"/>
              <w:rPr>
                <w:color w:val="auto"/>
                <w:highlight w:val="none"/>
              </w:rPr>
            </w:pPr>
            <w:r>
              <w:rPr>
                <w:rFonts w:hint="eastAsia"/>
                <w:color w:val="auto"/>
                <w:highlight w:val="none"/>
              </w:rPr>
              <w:t>□技术改造</w:t>
            </w:r>
          </w:p>
        </w:tc>
        <w:tc>
          <w:tcPr>
            <w:tcW w:w="1850" w:type="dxa"/>
            <w:vAlign w:val="center"/>
          </w:tcPr>
          <w:p>
            <w:pPr>
              <w:pStyle w:val="28"/>
              <w:bidi w:val="0"/>
              <w:rPr>
                <w:color w:val="auto"/>
                <w:highlight w:val="none"/>
              </w:rPr>
            </w:pPr>
            <w:r>
              <w:rPr>
                <w:rFonts w:hint="eastAsia"/>
                <w:color w:val="auto"/>
                <w:highlight w:val="none"/>
              </w:rPr>
              <w:t>建设项目</w:t>
            </w:r>
          </w:p>
          <w:p>
            <w:pPr>
              <w:pStyle w:val="28"/>
              <w:bidi w:val="0"/>
              <w:rPr>
                <w:color w:val="auto"/>
                <w:highlight w:val="none"/>
              </w:rPr>
            </w:pPr>
            <w:r>
              <w:rPr>
                <w:rFonts w:hint="eastAsia"/>
                <w:color w:val="auto"/>
                <w:highlight w:val="none"/>
              </w:rPr>
              <w:t>申报情形</w:t>
            </w:r>
          </w:p>
        </w:tc>
        <w:tc>
          <w:tcPr>
            <w:tcW w:w="2893" w:type="dxa"/>
            <w:vAlign w:val="center"/>
          </w:tcPr>
          <w:p>
            <w:pPr>
              <w:pStyle w:val="34"/>
              <w:bidi w:val="0"/>
              <w:rPr>
                <w:color w:val="auto"/>
                <w:highlight w:val="none"/>
              </w:rPr>
            </w:pPr>
            <w:r>
              <w:rPr>
                <w:color w:val="auto"/>
                <w:highlight w:val="none"/>
              </w:rPr>
              <w:t>☑</w:t>
            </w:r>
            <w:r>
              <w:rPr>
                <w:rFonts w:hint="eastAsia"/>
                <w:color w:val="auto"/>
                <w:highlight w:val="none"/>
              </w:rPr>
              <w:t>首次申报项目</w:t>
            </w:r>
          </w:p>
          <w:p>
            <w:pPr>
              <w:pStyle w:val="34"/>
              <w:bidi w:val="0"/>
              <w:rPr>
                <w:rFonts w:hint="eastAsia"/>
                <w:color w:val="auto"/>
                <w:highlight w:val="none"/>
              </w:rPr>
            </w:pPr>
            <w:r>
              <w:rPr>
                <w:rFonts w:hint="eastAsia"/>
                <w:color w:val="auto"/>
                <w:highlight w:val="none"/>
              </w:rPr>
              <w:t>□不予批准后再次申报项目</w:t>
            </w:r>
          </w:p>
          <w:p>
            <w:pPr>
              <w:pStyle w:val="34"/>
              <w:bidi w:val="0"/>
              <w:rPr>
                <w:color w:val="auto"/>
                <w:highlight w:val="none"/>
              </w:rPr>
            </w:pPr>
            <w:r>
              <w:rPr>
                <w:rFonts w:hint="eastAsia"/>
                <w:color w:val="auto"/>
                <w:highlight w:val="none"/>
              </w:rPr>
              <w:t>□超五年重新审核项目</w:t>
            </w:r>
          </w:p>
          <w:p>
            <w:pPr>
              <w:pStyle w:val="34"/>
              <w:bidi w:val="0"/>
              <w:rPr>
                <w:color w:val="auto"/>
                <w:highlight w:val="none"/>
              </w:rPr>
            </w:pPr>
            <w:r>
              <w:rPr>
                <w:rFonts w:hint="eastAsia"/>
                <w:color w:val="auto"/>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4" w:type="dxa"/>
          <w:trHeight w:val="963" w:hRule="atLeast"/>
          <w:jc w:val="center"/>
        </w:trPr>
        <w:tc>
          <w:tcPr>
            <w:tcW w:w="1746" w:type="dxa"/>
            <w:gridSpan w:val="3"/>
            <w:tcMar>
              <w:top w:w="16" w:type="dxa"/>
              <w:left w:w="16" w:type="dxa"/>
              <w:right w:w="16" w:type="dxa"/>
            </w:tcMar>
            <w:vAlign w:val="center"/>
          </w:tcPr>
          <w:p>
            <w:pPr>
              <w:pStyle w:val="28"/>
              <w:bidi w:val="0"/>
              <w:rPr>
                <w:color w:val="auto"/>
                <w:highlight w:val="none"/>
              </w:rPr>
            </w:pPr>
            <w:r>
              <w:rPr>
                <w:rFonts w:hint="eastAsia"/>
                <w:color w:val="auto"/>
                <w:highlight w:val="none"/>
              </w:rPr>
              <w:t>项目审批（核准</w:t>
            </w:r>
            <w:r>
              <w:rPr>
                <w:color w:val="auto"/>
                <w:highlight w:val="none"/>
              </w:rPr>
              <w:t>/</w:t>
            </w:r>
          </w:p>
          <w:p>
            <w:pPr>
              <w:pStyle w:val="28"/>
              <w:bidi w:val="0"/>
              <w:rPr>
                <w:color w:val="auto"/>
                <w:highlight w:val="none"/>
              </w:rPr>
            </w:pPr>
            <w:r>
              <w:rPr>
                <w:rFonts w:hint="eastAsia"/>
                <w:color w:val="auto"/>
                <w:highlight w:val="none"/>
              </w:rPr>
              <w:t>备案）部门（选填）</w:t>
            </w:r>
          </w:p>
        </w:tc>
        <w:tc>
          <w:tcPr>
            <w:tcW w:w="2582" w:type="dxa"/>
            <w:gridSpan w:val="2"/>
            <w:vAlign w:val="center"/>
          </w:tcPr>
          <w:p>
            <w:pPr>
              <w:pStyle w:val="57"/>
              <w:bidi w:val="0"/>
              <w:rPr>
                <w:rFonts w:hint="default"/>
                <w:color w:val="auto"/>
                <w:highlight w:val="none"/>
                <w:lang w:val="en-US" w:eastAsia="zh-CN"/>
              </w:rPr>
            </w:pPr>
            <w:bookmarkStart w:id="19" w:name="_GoBack"/>
            <w:bookmarkEnd w:id="19"/>
          </w:p>
        </w:tc>
        <w:tc>
          <w:tcPr>
            <w:tcW w:w="1850" w:type="dxa"/>
            <w:shd w:val="clear" w:color="auto" w:fill="auto"/>
            <w:vAlign w:val="center"/>
          </w:tcPr>
          <w:p>
            <w:pPr>
              <w:pStyle w:val="28"/>
              <w:bidi w:val="0"/>
              <w:rPr>
                <w:color w:val="auto"/>
                <w:highlight w:val="none"/>
              </w:rPr>
            </w:pPr>
            <w:r>
              <w:rPr>
                <w:rFonts w:hint="eastAsia"/>
                <w:color w:val="auto"/>
                <w:highlight w:val="none"/>
              </w:rPr>
              <w:t>项目审批（核准/备案）文号（选填）</w:t>
            </w:r>
          </w:p>
        </w:tc>
        <w:tc>
          <w:tcPr>
            <w:tcW w:w="2893" w:type="dxa"/>
            <w:vAlign w:val="center"/>
          </w:tcPr>
          <w:p>
            <w:pPr>
              <w:pStyle w:val="57"/>
              <w:bidi w:val="0"/>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4" w:type="dxa"/>
          <w:trHeight w:val="850" w:hRule="atLeast"/>
          <w:jc w:val="center"/>
        </w:trPr>
        <w:tc>
          <w:tcPr>
            <w:tcW w:w="1746" w:type="dxa"/>
            <w:gridSpan w:val="3"/>
            <w:shd w:val="clear" w:color="auto" w:fill="auto"/>
            <w:tcMar>
              <w:top w:w="16" w:type="dxa"/>
              <w:left w:w="16" w:type="dxa"/>
              <w:right w:w="16" w:type="dxa"/>
            </w:tcMar>
            <w:vAlign w:val="center"/>
          </w:tcPr>
          <w:p>
            <w:pPr>
              <w:pStyle w:val="28"/>
              <w:bidi w:val="0"/>
              <w:rPr>
                <w:color w:val="auto"/>
                <w:highlight w:val="none"/>
              </w:rPr>
            </w:pPr>
            <w:r>
              <w:rPr>
                <w:rFonts w:hint="eastAsia"/>
                <w:color w:val="auto"/>
                <w:highlight w:val="none"/>
              </w:rPr>
              <w:t>总投资（万元）</w:t>
            </w:r>
          </w:p>
        </w:tc>
        <w:tc>
          <w:tcPr>
            <w:tcW w:w="2582" w:type="dxa"/>
            <w:gridSpan w:val="2"/>
            <w:shd w:val="clear" w:color="auto" w:fill="auto"/>
            <w:vAlign w:val="center"/>
          </w:tcPr>
          <w:p>
            <w:pPr>
              <w:pStyle w:val="57"/>
              <w:bidi w:val="0"/>
              <w:rPr>
                <w:rFonts w:hint="default"/>
                <w:color w:val="auto"/>
                <w:highlight w:val="none"/>
                <w:lang w:val="en-US" w:eastAsia="zh-CN"/>
              </w:rPr>
            </w:pPr>
          </w:p>
        </w:tc>
        <w:tc>
          <w:tcPr>
            <w:tcW w:w="1850" w:type="dxa"/>
            <w:shd w:val="clear" w:color="auto" w:fill="auto"/>
            <w:tcMar>
              <w:top w:w="16" w:type="dxa"/>
              <w:left w:w="16" w:type="dxa"/>
              <w:right w:w="16" w:type="dxa"/>
            </w:tcMar>
            <w:vAlign w:val="center"/>
          </w:tcPr>
          <w:p>
            <w:pPr>
              <w:pStyle w:val="28"/>
              <w:bidi w:val="0"/>
              <w:rPr>
                <w:color w:val="auto"/>
                <w:highlight w:val="none"/>
              </w:rPr>
            </w:pPr>
            <w:r>
              <w:rPr>
                <w:rFonts w:hint="eastAsia"/>
                <w:color w:val="auto"/>
                <w:highlight w:val="none"/>
              </w:rPr>
              <w:t>环保投资（万元）</w:t>
            </w:r>
          </w:p>
        </w:tc>
        <w:tc>
          <w:tcPr>
            <w:tcW w:w="2893" w:type="dxa"/>
            <w:shd w:val="clear" w:color="auto" w:fill="auto"/>
            <w:vAlign w:val="center"/>
          </w:tcPr>
          <w:p>
            <w:pPr>
              <w:pStyle w:val="57"/>
              <w:bidi w:val="0"/>
              <w:rPr>
                <w:rFonts w:hint="default"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4" w:type="dxa"/>
          <w:trHeight w:val="850" w:hRule="atLeast"/>
          <w:jc w:val="center"/>
        </w:trPr>
        <w:tc>
          <w:tcPr>
            <w:tcW w:w="1746" w:type="dxa"/>
            <w:gridSpan w:val="3"/>
            <w:shd w:val="clear" w:color="auto" w:fill="auto"/>
            <w:tcMar>
              <w:top w:w="16" w:type="dxa"/>
              <w:left w:w="16" w:type="dxa"/>
              <w:right w:w="16" w:type="dxa"/>
            </w:tcMar>
            <w:vAlign w:val="center"/>
          </w:tcPr>
          <w:p>
            <w:pPr>
              <w:pStyle w:val="28"/>
              <w:bidi w:val="0"/>
              <w:rPr>
                <w:color w:val="auto"/>
                <w:highlight w:val="none"/>
              </w:rPr>
            </w:pPr>
            <w:r>
              <w:rPr>
                <w:rFonts w:hint="eastAsia"/>
                <w:color w:val="auto"/>
                <w:highlight w:val="none"/>
              </w:rPr>
              <w:t>环保投资占比（</w:t>
            </w:r>
            <w:r>
              <w:rPr>
                <w:color w:val="auto"/>
                <w:highlight w:val="none"/>
              </w:rPr>
              <w:t>%</w:t>
            </w:r>
            <w:r>
              <w:rPr>
                <w:rFonts w:hint="eastAsia"/>
                <w:color w:val="auto"/>
                <w:highlight w:val="none"/>
              </w:rPr>
              <w:t>）</w:t>
            </w:r>
          </w:p>
        </w:tc>
        <w:tc>
          <w:tcPr>
            <w:tcW w:w="2582" w:type="dxa"/>
            <w:gridSpan w:val="2"/>
            <w:shd w:val="clear" w:color="auto" w:fill="auto"/>
            <w:vAlign w:val="center"/>
          </w:tcPr>
          <w:p>
            <w:pPr>
              <w:pStyle w:val="57"/>
              <w:bidi w:val="0"/>
              <w:rPr>
                <w:color w:val="auto"/>
                <w:highlight w:val="none"/>
              </w:rPr>
            </w:pPr>
          </w:p>
        </w:tc>
        <w:tc>
          <w:tcPr>
            <w:tcW w:w="1850" w:type="dxa"/>
            <w:shd w:val="clear" w:color="auto" w:fill="auto"/>
            <w:tcMar>
              <w:top w:w="16" w:type="dxa"/>
              <w:left w:w="16" w:type="dxa"/>
              <w:right w:w="16" w:type="dxa"/>
            </w:tcMar>
            <w:vAlign w:val="center"/>
          </w:tcPr>
          <w:p>
            <w:pPr>
              <w:pStyle w:val="28"/>
              <w:bidi w:val="0"/>
              <w:rPr>
                <w:color w:val="auto"/>
                <w:highlight w:val="none"/>
              </w:rPr>
            </w:pPr>
            <w:r>
              <w:rPr>
                <w:rFonts w:hint="eastAsia"/>
                <w:color w:val="auto"/>
                <w:highlight w:val="none"/>
              </w:rPr>
              <w:t>施工工期</w:t>
            </w:r>
          </w:p>
        </w:tc>
        <w:tc>
          <w:tcPr>
            <w:tcW w:w="2893" w:type="dxa"/>
            <w:shd w:val="clear" w:color="auto" w:fill="auto"/>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4" w:type="dxa"/>
          <w:trHeight w:val="850" w:hRule="atLeast"/>
          <w:jc w:val="center"/>
        </w:trPr>
        <w:tc>
          <w:tcPr>
            <w:tcW w:w="1746" w:type="dxa"/>
            <w:gridSpan w:val="3"/>
            <w:tcMar>
              <w:top w:w="16" w:type="dxa"/>
              <w:left w:w="16" w:type="dxa"/>
              <w:right w:w="16" w:type="dxa"/>
            </w:tcMar>
            <w:vAlign w:val="center"/>
          </w:tcPr>
          <w:p>
            <w:pPr>
              <w:pStyle w:val="28"/>
              <w:bidi w:val="0"/>
              <w:rPr>
                <w:color w:val="auto"/>
                <w:highlight w:val="none"/>
              </w:rPr>
            </w:pPr>
            <w:r>
              <w:rPr>
                <w:rFonts w:hint="eastAsia"/>
                <w:color w:val="auto"/>
                <w:highlight w:val="none"/>
              </w:rPr>
              <w:t>是否开工建设</w:t>
            </w:r>
          </w:p>
        </w:tc>
        <w:tc>
          <w:tcPr>
            <w:tcW w:w="2582" w:type="dxa"/>
            <w:gridSpan w:val="2"/>
            <w:vAlign w:val="center"/>
          </w:tcPr>
          <w:p>
            <w:pPr>
              <w:pStyle w:val="57"/>
              <w:bidi w:val="0"/>
              <w:jc w:val="left"/>
              <w:rPr>
                <w:color w:val="auto"/>
                <w:highlight w:val="none"/>
              </w:rPr>
            </w:pPr>
            <w:r>
              <w:rPr>
                <w:rFonts w:hint="eastAsia"/>
                <w:color w:val="auto"/>
                <w:highlight w:val="none"/>
              </w:rPr>
              <w:sym w:font="Wingdings" w:char="00FE"/>
            </w:r>
            <w:r>
              <w:rPr>
                <w:rFonts w:hint="eastAsia"/>
                <w:color w:val="auto"/>
                <w:highlight w:val="none"/>
              </w:rPr>
              <w:t>否</w:t>
            </w:r>
          </w:p>
          <w:p>
            <w:pPr>
              <w:pStyle w:val="57"/>
              <w:bidi w:val="0"/>
              <w:jc w:val="left"/>
              <w:rPr>
                <w:rFonts w:hint="default"/>
                <w:color w:val="auto"/>
                <w:highlight w:val="none"/>
                <w:lang w:val="en-US" w:eastAsia="zh-CN"/>
              </w:rPr>
            </w:pPr>
            <w:r>
              <w:rPr>
                <w:rFonts w:hint="eastAsia"/>
                <w:color w:val="auto"/>
                <w:highlight w:val="none"/>
              </w:rPr>
              <w:sym w:font="Wingdings" w:char="00A8"/>
            </w:r>
            <w:r>
              <w:rPr>
                <w:rFonts w:hint="eastAsia"/>
                <w:color w:val="auto"/>
                <w:highlight w:val="none"/>
              </w:rPr>
              <w:t>是：</w:t>
            </w:r>
          </w:p>
        </w:tc>
        <w:tc>
          <w:tcPr>
            <w:tcW w:w="1850" w:type="dxa"/>
            <w:tcMar>
              <w:top w:w="16" w:type="dxa"/>
              <w:left w:w="16" w:type="dxa"/>
              <w:right w:w="16" w:type="dxa"/>
            </w:tcMar>
            <w:vAlign w:val="center"/>
          </w:tcPr>
          <w:p>
            <w:pPr>
              <w:pStyle w:val="28"/>
              <w:bidi w:val="0"/>
              <w:rPr>
                <w:color w:val="auto"/>
                <w:highlight w:val="none"/>
              </w:rPr>
            </w:pPr>
            <w:r>
              <w:rPr>
                <w:rFonts w:hint="eastAsia"/>
                <w:color w:val="auto"/>
                <w:highlight w:val="none"/>
              </w:rPr>
              <w:t>用地（用海）</w:t>
            </w:r>
          </w:p>
          <w:p>
            <w:pPr>
              <w:pStyle w:val="28"/>
              <w:bidi w:val="0"/>
              <w:rPr>
                <w:color w:val="auto"/>
                <w:highlight w:val="none"/>
              </w:rPr>
            </w:pPr>
            <w:r>
              <w:rPr>
                <w:rFonts w:hint="eastAsia"/>
                <w:color w:val="auto"/>
                <w:highlight w:val="none"/>
              </w:rPr>
              <w:t>面积（m</w:t>
            </w:r>
            <w:r>
              <w:rPr>
                <w:rFonts w:hint="eastAsia"/>
                <w:color w:val="auto"/>
                <w:highlight w:val="none"/>
                <w:vertAlign w:val="superscript"/>
              </w:rPr>
              <w:t>2</w:t>
            </w:r>
            <w:r>
              <w:rPr>
                <w:rFonts w:hint="eastAsia"/>
                <w:color w:val="auto"/>
                <w:highlight w:val="none"/>
              </w:rPr>
              <w:t>）</w:t>
            </w:r>
          </w:p>
        </w:tc>
        <w:tc>
          <w:tcPr>
            <w:tcW w:w="2893" w:type="dxa"/>
            <w:vAlign w:val="center"/>
          </w:tcPr>
          <w:p>
            <w:pPr>
              <w:pStyle w:val="57"/>
              <w:bidi w:val="0"/>
              <w:rPr>
                <w:rFonts w:hint="default"/>
                <w:color w:val="auto"/>
                <w:highlight w:val="none"/>
                <w:lang w:val="en-US" w:eastAsia="zh-CN"/>
              </w:rPr>
            </w:pPr>
            <w:r>
              <w:rPr>
                <w:rFonts w:hint="eastAsia"/>
                <w:color w:val="auto"/>
                <w:highlight w:val="none"/>
                <w:lang w:val="en-US" w:eastAsia="zh-CN"/>
              </w:rPr>
              <w:t>0（现有厂区内，不新增占地）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4" w:type="dxa"/>
          <w:trHeight w:val="1044" w:hRule="atLeast"/>
          <w:jc w:val="center"/>
        </w:trPr>
        <w:tc>
          <w:tcPr>
            <w:tcW w:w="1746" w:type="dxa"/>
            <w:gridSpan w:val="3"/>
            <w:vAlign w:val="center"/>
          </w:tcPr>
          <w:p>
            <w:pPr>
              <w:pStyle w:val="28"/>
              <w:bidi w:val="0"/>
              <w:rPr>
                <w:color w:val="auto"/>
                <w:highlight w:val="none"/>
              </w:rPr>
            </w:pPr>
            <w:r>
              <w:rPr>
                <w:rFonts w:hint="eastAsia"/>
                <w:color w:val="auto"/>
                <w:highlight w:val="none"/>
              </w:rPr>
              <w:t>专项评价设置情况</w:t>
            </w:r>
          </w:p>
        </w:tc>
        <w:tc>
          <w:tcPr>
            <w:tcW w:w="7325" w:type="dxa"/>
            <w:gridSpan w:val="4"/>
            <w:vAlign w:val="center"/>
          </w:tcPr>
          <w:p>
            <w:pPr>
              <w:pStyle w:val="57"/>
              <w:bidi w:val="0"/>
              <w:rPr>
                <w:color w:val="auto"/>
                <w:highlight w:val="none"/>
              </w:rPr>
            </w:pPr>
            <w:r>
              <w:rPr>
                <w:rFonts w:hint="eastAsia"/>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4" w:type="dxa"/>
          <w:trHeight w:val="990" w:hRule="atLeast"/>
          <w:jc w:val="center"/>
        </w:trPr>
        <w:tc>
          <w:tcPr>
            <w:tcW w:w="1746" w:type="dxa"/>
            <w:gridSpan w:val="3"/>
            <w:vAlign w:val="center"/>
          </w:tcPr>
          <w:p>
            <w:pPr>
              <w:pStyle w:val="28"/>
              <w:bidi w:val="0"/>
              <w:rPr>
                <w:color w:val="auto"/>
                <w:highlight w:val="none"/>
              </w:rPr>
            </w:pPr>
            <w:r>
              <w:rPr>
                <w:rFonts w:hint="eastAsia"/>
                <w:color w:val="auto"/>
                <w:highlight w:val="none"/>
              </w:rPr>
              <w:t>规划情况</w:t>
            </w:r>
          </w:p>
        </w:tc>
        <w:tc>
          <w:tcPr>
            <w:tcW w:w="7325" w:type="dxa"/>
            <w:gridSpan w:val="4"/>
            <w:vAlign w:val="center"/>
          </w:tcPr>
          <w:p>
            <w:pPr>
              <w:pStyle w:val="57"/>
              <w:bidi w:val="0"/>
              <w:rPr>
                <w:color w:val="auto"/>
                <w:highlight w:val="none"/>
              </w:rPr>
            </w:pPr>
            <w:r>
              <w:rPr>
                <w:rFonts w:hint="eastAsia"/>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4" w:type="dxa"/>
          <w:trHeight w:val="893" w:hRule="atLeast"/>
          <w:jc w:val="center"/>
        </w:trPr>
        <w:tc>
          <w:tcPr>
            <w:tcW w:w="1746" w:type="dxa"/>
            <w:gridSpan w:val="3"/>
            <w:vAlign w:val="center"/>
          </w:tcPr>
          <w:p>
            <w:pPr>
              <w:pStyle w:val="28"/>
              <w:bidi w:val="0"/>
              <w:rPr>
                <w:color w:val="auto"/>
                <w:highlight w:val="none"/>
              </w:rPr>
            </w:pPr>
            <w:r>
              <w:rPr>
                <w:rFonts w:hint="eastAsia"/>
                <w:color w:val="auto"/>
                <w:highlight w:val="none"/>
              </w:rPr>
              <w:t>规划环境影响</w:t>
            </w:r>
          </w:p>
          <w:p>
            <w:pPr>
              <w:pStyle w:val="28"/>
              <w:bidi w:val="0"/>
              <w:rPr>
                <w:color w:val="auto"/>
                <w:highlight w:val="none"/>
              </w:rPr>
            </w:pPr>
            <w:r>
              <w:rPr>
                <w:rFonts w:hint="eastAsia"/>
                <w:color w:val="auto"/>
                <w:highlight w:val="none"/>
              </w:rPr>
              <w:t>评价情况</w:t>
            </w:r>
          </w:p>
        </w:tc>
        <w:tc>
          <w:tcPr>
            <w:tcW w:w="7325" w:type="dxa"/>
            <w:gridSpan w:val="4"/>
            <w:vAlign w:val="center"/>
          </w:tcPr>
          <w:p>
            <w:pPr>
              <w:pStyle w:val="57"/>
              <w:bidi w:val="0"/>
              <w:rPr>
                <w:color w:val="auto"/>
                <w:highlight w:val="none"/>
              </w:rPr>
            </w:pPr>
            <w:r>
              <w:rPr>
                <w:rFonts w:hint="eastAsia"/>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4" w:type="dxa"/>
          <w:trHeight w:val="893" w:hRule="atLeast"/>
          <w:jc w:val="center"/>
        </w:trPr>
        <w:tc>
          <w:tcPr>
            <w:tcW w:w="1746" w:type="dxa"/>
            <w:gridSpan w:val="3"/>
            <w:vAlign w:val="center"/>
          </w:tcPr>
          <w:p>
            <w:pPr>
              <w:pStyle w:val="28"/>
              <w:bidi w:val="0"/>
              <w:rPr>
                <w:rFonts w:hint="eastAsia"/>
                <w:color w:val="auto"/>
                <w:highlight w:val="none"/>
              </w:rPr>
            </w:pPr>
            <w:r>
              <w:rPr>
                <w:rFonts w:hint="eastAsia"/>
                <w:color w:val="auto"/>
                <w:highlight w:val="none"/>
              </w:rPr>
              <w:t>规划及规划环境影响评价符合性分析</w:t>
            </w:r>
          </w:p>
        </w:tc>
        <w:tc>
          <w:tcPr>
            <w:tcW w:w="7325" w:type="dxa"/>
            <w:gridSpan w:val="4"/>
            <w:vAlign w:val="center"/>
          </w:tcPr>
          <w:p>
            <w:pPr>
              <w:pStyle w:val="57"/>
              <w:bidi w:val="0"/>
              <w:rPr>
                <w:rFonts w:hint="eastAsia"/>
                <w:color w:val="auto"/>
                <w:highlight w:val="none"/>
              </w:rPr>
            </w:pPr>
            <w:r>
              <w:rPr>
                <w:rFonts w:hint="eastAsia"/>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74" w:type="dxa"/>
          <w:trHeight w:val="13570" w:hRule="atLeast"/>
          <w:jc w:val="center"/>
        </w:trPr>
        <w:tc>
          <w:tcPr>
            <w:tcW w:w="793" w:type="dxa"/>
            <w:vAlign w:val="center"/>
          </w:tcPr>
          <w:p>
            <w:pPr>
              <w:pStyle w:val="28"/>
              <w:bidi w:val="0"/>
              <w:rPr>
                <w:color w:val="auto"/>
                <w:highlight w:val="none"/>
              </w:rPr>
            </w:pPr>
            <w:r>
              <w:rPr>
                <w:rFonts w:hint="eastAsia"/>
                <w:color w:val="auto"/>
                <w:highlight w:val="none"/>
              </w:rPr>
              <w:t>其他符合性分析</w:t>
            </w:r>
          </w:p>
        </w:tc>
        <w:tc>
          <w:tcPr>
            <w:tcW w:w="8278" w:type="dxa"/>
            <w:gridSpan w:val="6"/>
            <w:vAlign w:val="center"/>
          </w:tcPr>
          <w:p>
            <w:pPr>
              <w:pStyle w:val="3"/>
              <w:bidi w:val="0"/>
              <w:rPr>
                <w:rFonts w:hint="default"/>
                <w:color w:val="auto"/>
                <w:highlight w:val="none"/>
                <w:lang w:val="en-US" w:eastAsia="zh-CN"/>
              </w:rPr>
            </w:pPr>
            <w:r>
              <w:rPr>
                <w:rFonts w:hint="eastAsia"/>
                <w:color w:val="auto"/>
                <w:highlight w:val="none"/>
              </w:rPr>
              <w:t>1</w:t>
            </w:r>
            <w:r>
              <w:rPr>
                <w:rFonts w:hint="eastAsia"/>
                <w:color w:val="auto"/>
                <w:highlight w:val="none"/>
                <w:lang w:val="en-US" w:eastAsia="zh-CN"/>
              </w:rPr>
              <w:t>.1</w:t>
            </w:r>
            <w:r>
              <w:rPr>
                <w:rFonts w:hint="eastAsia"/>
                <w:color w:val="auto"/>
                <w:highlight w:val="none"/>
              </w:rPr>
              <w:t xml:space="preserve"> </w:t>
            </w:r>
            <w:r>
              <w:rPr>
                <w:rFonts w:hint="eastAsia"/>
                <w:color w:val="auto"/>
                <w:highlight w:val="none"/>
                <w:lang w:val="en-US" w:eastAsia="zh-CN"/>
              </w:rPr>
              <w:t>产业政策符合性分析</w:t>
            </w:r>
          </w:p>
          <w:p>
            <w:pPr>
              <w:pStyle w:val="6"/>
              <w:bidi w:val="0"/>
              <w:rPr>
                <w:rFonts w:hint="eastAsia"/>
                <w:color w:val="auto"/>
                <w:highlight w:val="none"/>
              </w:rPr>
            </w:pPr>
            <w:r>
              <w:rPr>
                <w:rFonts w:hint="eastAsia"/>
                <w:color w:val="auto"/>
                <w:highlight w:val="none"/>
              </w:rPr>
              <w:t>本项目</w:t>
            </w:r>
            <w:r>
              <w:rPr>
                <w:rFonts w:hint="eastAsia"/>
                <w:color w:val="auto"/>
                <w:highlight w:val="none"/>
                <w:lang w:val="en-US" w:eastAsia="zh-CN"/>
              </w:rPr>
              <w:t>利用固体废物（电石渣、粉煤灰、脱硫石膏等）生产钙基产品，</w:t>
            </w:r>
            <w:r>
              <w:rPr>
                <w:rFonts w:hint="eastAsia"/>
                <w:color w:val="auto"/>
                <w:highlight w:val="none"/>
              </w:rPr>
              <w:t>根据《产业结构调整指导目录</w:t>
            </w:r>
            <w:r>
              <w:rPr>
                <w:rFonts w:hint="eastAsia"/>
                <w:color w:val="auto"/>
                <w:highlight w:val="none"/>
                <w:lang w:eastAsia="zh-CN"/>
              </w:rPr>
              <w:t>（</w:t>
            </w:r>
            <w:r>
              <w:rPr>
                <w:rFonts w:hint="eastAsia"/>
                <w:color w:val="auto"/>
                <w:highlight w:val="none"/>
              </w:rPr>
              <w:t>2024年本</w:t>
            </w:r>
            <w:r>
              <w:rPr>
                <w:rFonts w:hint="eastAsia"/>
                <w:color w:val="auto"/>
                <w:highlight w:val="none"/>
                <w:lang w:eastAsia="zh-CN"/>
              </w:rPr>
              <w:t>）</w:t>
            </w:r>
            <w:r>
              <w:rPr>
                <w:rFonts w:hint="eastAsia"/>
                <w:color w:val="auto"/>
                <w:highlight w:val="none"/>
              </w:rPr>
              <w:t>》</w:t>
            </w:r>
            <w:r>
              <w:rPr>
                <w:rFonts w:hint="eastAsia"/>
                <w:color w:val="auto"/>
                <w:highlight w:val="none"/>
                <w:lang w:eastAsia="zh-CN"/>
              </w:rPr>
              <w:t>，</w:t>
            </w:r>
            <w:r>
              <w:rPr>
                <w:rFonts w:hint="eastAsia"/>
                <w:color w:val="auto"/>
                <w:highlight w:val="none"/>
              </w:rPr>
              <w:t>本项目属于</w:t>
            </w:r>
            <w:r>
              <w:rPr>
                <w:rFonts w:hint="eastAsia"/>
                <w:color w:val="auto"/>
                <w:highlight w:val="none"/>
                <w:lang w:eastAsia="zh-CN"/>
              </w:rPr>
              <w:t>“</w:t>
            </w:r>
            <w:r>
              <w:rPr>
                <w:rFonts w:hint="eastAsia"/>
                <w:color w:val="auto"/>
                <w:highlight w:val="none"/>
              </w:rPr>
              <w:t>鼓励类</w:t>
            </w:r>
            <w:r>
              <w:rPr>
                <w:rFonts w:hint="eastAsia"/>
                <w:color w:val="auto"/>
                <w:highlight w:val="none"/>
                <w:lang w:eastAsia="zh-CN"/>
              </w:rPr>
              <w:t>”</w:t>
            </w:r>
            <w:r>
              <w:rPr>
                <w:rFonts w:hint="eastAsia"/>
                <w:color w:val="auto"/>
                <w:highlight w:val="none"/>
                <w:lang w:val="en-US" w:eastAsia="zh-CN"/>
              </w:rPr>
              <w:t>中的“四十二、环境保护与资源节约综合利用”“8 废弃物循环利用 粉煤灰、工业副产石膏等工业废弃物循环利用”</w:t>
            </w:r>
            <w:r>
              <w:rPr>
                <w:rFonts w:hint="eastAsia"/>
                <w:color w:val="auto"/>
                <w:highlight w:val="none"/>
              </w:rPr>
              <w:t>，因此，本项目符合国家产业政策。</w:t>
            </w:r>
          </w:p>
          <w:p>
            <w:pPr>
              <w:pStyle w:val="6"/>
              <w:bidi w:val="0"/>
              <w:rPr>
                <w:rFonts w:hint="default"/>
                <w:color w:val="auto"/>
                <w:highlight w:val="none"/>
                <w:lang w:val="en-US" w:eastAsia="zh-CN"/>
              </w:rPr>
            </w:pPr>
            <w:r>
              <w:rPr>
                <w:rFonts w:hint="eastAsia"/>
                <w:color w:val="auto"/>
                <w:highlight w:val="none"/>
                <w:lang w:val="en-US" w:eastAsia="zh-CN"/>
              </w:rPr>
              <w:t>根据《</w:t>
            </w:r>
            <w:r>
              <w:rPr>
                <w:rFonts w:hint="eastAsia"/>
                <w:color w:val="auto"/>
                <w:highlight w:val="none"/>
                <w:lang w:eastAsia="zh-CN"/>
              </w:rPr>
              <w:t>新疆维吾尔自治区重点行业生态环境准入条件（</w:t>
            </w:r>
            <w:r>
              <w:rPr>
                <w:rFonts w:hint="eastAsia"/>
                <w:color w:val="auto"/>
                <w:highlight w:val="none"/>
                <w:lang w:val="en-US" w:eastAsia="zh-CN"/>
              </w:rPr>
              <w:t>2024年</w:t>
            </w:r>
            <w:r>
              <w:rPr>
                <w:rFonts w:hint="eastAsia"/>
                <w:color w:val="auto"/>
                <w:highlight w:val="none"/>
                <w:lang w:eastAsia="zh-CN"/>
              </w:rPr>
              <w:t>）</w:t>
            </w:r>
            <w:r>
              <w:rPr>
                <w:rFonts w:hint="eastAsia"/>
                <w:color w:val="auto"/>
                <w:highlight w:val="none"/>
                <w:lang w:val="en-US" w:eastAsia="zh-CN"/>
              </w:rPr>
              <w:t>》（新环环评发〔2024〕93号），本项目不属于非金属矿采选业、煤炭采选行业等重点行业，符合准入条件要求。</w:t>
            </w:r>
          </w:p>
          <w:p>
            <w:pPr>
              <w:pStyle w:val="6"/>
              <w:bidi w:val="0"/>
              <w:rPr>
                <w:rFonts w:hint="eastAsia"/>
                <w:color w:val="auto"/>
                <w:highlight w:val="none"/>
                <w:lang w:val="en-US" w:eastAsia="zh-CN"/>
              </w:rPr>
            </w:pPr>
            <w:r>
              <w:rPr>
                <w:rFonts w:hint="default"/>
                <w:color w:val="auto"/>
                <w:highlight w:val="none"/>
                <w:lang w:val="en-US" w:eastAsia="zh-CN"/>
              </w:rPr>
              <w:t>对照《市场准入负面清单（2025年版）》</w:t>
            </w:r>
            <w:r>
              <w:rPr>
                <w:rFonts w:hint="eastAsia"/>
                <w:color w:val="auto"/>
                <w:highlight w:val="none"/>
                <w:lang w:val="en-US" w:eastAsia="zh-CN"/>
              </w:rPr>
              <w:t>（发改体改规﹝2025﹞466号）</w:t>
            </w:r>
            <w:r>
              <w:rPr>
                <w:rFonts w:hint="default"/>
                <w:color w:val="auto"/>
                <w:highlight w:val="none"/>
                <w:lang w:val="en-US" w:eastAsia="zh-CN"/>
              </w:rPr>
              <w:t>，本项目不在负面清单中所列限制或禁止的项目类型，项目符合市场准入条件</w:t>
            </w:r>
            <w:r>
              <w:rPr>
                <w:rFonts w:hint="eastAsia"/>
                <w:color w:val="auto"/>
                <w:highlight w:val="none"/>
                <w:lang w:val="en-US" w:eastAsia="zh-CN"/>
              </w:rPr>
              <w:t>。</w:t>
            </w:r>
          </w:p>
          <w:p>
            <w:pPr>
              <w:pStyle w:val="6"/>
              <w:bidi w:val="0"/>
              <w:rPr>
                <w:rFonts w:hint="default"/>
                <w:color w:val="auto"/>
                <w:highlight w:val="none"/>
                <w:lang w:val="en-US" w:eastAsia="zh-CN"/>
              </w:rPr>
            </w:pPr>
            <w:r>
              <w:rPr>
                <w:rFonts w:hint="eastAsia"/>
                <w:color w:val="auto"/>
                <w:highlight w:val="none"/>
                <w:lang w:val="en-US" w:eastAsia="zh-CN"/>
              </w:rPr>
              <w:t>项目已于2026年2月6日取得库尔勒市发展和改革委员会出具的备案登记证：《巴州敏宇环保科技有限公司固废综合利用年产12万吨钙基产品建设项目》（备案证编号：2409091028652800000235），因此，符合地方产业政策。</w:t>
            </w:r>
          </w:p>
          <w:p>
            <w:pPr>
              <w:pStyle w:val="6"/>
              <w:bidi w:val="0"/>
              <w:rPr>
                <w:rFonts w:hint="eastAsia"/>
                <w:color w:val="auto"/>
                <w:highlight w:val="none"/>
                <w:lang w:val="en-US" w:eastAsia="zh-CN"/>
              </w:rPr>
            </w:pPr>
            <w:r>
              <w:rPr>
                <w:rFonts w:hint="eastAsia"/>
                <w:color w:val="auto"/>
                <w:highlight w:val="none"/>
                <w:lang w:val="en-US" w:eastAsia="zh-CN"/>
              </w:rPr>
              <w:t>综上所述，本项目符合国家及地方产业政策。</w:t>
            </w:r>
          </w:p>
          <w:p>
            <w:pPr>
              <w:pStyle w:val="3"/>
              <w:bidi w:val="0"/>
              <w:rPr>
                <w:color w:val="auto"/>
                <w:highlight w:val="none"/>
              </w:rPr>
            </w:pPr>
            <w:r>
              <w:rPr>
                <w:rFonts w:hint="eastAsia"/>
                <w:color w:val="auto"/>
                <w:highlight w:val="none"/>
                <w:lang w:val="en-US" w:eastAsia="zh-CN"/>
              </w:rPr>
              <w:t>1.</w:t>
            </w:r>
            <w:r>
              <w:rPr>
                <w:rFonts w:hint="eastAsia"/>
                <w:color w:val="auto"/>
                <w:highlight w:val="none"/>
              </w:rPr>
              <w:t xml:space="preserve">2 </w:t>
            </w:r>
            <w:r>
              <w:rPr>
                <w:rFonts w:hint="eastAsia"/>
                <w:color w:val="auto"/>
                <w:highlight w:val="none"/>
                <w:lang w:val="en-US" w:eastAsia="zh-CN"/>
              </w:rPr>
              <w:t>生态环境分区管控</w:t>
            </w:r>
            <w:r>
              <w:rPr>
                <w:rFonts w:hint="eastAsia"/>
                <w:color w:val="auto"/>
                <w:highlight w:val="none"/>
              </w:rPr>
              <w:t>符合性判定</w:t>
            </w:r>
          </w:p>
          <w:p>
            <w:pPr>
              <w:pStyle w:val="6"/>
              <w:bidi w:val="0"/>
              <w:rPr>
                <w:color w:val="auto"/>
                <w:highlight w:val="none"/>
              </w:rPr>
            </w:pPr>
            <w:r>
              <w:rPr>
                <w:rFonts w:hint="eastAsia"/>
                <w:color w:val="auto"/>
                <w:highlight w:val="none"/>
              </w:rPr>
              <w:t>根据《关于印发〈新疆维吾尔自治区生态环境分区管控动态更新成果〉的通知》（新环环评发〔2024〕157号）</w:t>
            </w:r>
            <w:r>
              <w:rPr>
                <w:rFonts w:hint="eastAsia"/>
                <w:color w:val="auto"/>
                <w:highlight w:val="none"/>
                <w:lang w:eastAsia="zh-CN"/>
              </w:rPr>
              <w:t>、</w:t>
            </w:r>
            <w:r>
              <w:rPr>
                <w:rFonts w:hint="eastAsia"/>
                <w:color w:val="auto"/>
                <w:highlight w:val="none"/>
                <w:lang w:val="en-US" w:eastAsia="zh-CN"/>
              </w:rPr>
              <w:t>《关于印发巴音郭楞蒙古自治州“三线一单”生态环境分区管控动态更新成果（2023年）的通知》（巴政办发〔2024〕32号），</w:t>
            </w:r>
            <w:r>
              <w:rPr>
                <w:rFonts w:hint="eastAsia"/>
                <w:color w:val="auto"/>
                <w:highlight w:val="none"/>
              </w:rPr>
              <w:t>本项目符合性分析如下。</w:t>
            </w:r>
          </w:p>
          <w:p>
            <w:pPr>
              <w:pStyle w:val="36"/>
              <w:bidi w:val="0"/>
              <w:rPr>
                <w:color w:val="auto"/>
                <w:highlight w:val="none"/>
              </w:rPr>
            </w:pPr>
            <w:r>
              <w:rPr>
                <w:rFonts w:hint="eastAsia"/>
                <w:color w:val="auto"/>
                <w:highlight w:val="none"/>
              </w:rPr>
              <w:t>表</w:t>
            </w:r>
            <w:r>
              <w:rPr>
                <w:rFonts w:hint="eastAsia"/>
                <w:color w:val="auto"/>
                <w:highlight w:val="none"/>
                <w:lang w:val="en-US" w:eastAsia="zh-CN"/>
              </w:rPr>
              <w:t>1.2</w:t>
            </w:r>
            <w:r>
              <w:rPr>
                <w:rFonts w:hint="eastAsia"/>
                <w:color w:val="auto"/>
                <w:highlight w:val="none"/>
              </w:rPr>
              <w:t xml:space="preserve">-1  </w:t>
            </w:r>
            <w:r>
              <w:rPr>
                <w:rFonts w:hint="eastAsia"/>
                <w:color w:val="auto"/>
                <w:highlight w:val="none"/>
                <w:lang w:eastAsia="zh-CN"/>
              </w:rPr>
              <w:t>项目</w:t>
            </w:r>
            <w:r>
              <w:rPr>
                <w:rFonts w:hint="eastAsia"/>
                <w:color w:val="auto"/>
                <w:highlight w:val="none"/>
                <w:lang w:val="en-US" w:eastAsia="zh-CN"/>
              </w:rPr>
              <w:t>与新疆维吾尔自治区生态环境分区管控动态更新成果</w:t>
            </w:r>
            <w:r>
              <w:rPr>
                <w:rFonts w:hint="eastAsia"/>
                <w:color w:val="auto"/>
                <w:highlight w:val="none"/>
              </w:rPr>
              <w:t>符合性分析一览表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0"/>
              <w:gridCol w:w="568"/>
              <w:gridCol w:w="3900"/>
              <w:gridCol w:w="2640"/>
              <w:gridCol w:w="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047" w:type="pct"/>
                  <w:gridSpan w:val="3"/>
                  <w:noWrap w:val="0"/>
                  <w:vAlign w:val="center"/>
                </w:tcPr>
                <w:p>
                  <w:pPr>
                    <w:pStyle w:val="57"/>
                    <w:bidi w:val="0"/>
                    <w:rPr>
                      <w:rFonts w:hint="eastAsia"/>
                      <w:color w:val="auto"/>
                      <w:highlight w:val="none"/>
                    </w:rPr>
                  </w:pPr>
                  <w:r>
                    <w:rPr>
                      <w:rFonts w:hint="eastAsia"/>
                      <w:color w:val="auto"/>
                      <w:highlight w:val="none"/>
                    </w:rPr>
                    <w:t>管控要求</w:t>
                  </w:r>
                </w:p>
              </w:tc>
              <w:tc>
                <w:tcPr>
                  <w:tcW w:w="1639" w:type="pct"/>
                  <w:noWrap w:val="0"/>
                  <w:vAlign w:val="center"/>
                </w:tcPr>
                <w:p>
                  <w:pPr>
                    <w:pStyle w:val="57"/>
                    <w:bidi w:val="0"/>
                    <w:rPr>
                      <w:rFonts w:hint="eastAsia"/>
                      <w:color w:val="auto"/>
                      <w:highlight w:val="none"/>
                      <w:lang w:eastAsia="zh-CN"/>
                    </w:rPr>
                  </w:pPr>
                  <w:r>
                    <w:rPr>
                      <w:rFonts w:hint="eastAsia"/>
                      <w:color w:val="auto"/>
                      <w:highlight w:val="none"/>
                      <w:lang w:val="en-US" w:eastAsia="zh-CN"/>
                    </w:rPr>
                    <w:t>本项目</w:t>
                  </w:r>
                </w:p>
              </w:tc>
              <w:tc>
                <w:tcPr>
                  <w:tcW w:w="312" w:type="pct"/>
                  <w:noWrap w:val="0"/>
                  <w:vAlign w:val="center"/>
                </w:tcPr>
                <w:p>
                  <w:pPr>
                    <w:pStyle w:val="57"/>
                    <w:bidi w:val="0"/>
                    <w:rPr>
                      <w:rFonts w:hint="eastAsia"/>
                      <w:color w:val="auto"/>
                      <w:highlight w:val="none"/>
                    </w:rPr>
                  </w:pPr>
                  <w:r>
                    <w:rPr>
                      <w:rFonts w:hint="eastAsia"/>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restart"/>
                  <w:noWrap w:val="0"/>
                  <w:vAlign w:val="center"/>
                </w:tcPr>
                <w:p>
                  <w:pPr>
                    <w:pStyle w:val="57"/>
                    <w:bidi w:val="0"/>
                    <w:rPr>
                      <w:rFonts w:hint="eastAsia"/>
                      <w:color w:val="auto"/>
                      <w:highlight w:val="none"/>
                    </w:rPr>
                  </w:pPr>
                  <w:r>
                    <w:rPr>
                      <w:rFonts w:hint="eastAsia"/>
                      <w:color w:val="auto"/>
                      <w:highlight w:val="none"/>
                    </w:rPr>
                    <w:t>A1空间布局约束</w:t>
                  </w:r>
                </w:p>
              </w:tc>
              <w:tc>
                <w:tcPr>
                  <w:tcW w:w="352" w:type="pct"/>
                  <w:vMerge w:val="restar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A1.1禁止开发建设的活动</w:t>
                  </w:r>
                </w:p>
              </w:tc>
              <w:tc>
                <w:tcPr>
                  <w:tcW w:w="2421" w:type="pct"/>
                  <w:noWrap w:val="0"/>
                  <w:vAlign w:val="center"/>
                </w:tcPr>
                <w:p>
                  <w:pPr>
                    <w:pStyle w:val="34"/>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rPr>
                    <w:t>A1.1-1</w:t>
                  </w:r>
                  <w:r>
                    <w:rPr>
                      <w:rFonts w:hint="eastAsia"/>
                      <w:color w:val="auto"/>
                      <w:highlight w:val="none"/>
                      <w:lang w:eastAsia="zh-CN"/>
                    </w:rPr>
                    <w:t>]</w:t>
                  </w:r>
                  <w:r>
                    <w:rPr>
                      <w:rFonts w:hint="eastAsia"/>
                      <w:color w:val="auto"/>
                      <w:highlight w:val="none"/>
                    </w:rPr>
                    <w:t>禁止新建、扩建《产业结构调整指导目录(20</w:t>
                  </w:r>
                  <w:r>
                    <w:rPr>
                      <w:rFonts w:hint="eastAsia"/>
                      <w:color w:val="auto"/>
                      <w:highlight w:val="none"/>
                      <w:lang w:val="en-US" w:eastAsia="zh-CN"/>
                    </w:rPr>
                    <w:t>24</w:t>
                  </w:r>
                  <w:r>
                    <w:rPr>
                      <w:rFonts w:hint="eastAsia"/>
                      <w:color w:val="auto"/>
                      <w:highlight w:val="none"/>
                    </w:rPr>
                    <w:t>年本)》中淘汰类项目。禁止引入《市场准入负面清单(20</w:t>
                  </w:r>
                  <w:r>
                    <w:rPr>
                      <w:rFonts w:hint="eastAsia"/>
                      <w:color w:val="auto"/>
                      <w:highlight w:val="none"/>
                      <w:lang w:val="en-US" w:eastAsia="zh-CN"/>
                    </w:rPr>
                    <w:t>22</w:t>
                  </w:r>
                  <w:r>
                    <w:rPr>
                      <w:rFonts w:hint="eastAsia"/>
                      <w:color w:val="auto"/>
                      <w:highlight w:val="none"/>
                    </w:rPr>
                    <w:t>年版)》禁止准入类事项。</w:t>
                  </w:r>
                </w:p>
              </w:tc>
              <w:tc>
                <w:tcPr>
                  <w:tcW w:w="1639" w:type="pct"/>
                  <w:noWrap w:val="0"/>
                  <w:vAlign w:val="center"/>
                </w:tcPr>
                <w:p>
                  <w:pPr>
                    <w:pStyle w:val="34"/>
                    <w:bidi w:val="0"/>
                    <w:rPr>
                      <w:rFonts w:hint="eastAsia"/>
                      <w:color w:val="auto"/>
                      <w:highlight w:val="none"/>
                    </w:rPr>
                  </w:pPr>
                  <w:r>
                    <w:rPr>
                      <w:rFonts w:hint="eastAsia"/>
                      <w:color w:val="auto"/>
                      <w:highlight w:val="none"/>
                      <w:lang w:val="en-US" w:eastAsia="zh-CN"/>
                    </w:rPr>
                    <w:t>项目属于</w:t>
                  </w:r>
                  <w:r>
                    <w:rPr>
                      <w:rFonts w:hint="eastAsia"/>
                      <w:color w:val="auto"/>
                      <w:highlight w:val="none"/>
                    </w:rPr>
                    <w:t>《产业结构调整指导目录(2024年本)》</w:t>
                  </w:r>
                  <w:r>
                    <w:rPr>
                      <w:rFonts w:hint="eastAsia"/>
                      <w:color w:val="auto"/>
                      <w:highlight w:val="none"/>
                      <w:lang w:val="en-US" w:eastAsia="zh-CN"/>
                    </w:rPr>
                    <w:t>鼓励类项目</w:t>
                  </w:r>
                  <w:r>
                    <w:rPr>
                      <w:rFonts w:hint="eastAsia"/>
                      <w:color w:val="auto"/>
                      <w:highlight w:val="none"/>
                    </w:rPr>
                    <w:t>；</w:t>
                  </w:r>
                  <w:r>
                    <w:rPr>
                      <w:rFonts w:hint="eastAsia"/>
                      <w:color w:val="auto"/>
                      <w:highlight w:val="none"/>
                      <w:lang w:val="en-US" w:eastAsia="zh-CN"/>
                    </w:rPr>
                    <w:t>项目</w:t>
                  </w:r>
                  <w:r>
                    <w:rPr>
                      <w:rFonts w:hint="eastAsia"/>
                      <w:color w:val="auto"/>
                      <w:highlight w:val="none"/>
                    </w:rPr>
                    <w:t>不属于《市场准入负面清单(202</w:t>
                  </w:r>
                  <w:r>
                    <w:rPr>
                      <w:rFonts w:hint="eastAsia"/>
                      <w:color w:val="auto"/>
                      <w:highlight w:val="none"/>
                      <w:lang w:val="en-US" w:eastAsia="zh-CN"/>
                    </w:rPr>
                    <w:t>5</w:t>
                  </w:r>
                  <w:r>
                    <w:rPr>
                      <w:rFonts w:hint="eastAsia"/>
                      <w:color w:val="auto"/>
                      <w:highlight w:val="none"/>
                    </w:rPr>
                    <w:t>年版)》禁止准入类项目</w:t>
                  </w:r>
                </w:p>
              </w:tc>
              <w:tc>
                <w:tcPr>
                  <w:tcW w:w="312" w:type="pct"/>
                  <w:noWrap w:val="0"/>
                  <w:vAlign w:val="center"/>
                </w:tcPr>
                <w:p>
                  <w:pPr>
                    <w:pStyle w:val="57"/>
                    <w:bidi w:val="0"/>
                    <w:rPr>
                      <w:rFonts w:hint="eastAsia"/>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rPr>
                  </w:pPr>
                </w:p>
              </w:tc>
              <w:tc>
                <w:tcPr>
                  <w:tcW w:w="352" w:type="pct"/>
                  <w:vMerge w:val="continue"/>
                  <w:noWrap w:val="0"/>
                  <w:vAlign w:val="center"/>
                </w:tcPr>
                <w:p>
                  <w:pPr>
                    <w:pStyle w:val="57"/>
                    <w:bidi w:val="0"/>
                    <w:rPr>
                      <w:rFonts w:hint="eastAsia"/>
                      <w:color w:val="auto"/>
                      <w:highlight w:val="none"/>
                    </w:rPr>
                  </w:pPr>
                </w:p>
              </w:tc>
              <w:tc>
                <w:tcPr>
                  <w:tcW w:w="2421" w:type="pct"/>
                  <w:noWrap w:val="0"/>
                  <w:vAlign w:val="center"/>
                </w:tcPr>
                <w:p>
                  <w:pPr>
                    <w:pStyle w:val="34"/>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rPr>
                    <w:t>A1.</w:t>
                  </w:r>
                  <w:r>
                    <w:rPr>
                      <w:rFonts w:hint="eastAsia"/>
                      <w:color w:val="auto"/>
                      <w:highlight w:val="none"/>
                      <w:lang w:val="en-US" w:eastAsia="zh-CN"/>
                    </w:rPr>
                    <w:t>1-2</w:t>
                  </w:r>
                  <w:r>
                    <w:rPr>
                      <w:rFonts w:hint="eastAsia"/>
                      <w:color w:val="auto"/>
                      <w:highlight w:val="none"/>
                      <w:lang w:eastAsia="zh-CN"/>
                    </w:rPr>
                    <w:t>]</w:t>
                  </w:r>
                  <w:r>
                    <w:rPr>
                      <w:rFonts w:hint="eastAsia"/>
                      <w:color w:val="auto"/>
                      <w:highlight w:val="none"/>
                    </w:rPr>
                    <w:t>禁止建设不符合国家和自治区环境保护标准的项目。</w:t>
                  </w:r>
                </w:p>
              </w:tc>
              <w:tc>
                <w:tcPr>
                  <w:tcW w:w="1639" w:type="pct"/>
                  <w:noWrap w:val="0"/>
                  <w:vAlign w:val="center"/>
                </w:tcPr>
                <w:p>
                  <w:pPr>
                    <w:pStyle w:val="34"/>
                    <w:bidi w:val="0"/>
                    <w:rPr>
                      <w:rFonts w:hint="eastAsia"/>
                      <w:color w:val="auto"/>
                      <w:highlight w:val="none"/>
                      <w:lang w:val="en-US" w:eastAsia="zh-CN"/>
                    </w:rPr>
                  </w:pPr>
                  <w:r>
                    <w:rPr>
                      <w:rFonts w:hint="eastAsia"/>
                      <w:color w:val="auto"/>
                      <w:highlight w:val="none"/>
                      <w:lang w:val="en-US" w:eastAsia="zh-CN"/>
                    </w:rPr>
                    <w:t>本项目</w:t>
                  </w:r>
                  <w:r>
                    <w:rPr>
                      <w:rFonts w:hint="eastAsia"/>
                      <w:color w:val="auto"/>
                      <w:highlight w:val="none"/>
                    </w:rPr>
                    <w:t>执行标准符合国家和自治区环境保护标准</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rPr>
                  </w:pPr>
                </w:p>
              </w:tc>
              <w:tc>
                <w:tcPr>
                  <w:tcW w:w="352" w:type="pct"/>
                  <w:vMerge w:val="continue"/>
                  <w:noWrap w:val="0"/>
                  <w:vAlign w:val="center"/>
                </w:tcPr>
                <w:p>
                  <w:pPr>
                    <w:pStyle w:val="57"/>
                    <w:bidi w:val="0"/>
                    <w:rPr>
                      <w:rFonts w:hint="eastAsia"/>
                      <w:color w:val="auto"/>
                      <w:highlight w:val="none"/>
                    </w:rPr>
                  </w:pPr>
                </w:p>
              </w:tc>
              <w:tc>
                <w:tcPr>
                  <w:tcW w:w="2421" w:type="pct"/>
                  <w:noWrap w:val="0"/>
                  <w:vAlign w:val="center"/>
                </w:tcPr>
                <w:p>
                  <w:pPr>
                    <w:pStyle w:val="34"/>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rPr>
                    <w:t>A1.</w:t>
                  </w:r>
                  <w:r>
                    <w:rPr>
                      <w:rFonts w:hint="eastAsia"/>
                      <w:color w:val="auto"/>
                      <w:highlight w:val="none"/>
                      <w:lang w:val="en-US" w:eastAsia="zh-CN"/>
                    </w:rPr>
                    <w:t>1-6</w:t>
                  </w:r>
                  <w:r>
                    <w:rPr>
                      <w:rFonts w:hint="eastAsia"/>
                      <w:color w:val="auto"/>
                      <w:highlight w:val="none"/>
                      <w:lang w:eastAsia="zh-CN"/>
                    </w:rPr>
                    <w:t>]</w:t>
                  </w:r>
                  <w:r>
                    <w:rPr>
                      <w:rFonts w:hint="eastAsia"/>
                      <w:color w:val="auto"/>
                      <w:highlight w:val="none"/>
                    </w:rPr>
                    <w:t>禁止在自治区行政区域内引进能(水)耗不符合相关国家标准中准入值要求且污染物排放和环境风险防控不符合国家(地方)标准及有关产业准入条件的高污染(排放)、高能(水)耗、高环境风险的工业项目。</w:t>
                  </w:r>
                </w:p>
              </w:tc>
              <w:tc>
                <w:tcPr>
                  <w:tcW w:w="1639" w:type="pct"/>
                  <w:noWrap w:val="0"/>
                  <w:vAlign w:val="center"/>
                </w:tcPr>
                <w:p>
                  <w:pPr>
                    <w:pStyle w:val="34"/>
                    <w:bidi w:val="0"/>
                    <w:rPr>
                      <w:rFonts w:hint="default"/>
                      <w:color w:val="auto"/>
                      <w:highlight w:val="none"/>
                      <w:lang w:val="en-US" w:eastAsia="zh-CN"/>
                    </w:rPr>
                  </w:pPr>
                  <w:r>
                    <w:rPr>
                      <w:rFonts w:hint="eastAsia"/>
                      <w:color w:val="auto"/>
                      <w:highlight w:val="none"/>
                      <w:lang w:eastAsia="zh-CN"/>
                    </w:rPr>
                    <w:t>本项目</w:t>
                  </w:r>
                  <w:r>
                    <w:rPr>
                      <w:rFonts w:hint="eastAsia"/>
                      <w:color w:val="auto"/>
                      <w:highlight w:val="none"/>
                    </w:rPr>
                    <w:t>不属于高污染(排放)、高能(水)耗、高环境风险的工业项目</w:t>
                  </w:r>
                  <w:r>
                    <w:rPr>
                      <w:rFonts w:hint="eastAsia"/>
                      <w:color w:val="auto"/>
                      <w:highlight w:val="none"/>
                      <w:lang w:eastAsia="zh-CN"/>
                    </w:rPr>
                    <w:t>；</w:t>
                  </w:r>
                  <w:r>
                    <w:rPr>
                      <w:rFonts w:hint="eastAsia"/>
                      <w:color w:val="auto"/>
                      <w:highlight w:val="none"/>
                      <w:lang w:val="en-US" w:eastAsia="zh-CN"/>
                    </w:rPr>
                    <w:t>项目不属于《环境保护综合名录（2021年版）》（环办综合函〔2021〕495号）高污染、高环境风险产品项目；亦不属于《自治区“两高”项目管理目录（2024年版）》（新发改环资〔2024〕635号）“两高”项目</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rPr>
                  </w:pPr>
                </w:p>
              </w:tc>
              <w:tc>
                <w:tcPr>
                  <w:tcW w:w="352" w:type="pct"/>
                  <w:vMerge w:val="continue"/>
                  <w:noWrap w:val="0"/>
                  <w:vAlign w:val="center"/>
                </w:tcPr>
                <w:p>
                  <w:pPr>
                    <w:pStyle w:val="57"/>
                    <w:bidi w:val="0"/>
                    <w:rPr>
                      <w:rFonts w:hint="eastAsia"/>
                      <w:color w:val="auto"/>
                      <w:highlight w:val="none"/>
                    </w:rPr>
                  </w:pPr>
                </w:p>
              </w:tc>
              <w:tc>
                <w:tcPr>
                  <w:tcW w:w="2421" w:type="pct"/>
                  <w:noWrap w:val="0"/>
                  <w:vAlign w:val="center"/>
                </w:tcPr>
                <w:p>
                  <w:pPr>
                    <w:pStyle w:val="34"/>
                    <w:bidi w:val="0"/>
                    <w:rPr>
                      <w:rFonts w:hint="eastAsia"/>
                      <w:color w:val="auto"/>
                      <w:highlight w:val="none"/>
                    </w:rPr>
                  </w:pPr>
                  <w:r>
                    <w:rPr>
                      <w:rFonts w:hint="eastAsia"/>
                      <w:color w:val="auto"/>
                      <w:highlight w:val="none"/>
                      <w:lang w:eastAsia="zh-CN"/>
                    </w:rPr>
                    <w:t>[</w:t>
                  </w:r>
                  <w:r>
                    <w:rPr>
                      <w:rFonts w:hint="eastAsia"/>
                      <w:color w:val="auto"/>
                      <w:highlight w:val="none"/>
                    </w:rPr>
                    <w:t>A1.</w:t>
                  </w:r>
                  <w:r>
                    <w:rPr>
                      <w:rFonts w:hint="eastAsia"/>
                      <w:color w:val="auto"/>
                      <w:highlight w:val="none"/>
                      <w:lang w:val="en-US" w:eastAsia="zh-CN"/>
                    </w:rPr>
                    <w:t>1-7</w:t>
                  </w:r>
                  <w:r>
                    <w:rPr>
                      <w:rFonts w:hint="eastAsia"/>
                      <w:color w:val="auto"/>
                      <w:highlight w:val="none"/>
                      <w:lang w:eastAsia="zh-CN"/>
                    </w:rPr>
                    <w:t>]</w:t>
                  </w:r>
                  <w:r>
                    <w:rPr>
                      <w:rFonts w:hint="eastAsia"/>
                      <w:color w:val="auto"/>
                      <w:highlight w:val="none"/>
                      <w:lang w:val="en-US" w:eastAsia="zh-CN"/>
                    </w:rPr>
                    <w:t>①</w:t>
                  </w:r>
                  <w:r>
                    <w:rPr>
                      <w:rFonts w:hint="eastAsia"/>
                      <w:color w:val="auto"/>
                      <w:highlight w:val="none"/>
                    </w:rPr>
                    <w:t>坚决遏制高耗能高排放低水平项目盲目发展。严把高耗能高排放低水平项目准入关口，严格落实污染物排放区域削减要求，对不符合规定的项目坚决停批停建。依法依规淘汰落后产能和化解过剩产能。</w:t>
                  </w:r>
                </w:p>
                <w:p>
                  <w:pPr>
                    <w:pStyle w:val="34"/>
                    <w:bidi w:val="0"/>
                    <w:rPr>
                      <w:rFonts w:hint="eastAsia"/>
                      <w:color w:val="auto"/>
                      <w:highlight w:val="none"/>
                      <w:lang w:val="en-US" w:eastAsia="zh-CN"/>
                    </w:rPr>
                  </w:pPr>
                  <w:r>
                    <w:rPr>
                      <w:rFonts w:hint="eastAsia"/>
                      <w:color w:val="auto"/>
                      <w:highlight w:val="none"/>
                    </w:rPr>
                    <w:t>②重点行业企业纳入重污染天气绩效分级，制定“</w:t>
                  </w:r>
                  <w:r>
                    <w:rPr>
                      <w:rFonts w:hint="eastAsia"/>
                      <w:color w:val="auto"/>
                      <w:highlight w:val="none"/>
                      <w:lang w:val="en-US" w:eastAsia="zh-CN"/>
                    </w:rPr>
                    <w:t>一</w:t>
                  </w:r>
                  <w:r>
                    <w:rPr>
                      <w:rFonts w:hint="eastAsia"/>
                      <w:color w:val="auto"/>
                      <w:highlight w:val="none"/>
                    </w:rPr>
                    <w:t>厂一策”应急减排清单，实现应纳尽纳</w:t>
                  </w:r>
                  <w:r>
                    <w:rPr>
                      <w:rFonts w:hint="eastAsia"/>
                      <w:color w:val="auto"/>
                      <w:highlight w:val="none"/>
                      <w:lang w:eastAsia="zh-CN"/>
                    </w:rPr>
                    <w:t>；</w:t>
                  </w:r>
                  <w:r>
                    <w:rPr>
                      <w:rFonts w:hint="eastAsia"/>
                      <w:color w:val="auto"/>
                      <w:highlight w:val="none"/>
                    </w:rPr>
                    <w:t>引导重点企业在秋冬季安排停产检修计划，减少冬季和采暖期排放。推进重点行业深度治理实施全工况脱硫脱硝提标改造，加大无组织排放治理力度，深度开展工业</w:t>
                  </w:r>
                  <w:r>
                    <w:rPr>
                      <w:rFonts w:hint="eastAsia"/>
                      <w:color w:val="auto"/>
                      <w:highlight w:val="none"/>
                      <w:lang w:val="en-US" w:eastAsia="zh-CN"/>
                    </w:rPr>
                    <w:t>炉窑</w:t>
                  </w:r>
                  <w:r>
                    <w:rPr>
                      <w:rFonts w:hint="eastAsia"/>
                      <w:color w:val="auto"/>
                      <w:highlight w:val="none"/>
                    </w:rPr>
                    <w:t>综合整治，全面提升电解铝、活性炭、硅冶炼、纯碱、电石、聚氯乙烯、石化等行业污染治理水平。</w:t>
                  </w:r>
                </w:p>
              </w:tc>
              <w:tc>
                <w:tcPr>
                  <w:tcW w:w="1639" w:type="pct"/>
                  <w:noWrap w:val="0"/>
                  <w:vAlign w:val="center"/>
                </w:tcPr>
                <w:p>
                  <w:pPr>
                    <w:pStyle w:val="34"/>
                    <w:bidi w:val="0"/>
                    <w:rPr>
                      <w:rFonts w:hint="default"/>
                      <w:color w:val="auto"/>
                      <w:highlight w:val="none"/>
                      <w:lang w:val="en-US" w:eastAsia="zh-CN"/>
                    </w:rPr>
                  </w:pPr>
                  <w:r>
                    <w:rPr>
                      <w:rFonts w:hint="eastAsia"/>
                      <w:color w:val="auto"/>
                      <w:highlight w:val="none"/>
                      <w:lang w:eastAsia="zh-CN"/>
                    </w:rPr>
                    <w:t>项目</w:t>
                  </w:r>
                  <w:r>
                    <w:rPr>
                      <w:rFonts w:hint="eastAsia"/>
                      <w:color w:val="auto"/>
                      <w:highlight w:val="none"/>
                    </w:rPr>
                    <w:t>不属于高耗能高排放低水平项目</w:t>
                  </w:r>
                  <w:r>
                    <w:rPr>
                      <w:rFonts w:hint="eastAsia"/>
                      <w:color w:val="auto"/>
                      <w:highlight w:val="none"/>
                      <w:lang w:eastAsia="zh-CN"/>
                    </w:rPr>
                    <w:t>；</w:t>
                  </w:r>
                  <w:r>
                    <w:rPr>
                      <w:rFonts w:hint="eastAsia"/>
                      <w:color w:val="auto"/>
                      <w:highlight w:val="none"/>
                      <w:lang w:val="en-US" w:eastAsia="zh-CN"/>
                    </w:rPr>
                    <w:t>不属于电解铝、活性炭、硅冶炼、纯碱、电石、聚氯乙烯、石化等重点行业企业；项目使用电磁回转窑技术，减少燃料燃烧产生的大气污染物排放</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rPr>
                  </w:pPr>
                </w:p>
              </w:tc>
              <w:tc>
                <w:tcPr>
                  <w:tcW w:w="352" w:type="pct"/>
                  <w:vMerge w:val="restar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A1.2限制开发建设的活动</w:t>
                  </w:r>
                </w:p>
              </w:tc>
              <w:tc>
                <w:tcPr>
                  <w:tcW w:w="2421" w:type="pct"/>
                  <w:noWrap w:val="0"/>
                  <w:vAlign w:val="center"/>
                </w:tcPr>
                <w:p>
                  <w:pPr>
                    <w:pStyle w:val="34"/>
                    <w:bidi w:val="0"/>
                    <w:rPr>
                      <w:rFonts w:hint="eastAsia"/>
                      <w:color w:val="auto"/>
                      <w:highlight w:val="none"/>
                    </w:rPr>
                  </w:pPr>
                  <w:r>
                    <w:rPr>
                      <w:rFonts w:hint="eastAsia"/>
                      <w:color w:val="auto"/>
                      <w:highlight w:val="none"/>
                      <w:lang w:eastAsia="zh-CN"/>
                    </w:rPr>
                    <w:t>[</w:t>
                  </w:r>
                  <w:r>
                    <w:rPr>
                      <w:rFonts w:hint="eastAsia"/>
                      <w:color w:val="auto"/>
                      <w:highlight w:val="none"/>
                    </w:rPr>
                    <w:t>A1.</w:t>
                  </w:r>
                  <w:r>
                    <w:rPr>
                      <w:rFonts w:hint="eastAsia"/>
                      <w:color w:val="auto"/>
                      <w:highlight w:val="none"/>
                      <w:lang w:val="en-US" w:eastAsia="zh-CN"/>
                    </w:rPr>
                    <w:t>2-1</w:t>
                  </w:r>
                  <w:r>
                    <w:rPr>
                      <w:rFonts w:hint="eastAsia"/>
                      <w:color w:val="auto"/>
                      <w:highlight w:val="none"/>
                      <w:lang w:eastAsia="zh-CN"/>
                    </w:rPr>
                    <w:t>]</w:t>
                  </w:r>
                  <w:r>
                    <w:rPr>
                      <w:rFonts w:hint="eastAsia"/>
                      <w:color w:val="auto"/>
                      <w:highlight w:val="none"/>
                    </w:rPr>
                    <w:t>严格控制缺水地区、水污染严重区域和敏感区域高耗水高污染行业发展。</w:t>
                  </w:r>
                </w:p>
              </w:tc>
              <w:tc>
                <w:tcPr>
                  <w:tcW w:w="1639"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项目无生产用水，不属于高耗水高污染行业</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rPr>
                  </w:pPr>
                </w:p>
              </w:tc>
              <w:tc>
                <w:tcPr>
                  <w:tcW w:w="352" w:type="pct"/>
                  <w:vMerge w:val="continue"/>
                  <w:noWrap w:val="0"/>
                  <w:vAlign w:val="center"/>
                </w:tcPr>
                <w:p>
                  <w:pPr>
                    <w:pStyle w:val="57"/>
                    <w:bidi w:val="0"/>
                    <w:rPr>
                      <w:rFonts w:hint="eastAsia"/>
                      <w:color w:val="auto"/>
                      <w:highlight w:val="none"/>
                    </w:rPr>
                  </w:pPr>
                </w:p>
              </w:tc>
              <w:tc>
                <w:tcPr>
                  <w:tcW w:w="2421" w:type="pct"/>
                  <w:noWrap w:val="0"/>
                  <w:vAlign w:val="center"/>
                </w:tcPr>
                <w:p>
                  <w:pPr>
                    <w:pStyle w:val="34"/>
                    <w:bidi w:val="0"/>
                    <w:rPr>
                      <w:rFonts w:hint="eastAsia"/>
                      <w:color w:val="auto"/>
                      <w:highlight w:val="none"/>
                      <w:lang w:eastAsia="zh-CN"/>
                    </w:rPr>
                  </w:pPr>
                  <w:r>
                    <w:rPr>
                      <w:rFonts w:hint="eastAsia"/>
                      <w:color w:val="auto"/>
                      <w:highlight w:val="none"/>
                      <w:lang w:eastAsia="zh-CN"/>
                    </w:rPr>
                    <w:t>[</w:t>
                  </w:r>
                  <w:r>
                    <w:rPr>
                      <w:rFonts w:hint="eastAsia"/>
                      <w:color w:val="auto"/>
                      <w:highlight w:val="none"/>
                    </w:rPr>
                    <w:t>A1.</w:t>
                  </w:r>
                  <w:r>
                    <w:rPr>
                      <w:rFonts w:hint="eastAsia"/>
                      <w:color w:val="auto"/>
                      <w:highlight w:val="none"/>
                      <w:lang w:val="en-US" w:eastAsia="zh-CN"/>
                    </w:rPr>
                    <w:t>2-2</w:t>
                  </w:r>
                  <w:r>
                    <w:rPr>
                      <w:rFonts w:hint="eastAsia"/>
                      <w:color w:val="auto"/>
                      <w:highlight w:val="none"/>
                      <w:lang w:eastAsia="zh-CN"/>
                    </w:rPr>
                    <w:t>]</w:t>
                  </w:r>
                  <w:r>
                    <w:rPr>
                      <w:rFonts w:hint="eastAsia"/>
                      <w:color w:val="auto"/>
                      <w:highlight w:val="none"/>
                    </w:rPr>
                    <w:t>建设项目用地原则上不得占用永久基本农田，确需占用永久基本农田的建设项目须符合《基本农田保护条例》</w:t>
                  </w:r>
                  <w:r>
                    <w:rPr>
                      <w:rFonts w:hint="eastAsia"/>
                      <w:color w:val="auto"/>
                      <w:highlight w:val="none"/>
                      <w:lang w:eastAsia="zh-CN"/>
                    </w:rPr>
                    <w:t>中的</w:t>
                  </w:r>
                  <w:r>
                    <w:rPr>
                      <w:rFonts w:hint="eastAsia"/>
                      <w:color w:val="auto"/>
                      <w:highlight w:val="none"/>
                    </w:rPr>
                    <w:t>相关要求，占用耕地、林地或草地的建设项目须按照国家、自治区相关补偿要求进行补偿</w:t>
                  </w:r>
                  <w:r>
                    <w:rPr>
                      <w:rFonts w:hint="eastAsia"/>
                      <w:color w:val="auto"/>
                      <w:highlight w:val="none"/>
                      <w:lang w:eastAsia="zh-CN"/>
                    </w:rPr>
                    <w:t>。</w:t>
                  </w:r>
                </w:p>
              </w:tc>
              <w:tc>
                <w:tcPr>
                  <w:tcW w:w="1639"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项目选址在现有厂区内，不新增占地，且已办理土地手续（见附件4），不涉及永久基本农田</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rPr>
                  </w:pPr>
                </w:p>
              </w:tc>
              <w:tc>
                <w:tcPr>
                  <w:tcW w:w="35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A1.4其他布局要求</w:t>
                  </w:r>
                </w:p>
              </w:tc>
              <w:tc>
                <w:tcPr>
                  <w:tcW w:w="2421" w:type="pct"/>
                  <w:noWrap w:val="0"/>
                  <w:vAlign w:val="center"/>
                </w:tcPr>
                <w:p>
                  <w:pPr>
                    <w:pStyle w:val="34"/>
                    <w:bidi w:val="0"/>
                    <w:rPr>
                      <w:rFonts w:hint="eastAsia"/>
                      <w:color w:val="auto"/>
                      <w:highlight w:val="none"/>
                    </w:rPr>
                  </w:pPr>
                  <w:r>
                    <w:rPr>
                      <w:rFonts w:hint="eastAsia"/>
                      <w:color w:val="auto"/>
                      <w:highlight w:val="none"/>
                      <w:lang w:eastAsia="zh-CN"/>
                    </w:rPr>
                    <w:t>[</w:t>
                  </w:r>
                  <w:r>
                    <w:rPr>
                      <w:rFonts w:hint="eastAsia"/>
                      <w:color w:val="auto"/>
                      <w:highlight w:val="none"/>
                    </w:rPr>
                    <w:t>A1</w:t>
                  </w:r>
                  <w:r>
                    <w:rPr>
                      <w:rFonts w:hint="eastAsia"/>
                      <w:color w:val="auto"/>
                      <w:highlight w:val="none"/>
                      <w:lang w:val="en-US" w:eastAsia="zh-CN"/>
                    </w:rPr>
                    <w:t>.4-1</w:t>
                  </w:r>
                  <w:r>
                    <w:rPr>
                      <w:rFonts w:hint="eastAsia"/>
                      <w:color w:val="auto"/>
                      <w:highlight w:val="none"/>
                      <w:lang w:eastAsia="zh-CN"/>
                    </w:rPr>
                    <w:t>]</w:t>
                  </w:r>
                  <w:r>
                    <w:rPr>
                      <w:rFonts w:hint="eastAsia"/>
                      <w:color w:val="auto"/>
                      <w:highlight w:val="none"/>
                    </w:rPr>
                    <w:t>一切开发建设活动应符合国家、自治区主体功能区规划</w:t>
                  </w:r>
                  <w:r>
                    <w:rPr>
                      <w:rFonts w:hint="eastAsia"/>
                      <w:color w:val="auto"/>
                      <w:highlight w:val="none"/>
                      <w:lang w:eastAsia="zh-CN"/>
                    </w:rPr>
                    <w:t>、</w:t>
                  </w:r>
                  <w:r>
                    <w:rPr>
                      <w:rFonts w:hint="eastAsia"/>
                      <w:color w:val="auto"/>
                      <w:highlight w:val="none"/>
                    </w:rPr>
                    <w:t>自治区和各地颁布实施的生态环境功能区划、国民经济发展规划、产业发展规划、国土空间规划等相关规划及重点生态功能区负面清单要求，符合区域或产业规划环评要求。</w:t>
                  </w:r>
                </w:p>
              </w:tc>
              <w:tc>
                <w:tcPr>
                  <w:tcW w:w="1639" w:type="pct"/>
                  <w:noWrap w:val="0"/>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项目选址</w:t>
                  </w:r>
                  <w:r>
                    <w:rPr>
                      <w:rFonts w:hint="eastAsia"/>
                      <w:color w:val="auto"/>
                      <w:highlight w:val="none"/>
                    </w:rPr>
                    <w:t>符合</w:t>
                  </w:r>
                  <w:r>
                    <w:rPr>
                      <w:rFonts w:hint="eastAsia"/>
                      <w:color w:val="auto"/>
                      <w:highlight w:val="none"/>
                      <w:lang w:val="en-US" w:eastAsia="zh-CN"/>
                    </w:rPr>
                    <w:t>国土空间规划</w:t>
                  </w:r>
                  <w:r>
                    <w:rPr>
                      <w:rFonts w:hint="eastAsia"/>
                      <w:color w:val="auto"/>
                      <w:highlight w:val="none"/>
                    </w:rPr>
                    <w:t>要求</w:t>
                  </w:r>
                  <w:r>
                    <w:rPr>
                      <w:rFonts w:hint="eastAsia"/>
                      <w:color w:val="auto"/>
                      <w:highlight w:val="none"/>
                      <w:lang w:eastAsia="zh-CN"/>
                    </w:rPr>
                    <w:t>，</w:t>
                  </w:r>
                  <w:r>
                    <w:rPr>
                      <w:rFonts w:hint="eastAsia"/>
                      <w:color w:val="auto"/>
                      <w:highlight w:val="none"/>
                      <w:lang w:val="en-US" w:eastAsia="zh-CN"/>
                    </w:rPr>
                    <w:t>详见“1.4 库尔勒市国土空间总体规划（2021-2035年）符合性分析”章节</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restar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A2污染物排放管控</w:t>
                  </w:r>
                </w:p>
              </w:tc>
              <w:tc>
                <w:tcPr>
                  <w:tcW w:w="352" w:type="pct"/>
                  <w:vMerge w:val="restar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A2.1污染物削减/替代要求</w:t>
                  </w:r>
                </w:p>
              </w:tc>
              <w:tc>
                <w:tcPr>
                  <w:tcW w:w="2421" w:type="pct"/>
                  <w:noWrap w:val="0"/>
                  <w:vAlign w:val="center"/>
                </w:tcPr>
                <w:p>
                  <w:pPr>
                    <w:pStyle w:val="34"/>
                    <w:bidi w:val="0"/>
                    <w:rPr>
                      <w:rFonts w:hint="eastAsia"/>
                      <w:color w:val="auto"/>
                      <w:highlight w:val="none"/>
                    </w:rPr>
                  </w:pPr>
                  <w:r>
                    <w:rPr>
                      <w:rFonts w:hint="eastAsia"/>
                      <w:color w:val="auto"/>
                      <w:highlight w:val="none"/>
                      <w:lang w:eastAsia="zh-CN"/>
                    </w:rPr>
                    <w:t>[</w:t>
                  </w:r>
                  <w:r>
                    <w:rPr>
                      <w:rFonts w:hint="eastAsia"/>
                      <w:color w:val="auto"/>
                      <w:highlight w:val="none"/>
                    </w:rPr>
                    <w:t>A</w:t>
                  </w:r>
                  <w:r>
                    <w:rPr>
                      <w:rFonts w:hint="eastAsia"/>
                      <w:color w:val="auto"/>
                      <w:highlight w:val="none"/>
                      <w:lang w:val="en-US" w:eastAsia="zh-CN"/>
                    </w:rPr>
                    <w:t>2.1-3</w:t>
                  </w:r>
                  <w:r>
                    <w:rPr>
                      <w:rFonts w:hint="eastAsia"/>
                      <w:color w:val="auto"/>
                      <w:highlight w:val="none"/>
                      <w:lang w:eastAsia="zh-CN"/>
                    </w:rPr>
                    <w:t>]</w:t>
                  </w:r>
                  <w:r>
                    <w:rPr>
                      <w:rFonts w:hint="eastAsia"/>
                      <w:color w:val="auto"/>
                      <w:highlight w:val="none"/>
                    </w:rPr>
                    <w:t>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氮等温室气体。加强节约能源与大气污染防治协同有效衔接</w:t>
                  </w:r>
                  <w:r>
                    <w:rPr>
                      <w:rFonts w:hint="eastAsia"/>
                      <w:color w:val="auto"/>
                      <w:highlight w:val="none"/>
                      <w:lang w:eastAsia="zh-CN"/>
                    </w:rPr>
                    <w:t>，</w:t>
                  </w:r>
                  <w:r>
                    <w:rPr>
                      <w:rFonts w:hint="eastAsia"/>
                      <w:color w:val="auto"/>
                      <w:highlight w:val="none"/>
                    </w:rPr>
                    <w:t>促进大气污染防治协同增效</w:t>
                  </w:r>
                  <w:r>
                    <w:rPr>
                      <w:rFonts w:hint="eastAsia"/>
                      <w:color w:val="auto"/>
                      <w:highlight w:val="none"/>
                      <w:lang w:eastAsia="zh-CN"/>
                    </w:rPr>
                    <w:t>。</w:t>
                  </w:r>
                </w:p>
              </w:tc>
              <w:tc>
                <w:tcPr>
                  <w:tcW w:w="1639"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项目不涉及氢氟碳化物、甲烷、氧化亚氮等温室气体的排放；项目无生产废水，新增生活污水排入化粪池，定期委托库尔勒龙润处理有限公司定期拉运至库尔勒市南市区污水处理厂处理；各类固体废物均妥善处置</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rPr>
                  </w:pPr>
                </w:p>
              </w:tc>
              <w:tc>
                <w:tcPr>
                  <w:tcW w:w="352" w:type="pct"/>
                  <w:vMerge w:val="continue"/>
                  <w:noWrap w:val="0"/>
                  <w:vAlign w:val="center"/>
                </w:tcPr>
                <w:p>
                  <w:pPr>
                    <w:pStyle w:val="57"/>
                    <w:bidi w:val="0"/>
                    <w:rPr>
                      <w:rFonts w:hint="eastAsia"/>
                      <w:color w:val="auto"/>
                      <w:highlight w:val="none"/>
                    </w:rPr>
                  </w:pPr>
                </w:p>
              </w:tc>
              <w:tc>
                <w:tcPr>
                  <w:tcW w:w="2421" w:type="pct"/>
                  <w:noWrap w:val="0"/>
                  <w:vAlign w:val="center"/>
                </w:tcPr>
                <w:p>
                  <w:pPr>
                    <w:pStyle w:val="34"/>
                    <w:bidi w:val="0"/>
                    <w:rPr>
                      <w:rFonts w:hint="eastAsia"/>
                      <w:color w:val="auto"/>
                      <w:highlight w:val="none"/>
                      <w:lang w:eastAsia="zh-CN"/>
                    </w:rPr>
                  </w:pPr>
                  <w:r>
                    <w:rPr>
                      <w:rFonts w:hint="eastAsia"/>
                      <w:color w:val="auto"/>
                      <w:highlight w:val="none"/>
                      <w:lang w:eastAsia="zh-CN"/>
                    </w:rPr>
                    <w:t>[</w:t>
                  </w:r>
                  <w:r>
                    <w:rPr>
                      <w:rFonts w:hint="eastAsia"/>
                      <w:color w:val="auto"/>
                      <w:highlight w:val="none"/>
                    </w:rPr>
                    <w:t>A</w:t>
                  </w:r>
                  <w:r>
                    <w:rPr>
                      <w:rFonts w:hint="eastAsia"/>
                      <w:color w:val="auto"/>
                      <w:highlight w:val="none"/>
                      <w:lang w:val="en-US" w:eastAsia="zh-CN"/>
                    </w:rPr>
                    <w:t>2.1-4</w:t>
                  </w:r>
                  <w:r>
                    <w:rPr>
                      <w:rFonts w:hint="eastAsia"/>
                      <w:color w:val="auto"/>
                      <w:highlight w:val="none"/>
                      <w:lang w:eastAsia="zh-CN"/>
                    </w:rPr>
                    <w:t>]</w:t>
                  </w:r>
                  <w:r>
                    <w:rPr>
                      <w:rFonts w:hint="eastAsia"/>
                      <w:color w:val="auto"/>
                      <w:highlight w:val="none"/>
                    </w:rPr>
                    <w:t>严控建材、铸造、冶炼等行业无组织排放，推进石化、化工、涂装、医药、包装印刷、油品储运销等行业项目挥发性有机物(</w:t>
                  </w:r>
                  <w:r>
                    <w:rPr>
                      <w:rFonts w:hint="eastAsia"/>
                      <w:color w:val="auto"/>
                      <w:highlight w:val="none"/>
                      <w:lang w:eastAsia="zh-CN"/>
                    </w:rPr>
                    <w:t>VOCs</w:t>
                  </w:r>
                  <w:r>
                    <w:rPr>
                      <w:rFonts w:hint="eastAsia"/>
                      <w:color w:val="auto"/>
                      <w:highlight w:val="none"/>
                    </w:rPr>
                    <w:t>)防治。严格有色金属冶炼、石油加工、化工、焦化等行业项目的土壤、地下水污染防治措施要求。推进工业园区和企业集群建设涉V</w:t>
                  </w:r>
                  <w:r>
                    <w:rPr>
                      <w:rFonts w:hint="eastAsia"/>
                      <w:color w:val="auto"/>
                      <w:highlight w:val="none"/>
                      <w:lang w:val="en-US" w:eastAsia="zh-CN"/>
                    </w:rPr>
                    <w:t>O</w:t>
                  </w:r>
                  <w:r>
                    <w:rPr>
                      <w:rFonts w:hint="eastAsia"/>
                      <w:color w:val="auto"/>
                      <w:highlight w:val="none"/>
                    </w:rPr>
                    <w:t>Cs“绿岛”项目，统筹规划建设一批集中涂装中心、活性炭集中处理中心、溶剂回收中心等，实现</w:t>
                  </w:r>
                  <w:r>
                    <w:rPr>
                      <w:rFonts w:hint="eastAsia"/>
                      <w:color w:val="auto"/>
                      <w:highlight w:val="none"/>
                      <w:lang w:eastAsia="zh-CN"/>
                    </w:rPr>
                    <w:t>VOCs</w:t>
                  </w:r>
                  <w:r>
                    <w:rPr>
                      <w:rFonts w:hint="eastAsia"/>
                      <w:color w:val="auto"/>
                      <w:highlight w:val="none"/>
                    </w:rPr>
                    <w:t>集中高效处理</w:t>
                  </w:r>
                  <w:r>
                    <w:rPr>
                      <w:rFonts w:hint="eastAsia"/>
                      <w:color w:val="auto"/>
                      <w:highlight w:val="none"/>
                      <w:lang w:eastAsia="zh-CN"/>
                    </w:rPr>
                    <w:t>。</w:t>
                  </w:r>
                </w:p>
              </w:tc>
              <w:tc>
                <w:tcPr>
                  <w:tcW w:w="1639"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项目从原料到成品均采用密闭流程，原料进入原料仓、成品进入成品仓，以减少无组织颗粒物排放</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rPr>
                  </w:pPr>
                </w:p>
              </w:tc>
              <w:tc>
                <w:tcPr>
                  <w:tcW w:w="35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A2.2污染控制措施要求</w:t>
                  </w:r>
                </w:p>
              </w:tc>
              <w:tc>
                <w:tcPr>
                  <w:tcW w:w="2421" w:type="pct"/>
                  <w:shd w:val="clear" w:color="auto" w:fill="auto"/>
                  <w:noWrap w:val="0"/>
                  <w:vAlign w:val="center"/>
                </w:tcPr>
                <w:p>
                  <w:pPr>
                    <w:pStyle w:val="34"/>
                    <w:bidi w:val="0"/>
                    <w:rPr>
                      <w:rFonts w:hint="eastAsia"/>
                      <w:color w:val="auto"/>
                      <w:highlight w:val="none"/>
                      <w:lang w:eastAsia="zh-CN"/>
                    </w:rPr>
                  </w:pPr>
                  <w:r>
                    <w:rPr>
                      <w:rFonts w:hint="eastAsia"/>
                      <w:color w:val="auto"/>
                      <w:highlight w:val="none"/>
                      <w:lang w:eastAsia="zh-CN"/>
                    </w:rPr>
                    <w:t>[</w:t>
                  </w:r>
                  <w:r>
                    <w:rPr>
                      <w:rFonts w:hint="eastAsia"/>
                      <w:color w:val="auto"/>
                      <w:highlight w:val="none"/>
                    </w:rPr>
                    <w:t>A</w:t>
                  </w:r>
                  <w:r>
                    <w:rPr>
                      <w:rFonts w:hint="eastAsia"/>
                      <w:color w:val="auto"/>
                      <w:highlight w:val="none"/>
                      <w:lang w:val="en-US" w:eastAsia="zh-CN"/>
                    </w:rPr>
                    <w:t>2.2-3</w:t>
                  </w:r>
                  <w:r>
                    <w:rPr>
                      <w:rFonts w:hint="eastAsia"/>
                      <w:color w:val="auto"/>
                      <w:highlight w:val="none"/>
                      <w:lang w:eastAsia="zh-CN"/>
                    </w:rPr>
                    <w:t>]</w:t>
                  </w:r>
                  <w:r>
                    <w:rPr>
                      <w:rFonts w:hint="eastAsia"/>
                      <w:color w:val="auto"/>
                      <w:highlight w:val="none"/>
                    </w:rPr>
                    <w:t>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公转铁”)、柴油货车治理、锅炉</w:t>
                  </w:r>
                  <w:r>
                    <w:rPr>
                      <w:rFonts w:hint="eastAsia"/>
                      <w:color w:val="auto"/>
                      <w:highlight w:val="none"/>
                      <w:lang w:val="en-US" w:eastAsia="zh-CN"/>
                    </w:rPr>
                    <w:t>炉窑</w:t>
                  </w:r>
                  <w:r>
                    <w:rPr>
                      <w:rFonts w:hint="eastAsia"/>
                      <w:color w:val="auto"/>
                      <w:highlight w:val="none"/>
                    </w:rPr>
                    <w:t>综合治理等工程项目。全面推行绿色施工，持续推动城市建成区重污染企业搬迁或关闭退出。</w:t>
                  </w:r>
                </w:p>
              </w:tc>
              <w:tc>
                <w:tcPr>
                  <w:tcW w:w="1639" w:type="pct"/>
                  <w:shd w:val="clear" w:color="auto" w:fill="auto"/>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项目生产设施主要为电磁回转窑，原料进入原料仓、成品进入成品仓，窑头落料端干燥器废气通过双筒预热器给原料预热后，经过“旋风除尘器+布袋除尘器”处理，由15m排气筒达标排放</w:t>
                  </w:r>
                </w:p>
              </w:tc>
              <w:tc>
                <w:tcPr>
                  <w:tcW w:w="312" w:type="pct"/>
                  <w:shd w:val="clear" w:color="auto" w:fill="auto"/>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restar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A4</w:t>
                  </w:r>
                </w:p>
              </w:tc>
              <w:tc>
                <w:tcPr>
                  <w:tcW w:w="35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A4.1水资源</w:t>
                  </w:r>
                </w:p>
              </w:tc>
              <w:tc>
                <w:tcPr>
                  <w:tcW w:w="2421" w:type="pct"/>
                  <w:noWrap w:val="0"/>
                  <w:vAlign w:val="center"/>
                </w:tcPr>
                <w:p>
                  <w:pPr>
                    <w:pStyle w:val="34"/>
                    <w:bidi w:val="0"/>
                    <w:rPr>
                      <w:rFonts w:hint="eastAsia"/>
                      <w:color w:val="auto"/>
                      <w:highlight w:val="none"/>
                    </w:rPr>
                  </w:pPr>
                  <w:r>
                    <w:rPr>
                      <w:rFonts w:hint="eastAsia"/>
                      <w:color w:val="auto"/>
                      <w:highlight w:val="none"/>
                      <w:lang w:eastAsia="zh-CN"/>
                    </w:rPr>
                    <w:t>[</w:t>
                  </w:r>
                  <w:r>
                    <w:rPr>
                      <w:rFonts w:hint="eastAsia"/>
                      <w:color w:val="auto"/>
                      <w:highlight w:val="none"/>
                    </w:rPr>
                    <w:t>A</w:t>
                  </w:r>
                  <w:r>
                    <w:rPr>
                      <w:rFonts w:hint="eastAsia"/>
                      <w:color w:val="auto"/>
                      <w:highlight w:val="none"/>
                      <w:lang w:val="en-US" w:eastAsia="zh-CN"/>
                    </w:rPr>
                    <w:t>4.1-1</w:t>
                  </w:r>
                  <w:r>
                    <w:rPr>
                      <w:rFonts w:hint="eastAsia"/>
                      <w:color w:val="auto"/>
                      <w:highlight w:val="none"/>
                      <w:lang w:eastAsia="zh-CN"/>
                    </w:rPr>
                    <w:t>]</w:t>
                  </w:r>
                  <w:r>
                    <w:rPr>
                      <w:rFonts w:hint="eastAsia"/>
                      <w:color w:val="auto"/>
                      <w:highlight w:val="none"/>
                    </w:rPr>
                    <w:t>自治区用水总量2025年、2030年控制在国家下达的指标内。</w:t>
                  </w:r>
                </w:p>
              </w:tc>
              <w:tc>
                <w:tcPr>
                  <w:tcW w:w="1639"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项目不涉及生产用水</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rPr>
                  </w:pPr>
                </w:p>
              </w:tc>
              <w:tc>
                <w:tcPr>
                  <w:tcW w:w="35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A4.2土地资源</w:t>
                  </w:r>
                </w:p>
              </w:tc>
              <w:tc>
                <w:tcPr>
                  <w:tcW w:w="2421" w:type="pct"/>
                  <w:noWrap w:val="0"/>
                  <w:vAlign w:val="center"/>
                </w:tcPr>
                <w:p>
                  <w:pPr>
                    <w:pStyle w:val="34"/>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rPr>
                    <w:t>A</w:t>
                  </w:r>
                  <w:r>
                    <w:rPr>
                      <w:rFonts w:hint="eastAsia"/>
                      <w:color w:val="auto"/>
                      <w:highlight w:val="none"/>
                      <w:lang w:val="en-US" w:eastAsia="zh-CN"/>
                    </w:rPr>
                    <w:t>4.2-1</w:t>
                  </w:r>
                  <w:r>
                    <w:rPr>
                      <w:rFonts w:hint="eastAsia"/>
                      <w:color w:val="auto"/>
                      <w:highlight w:val="none"/>
                      <w:lang w:eastAsia="zh-CN"/>
                    </w:rPr>
                    <w:t>]</w:t>
                  </w:r>
                  <w:r>
                    <w:rPr>
                      <w:rFonts w:hint="eastAsia"/>
                      <w:color w:val="auto"/>
                      <w:highlight w:val="none"/>
                      <w:lang w:val="en-US" w:eastAsia="zh-CN"/>
                    </w:rPr>
                    <w:t>土地资源上限指标控制在最终批复的国土空间规划控制指标内。</w:t>
                  </w:r>
                </w:p>
              </w:tc>
              <w:tc>
                <w:tcPr>
                  <w:tcW w:w="1639"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项目位于现有厂区内，且已按照相关要求办理土地手续，见附件4</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lang w:val="en-US" w:eastAsia="zh-CN"/>
                    </w:rPr>
                  </w:pPr>
                </w:p>
              </w:tc>
              <w:tc>
                <w:tcPr>
                  <w:tcW w:w="35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A4.3能源利用</w:t>
                  </w:r>
                </w:p>
              </w:tc>
              <w:tc>
                <w:tcPr>
                  <w:tcW w:w="2421" w:type="pct"/>
                  <w:noWrap w:val="0"/>
                  <w:vAlign w:val="center"/>
                </w:tcPr>
                <w:p>
                  <w:pPr>
                    <w:pStyle w:val="34"/>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rPr>
                    <w:t>A</w:t>
                  </w:r>
                  <w:r>
                    <w:rPr>
                      <w:rFonts w:hint="eastAsia"/>
                      <w:color w:val="auto"/>
                      <w:highlight w:val="none"/>
                      <w:lang w:val="en-US" w:eastAsia="zh-CN"/>
                    </w:rPr>
                    <w:t>4.3-4</w:t>
                  </w:r>
                  <w:r>
                    <w:rPr>
                      <w:rFonts w:hint="eastAsia"/>
                      <w:color w:val="auto"/>
                      <w:highlight w:val="none"/>
                      <w:lang w:eastAsia="zh-CN"/>
                    </w:rPr>
                    <w:t>]</w:t>
                  </w:r>
                  <w:r>
                    <w:rPr>
                      <w:rFonts w:hint="eastAsia"/>
                      <w:color w:val="auto"/>
                      <w:highlight w:val="none"/>
                    </w:rPr>
                    <w:t>鼓励使用清洁能源或电厂热力、工业余热等替代锅炉</w:t>
                  </w:r>
                  <w:r>
                    <w:rPr>
                      <w:rFonts w:hint="eastAsia"/>
                      <w:color w:val="auto"/>
                      <w:highlight w:val="none"/>
                      <w:lang w:val="en-US" w:eastAsia="zh-CN"/>
                    </w:rPr>
                    <w:t>炉窑</w:t>
                  </w:r>
                  <w:r>
                    <w:rPr>
                      <w:rFonts w:hint="eastAsia"/>
                      <w:color w:val="auto"/>
                      <w:highlight w:val="none"/>
                    </w:rPr>
                    <w:t>燃料用煤。</w:t>
                  </w:r>
                </w:p>
              </w:tc>
              <w:tc>
                <w:tcPr>
                  <w:tcW w:w="1639"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项目采用库尔勒市电网供电</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lang w:val="en-US" w:eastAsia="zh-CN"/>
                    </w:rPr>
                  </w:pPr>
                </w:p>
              </w:tc>
              <w:tc>
                <w:tcPr>
                  <w:tcW w:w="35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A4.4禁燃区要求</w:t>
                  </w:r>
                </w:p>
              </w:tc>
              <w:tc>
                <w:tcPr>
                  <w:tcW w:w="2421" w:type="pct"/>
                  <w:noWrap w:val="0"/>
                  <w:vAlign w:val="center"/>
                </w:tcPr>
                <w:p>
                  <w:pPr>
                    <w:pStyle w:val="34"/>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rPr>
                    <w:t>A</w:t>
                  </w:r>
                  <w:r>
                    <w:rPr>
                      <w:rFonts w:hint="eastAsia"/>
                      <w:color w:val="auto"/>
                      <w:highlight w:val="none"/>
                      <w:lang w:val="en-US" w:eastAsia="zh-CN"/>
                    </w:rPr>
                    <w:t>4.4-1</w:t>
                  </w:r>
                  <w:r>
                    <w:rPr>
                      <w:rFonts w:hint="eastAsia"/>
                      <w:color w:val="auto"/>
                      <w:highlight w:val="none"/>
                      <w:lang w:eastAsia="zh-CN"/>
                    </w:rPr>
                    <w:t>]</w:t>
                  </w:r>
                  <w:r>
                    <w:rPr>
                      <w:rFonts w:hint="eastAsia"/>
                      <w:color w:val="auto"/>
                      <w:highlight w:val="none"/>
                      <w:lang w:val="en-US" w:eastAsia="zh-CN"/>
                    </w:rPr>
                    <w:t>在禁燃区内，禁止销售、燃用高污染燃料；禁止新建、扩建燃用高污染燃料的设施。已建成的，应当在规定期限内改用清洁能源。</w:t>
                  </w:r>
                </w:p>
              </w:tc>
              <w:tc>
                <w:tcPr>
                  <w:tcW w:w="1639" w:type="pct"/>
                  <w:noWrap w:val="0"/>
                  <w:vAlign w:val="center"/>
                </w:tcPr>
                <w:p>
                  <w:pPr>
                    <w:pStyle w:val="34"/>
                    <w:bidi w:val="0"/>
                    <w:rPr>
                      <w:rFonts w:hint="eastAsia"/>
                      <w:color w:val="auto"/>
                      <w:highlight w:val="none"/>
                      <w:lang w:val="en-US" w:eastAsia="zh-CN"/>
                    </w:rPr>
                  </w:pPr>
                  <w:r>
                    <w:rPr>
                      <w:rFonts w:hint="eastAsia"/>
                      <w:color w:val="auto"/>
                      <w:highlight w:val="none"/>
                      <w:lang w:eastAsia="zh-CN"/>
                    </w:rPr>
                    <w:t>项目</w:t>
                  </w:r>
                  <w:r>
                    <w:rPr>
                      <w:rFonts w:hint="eastAsia"/>
                      <w:color w:val="auto"/>
                      <w:highlight w:val="none"/>
                      <w:lang w:val="en-US" w:eastAsia="zh-CN"/>
                    </w:rPr>
                    <w:t>采用电磁回转窑，不涉及高污染燃料</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3" w:type="pct"/>
                  <w:vMerge w:val="continue"/>
                  <w:noWrap w:val="0"/>
                  <w:vAlign w:val="center"/>
                </w:tcPr>
                <w:p>
                  <w:pPr>
                    <w:pStyle w:val="57"/>
                    <w:bidi w:val="0"/>
                    <w:rPr>
                      <w:rFonts w:hint="eastAsia"/>
                      <w:color w:val="auto"/>
                      <w:highlight w:val="none"/>
                      <w:lang w:val="en-US" w:eastAsia="zh-CN"/>
                    </w:rPr>
                  </w:pPr>
                </w:p>
              </w:tc>
              <w:tc>
                <w:tcPr>
                  <w:tcW w:w="35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A4.5资源综合利用</w:t>
                  </w:r>
                </w:p>
              </w:tc>
              <w:tc>
                <w:tcPr>
                  <w:tcW w:w="2421" w:type="pct"/>
                  <w:noWrap w:val="0"/>
                  <w:vAlign w:val="center"/>
                </w:tcPr>
                <w:p>
                  <w:pPr>
                    <w:pStyle w:val="34"/>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rPr>
                    <w:t>A</w:t>
                  </w:r>
                  <w:r>
                    <w:rPr>
                      <w:rFonts w:hint="eastAsia"/>
                      <w:color w:val="auto"/>
                      <w:highlight w:val="none"/>
                      <w:lang w:val="en-US" w:eastAsia="zh-CN"/>
                    </w:rPr>
                    <w:t>4.5-1</w:t>
                  </w:r>
                  <w:r>
                    <w:rPr>
                      <w:rFonts w:hint="eastAsia"/>
                      <w:color w:val="auto"/>
                      <w:highlight w:val="none"/>
                      <w:lang w:eastAsia="zh-CN"/>
                    </w:rPr>
                    <w:t>]</w:t>
                  </w:r>
                  <w:r>
                    <w:rPr>
                      <w:rFonts w:hint="eastAsia"/>
                      <w:color w:val="auto"/>
                      <w:highlight w:val="none"/>
                    </w:rPr>
                    <w:t>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w:t>
                  </w:r>
                  <w:r>
                    <w:rPr>
                      <w:rFonts w:hint="eastAsia"/>
                      <w:color w:val="auto"/>
                      <w:highlight w:val="none"/>
                      <w:lang w:val="en-US" w:eastAsia="zh-CN"/>
                    </w:rPr>
                    <w:t>消费</w:t>
                  </w:r>
                  <w:r>
                    <w:rPr>
                      <w:rFonts w:hint="eastAsia"/>
                      <w:color w:val="auto"/>
                      <w:highlight w:val="none"/>
                    </w:rPr>
                    <w:t>电子等耐用消费品回收处理体系，推行生产企业“逆向回收”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639"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项目利用固废（电石渣、粉煤灰、脱硫石膏）生产钙基产品，有利于固体废物资源化；生活垃圾分类收集后交由环卫部门统一处置</w:t>
                  </w:r>
                </w:p>
              </w:tc>
              <w:tc>
                <w:tcPr>
                  <w:tcW w:w="312"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bl>
          <w:p>
            <w:pPr>
              <w:pStyle w:val="36"/>
              <w:bidi w:val="0"/>
              <w:rPr>
                <w:rFonts w:hint="eastAsia"/>
                <w:color w:val="auto"/>
                <w:highlight w:val="none"/>
              </w:rPr>
            </w:pPr>
            <w:r>
              <w:rPr>
                <w:rFonts w:hint="eastAsia"/>
                <w:color w:val="auto"/>
                <w:highlight w:val="none"/>
              </w:rPr>
              <w:t>表</w:t>
            </w:r>
            <w:r>
              <w:rPr>
                <w:rFonts w:hint="eastAsia"/>
                <w:color w:val="auto"/>
                <w:highlight w:val="none"/>
                <w:lang w:val="en-US" w:eastAsia="zh-CN"/>
              </w:rPr>
              <w:t>1.2-2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本项目与巴音郭楞蒙古自治州总体管控要求符合性分析一览表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5"/>
              <w:gridCol w:w="4877"/>
              <w:gridCol w:w="2091"/>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49" w:type="pct"/>
                  <w:gridSpan w:val="2"/>
                  <w:noWrap w:val="0"/>
                  <w:vAlign w:val="center"/>
                </w:tcPr>
                <w:p>
                  <w:pPr>
                    <w:pStyle w:val="57"/>
                    <w:bidi w:val="0"/>
                    <w:rPr>
                      <w:rFonts w:hint="eastAsia"/>
                      <w:color w:val="auto"/>
                      <w:highlight w:val="none"/>
                    </w:rPr>
                  </w:pPr>
                  <w:r>
                    <w:rPr>
                      <w:rFonts w:hint="eastAsia"/>
                      <w:color w:val="auto"/>
                      <w:highlight w:val="none"/>
                      <w:lang w:val="en-US" w:eastAsia="zh-CN"/>
                    </w:rPr>
                    <w:t>巴音郭楞蒙古自治州总体管控要求</w:t>
                  </w:r>
                </w:p>
              </w:tc>
              <w:tc>
                <w:tcPr>
                  <w:tcW w:w="1298"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本项目</w:t>
                  </w:r>
                </w:p>
              </w:tc>
              <w:tc>
                <w:tcPr>
                  <w:tcW w:w="351"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9" w:type="pct"/>
                  <w:vMerge w:val="restart"/>
                  <w:noWrap w:val="0"/>
                  <w:vAlign w:val="center"/>
                </w:tcPr>
                <w:p>
                  <w:pPr>
                    <w:pStyle w:val="57"/>
                    <w:bidi w:val="0"/>
                    <w:rPr>
                      <w:rFonts w:hint="eastAsia"/>
                      <w:color w:val="auto"/>
                      <w:highlight w:val="none"/>
                    </w:rPr>
                  </w:pPr>
                  <w:r>
                    <w:rPr>
                      <w:rFonts w:hint="eastAsia"/>
                      <w:color w:val="auto"/>
                      <w:highlight w:val="none"/>
                    </w:rPr>
                    <w:t>空间布局约束</w:t>
                  </w:r>
                </w:p>
              </w:tc>
              <w:tc>
                <w:tcPr>
                  <w:tcW w:w="3030" w:type="pct"/>
                  <w:shd w:val="clear" w:color="auto" w:fill="auto"/>
                  <w:noWrap w:val="0"/>
                  <w:vAlign w:val="center"/>
                </w:tcPr>
                <w:p>
                  <w:pPr>
                    <w:pStyle w:val="34"/>
                    <w:bidi w:val="0"/>
                    <w:rPr>
                      <w:rFonts w:hint="eastAsia"/>
                      <w:color w:val="auto"/>
                      <w:highlight w:val="none"/>
                    </w:rPr>
                  </w:pPr>
                  <w:r>
                    <w:rPr>
                      <w:rFonts w:hint="eastAsia"/>
                      <w:color w:val="auto"/>
                      <w:highlight w:val="none"/>
                    </w:rPr>
                    <w:t>1.4 禁止在自治州行政区域内引进能（水）耗不符合相关国家标准中准入值要求，且污染物排放和环境风险防控不符合国家（地方）标准及有关产业准入条件的高污染（排放）、高能（水）耗、高环境风险的工业项目。</w:t>
                  </w:r>
                </w:p>
              </w:tc>
              <w:tc>
                <w:tcPr>
                  <w:tcW w:w="1298" w:type="pct"/>
                  <w:shd w:val="clear" w:color="auto" w:fill="auto"/>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项目属于固体废物综合利用，属于《产业结构调整指导目录（2024年本）》鼓励类项目</w:t>
                  </w:r>
                </w:p>
              </w:tc>
              <w:tc>
                <w:tcPr>
                  <w:tcW w:w="351" w:type="pct"/>
                  <w:shd w:val="clear" w:color="auto" w:fill="auto"/>
                  <w:noWrap w:val="0"/>
                  <w:vAlign w:val="center"/>
                </w:tcPr>
                <w:p>
                  <w:pPr>
                    <w:pStyle w:val="57"/>
                    <w:bidi w:val="0"/>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9" w:type="pct"/>
                  <w:vMerge w:val="continue"/>
                  <w:noWrap w:val="0"/>
                  <w:vAlign w:val="center"/>
                </w:tcPr>
                <w:p>
                  <w:pPr>
                    <w:pStyle w:val="57"/>
                    <w:bidi w:val="0"/>
                    <w:rPr>
                      <w:rFonts w:hint="eastAsia"/>
                      <w:color w:val="auto"/>
                      <w:highlight w:val="none"/>
                    </w:rPr>
                  </w:pPr>
                </w:p>
              </w:tc>
              <w:tc>
                <w:tcPr>
                  <w:tcW w:w="3030" w:type="pct"/>
                  <w:noWrap w:val="0"/>
                  <w:vAlign w:val="center"/>
                </w:tcPr>
                <w:p>
                  <w:pPr>
                    <w:pStyle w:val="34"/>
                    <w:bidi w:val="0"/>
                    <w:rPr>
                      <w:rFonts w:hint="eastAsia"/>
                      <w:color w:val="auto"/>
                      <w:highlight w:val="none"/>
                    </w:rPr>
                  </w:pPr>
                  <w:r>
                    <w:rPr>
                      <w:rFonts w:hint="eastAsia"/>
                      <w:color w:val="auto"/>
                      <w:highlight w:val="none"/>
                    </w:rPr>
                    <w:t>1.5 禁止新建、改建、扩建严重污染大气环境的项目。工业和信息化主管部门应当会同发展和改革、生态环境等部门，根据巴州生态环境局提供的大气监测数据制定工业产业转型升级行动计划和严重污染大气项目退出计划，报本级人民政府批准后向社会公布。对城市建成区大气环境质量造成明显影响的项目，自治州、各县（市）人民政府规定期限内未达到治理要求的项目，应当停产、限期搬迁或者关闭。</w:t>
                  </w:r>
                </w:p>
              </w:tc>
              <w:tc>
                <w:tcPr>
                  <w:tcW w:w="1298"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项目生产设施主要为电磁回转窑，窑头落料端干燥器废气通过双筒预热器给原料预热后，经过“旋风除尘器+布袋除尘器”处理，由15m排气筒达标排放，原料和成品贮存在全密闭式筒仓内</w:t>
                  </w:r>
                </w:p>
              </w:tc>
              <w:tc>
                <w:tcPr>
                  <w:tcW w:w="351"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9" w:type="pct"/>
                  <w:noWrap w:val="0"/>
                  <w:vAlign w:val="center"/>
                </w:tcPr>
                <w:p>
                  <w:pPr>
                    <w:pStyle w:val="57"/>
                    <w:bidi w:val="0"/>
                    <w:rPr>
                      <w:rFonts w:hint="eastAsia"/>
                      <w:color w:val="auto"/>
                      <w:highlight w:val="none"/>
                    </w:rPr>
                  </w:pPr>
                  <w:r>
                    <w:rPr>
                      <w:rFonts w:hint="eastAsia"/>
                      <w:color w:val="auto"/>
                      <w:highlight w:val="none"/>
                      <w:lang w:val="en-US" w:eastAsia="zh-CN"/>
                    </w:rPr>
                    <w:t>污染排放管控</w:t>
                  </w:r>
                </w:p>
              </w:tc>
              <w:tc>
                <w:tcPr>
                  <w:tcW w:w="3030" w:type="pct"/>
                  <w:shd w:val="clear" w:color="auto" w:fill="auto"/>
                  <w:noWrap w:val="0"/>
                  <w:vAlign w:val="center"/>
                </w:tcPr>
                <w:p>
                  <w:pPr>
                    <w:pStyle w:val="34"/>
                    <w:bidi w:val="0"/>
                    <w:rPr>
                      <w:rFonts w:hint="eastAsia"/>
                      <w:color w:val="auto"/>
                      <w:highlight w:val="none"/>
                    </w:rPr>
                  </w:pPr>
                  <w:r>
                    <w:rPr>
                      <w:rFonts w:hint="eastAsia"/>
                      <w:color w:val="auto"/>
                      <w:highlight w:val="none"/>
                    </w:rPr>
                    <w:t>2.3 钢铁、建材、有色金属、石油、化工等企业生产过程中排放粉尘、硫化物和氮氧化物的，应当采用清洁生产工艺，配套建设除尘、脱硫、脱硝等装置，或者采取技术改造等其他控制大气污染物排放的措施。</w:t>
                  </w:r>
                </w:p>
              </w:tc>
              <w:tc>
                <w:tcPr>
                  <w:tcW w:w="1298" w:type="pct"/>
                  <w:shd w:val="clear" w:color="auto" w:fill="auto"/>
                  <w:noWrap w:val="0"/>
                  <w:vAlign w:val="center"/>
                </w:tcPr>
                <w:p>
                  <w:pPr>
                    <w:pStyle w:val="34"/>
                    <w:bidi w:val="0"/>
                    <w:rPr>
                      <w:rFonts w:hint="eastAsia"/>
                      <w:color w:val="auto"/>
                      <w:highlight w:val="none"/>
                      <w:lang w:val="en-US" w:eastAsia="zh-CN"/>
                    </w:rPr>
                  </w:pPr>
                  <w:r>
                    <w:rPr>
                      <w:rFonts w:hint="eastAsia"/>
                      <w:color w:val="auto"/>
                      <w:highlight w:val="none"/>
                      <w:lang w:val="en-US" w:eastAsia="zh-CN"/>
                    </w:rPr>
                    <w:t>项目生产设施主要为电磁回转窑，原料进入原料仓、成品进入成品仓，窑头落料端干燥器废气通过双筒预热器给原料预热后，经过“旋风除尘器+布袋除尘器”处理，由15m排气筒达标排放</w:t>
                  </w:r>
                </w:p>
              </w:tc>
              <w:tc>
                <w:tcPr>
                  <w:tcW w:w="351" w:type="pct"/>
                  <w:shd w:val="clear" w:color="auto" w:fill="auto"/>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9" w:type="pct"/>
                  <w:noWrap w:val="0"/>
                  <w:vAlign w:val="center"/>
                </w:tcPr>
                <w:p>
                  <w:pPr>
                    <w:pStyle w:val="57"/>
                    <w:bidi w:val="0"/>
                    <w:rPr>
                      <w:rFonts w:hint="eastAsia"/>
                      <w:color w:val="auto"/>
                      <w:highlight w:val="none"/>
                    </w:rPr>
                  </w:pPr>
                  <w:r>
                    <w:rPr>
                      <w:rFonts w:hint="eastAsia"/>
                      <w:color w:val="auto"/>
                      <w:highlight w:val="none"/>
                      <w:lang w:val="en-US" w:eastAsia="zh-CN"/>
                    </w:rPr>
                    <w:t>环境风险防控</w:t>
                  </w:r>
                </w:p>
              </w:tc>
              <w:tc>
                <w:tcPr>
                  <w:tcW w:w="3030" w:type="pct"/>
                  <w:shd w:val="clear" w:color="auto" w:fill="auto"/>
                  <w:noWrap w:val="0"/>
                  <w:vAlign w:val="center"/>
                </w:tcPr>
                <w:p>
                  <w:pPr>
                    <w:pStyle w:val="34"/>
                    <w:bidi w:val="0"/>
                    <w:rPr>
                      <w:rFonts w:hint="eastAsia"/>
                      <w:color w:val="auto"/>
                      <w:highlight w:val="none"/>
                      <w:lang w:val="en-US" w:eastAsia="zh-CN"/>
                    </w:rPr>
                  </w:pPr>
                  <w:r>
                    <w:rPr>
                      <w:rFonts w:hint="eastAsia"/>
                      <w:color w:val="auto"/>
                      <w:highlight w:val="none"/>
                    </w:rPr>
                    <w:t>3.4 自治州、各县（市）人民政府应当根据重污染天气的预警等级，及时启动重污染天气应急预案，并采取与预警等级对应的响应措施，相关单位和个人应当配合。</w:t>
                  </w:r>
                </w:p>
              </w:tc>
              <w:tc>
                <w:tcPr>
                  <w:tcW w:w="1298" w:type="pct"/>
                  <w:shd w:val="clear" w:color="auto" w:fill="auto"/>
                  <w:noWrap w:val="0"/>
                  <w:vAlign w:val="center"/>
                </w:tcPr>
                <w:p>
                  <w:pPr>
                    <w:pStyle w:val="34"/>
                    <w:bidi w:val="0"/>
                    <w:rPr>
                      <w:rFonts w:hint="default"/>
                      <w:color w:val="auto"/>
                      <w:highlight w:val="none"/>
                      <w:lang w:val="en-US" w:eastAsia="zh-CN"/>
                    </w:rPr>
                  </w:pPr>
                  <w:r>
                    <w:rPr>
                      <w:rFonts w:hint="eastAsia"/>
                      <w:color w:val="auto"/>
                      <w:highlight w:val="none"/>
                      <w:lang w:val="en-US" w:eastAsia="zh-CN"/>
                    </w:rPr>
                    <w:t>本次评价要求企业在施工期和运营期，应及时配合当地人民政府重污染天气相关要求</w:t>
                  </w:r>
                </w:p>
              </w:tc>
              <w:tc>
                <w:tcPr>
                  <w:tcW w:w="351" w:type="pct"/>
                  <w:shd w:val="clear" w:color="auto" w:fill="auto"/>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9" w:type="pct"/>
                  <w:vMerge w:val="restar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资源利用效率</w:t>
                  </w:r>
                </w:p>
              </w:tc>
              <w:tc>
                <w:tcPr>
                  <w:tcW w:w="3030" w:type="pct"/>
                  <w:noWrap w:val="0"/>
                  <w:vAlign w:val="center"/>
                </w:tcPr>
                <w:p>
                  <w:pPr>
                    <w:pStyle w:val="34"/>
                    <w:bidi w:val="0"/>
                    <w:rPr>
                      <w:rFonts w:hint="eastAsia"/>
                      <w:color w:val="auto"/>
                      <w:highlight w:val="none"/>
                    </w:rPr>
                  </w:pPr>
                  <w:r>
                    <w:rPr>
                      <w:rFonts w:hint="eastAsia"/>
                      <w:color w:val="auto"/>
                      <w:highlight w:val="none"/>
                    </w:rPr>
                    <w:t>4.14抓好工业节水。依据国家鼓励和淘汰的用水技术、工艺、产品和设备目录，加大工业节水先进技术的推广应用，加快落后技术、设备的淘汰退出。研究制定一批工业节水地方标准，推动重点行业开展企业用水定额对标工作。开展节水诊断、水平衡测试、用水效率评估，严格取用水定额管理。以工业用水重复利用、热力和工艺系统节水、工业给水和废水处理等领域为重点，支持企业实施节水技术改造。</w:t>
                  </w:r>
                </w:p>
              </w:tc>
              <w:tc>
                <w:tcPr>
                  <w:tcW w:w="1298"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本项目不涉及生产用水</w:t>
                  </w:r>
                </w:p>
              </w:tc>
              <w:tc>
                <w:tcPr>
                  <w:tcW w:w="351"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9" w:type="pct"/>
                  <w:vMerge w:val="continue"/>
                  <w:noWrap w:val="0"/>
                  <w:vAlign w:val="center"/>
                </w:tcPr>
                <w:p>
                  <w:pPr>
                    <w:pStyle w:val="57"/>
                    <w:bidi w:val="0"/>
                    <w:rPr>
                      <w:rFonts w:hint="eastAsia"/>
                      <w:color w:val="auto"/>
                      <w:highlight w:val="none"/>
                      <w:lang w:val="en-US" w:eastAsia="zh-CN"/>
                    </w:rPr>
                  </w:pPr>
                </w:p>
              </w:tc>
              <w:tc>
                <w:tcPr>
                  <w:tcW w:w="3030" w:type="pct"/>
                  <w:noWrap w:val="0"/>
                  <w:vAlign w:val="center"/>
                </w:tcPr>
                <w:p>
                  <w:pPr>
                    <w:pStyle w:val="34"/>
                    <w:bidi w:val="0"/>
                    <w:rPr>
                      <w:rFonts w:hint="eastAsia"/>
                      <w:color w:val="auto"/>
                      <w:highlight w:val="none"/>
                      <w:lang w:val="en-US" w:eastAsia="zh-CN"/>
                    </w:rPr>
                  </w:pPr>
                  <w:r>
                    <w:rPr>
                      <w:rFonts w:hint="eastAsia"/>
                      <w:color w:val="auto"/>
                      <w:highlight w:val="none"/>
                    </w:rPr>
                    <w:t>4.19 国家加强对土壤资源的保护和合理利用。对开发建设过程中剥离的表土，应当单独收集和存放，符合条件的应当优先用于土地复垦、土壤改良、造地和绿化等。禁止将重金属或者其他有毒有害物质含量超标的工业固体废物、生活垃圾或者污染土壤用于土地复垦。</w:t>
                  </w:r>
                </w:p>
              </w:tc>
              <w:tc>
                <w:tcPr>
                  <w:tcW w:w="1298" w:type="pct"/>
                  <w:noWrap w:val="0"/>
                  <w:vAlign w:val="center"/>
                </w:tcPr>
                <w:p>
                  <w:pPr>
                    <w:pStyle w:val="34"/>
                    <w:bidi w:val="0"/>
                    <w:rPr>
                      <w:rFonts w:hint="default"/>
                      <w:color w:val="auto"/>
                      <w:highlight w:val="none"/>
                      <w:lang w:val="en-US" w:eastAsia="zh-CN"/>
                    </w:rPr>
                  </w:pPr>
                  <w:r>
                    <w:rPr>
                      <w:rFonts w:hint="default"/>
                      <w:color w:val="auto"/>
                      <w:highlight w:val="none"/>
                      <w:lang w:val="en-US" w:eastAsia="zh-CN"/>
                    </w:rPr>
                    <w:t>项目位于现有厂区内，</w:t>
                  </w:r>
                  <w:r>
                    <w:rPr>
                      <w:rFonts w:hint="eastAsia"/>
                      <w:color w:val="auto"/>
                      <w:highlight w:val="none"/>
                      <w:lang w:val="en-US" w:eastAsia="zh-CN"/>
                    </w:rPr>
                    <w:t>不新增用地，</w:t>
                  </w:r>
                  <w:r>
                    <w:rPr>
                      <w:rFonts w:hint="default"/>
                      <w:color w:val="auto"/>
                      <w:highlight w:val="none"/>
                      <w:lang w:val="en-US" w:eastAsia="zh-CN"/>
                    </w:rPr>
                    <w:t>且已按照相关要求办理的土地手续</w:t>
                  </w:r>
                  <w:r>
                    <w:rPr>
                      <w:rFonts w:hint="eastAsia"/>
                      <w:color w:val="auto"/>
                      <w:highlight w:val="none"/>
                      <w:lang w:val="en-US" w:eastAsia="zh-CN"/>
                    </w:rPr>
                    <w:t>（见附件4）</w:t>
                  </w:r>
                </w:p>
              </w:tc>
              <w:tc>
                <w:tcPr>
                  <w:tcW w:w="351"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9" w:type="pct"/>
                  <w:vMerge w:val="continue"/>
                  <w:noWrap w:val="0"/>
                  <w:vAlign w:val="center"/>
                </w:tcPr>
                <w:p>
                  <w:pPr>
                    <w:pStyle w:val="57"/>
                    <w:bidi w:val="0"/>
                    <w:rPr>
                      <w:rFonts w:hint="eastAsia"/>
                      <w:color w:val="auto"/>
                      <w:highlight w:val="none"/>
                      <w:lang w:val="en-US" w:eastAsia="zh-CN"/>
                    </w:rPr>
                  </w:pPr>
                </w:p>
              </w:tc>
              <w:tc>
                <w:tcPr>
                  <w:tcW w:w="3030" w:type="pct"/>
                  <w:noWrap w:val="0"/>
                  <w:vAlign w:val="center"/>
                </w:tcPr>
                <w:p>
                  <w:pPr>
                    <w:pStyle w:val="34"/>
                    <w:bidi w:val="0"/>
                    <w:rPr>
                      <w:rFonts w:hint="eastAsia"/>
                      <w:color w:val="auto"/>
                      <w:highlight w:val="none"/>
                    </w:rPr>
                  </w:pPr>
                  <w:r>
                    <w:rPr>
                      <w:rFonts w:hint="eastAsia"/>
                      <w:color w:val="auto"/>
                      <w:highlight w:val="none"/>
                    </w:rPr>
                    <w:t>4.20 加强建设用地规划引领管控：严控城乡建设用地规模；优化建设用地结构布局。促进建设用地立体综合开发：鼓励建设用地立体开发；支持土地综合开发利用；推行多层标准化厂房建设。实施城镇存量土地盘活利用：推进城镇低效用地再开发；鼓励低效工业用地内涵挖潜。提高农村建设用地利用效率：严格农村用地标准控制；盘活存量集体建设用地。</w:t>
                  </w:r>
                </w:p>
              </w:tc>
              <w:tc>
                <w:tcPr>
                  <w:tcW w:w="1298" w:type="pct"/>
                  <w:noWrap w:val="0"/>
                  <w:vAlign w:val="center"/>
                </w:tcPr>
                <w:p>
                  <w:pPr>
                    <w:pStyle w:val="34"/>
                    <w:bidi w:val="0"/>
                    <w:rPr>
                      <w:rFonts w:hint="eastAsia"/>
                      <w:color w:val="auto"/>
                      <w:highlight w:val="none"/>
                      <w:lang w:val="en-US" w:eastAsia="zh-CN"/>
                    </w:rPr>
                  </w:pPr>
                  <w:r>
                    <w:rPr>
                      <w:rFonts w:hint="default"/>
                      <w:color w:val="auto"/>
                      <w:highlight w:val="none"/>
                      <w:lang w:val="en-US" w:eastAsia="zh-CN"/>
                    </w:rPr>
                    <w:t>项目位于现有厂区内，</w:t>
                  </w:r>
                  <w:r>
                    <w:rPr>
                      <w:rFonts w:hint="eastAsia"/>
                      <w:color w:val="auto"/>
                      <w:highlight w:val="none"/>
                      <w:lang w:val="en-US" w:eastAsia="zh-CN"/>
                    </w:rPr>
                    <w:t>不新增用地，</w:t>
                  </w:r>
                  <w:r>
                    <w:rPr>
                      <w:rFonts w:hint="default"/>
                      <w:color w:val="auto"/>
                      <w:highlight w:val="none"/>
                      <w:lang w:val="en-US" w:eastAsia="zh-CN"/>
                    </w:rPr>
                    <w:t>且已按照相关要求办理的土地手续</w:t>
                  </w:r>
                  <w:r>
                    <w:rPr>
                      <w:rFonts w:hint="eastAsia"/>
                      <w:color w:val="auto"/>
                      <w:highlight w:val="none"/>
                      <w:lang w:val="en-US" w:eastAsia="zh-CN"/>
                    </w:rPr>
                    <w:t>（见附件4）</w:t>
                  </w:r>
                </w:p>
              </w:tc>
              <w:tc>
                <w:tcPr>
                  <w:tcW w:w="351"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bl>
          <w:p>
            <w:pPr>
              <w:pStyle w:val="36"/>
              <w:bidi w:val="0"/>
              <w:rPr>
                <w:rFonts w:hint="eastAsia"/>
                <w:color w:val="auto"/>
                <w:highlight w:val="none"/>
              </w:rPr>
            </w:pPr>
            <w:r>
              <w:rPr>
                <w:rFonts w:hint="eastAsia"/>
                <w:color w:val="auto"/>
                <w:highlight w:val="none"/>
              </w:rPr>
              <w:t>表</w:t>
            </w:r>
            <w:r>
              <w:rPr>
                <w:rFonts w:hint="eastAsia"/>
                <w:color w:val="auto"/>
                <w:highlight w:val="none"/>
                <w:lang w:val="en-US" w:eastAsia="zh-CN"/>
              </w:rPr>
              <w:t>1.2-3</w:t>
            </w:r>
            <w:r>
              <w:rPr>
                <w:rFonts w:hint="eastAsia"/>
                <w:color w:val="auto"/>
                <w:highlight w:val="none"/>
              </w:rPr>
              <w:t xml:space="preserve"> </w:t>
            </w:r>
            <w:r>
              <w:rPr>
                <w:rFonts w:hint="eastAsia"/>
                <w:color w:val="auto"/>
                <w:highlight w:val="none"/>
                <w:lang w:val="en-US"/>
              </w:rPr>
              <w:t>本</w:t>
            </w:r>
            <w:r>
              <w:rPr>
                <w:rFonts w:hint="eastAsia"/>
                <w:color w:val="auto"/>
                <w:highlight w:val="none"/>
                <w:lang w:val="en-US" w:eastAsia="zh-CN"/>
              </w:rPr>
              <w:t>项目</w:t>
            </w:r>
            <w:r>
              <w:rPr>
                <w:rFonts w:hint="eastAsia"/>
                <w:color w:val="auto"/>
                <w:highlight w:val="none"/>
                <w:lang w:val="en-US"/>
              </w:rPr>
              <w:t>与环境管控单元符合性分析一览表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35"/>
              <w:gridCol w:w="1323"/>
              <w:gridCol w:w="3518"/>
              <w:gridCol w:w="1880"/>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6" w:type="pct"/>
                  <w:gridSpan w:val="2"/>
                  <w:noWrap w:val="0"/>
                  <w:vAlign w:val="center"/>
                </w:tcPr>
                <w:p>
                  <w:pPr>
                    <w:pStyle w:val="57"/>
                    <w:bidi w:val="0"/>
                    <w:rPr>
                      <w:rFonts w:hint="default"/>
                      <w:color w:val="auto"/>
                      <w:highlight w:val="none"/>
                    </w:rPr>
                  </w:pPr>
                  <w:r>
                    <w:rPr>
                      <w:rFonts w:hint="default"/>
                      <w:color w:val="auto"/>
                      <w:highlight w:val="none"/>
                    </w:rPr>
                    <w:t>单元编码</w:t>
                  </w:r>
                </w:p>
              </w:tc>
              <w:tc>
                <w:tcPr>
                  <w:tcW w:w="3783" w:type="pct"/>
                  <w:gridSpan w:val="3"/>
                  <w:noWrap w:val="0"/>
                  <w:vAlign w:val="center"/>
                </w:tcPr>
                <w:p>
                  <w:pPr>
                    <w:pStyle w:val="57"/>
                    <w:bidi w:val="0"/>
                    <w:rPr>
                      <w:rFonts w:hint="default"/>
                      <w:color w:val="auto"/>
                      <w:highlight w:val="none"/>
                    </w:rPr>
                  </w:pPr>
                  <w:r>
                    <w:rPr>
                      <w:rFonts w:hint="default"/>
                      <w:color w:val="auto"/>
                      <w:highlight w:val="none"/>
                    </w:rPr>
                    <w:t>单元名称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216" w:type="pct"/>
                  <w:gridSpan w:val="2"/>
                  <w:noWrap w:val="0"/>
                  <w:vAlign w:val="center"/>
                </w:tcPr>
                <w:p>
                  <w:pPr>
                    <w:pStyle w:val="57"/>
                    <w:bidi w:val="0"/>
                    <w:rPr>
                      <w:rFonts w:hint="default"/>
                      <w:color w:val="auto"/>
                      <w:highlight w:val="none"/>
                      <w:lang w:val="en-US" w:eastAsia="zh-CN"/>
                    </w:rPr>
                  </w:pPr>
                  <w:r>
                    <w:rPr>
                      <w:rFonts w:hint="default"/>
                      <w:color w:val="auto"/>
                      <w:highlight w:val="none"/>
                      <w:lang w:val="en-US" w:eastAsia="zh-CN"/>
                    </w:rPr>
                    <w:t>ZH65280120004</w:t>
                  </w:r>
                </w:p>
              </w:tc>
              <w:tc>
                <w:tcPr>
                  <w:tcW w:w="3783" w:type="pct"/>
                  <w:gridSpan w:val="3"/>
                  <w:noWrap w:val="0"/>
                  <w:vAlign w:val="center"/>
                </w:tcPr>
                <w:p>
                  <w:pPr>
                    <w:pStyle w:val="57"/>
                    <w:bidi w:val="0"/>
                    <w:rPr>
                      <w:rFonts w:hint="eastAsia"/>
                      <w:color w:val="auto"/>
                      <w:highlight w:val="none"/>
                      <w:lang w:eastAsia="zh-CN"/>
                    </w:rPr>
                  </w:pPr>
                  <w:r>
                    <w:rPr>
                      <w:rFonts w:hint="eastAsia"/>
                      <w:color w:val="auto"/>
                      <w:highlight w:val="none"/>
                      <w:lang w:eastAsia="zh-CN"/>
                    </w:rPr>
                    <w:t>库尔勒市西尼尔镇工业水污染重点管控区重点管控单元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95" w:type="pct"/>
                  <w:noWrap w:val="0"/>
                  <w:vAlign w:val="center"/>
                </w:tcPr>
                <w:p>
                  <w:pPr>
                    <w:pStyle w:val="57"/>
                    <w:bidi w:val="0"/>
                    <w:rPr>
                      <w:rFonts w:hint="default"/>
                      <w:color w:val="auto"/>
                      <w:highlight w:val="none"/>
                    </w:rPr>
                  </w:pPr>
                  <w:r>
                    <w:rPr>
                      <w:rFonts w:hint="default"/>
                      <w:color w:val="auto"/>
                      <w:highlight w:val="none"/>
                    </w:rPr>
                    <w:t>维度</w:t>
                  </w:r>
                </w:p>
              </w:tc>
              <w:tc>
                <w:tcPr>
                  <w:tcW w:w="3004" w:type="pct"/>
                  <w:gridSpan w:val="2"/>
                  <w:noWrap w:val="0"/>
                  <w:vAlign w:val="center"/>
                </w:tcPr>
                <w:p>
                  <w:pPr>
                    <w:pStyle w:val="57"/>
                    <w:bidi w:val="0"/>
                    <w:rPr>
                      <w:rFonts w:hint="default"/>
                      <w:color w:val="auto"/>
                      <w:highlight w:val="none"/>
                    </w:rPr>
                  </w:pPr>
                  <w:r>
                    <w:rPr>
                      <w:rFonts w:hint="default"/>
                      <w:color w:val="auto"/>
                      <w:highlight w:val="none"/>
                    </w:rPr>
                    <w:t>管控要求</w:t>
                  </w:r>
                </w:p>
              </w:tc>
              <w:tc>
                <w:tcPr>
                  <w:tcW w:w="1167" w:type="pct"/>
                  <w:noWrap w:val="0"/>
                  <w:vAlign w:val="center"/>
                </w:tcPr>
                <w:p>
                  <w:pPr>
                    <w:pStyle w:val="57"/>
                    <w:bidi w:val="0"/>
                    <w:rPr>
                      <w:rFonts w:hint="eastAsia"/>
                      <w:color w:val="auto"/>
                      <w:highlight w:val="none"/>
                      <w:lang w:eastAsia="zh-CN"/>
                    </w:rPr>
                  </w:pPr>
                  <w:r>
                    <w:rPr>
                      <w:rFonts w:hint="eastAsia"/>
                      <w:color w:val="auto"/>
                      <w:highlight w:val="none"/>
                      <w:lang w:val="en-US" w:eastAsia="zh-CN"/>
                    </w:rPr>
                    <w:t>本项目</w:t>
                  </w:r>
                </w:p>
              </w:tc>
              <w:tc>
                <w:tcPr>
                  <w:tcW w:w="433" w:type="pct"/>
                  <w:noWrap w:val="0"/>
                  <w:vAlign w:val="center"/>
                </w:tcPr>
                <w:p>
                  <w:pPr>
                    <w:pStyle w:val="57"/>
                    <w:bidi w:val="0"/>
                    <w:rPr>
                      <w:rFonts w:hint="default"/>
                      <w:color w:val="auto"/>
                      <w:highlight w:val="none"/>
                    </w:rPr>
                  </w:pPr>
                  <w:r>
                    <w:rPr>
                      <w:rFonts w:hint="default"/>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395" w:type="pct"/>
                  <w:noWrap w:val="0"/>
                  <w:vAlign w:val="center"/>
                </w:tcPr>
                <w:p>
                  <w:pPr>
                    <w:pStyle w:val="57"/>
                    <w:bidi w:val="0"/>
                    <w:rPr>
                      <w:rFonts w:hint="default"/>
                      <w:color w:val="auto"/>
                      <w:highlight w:val="none"/>
                    </w:rPr>
                  </w:pPr>
                  <w:r>
                    <w:rPr>
                      <w:rFonts w:hint="eastAsia"/>
                      <w:color w:val="auto"/>
                      <w:highlight w:val="none"/>
                    </w:rPr>
                    <w:t>空间布局约束</w:t>
                  </w:r>
                </w:p>
              </w:tc>
              <w:tc>
                <w:tcPr>
                  <w:tcW w:w="3004" w:type="pct"/>
                  <w:gridSpan w:val="2"/>
                  <w:noWrap w:val="0"/>
                  <w:vAlign w:val="center"/>
                </w:tcPr>
                <w:p>
                  <w:pPr>
                    <w:pStyle w:val="34"/>
                    <w:bidi w:val="0"/>
                    <w:rPr>
                      <w:rFonts w:hint="default"/>
                      <w:color w:val="auto"/>
                      <w:highlight w:val="none"/>
                    </w:rPr>
                  </w:pPr>
                  <w:r>
                    <w:rPr>
                      <w:rFonts w:hint="default"/>
                      <w:color w:val="auto"/>
                      <w:highlight w:val="none"/>
                    </w:rPr>
                    <w:t>1.执行总体管控要求中关于水环境重点管控区的空间布局约束准入要求。</w:t>
                  </w:r>
                </w:p>
                <w:p>
                  <w:pPr>
                    <w:pStyle w:val="34"/>
                    <w:bidi w:val="0"/>
                    <w:rPr>
                      <w:rFonts w:hint="default"/>
                      <w:color w:val="auto"/>
                      <w:highlight w:val="none"/>
                    </w:rPr>
                  </w:pPr>
                  <w:r>
                    <w:rPr>
                      <w:rFonts w:hint="default"/>
                      <w:color w:val="auto"/>
                      <w:highlight w:val="none"/>
                    </w:rPr>
                    <w:t>2.杜</w:t>
                  </w:r>
                  <w:r>
                    <w:rPr>
                      <w:rFonts w:hint="eastAsia"/>
                      <w:color w:val="auto"/>
                      <w:highlight w:val="none"/>
                    </w:rPr>
                    <w:t>绝“十小”企</w:t>
                  </w:r>
                  <w:r>
                    <w:rPr>
                      <w:rFonts w:hint="default"/>
                      <w:color w:val="auto"/>
                      <w:highlight w:val="none"/>
                    </w:rPr>
                    <w:t>业死灰复燃。将其他不能稳定达标排放的工业企业废水治理工作纳入年度计划并进行改造。</w:t>
                  </w:r>
                </w:p>
                <w:p>
                  <w:pPr>
                    <w:pStyle w:val="34"/>
                    <w:bidi w:val="0"/>
                    <w:rPr>
                      <w:rFonts w:hint="default"/>
                      <w:color w:val="auto"/>
                      <w:highlight w:val="none"/>
                    </w:rPr>
                  </w:pPr>
                  <w:r>
                    <w:rPr>
                      <w:rFonts w:hint="default"/>
                      <w:color w:val="auto"/>
                      <w:highlight w:val="none"/>
                    </w:rPr>
                    <w:t>3.强化环境准入，促进产业升级。禁止不符合国家、自治区和地区产业政策，已列入淘汰生产能力、工艺和产品目录的项目建设。优化高耗水、重污染工业项目的布局与发展，逐步淘汰落后工艺和设备</w:t>
                  </w:r>
                </w:p>
              </w:tc>
              <w:tc>
                <w:tcPr>
                  <w:tcW w:w="1167"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本项目不涉及生产用水及工业污水，项目符合产业政策，不涉及淘汰落后工艺和设备</w:t>
                  </w:r>
                </w:p>
              </w:tc>
              <w:tc>
                <w:tcPr>
                  <w:tcW w:w="433" w:type="pct"/>
                  <w:noWrap w:val="0"/>
                  <w:vAlign w:val="center"/>
                </w:tcPr>
                <w:p>
                  <w:pPr>
                    <w:pStyle w:val="57"/>
                    <w:bidi w:val="0"/>
                    <w:rPr>
                      <w:rFonts w:hint="default"/>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5"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污染物排放管控</w:t>
                  </w:r>
                </w:p>
              </w:tc>
              <w:tc>
                <w:tcPr>
                  <w:tcW w:w="3004" w:type="pct"/>
                  <w:gridSpan w:val="2"/>
                  <w:noWrap w:val="0"/>
                  <w:vAlign w:val="center"/>
                </w:tcPr>
                <w:p>
                  <w:pPr>
                    <w:pStyle w:val="34"/>
                    <w:bidi w:val="0"/>
                    <w:rPr>
                      <w:rFonts w:hint="eastAsia"/>
                      <w:color w:val="auto"/>
                      <w:highlight w:val="none"/>
                    </w:rPr>
                  </w:pPr>
                  <w:r>
                    <w:rPr>
                      <w:rFonts w:hint="eastAsia"/>
                      <w:color w:val="auto"/>
                      <w:highlight w:val="none"/>
                      <w:lang w:val="en-US"/>
                    </w:rPr>
                    <w:t>1.执行总体管控要求中关于水环境重点管控区的污染物排放管控要求。</w:t>
                  </w:r>
                  <w:r>
                    <w:rPr>
                      <w:rFonts w:hint="eastAsia"/>
                      <w:color w:val="auto"/>
                      <w:highlight w:val="none"/>
                      <w:lang w:val="en-US"/>
                    </w:rPr>
                    <w:br w:type="textWrapping"/>
                  </w:r>
                  <w:r>
                    <w:rPr>
                      <w:rFonts w:hint="eastAsia"/>
                      <w:color w:val="auto"/>
                      <w:highlight w:val="none"/>
                      <w:lang w:val="en-US"/>
                    </w:rPr>
                    <w:t>2.全面推行排污许可。全面完成重点污染源排污许可证的核发工作，加强日常监督检查，依法查处违反排污许可证管理规定的行为。以改善水质、防范环境风险为目标，将污染物排放种类、浓度、总量、排放去向等纳入许可证管理范围，实现对排污单位环境管理要求的全方位规范和全过程监管。</w:t>
                  </w:r>
                  <w:r>
                    <w:rPr>
                      <w:rFonts w:hint="eastAsia"/>
                      <w:color w:val="auto"/>
                      <w:highlight w:val="none"/>
                      <w:lang w:val="en-US"/>
                    </w:rPr>
                    <w:br w:type="textWrapping"/>
                  </w:r>
                  <w:r>
                    <w:rPr>
                      <w:rFonts w:hint="eastAsia"/>
                      <w:color w:val="auto"/>
                      <w:highlight w:val="none"/>
                      <w:lang w:val="en-US"/>
                    </w:rPr>
                    <w:t>3.加快产业结构转型升级，完善纺织服装、农副产品加工业、建材等工业企业污染治理设施，推进工业污水达标排放，实现污染物稳定达标排放排入城镇下水道的污水同时应符合《污水排入城镇下水道水质标准》（GB/T 31962-2015）</w:t>
                  </w:r>
                </w:p>
              </w:tc>
              <w:tc>
                <w:tcPr>
                  <w:tcW w:w="1167"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项目无生产废水，本评价要求将本项目纳入现有排污许可管理系统</w:t>
                  </w:r>
                </w:p>
              </w:tc>
              <w:tc>
                <w:tcPr>
                  <w:tcW w:w="433"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5"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环境风险防控</w:t>
                  </w:r>
                </w:p>
              </w:tc>
              <w:tc>
                <w:tcPr>
                  <w:tcW w:w="3004" w:type="pct"/>
                  <w:gridSpan w:val="2"/>
                  <w:noWrap w:val="0"/>
                  <w:vAlign w:val="center"/>
                </w:tcPr>
                <w:p>
                  <w:pPr>
                    <w:pStyle w:val="34"/>
                    <w:bidi w:val="0"/>
                    <w:rPr>
                      <w:rFonts w:hint="eastAsia"/>
                      <w:color w:val="auto"/>
                      <w:highlight w:val="none"/>
                      <w:lang w:val="en-US"/>
                    </w:rPr>
                  </w:pPr>
                  <w:r>
                    <w:rPr>
                      <w:rFonts w:hint="eastAsia"/>
                      <w:color w:val="auto"/>
                      <w:highlight w:val="none"/>
                      <w:lang w:val="en-US"/>
                    </w:rPr>
                    <w:t>1.执行总体管控要求中关于水环境重点管控区的环境风险防控要求。</w:t>
                  </w:r>
                </w:p>
                <w:p>
                  <w:pPr>
                    <w:pStyle w:val="34"/>
                    <w:bidi w:val="0"/>
                    <w:rPr>
                      <w:rFonts w:hint="eastAsia"/>
                      <w:color w:val="auto"/>
                      <w:highlight w:val="none"/>
                      <w:lang w:val="en-US"/>
                    </w:rPr>
                  </w:pPr>
                  <w:r>
                    <w:rPr>
                      <w:rFonts w:hint="eastAsia"/>
                      <w:color w:val="auto"/>
                      <w:highlight w:val="none"/>
                      <w:lang w:val="en-US"/>
                    </w:rPr>
                    <w:t>2.严格环境风险控制。防范环境风险，定期评估工业集聚区环境和健康风险，加强预案管理，落实防控措施，排除水污染隐患。</w:t>
                  </w:r>
                </w:p>
                <w:p>
                  <w:pPr>
                    <w:pStyle w:val="34"/>
                    <w:bidi w:val="0"/>
                    <w:rPr>
                      <w:rFonts w:hint="eastAsia"/>
                      <w:color w:val="auto"/>
                      <w:highlight w:val="none"/>
                    </w:rPr>
                  </w:pPr>
                  <w:r>
                    <w:rPr>
                      <w:rFonts w:hint="eastAsia"/>
                      <w:color w:val="auto"/>
                      <w:highlight w:val="none"/>
                      <w:lang w:val="en-US"/>
                    </w:rPr>
                    <w:t>3.加强对地下水、地表水污染的动态监测，禁止利用渗坑、渗井排放工业废水和生活污水，控制或杜绝污染。</w:t>
                  </w:r>
                </w:p>
              </w:tc>
              <w:tc>
                <w:tcPr>
                  <w:tcW w:w="1167"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项目无生产废水，新增生活污水排入化粪池，定期委托库尔勒龙润处理有限公司定期拉运至库尔勒市南市区污水处理厂处理</w:t>
                  </w:r>
                </w:p>
              </w:tc>
              <w:tc>
                <w:tcPr>
                  <w:tcW w:w="433"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5"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资源开发效率要求</w:t>
                  </w:r>
                </w:p>
              </w:tc>
              <w:tc>
                <w:tcPr>
                  <w:tcW w:w="3004" w:type="pct"/>
                  <w:gridSpan w:val="2"/>
                  <w:noWrap w:val="0"/>
                  <w:vAlign w:val="center"/>
                </w:tcPr>
                <w:p>
                  <w:pPr>
                    <w:pStyle w:val="34"/>
                    <w:bidi w:val="0"/>
                    <w:rPr>
                      <w:rFonts w:hint="eastAsia"/>
                      <w:color w:val="auto"/>
                      <w:highlight w:val="none"/>
                      <w:lang w:val="en-US"/>
                    </w:rPr>
                  </w:pPr>
                  <w:r>
                    <w:rPr>
                      <w:rFonts w:hint="eastAsia"/>
                      <w:color w:val="auto"/>
                      <w:highlight w:val="none"/>
                      <w:lang w:val="en-US"/>
                    </w:rPr>
                    <w:t>1.执行总体管控要求中关于水环境重点管控区的资源利用效率要求。</w:t>
                  </w:r>
                </w:p>
                <w:p>
                  <w:pPr>
                    <w:pStyle w:val="34"/>
                    <w:bidi w:val="0"/>
                    <w:rPr>
                      <w:rFonts w:hint="eastAsia"/>
                      <w:color w:val="auto"/>
                      <w:highlight w:val="none"/>
                      <w:lang w:val="en-US"/>
                    </w:rPr>
                  </w:pPr>
                  <w:r>
                    <w:rPr>
                      <w:rFonts w:hint="eastAsia"/>
                      <w:color w:val="auto"/>
                      <w:highlight w:val="none"/>
                      <w:lang w:val="en-US"/>
                    </w:rPr>
                    <w:t>2.节约水资源。一是提高水资源利用效率（从农业方面、工业方面和生活用水方面进行）；二是调整优化产业结构；三是调整生态环境用水；四是加强水资源综合利用。</w:t>
                  </w:r>
                </w:p>
                <w:p>
                  <w:pPr>
                    <w:pStyle w:val="34"/>
                    <w:bidi w:val="0"/>
                    <w:rPr>
                      <w:rFonts w:hint="eastAsia"/>
                      <w:color w:val="auto"/>
                      <w:highlight w:val="none"/>
                    </w:rPr>
                  </w:pPr>
                  <w:r>
                    <w:rPr>
                      <w:rFonts w:hint="eastAsia"/>
                      <w:color w:val="auto"/>
                      <w:highlight w:val="none"/>
                      <w:lang w:val="en-US"/>
                    </w:rPr>
                    <w:t>3.合理配水。保障生态用水的条件下，先生活，后生产，再农业</w:t>
                  </w:r>
                </w:p>
              </w:tc>
              <w:tc>
                <w:tcPr>
                  <w:tcW w:w="1167" w:type="pct"/>
                  <w:noWrap w:val="0"/>
                  <w:vAlign w:val="center"/>
                </w:tcPr>
                <w:p>
                  <w:pPr>
                    <w:pStyle w:val="34"/>
                    <w:bidi w:val="0"/>
                    <w:rPr>
                      <w:rFonts w:hint="default"/>
                      <w:color w:val="auto"/>
                      <w:highlight w:val="none"/>
                      <w:lang w:val="en-US" w:eastAsia="zh-CN"/>
                    </w:rPr>
                  </w:pPr>
                  <w:r>
                    <w:rPr>
                      <w:rFonts w:hint="eastAsia"/>
                      <w:color w:val="auto"/>
                      <w:highlight w:val="none"/>
                      <w:lang w:val="en-US" w:eastAsia="zh-CN"/>
                    </w:rPr>
                    <w:t>项目无生产废水，新增生活污水排入化粪池，定期委托库尔勒龙润处理有限公司定期拉运至库尔勒市南市区污水处理厂处理</w:t>
                  </w:r>
                </w:p>
              </w:tc>
              <w:tc>
                <w:tcPr>
                  <w:tcW w:w="433"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符合</w:t>
                  </w:r>
                </w:p>
              </w:tc>
            </w:tr>
          </w:tbl>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37"/>
              <w:bidi w:val="0"/>
              <w:rPr>
                <w:rFonts w:hint="eastAsia"/>
                <w:color w:val="auto"/>
                <w:highlight w:val="none"/>
                <w:lang w:val="en-US" w:eastAsia="zh-CN"/>
              </w:rPr>
            </w:pPr>
            <w:r>
              <w:rPr>
                <w:color w:val="auto"/>
                <w:sz w:val="24"/>
                <w:highlight w:val="none"/>
              </w:rPr>
              <w:pict>
                <v:group id="_x0000_s2059" o:spid="_x0000_s2059" o:spt="203" style="position:absolute;left:0pt;margin-left:9.45pt;margin-top:75.75pt;height:179.8pt;width:228.1pt;z-index:251662336;mso-width-relative:page;mso-height-relative:page;" coordorigin="2829,140705" coordsize="4562,3596">
                  <o:lock v:ext="edit" aspectratio="f"/>
                  <v:shape id="_x0000_s2057" o:spid="_x0000_s2057" o:spt="62" type="#_x0000_t62" style="position:absolute;left:6379;top:140705;height:359;width:1012;" fillcolor="#FFFF00" filled="t" stroked="t" coordsize="21600,21600" adj="21,32189">
                    <v:path/>
                    <v:fill on="t" color2="#FFFFFF" opacity="26214f" focussize="0,0"/>
                    <v:stroke weight="0.5pt" color="#000000" joinstyle="miter"/>
                    <v:imagedata o:title=""/>
                    <o:lock v:ext="edit" aspectratio="f"/>
                    <v:textbox inset="0mm,0mm,0mm,0mm">
                      <w:txbxContent>
                        <w:p>
                          <w:pPr>
                            <w:pStyle w:val="57"/>
                            <w:bidi w:val="0"/>
                            <w:rPr>
                              <w:rFonts w:hint="default"/>
                              <w:lang w:val="en-US"/>
                            </w:rPr>
                          </w:pPr>
                          <w:r>
                            <w:rPr>
                              <w:rFonts w:hint="eastAsia"/>
                              <w:lang w:val="en-US" w:eastAsia="zh-CN"/>
                            </w:rPr>
                            <w:t>项目位置</w:t>
                          </w:r>
                        </w:p>
                      </w:txbxContent>
                    </v:textbox>
                  </v:shape>
                  <v:shape id="_x0000_s2056" o:spid="_x0000_s2056" o:spt="62" type="#_x0000_t62" style="position:absolute;left:2829;top:143077;height:1224;width:2137;" fillcolor="#FF0000" filled="t" stroked="t" coordsize="21600,21600" adj="23723,3547">
                    <v:path/>
                    <v:fill on="t" color2="#FFFFFF" opacity="26214f" focussize="0,0"/>
                    <v:stroke weight="0.5pt" color="#000000" joinstyle="miter"/>
                    <v:imagedata o:title=""/>
                    <o:lock v:ext="edit" aspectratio="f"/>
                    <v:textbox inset="0mm,0mm,0mm,0mm">
                      <w:txbxContent>
                        <w:p>
                          <w:pPr>
                            <w:pStyle w:val="57"/>
                            <w:bidi w:val="0"/>
                            <w:rPr>
                              <w:rFonts w:hint="default"/>
                              <w:b/>
                              <w:bCs/>
                              <w:color w:val="FFFF00"/>
                              <w:lang w:val="en-US" w:eastAsia="zh-CN"/>
                            </w:rPr>
                          </w:pPr>
                          <w:r>
                            <w:rPr>
                              <w:rFonts w:hint="eastAsia"/>
                              <w:b/>
                              <w:bCs/>
                              <w:color w:val="FFFF00"/>
                              <w:lang w:val="en-US" w:eastAsia="zh-CN"/>
                            </w:rPr>
                            <w:t>ZH65280120004</w:t>
                          </w:r>
                          <w:r>
                            <w:rPr>
                              <w:rFonts w:hint="eastAsia"/>
                              <w:b/>
                              <w:bCs/>
                              <w:color w:val="FFFF00"/>
                              <w:lang w:eastAsia="zh-CN"/>
                            </w:rPr>
                            <w:t>库尔勒市西尼尔镇工业水污染重点管控区重点管控单元</w:t>
                          </w:r>
                        </w:p>
                        <w:p>
                          <w:pPr>
                            <w:pStyle w:val="57"/>
                            <w:bidi w:val="0"/>
                            <w:rPr>
                              <w:color w:val="FFFF00"/>
                            </w:rPr>
                          </w:pPr>
                        </w:p>
                      </w:txbxContent>
                    </v:textbox>
                  </v:shape>
                </v:group>
              </w:pict>
            </w:r>
            <w:r>
              <w:rPr>
                <w:rFonts w:hint="eastAsia"/>
                <w:color w:val="auto"/>
                <w:highlight w:val="none"/>
                <w:lang w:val="en-US" w:eastAsia="zh-CN"/>
              </w:rPr>
              <w:drawing>
                <wp:inline distT="0" distB="0" distL="114300" distR="114300">
                  <wp:extent cx="5013960" cy="3293745"/>
                  <wp:effectExtent l="9525" t="9525" r="24765" b="11430"/>
                  <wp:docPr id="3" name="图片 3" descr="三线一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三线一单"/>
                          <pic:cNvPicPr>
                            <a:picLocks noChangeAspect="1"/>
                          </pic:cNvPicPr>
                        </pic:nvPicPr>
                        <pic:blipFill>
                          <a:blip r:embed="rId23"/>
                          <a:stretch>
                            <a:fillRect/>
                          </a:stretch>
                        </pic:blipFill>
                        <pic:spPr>
                          <a:xfrm>
                            <a:off x="0" y="0"/>
                            <a:ext cx="5013960" cy="3293745"/>
                          </a:xfrm>
                          <a:prstGeom prst="rect">
                            <a:avLst/>
                          </a:prstGeom>
                          <a:ln>
                            <a:solidFill>
                              <a:schemeClr val="tx1"/>
                            </a:solidFill>
                          </a:ln>
                        </pic:spPr>
                      </pic:pic>
                    </a:graphicData>
                  </a:graphic>
                </wp:inline>
              </w:drawing>
            </w:r>
          </w:p>
          <w:p>
            <w:pPr>
              <w:pStyle w:val="37"/>
              <w:bidi w:val="0"/>
              <w:rPr>
                <w:rFonts w:hint="default"/>
                <w:color w:val="auto"/>
                <w:highlight w:val="none"/>
                <w:lang w:val="en-US" w:eastAsia="zh-CN"/>
              </w:rPr>
            </w:pPr>
            <w:r>
              <w:rPr>
                <w:rFonts w:hint="eastAsia"/>
                <w:color w:val="auto"/>
                <w:highlight w:val="none"/>
                <w:lang w:val="en-US" w:eastAsia="zh-CN"/>
              </w:rPr>
              <w:t>图1.2-1  项目生态环境分区</w:t>
            </w:r>
          </w:p>
          <w:p>
            <w:pPr>
              <w:pStyle w:val="3"/>
              <w:bidi w:val="0"/>
              <w:rPr>
                <w:rFonts w:hint="eastAsia"/>
                <w:color w:val="auto"/>
                <w:highlight w:val="none"/>
                <w:lang w:val="en-US" w:eastAsia="zh-CN"/>
              </w:rPr>
            </w:pPr>
            <w:r>
              <w:rPr>
                <w:rFonts w:hint="eastAsia"/>
                <w:color w:val="auto"/>
                <w:highlight w:val="none"/>
                <w:lang w:val="en-US" w:eastAsia="zh-CN"/>
              </w:rPr>
              <w:t>1.3 相关规划符合性分析</w:t>
            </w:r>
          </w:p>
          <w:p>
            <w:pPr>
              <w:pStyle w:val="4"/>
              <w:bidi w:val="0"/>
              <w:rPr>
                <w:rFonts w:hint="eastAsia"/>
                <w:color w:val="auto"/>
                <w:highlight w:val="none"/>
                <w:lang w:val="en-US" w:eastAsia="zh-CN"/>
              </w:rPr>
            </w:pPr>
            <w:r>
              <w:rPr>
                <w:rFonts w:hint="eastAsia"/>
                <w:color w:val="auto"/>
                <w:highlight w:val="none"/>
                <w:lang w:val="en-US" w:eastAsia="zh-CN"/>
              </w:rPr>
              <w:t>1.3.1 《新疆维吾尔自治区国民经济和社会发展第十五个五年规划纲要》符合性分析</w:t>
            </w:r>
          </w:p>
          <w:p>
            <w:pPr>
              <w:pStyle w:val="6"/>
              <w:bidi w:val="0"/>
              <w:rPr>
                <w:rFonts w:hint="default"/>
                <w:color w:val="auto"/>
                <w:highlight w:val="none"/>
                <w:lang w:val="en-US" w:eastAsia="zh-CN"/>
              </w:rPr>
            </w:pPr>
            <w:r>
              <w:rPr>
                <w:rFonts w:hint="eastAsia"/>
                <w:color w:val="auto"/>
                <w:highlight w:val="none"/>
                <w:lang w:val="en-US" w:eastAsia="zh-CN"/>
              </w:rPr>
              <w:t>根据《新疆维吾尔自治区国民经济和社会发展第十五个五年规划纲要》“第三章 持续加强生态环境保护”要求：加强固体废物和新污染物治理。实施固体废物综合治理行动，积极推进源头减量和综合利用，提升固体废物处置规范管控水平。</w:t>
            </w:r>
          </w:p>
          <w:p>
            <w:pPr>
              <w:pStyle w:val="6"/>
              <w:bidi w:val="0"/>
              <w:rPr>
                <w:rFonts w:hint="default"/>
                <w:color w:val="auto"/>
                <w:highlight w:val="none"/>
                <w:lang w:val="en-US" w:eastAsia="zh-CN"/>
              </w:rPr>
            </w:pPr>
            <w:r>
              <w:rPr>
                <w:rFonts w:hint="eastAsia"/>
                <w:color w:val="auto"/>
                <w:highlight w:val="none"/>
                <w:lang w:val="en-US" w:eastAsia="zh-CN"/>
              </w:rPr>
              <w:t>本项目以固体废物电石渣、粉煤灰、脱硫石膏作为原料，可有效利用上游企业产生的工业固体废物，属于工业固体废物综合利用，符合纲要要求。</w:t>
            </w:r>
          </w:p>
          <w:p>
            <w:pPr>
              <w:pStyle w:val="4"/>
              <w:bidi w:val="0"/>
              <w:rPr>
                <w:rFonts w:hint="default"/>
                <w:color w:val="auto"/>
                <w:highlight w:val="none"/>
                <w:lang w:val="en-US" w:eastAsia="zh-CN"/>
              </w:rPr>
            </w:pPr>
            <w:r>
              <w:rPr>
                <w:rFonts w:hint="eastAsia"/>
                <w:color w:val="auto"/>
                <w:highlight w:val="none"/>
                <w:lang w:val="en-US" w:eastAsia="zh-CN"/>
              </w:rPr>
              <w:t>1.3.2 《新疆生态环境保护“十四五”规划》符合性分析</w:t>
            </w:r>
          </w:p>
          <w:p>
            <w:pPr>
              <w:pStyle w:val="6"/>
              <w:bidi w:val="0"/>
              <w:rPr>
                <w:rFonts w:hint="default"/>
                <w:color w:val="auto"/>
                <w:highlight w:val="none"/>
                <w:lang w:val="en-US" w:eastAsia="zh-CN"/>
              </w:rPr>
            </w:pPr>
            <w:r>
              <w:rPr>
                <w:rFonts w:hint="eastAsia"/>
                <w:color w:val="auto"/>
                <w:highlight w:val="none"/>
                <w:lang w:val="en-US" w:eastAsia="zh-CN"/>
              </w:rPr>
              <w:t>根据《新疆生态环境保护“十四五”规划》，第五章 加强协同控制，改善大气环境 第三节 持续推进涉气污染源治理 针对铸造、铁合金、焦化、水泥、砖瓦、石灰、耐火材料、金属冶炼以及煤化工、石油化工等行业，严格控制物料储存、输送及生产工艺过程无组织排放。</w:t>
            </w:r>
          </w:p>
          <w:p>
            <w:pPr>
              <w:pStyle w:val="6"/>
              <w:bidi w:val="0"/>
              <w:rPr>
                <w:rFonts w:hint="eastAsia"/>
                <w:color w:val="auto"/>
                <w:highlight w:val="none"/>
                <w:lang w:val="en-US" w:eastAsia="zh-CN"/>
              </w:rPr>
            </w:pPr>
            <w:r>
              <w:rPr>
                <w:rFonts w:hint="eastAsia"/>
                <w:color w:val="auto"/>
                <w:highlight w:val="none"/>
                <w:lang w:val="en-US" w:eastAsia="zh-CN"/>
              </w:rPr>
              <w:t>本项目原料在密闭原料仓经螺旋输送机输送至电磁回转窑加热干燥后，产品经风冷刮板机冷却后，由气力输送设备输送至成品仓，窑头落料端干燥器废气通过双筒预热器给原料预热后，经过“旋风除尘器+布袋除尘器”处理，由15m排气筒达标排放，全流程采用密闭系统，以达到降低物料储存、输送、生产过程中无组织废气的排放，故项目建设满足新疆生态环境保护“十四五”规划要求。</w:t>
            </w:r>
          </w:p>
          <w:p>
            <w:pPr>
              <w:pStyle w:val="4"/>
              <w:bidi w:val="0"/>
              <w:rPr>
                <w:rFonts w:hint="eastAsia"/>
                <w:color w:val="auto"/>
                <w:highlight w:val="none"/>
                <w:lang w:val="en-US" w:eastAsia="zh-CN"/>
              </w:rPr>
            </w:pPr>
            <w:r>
              <w:rPr>
                <w:rFonts w:hint="eastAsia"/>
                <w:color w:val="auto"/>
                <w:highlight w:val="none"/>
                <w:lang w:val="en-US" w:eastAsia="zh-CN"/>
              </w:rPr>
              <w:t>1.3.3 《巴音郭楞蒙古自治州国民经济和社会发展第十四个五年规划和二〇三五年远景目标纲要》符合性分析</w:t>
            </w:r>
          </w:p>
          <w:p>
            <w:pPr>
              <w:pStyle w:val="6"/>
              <w:bidi w:val="0"/>
              <w:rPr>
                <w:rFonts w:hint="eastAsia" w:ascii="Times New Roman" w:hAnsi="Times New Roman" w:eastAsia="宋体" w:cs="宋体"/>
                <w:color w:val="auto"/>
                <w:highlight w:val="none"/>
                <w:lang w:val="en-US" w:eastAsia="zh-CN"/>
              </w:rPr>
            </w:pPr>
            <w:r>
              <w:rPr>
                <w:rFonts w:hint="eastAsia"/>
                <w:color w:val="auto"/>
                <w:highlight w:val="none"/>
                <w:lang w:val="en-US" w:eastAsia="zh-CN"/>
              </w:rPr>
              <w:t>根据《巴音郭楞蒙古自治州国民经济和社会发展第十四个五年规划和二〇三五年远景目标纲要</w:t>
            </w:r>
            <w:r>
              <w:rPr>
                <w:rFonts w:hint="eastAsia" w:ascii="Times New Roman" w:hAnsi="Times New Roman" w:eastAsia="宋体" w:cs="宋体"/>
                <w:color w:val="auto"/>
                <w:highlight w:val="none"/>
                <w:lang w:val="en-US" w:eastAsia="zh-CN"/>
              </w:rPr>
              <w:t>》“第二章  积极推进生态环境治理”要求：严格土壤污染风险管控。全面推进土壤污染防治工作，建设土壤环境质量监测网络，实现监测点位所有县市全覆盖，强化涉重金属污染防控，防止重金属流入耕地。加强土壤重点行业企业监管，定期向社会公布监测结果。加强工业固废和危险废物的收集、处置和利用，实现废物资源化、减量化、无害化。严把重点企业污染地块土壤治理和修复审核，建立自然资源和生态环境部门共同监管机制。加强土壤和地下水环境状况监测及尾矿库环境风险管理。加快医疗废物处置能力建设，建立健全医疗废物集中收集处置体系。完善生活垃圾收运及处理处置体系，全面实施生活垃圾分类，推进库尔勒市周边生活垃圾集中收集进行焚烧发电等综合处置。</w:t>
            </w:r>
          </w:p>
          <w:p>
            <w:pPr>
              <w:pStyle w:val="6"/>
              <w:bidi w:val="0"/>
              <w:rPr>
                <w:rFonts w:hint="default" w:ascii="Times New Roman" w:hAnsi="Times New Roman" w:eastAsia="宋体" w:cs="宋体"/>
                <w:color w:val="auto"/>
                <w:highlight w:val="none"/>
                <w:lang w:val="en-US" w:eastAsia="zh-CN"/>
              </w:rPr>
            </w:pPr>
            <w:r>
              <w:rPr>
                <w:rFonts w:hint="eastAsia"/>
                <w:color w:val="auto"/>
                <w:highlight w:val="none"/>
                <w:lang w:val="en-US" w:eastAsia="zh-CN"/>
              </w:rPr>
              <w:t>本项目以固体废物电石渣、粉煤灰、脱硫石膏作为原料，可有效利用上游企业产生的工业固体废物，有利于实现工业固废的“资源化、减量化、无害化”，符合纲要要求。</w:t>
            </w:r>
          </w:p>
          <w:p>
            <w:pPr>
              <w:pStyle w:val="4"/>
              <w:bidi w:val="0"/>
              <w:rPr>
                <w:rFonts w:hint="default"/>
                <w:color w:val="auto"/>
                <w:highlight w:val="none"/>
                <w:lang w:val="en-US" w:eastAsia="zh-CN"/>
              </w:rPr>
            </w:pPr>
            <w:r>
              <w:rPr>
                <w:rFonts w:hint="eastAsia"/>
                <w:color w:val="auto"/>
                <w:highlight w:val="none"/>
                <w:lang w:val="en-US" w:eastAsia="zh-CN"/>
              </w:rPr>
              <w:t>1.3.4 《巴音郭楞蒙古自治州生态环境“十四五”规划（修订版）》符合性分析</w:t>
            </w:r>
          </w:p>
          <w:p>
            <w:pPr>
              <w:pStyle w:val="6"/>
              <w:bidi w:val="0"/>
              <w:rPr>
                <w:rFonts w:hint="default"/>
                <w:color w:val="auto"/>
                <w:highlight w:val="none"/>
                <w:lang w:val="en-US" w:eastAsia="zh-CN"/>
              </w:rPr>
            </w:pPr>
            <w:r>
              <w:rPr>
                <w:rFonts w:hint="eastAsia"/>
                <w:color w:val="auto"/>
                <w:highlight w:val="none"/>
                <w:lang w:val="en-US" w:eastAsia="zh-CN"/>
              </w:rPr>
              <w:t>根据《巴音郭楞蒙古自治州生态环境“十四五”规划（修订版）》（巴党发〔2025〕2号）“第五章 强化大气联防联治，持续改善空气质量 第二节 推进重点行业领域多污染源治理”要求：深入实施燃煤锅炉、工业炉窑综合治理。城市建成区35蒸吨/小时及以下的燃煤锅炉全部淘汰或实施清洁能源替代；推动65蒸吨/小时及以上的燃煤锅炉全部实现超低排放改造，实施燃气锅炉低氮改造。深入实施《自治州工业炉窑大气污染综合治理实施方案》，健全完善全州工业窑炉大气污染综合治理管理体系，推进工业窑炉全面达标排放，全面加强无组织排放管理；库尔勒区域(库尔勒市、兵团第二师铁门关市、库尔勒经济技术开发区、第二师铁门关经济技术开发区、焉耆县河北生态产业园)工业窑炉装备和污染治理水平明显提高，实现工业行业二氧化硫、氮氧化物、颗粒物等污染物排放进一步下降，协同促进钢铁、建材等重点行业二氧化碳排放有效控制，推动环境空气质量持续改善和产业高质量发展。</w:t>
            </w:r>
          </w:p>
          <w:p>
            <w:pPr>
              <w:pStyle w:val="6"/>
              <w:bidi w:val="0"/>
              <w:rPr>
                <w:rFonts w:hint="eastAsia"/>
                <w:color w:val="auto"/>
                <w:highlight w:val="none"/>
                <w:lang w:val="en-US" w:eastAsia="zh-CN"/>
              </w:rPr>
            </w:pPr>
            <w:r>
              <w:rPr>
                <w:rFonts w:hint="eastAsia"/>
                <w:color w:val="auto"/>
                <w:highlight w:val="none"/>
                <w:lang w:val="en-US" w:eastAsia="zh-CN"/>
              </w:rPr>
              <w:t>本项目采用电磁回转窑，以电能替代固体燃料（碳）和气体燃料（天然气），可有效减少污染物产生，并对推进工业炉窑大气污染物综合治理起到积极作用，故项目实施符合规划要求。</w:t>
            </w:r>
          </w:p>
          <w:p>
            <w:pPr>
              <w:pStyle w:val="4"/>
              <w:bidi w:val="0"/>
              <w:rPr>
                <w:rFonts w:hint="eastAsia"/>
                <w:color w:val="auto"/>
                <w:highlight w:val="none"/>
                <w:lang w:val="en-US" w:eastAsia="zh-CN"/>
              </w:rPr>
            </w:pPr>
            <w:r>
              <w:rPr>
                <w:rFonts w:hint="eastAsia"/>
                <w:color w:val="auto"/>
                <w:highlight w:val="none"/>
                <w:lang w:val="en-US" w:eastAsia="zh-CN"/>
              </w:rPr>
              <w:t>1.3.5 《库尔勒市国民经济和社会发展第十四个五年规划和二O三五年远景目标纲要》符合性分析</w:t>
            </w:r>
          </w:p>
          <w:p>
            <w:pPr>
              <w:pStyle w:val="6"/>
              <w:bidi w:val="0"/>
              <w:rPr>
                <w:rFonts w:hint="eastAsia"/>
                <w:color w:val="auto"/>
                <w:highlight w:val="none"/>
                <w:lang w:val="en-US" w:eastAsia="zh-CN"/>
              </w:rPr>
            </w:pPr>
            <w:r>
              <w:rPr>
                <w:rFonts w:hint="eastAsia"/>
                <w:color w:val="auto"/>
                <w:highlight w:val="none"/>
                <w:lang w:val="en-US" w:eastAsia="zh-CN"/>
              </w:rPr>
              <w:t>根据《库尔勒市国民经济和社会发展第十四个五年规划和二O三五年远景目标纲要》第十一章 坚持绿色发展，绘制“山水梨城”新画卷 要求：打好净土保卫战。建立并实行严格的土壤环境保护制度，持续推进土壤污染状况详查，建立土壤环境监测网络，强化土壤污染治理和土壤环境监管技术支撑。强化农业面源污染防控，推进地膜覆盖减量化，产品标准化，完善地膜回收机制。合理使用化肥，减少农药用量，加强农药包装废弃物回收处理，实施生态农业循环项目和畜禽粪污资源化利用整县推进项目。加强对石油开采、石油加工、煤化工等土壤污染重点行业企业的监督管理，加强废渣、煤矸石、炉渣等工业固体废物处置。提高危险废物处理水平，推进医疗废物安全处置。开展问题尾矿库整治，全力推进矿山复垦工作。加大耕地土壤环境保护力度，实施耕地质量保护与提升行动计划，推动受污染耕地安全利用。以城镇周边、工矿企业、集中污染治理设施周边、重金属污染防治重点区域、集中式饮用水水源地周边、废弃物堆存场地等区域被污染耕地和被污染地块为重点，加强工业固体废物、废旧电子电器产品处置，危险废物处置，实施土壤污染治理与修复试点示范项目。</w:t>
            </w:r>
          </w:p>
          <w:p>
            <w:pPr>
              <w:pStyle w:val="6"/>
              <w:bidi w:val="0"/>
              <w:rPr>
                <w:rFonts w:hint="default" w:ascii="Times New Roman" w:hAnsi="Times New Roman" w:eastAsia="宋体" w:cs="宋体"/>
                <w:color w:val="auto"/>
                <w:highlight w:val="none"/>
                <w:lang w:val="en-US" w:eastAsia="zh-CN"/>
              </w:rPr>
            </w:pPr>
            <w:r>
              <w:rPr>
                <w:rFonts w:hint="eastAsia"/>
                <w:color w:val="auto"/>
                <w:highlight w:val="none"/>
                <w:lang w:val="en-US" w:eastAsia="zh-CN"/>
              </w:rPr>
              <w:t>本项目以固体废物电石渣、粉煤灰、脱硫石膏作为原料，可有效利用上游企业产生的工业固体废物，属于“废渣、煤矸石、炉渣等工业固体废物处置”，符合纲要要求。</w:t>
            </w:r>
          </w:p>
          <w:p>
            <w:pPr>
              <w:pStyle w:val="4"/>
              <w:bidi w:val="0"/>
              <w:rPr>
                <w:rFonts w:hint="default"/>
                <w:color w:val="auto"/>
                <w:highlight w:val="none"/>
                <w:lang w:val="en-US" w:eastAsia="zh-CN"/>
              </w:rPr>
            </w:pPr>
            <w:r>
              <w:rPr>
                <w:rFonts w:hint="eastAsia"/>
                <w:color w:val="auto"/>
                <w:highlight w:val="none"/>
                <w:lang w:val="en-US" w:eastAsia="zh-CN"/>
              </w:rPr>
              <w:t>1.3.6 《新疆巴州库尔勒市“十四五”生态环境保护规划》符合性分析</w:t>
            </w:r>
          </w:p>
          <w:p>
            <w:pPr>
              <w:pStyle w:val="6"/>
              <w:bidi w:val="0"/>
              <w:rPr>
                <w:rFonts w:hint="eastAsia"/>
                <w:color w:val="auto"/>
                <w:highlight w:val="none"/>
                <w:lang w:val="en-US" w:eastAsia="zh-CN"/>
              </w:rPr>
            </w:pPr>
            <w:r>
              <w:rPr>
                <w:rFonts w:hint="eastAsia"/>
                <w:color w:val="auto"/>
                <w:highlight w:val="none"/>
                <w:lang w:val="en-US" w:eastAsia="zh-CN"/>
              </w:rPr>
              <w:t>根据《新疆巴州库尔勒市“十四五”生态环境保护规划》要求，3.2强化大气环境治理，持续改善空气质量 以改善大气环境质量为核心，强化大气污染防治工作。采取分区控制与区域协作相结合，强化重点区域、重点行业、重点企业的污染防治，有效控制煤炭消费总量，逐步提高风电、光伏发电比例，科学施策、精准治沙，落实大气污染防治工作。大力开展扬尘污染防治执法检查工作，持续深入推进扬尘、柴油货车、工矿企业粉尘、工业炉窑、棉花加工、种子加工、清洁供暖、挥发性有机物（VOCs）等污染治理，全面提升重污染天气应对能力和环境监测监控能力；规范全市餐饮行业环保工作；强化大气兵地联防联控工作会商、协调，共同推进联防联治大气污染防治，层层压实责任，着力解决制约区域环境空气质量改善的矛盾问题，全力以赴打赢蓝天保卫战。</w:t>
            </w:r>
          </w:p>
          <w:p>
            <w:pPr>
              <w:pStyle w:val="6"/>
              <w:bidi w:val="0"/>
              <w:rPr>
                <w:rFonts w:hint="eastAsia"/>
                <w:color w:val="auto"/>
                <w:highlight w:val="none"/>
                <w:lang w:val="en-US" w:eastAsia="zh-CN"/>
              </w:rPr>
            </w:pPr>
            <w:r>
              <w:rPr>
                <w:rFonts w:hint="eastAsia"/>
                <w:color w:val="auto"/>
                <w:highlight w:val="none"/>
                <w:lang w:val="en-US" w:eastAsia="zh-CN"/>
              </w:rPr>
              <w:t>本项目原料在密闭料仓经螺旋输送机输送至电磁回转窑加热干燥后，产品经风冷刮板机冷却后，经气力输送设备经管线输送至成品仓，窑头落料端干燥器废气通过双筒预热器给原料预热后，经过“旋风除尘器+布袋除尘器”处理，由15m排气筒达标排放，全流程采用密闭系统，有利于持续深入推进扬尘等污染治理；原料仓和成品仓呼吸气经布袋除尘器处理后无组织排放；项目采用电磁回转窑，以电能替代固体燃料（碳）和气体燃料（天然气），可有效减少污染物产生，项目实施有利于强化大气污染防治工作，故项目实施满足新疆巴州库尔勒市“十四五”生态环境保护规划要求。</w:t>
            </w:r>
          </w:p>
          <w:p>
            <w:pPr>
              <w:pStyle w:val="3"/>
              <w:bidi w:val="0"/>
              <w:rPr>
                <w:rFonts w:hint="eastAsia"/>
                <w:color w:val="auto"/>
                <w:highlight w:val="none"/>
                <w:lang w:val="en-US" w:eastAsia="zh-CN"/>
              </w:rPr>
            </w:pPr>
            <w:r>
              <w:rPr>
                <w:rFonts w:hint="eastAsia"/>
                <w:color w:val="auto"/>
                <w:highlight w:val="none"/>
                <w:lang w:val="en-US" w:eastAsia="zh-CN"/>
              </w:rPr>
              <w:t>1.4 库尔勒市国土空间总体规划（2021-2035年）符合性分析</w:t>
            </w:r>
          </w:p>
          <w:p>
            <w:pPr>
              <w:pStyle w:val="6"/>
              <w:bidi w:val="0"/>
              <w:rPr>
                <w:rFonts w:hint="eastAsia"/>
                <w:color w:val="auto"/>
                <w:highlight w:val="none"/>
                <w:lang w:val="en-US" w:eastAsia="zh-CN"/>
              </w:rPr>
            </w:pPr>
            <w:r>
              <w:rPr>
                <w:rFonts w:hint="eastAsia"/>
                <w:color w:val="auto"/>
                <w:highlight w:val="none"/>
                <w:lang w:val="en-US" w:eastAsia="zh-CN"/>
              </w:rPr>
              <w:t>根据《库尔勒市国土空间总体规划（2021-2035年）》要求：</w:t>
            </w:r>
          </w:p>
          <w:p>
            <w:pPr>
              <w:pStyle w:val="6"/>
              <w:bidi w:val="0"/>
              <w:rPr>
                <w:rFonts w:hint="eastAsia"/>
                <w:color w:val="auto"/>
                <w:highlight w:val="none"/>
                <w:lang w:val="en-US" w:eastAsia="zh-CN"/>
              </w:rPr>
            </w:pPr>
            <w:r>
              <w:rPr>
                <w:rFonts w:hint="eastAsia"/>
                <w:color w:val="auto"/>
                <w:highlight w:val="none"/>
                <w:lang w:val="en-US" w:eastAsia="zh-CN"/>
              </w:rPr>
              <w:t>第25条 国土空间用途结构优化。建设用地结构调整。优化建设用地布局与结构，优先保障中心城区、重大产业平台。充分保障中心城区和上库园区等重大战略发展空间和重大项目的新增建设用地需求，建立完善建设用地绩效评估和退出制度，加强存量用地使用，推进低效闲置建设用地整治力度，全面提升用地空间绩效水平，鼓励推进产业用地功能复合化，分类引导村庄用地布局，优先保障特色传统村落和集聚提升村落基础设施配套和产业用地，推进农村垮塌、闲散建设用地整治和矿山治理。至2035年，建设用地适度增加。</w:t>
            </w:r>
          </w:p>
          <w:p>
            <w:pPr>
              <w:pStyle w:val="6"/>
              <w:bidi w:val="0"/>
              <w:rPr>
                <w:rFonts w:hint="eastAsia"/>
                <w:color w:val="auto"/>
                <w:highlight w:val="none"/>
                <w:lang w:val="en-US" w:eastAsia="zh-CN"/>
              </w:rPr>
            </w:pPr>
            <w:r>
              <w:rPr>
                <w:rFonts w:hint="eastAsia"/>
                <w:color w:val="auto"/>
                <w:highlight w:val="none"/>
                <w:lang w:val="en-US" w:eastAsia="zh-CN"/>
              </w:rPr>
              <w:t>第52条 用水结构优化。保证生态和生活用水、集约农业用水、调配工业用水。优质水源优先保障生活用水的原则，落实最严格水资源管理制度和工业项目水耗标准。</w:t>
            </w:r>
          </w:p>
          <w:p>
            <w:pPr>
              <w:pStyle w:val="6"/>
              <w:bidi w:val="0"/>
              <w:rPr>
                <w:rFonts w:hint="eastAsia"/>
                <w:color w:val="auto"/>
                <w:highlight w:val="none"/>
                <w:lang w:val="en-US" w:eastAsia="zh-CN"/>
              </w:rPr>
            </w:pPr>
            <w:r>
              <w:rPr>
                <w:rFonts w:hint="eastAsia"/>
                <w:color w:val="auto"/>
                <w:highlight w:val="none"/>
                <w:lang w:val="en-US" w:eastAsia="zh-CN"/>
              </w:rPr>
              <w:t>根据规划中库尔勒市人民政府2023年5月编制的“市域国土空间用地现状图”和“市域国土空间控制线规划图”，本项目位于城镇开发边界以内，用地性质为工业用地（详见图1.4-1和图1.4-2），本项目用地性质为工业用地（详见附件4土地证），同时位于现有厂区内，可提高现有厂区建设用地利用率，提高厂区用地空间绩效水平，符合国土空间用途结构优化中的“全面提高用地空间绩效水平”；同时项目无生产用水，不新增工业用水指标，满足工业项目水耗标准。</w:t>
            </w:r>
          </w:p>
          <w:p>
            <w:pPr>
              <w:pStyle w:val="65"/>
              <w:bidi w:val="0"/>
              <w:rPr>
                <w:rFonts w:hint="eastAsia"/>
                <w:color w:val="auto"/>
                <w:highlight w:val="none"/>
                <w:lang w:val="en-US" w:eastAsia="zh-CN"/>
              </w:rPr>
            </w:pPr>
          </w:p>
          <w:p>
            <w:pPr>
              <w:pStyle w:val="65"/>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5114925" cy="4430395"/>
                  <wp:effectExtent l="0" t="0" r="9525" b="8255"/>
                  <wp:docPr id="2" name="图片 2" descr="敏宇——市域国土空间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敏宇——市域国土空间控制线规划图"/>
                          <pic:cNvPicPr>
                            <a:picLocks noChangeAspect="1"/>
                          </pic:cNvPicPr>
                        </pic:nvPicPr>
                        <pic:blipFill>
                          <a:blip r:embed="rId24"/>
                          <a:stretch>
                            <a:fillRect/>
                          </a:stretch>
                        </pic:blipFill>
                        <pic:spPr>
                          <a:xfrm>
                            <a:off x="0" y="0"/>
                            <a:ext cx="5114925" cy="4430395"/>
                          </a:xfrm>
                          <a:prstGeom prst="rect">
                            <a:avLst/>
                          </a:prstGeom>
                        </pic:spPr>
                      </pic:pic>
                    </a:graphicData>
                  </a:graphic>
                </wp:inline>
              </w:drawing>
            </w:r>
          </w:p>
          <w:p>
            <w:pPr>
              <w:pStyle w:val="65"/>
              <w:bidi w:val="0"/>
              <w:rPr>
                <w:rFonts w:hint="default"/>
                <w:color w:val="auto"/>
                <w:highlight w:val="none"/>
                <w:lang w:val="en-US" w:eastAsia="zh-CN"/>
              </w:rPr>
            </w:pPr>
            <w:r>
              <w:rPr>
                <w:rFonts w:hint="eastAsia"/>
                <w:color w:val="auto"/>
                <w:highlight w:val="none"/>
                <w:lang w:val="en-US" w:eastAsia="zh-CN"/>
              </w:rPr>
              <w:t>图1.4-1  市域国土空间控制规划图（项目位于城镇开发边界内）</w:t>
            </w: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5"/>
              <w:bidi w:val="0"/>
              <w:rPr>
                <w:rFonts w:hint="eastAsia"/>
                <w:color w:val="auto"/>
                <w:highlight w:val="none"/>
                <w:lang w:val="en-US" w:eastAsia="zh-CN"/>
              </w:rPr>
            </w:pPr>
            <w:r>
              <w:rPr>
                <w:rFonts w:hint="eastAsia"/>
                <w:color w:val="auto"/>
                <w:highlight w:val="none"/>
                <w:lang w:val="en-US" w:eastAsia="zh-CN"/>
              </w:rPr>
              <w:drawing>
                <wp:inline distT="0" distB="0" distL="114300" distR="114300">
                  <wp:extent cx="5114925" cy="4430395"/>
                  <wp:effectExtent l="0" t="0" r="9525" b="8255"/>
                  <wp:docPr id="12" name="图片 12" descr="敏宇——市域国土空间用地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敏宇——市域国土空间用地现状图"/>
                          <pic:cNvPicPr>
                            <a:picLocks noChangeAspect="1"/>
                          </pic:cNvPicPr>
                        </pic:nvPicPr>
                        <pic:blipFill>
                          <a:blip r:embed="rId25"/>
                          <a:stretch>
                            <a:fillRect/>
                          </a:stretch>
                        </pic:blipFill>
                        <pic:spPr>
                          <a:xfrm>
                            <a:off x="0" y="0"/>
                            <a:ext cx="5114925" cy="4430395"/>
                          </a:xfrm>
                          <a:prstGeom prst="rect">
                            <a:avLst/>
                          </a:prstGeom>
                        </pic:spPr>
                      </pic:pic>
                    </a:graphicData>
                  </a:graphic>
                </wp:inline>
              </w:drawing>
            </w:r>
          </w:p>
          <w:p>
            <w:pPr>
              <w:pStyle w:val="37"/>
              <w:bidi w:val="0"/>
              <w:rPr>
                <w:rFonts w:hint="eastAsia"/>
                <w:color w:val="auto"/>
                <w:highlight w:val="none"/>
                <w:lang w:val="en-US" w:eastAsia="zh-CN"/>
              </w:rPr>
            </w:pPr>
            <w:r>
              <w:rPr>
                <w:rFonts w:hint="eastAsia"/>
                <w:color w:val="auto"/>
                <w:highlight w:val="none"/>
                <w:lang w:val="en-US" w:eastAsia="zh-CN"/>
              </w:rPr>
              <w:t>图1.4-1  市域国土空间用地现状图（项目用地为工业用地）</w:t>
            </w:r>
          </w:p>
          <w:p>
            <w:pPr>
              <w:pStyle w:val="3"/>
              <w:bidi w:val="0"/>
              <w:rPr>
                <w:rFonts w:hint="default"/>
                <w:color w:val="auto"/>
                <w:highlight w:val="none"/>
                <w:lang w:val="en-US" w:eastAsia="zh-CN"/>
              </w:rPr>
            </w:pPr>
            <w:r>
              <w:rPr>
                <w:rFonts w:hint="eastAsia"/>
                <w:color w:val="auto"/>
                <w:highlight w:val="none"/>
                <w:lang w:val="en-US" w:eastAsia="zh-CN"/>
              </w:rPr>
              <w:t>1.5 《关于印发&lt;固体废物综合治理行动计划&gt;的通知》符合性分析</w:t>
            </w:r>
          </w:p>
          <w:p>
            <w:pPr>
              <w:pStyle w:val="6"/>
              <w:bidi w:val="0"/>
              <w:rPr>
                <w:rFonts w:hint="eastAsia"/>
                <w:color w:val="auto"/>
                <w:highlight w:val="none"/>
                <w:lang w:val="en-US" w:eastAsia="zh-CN"/>
              </w:rPr>
            </w:pPr>
            <w:r>
              <w:rPr>
                <w:rFonts w:hint="eastAsia"/>
                <w:color w:val="auto"/>
                <w:highlight w:val="none"/>
                <w:lang w:val="en-US" w:eastAsia="zh-CN"/>
              </w:rPr>
              <w:t>根据《关于印发&lt;固体废物综合治理行动计划&gt;的通知》（国发〔2025〕14号）要求：一 总体要求 以习近平新时代中国特色社会主义思想为指导，深入贯彻党的二十大和二十届历次全会精神，完整准确全面贯彻新发展理念，按照减量化、资源化、无害化的原则，坚持系统推进和重点攻坚，加快补齐短板弱项，紧盯重点领域、重点地区、重点问题，深入开展专项整治，严格实施闭环管理，构建源头减量、过程管控、末端利用和全链条无害化管理的固体废物综合治理体系，优先治理与群众生活、安全生产密切相关的固体废物，加快完善综合治理长效机制，坚决遏制固体废物增长势头。</w:t>
            </w:r>
          </w:p>
          <w:p>
            <w:pPr>
              <w:pStyle w:val="6"/>
              <w:bidi w:val="0"/>
              <w:rPr>
                <w:rFonts w:hint="eastAsia"/>
                <w:color w:val="auto"/>
                <w:highlight w:val="none"/>
                <w:lang w:val="en-US" w:eastAsia="zh-CN"/>
              </w:rPr>
            </w:pPr>
            <w:r>
              <w:rPr>
                <w:rFonts w:hint="eastAsia"/>
                <w:color w:val="auto"/>
                <w:highlight w:val="none"/>
                <w:lang w:val="en-US" w:eastAsia="zh-CN"/>
              </w:rPr>
              <w:t>项目以固体废物电石渣、粉煤灰、脱硫石膏作为原料，可有效利用上游企业产生的工业固体废物，符合固体废物“减量化、资源化、无害化”原则，项目实施符合通知要求。</w:t>
            </w:r>
          </w:p>
          <w:p>
            <w:pPr>
              <w:pStyle w:val="3"/>
              <w:bidi w:val="0"/>
              <w:rPr>
                <w:rFonts w:hint="default"/>
                <w:color w:val="auto"/>
                <w:highlight w:val="none"/>
                <w:lang w:val="en-US" w:eastAsia="zh-CN"/>
              </w:rPr>
            </w:pPr>
            <w:r>
              <w:rPr>
                <w:rFonts w:hint="eastAsia"/>
                <w:color w:val="auto"/>
                <w:highlight w:val="none"/>
                <w:lang w:val="en-US" w:eastAsia="zh-CN"/>
              </w:rPr>
              <w:t>1.6 《固体废物再生利用污染防治技术导则》符合性分析</w:t>
            </w:r>
          </w:p>
          <w:p>
            <w:pPr>
              <w:pStyle w:val="6"/>
              <w:bidi w:val="0"/>
              <w:rPr>
                <w:rFonts w:hint="eastAsia"/>
                <w:color w:val="auto"/>
                <w:highlight w:val="none"/>
                <w:lang w:val="en-US" w:eastAsia="zh-CN"/>
              </w:rPr>
            </w:pPr>
            <w:r>
              <w:rPr>
                <w:rFonts w:hint="eastAsia"/>
                <w:color w:val="auto"/>
                <w:highlight w:val="none"/>
                <w:lang w:val="en-US" w:eastAsia="zh-CN"/>
              </w:rPr>
              <w:t>根据《固体废物再生利用污染防治技术导则》（HJ1091-2020）相关要求：</w:t>
            </w:r>
          </w:p>
          <w:p>
            <w:pPr>
              <w:pStyle w:val="6"/>
              <w:bidi w:val="0"/>
              <w:rPr>
                <w:rFonts w:hint="default"/>
                <w:color w:val="auto"/>
                <w:highlight w:val="none"/>
                <w:lang w:val="en-US" w:eastAsia="zh-CN"/>
              </w:rPr>
            </w:pPr>
            <w:r>
              <w:rPr>
                <w:rFonts w:hint="default"/>
                <w:color w:val="auto"/>
                <w:highlight w:val="none"/>
                <w:lang w:val="en-US" w:eastAsia="zh-CN"/>
              </w:rPr>
              <w:t>4.7</w:t>
            </w:r>
            <w:r>
              <w:rPr>
                <w:rFonts w:hint="eastAsia"/>
                <w:color w:val="auto"/>
                <w:highlight w:val="none"/>
                <w:lang w:val="en-US" w:eastAsia="zh-CN"/>
              </w:rPr>
              <w:t xml:space="preserve"> </w:t>
            </w:r>
            <w:r>
              <w:rPr>
                <w:rFonts w:hint="default"/>
                <w:color w:val="auto"/>
                <w:highlight w:val="none"/>
                <w:lang w:val="en-US" w:eastAsia="zh-CN"/>
              </w:rPr>
              <w:t>固体废物再生利用产物作为产品的，应符合GB34330中要求的国家、地方制定或行业通行的产品质量标准，与国家相关污染控制标准或技术规范要求，包括该产物生产过程中排放到环境中的特征污染物含量标准和该产物中特征污染物的含量标准。</w:t>
            </w:r>
          </w:p>
          <w:p>
            <w:pPr>
              <w:pStyle w:val="6"/>
              <w:bidi w:val="0"/>
              <w:rPr>
                <w:rFonts w:hint="eastAsia"/>
                <w:color w:val="auto"/>
                <w:highlight w:val="none"/>
                <w:lang w:val="en-US" w:eastAsia="zh-CN"/>
              </w:rPr>
            </w:pPr>
            <w:r>
              <w:rPr>
                <w:rFonts w:hint="eastAsia"/>
                <w:color w:val="auto"/>
                <w:highlight w:val="none"/>
                <w:lang w:val="en-US" w:eastAsia="zh-CN"/>
              </w:rPr>
              <w:t>5.1.1 进行再生利用作业前，应明确固体废物的理化特性，并采取相应的安全防护措施，以防止固体废物在清洗、破碎、中和反应等过程中引起有毒有害物质的释放。</w:t>
            </w:r>
          </w:p>
          <w:p>
            <w:pPr>
              <w:pStyle w:val="6"/>
              <w:bidi w:val="0"/>
              <w:rPr>
                <w:rFonts w:hint="eastAsia"/>
                <w:color w:val="auto"/>
                <w:highlight w:val="none"/>
                <w:lang w:val="en-US" w:eastAsia="zh-CN"/>
              </w:rPr>
            </w:pPr>
            <w:r>
              <w:rPr>
                <w:rFonts w:hint="eastAsia"/>
                <w:color w:val="auto"/>
                <w:highlight w:val="none"/>
                <w:lang w:val="en-US" w:eastAsia="zh-CN"/>
              </w:rPr>
              <w:t>本项目以电石渣、粉煤灰、脱硫石膏作为原料，根据《固体废物分类与代码目录》(公告2024年 第4号)，电石渣废物代码SW16 261-003-S16，粉煤灰废物代码SW02 900-002-S02，脱硫石膏废物代码SW06 441-001-S06，均属于一般工业固体废物，不涉及有毒有害物质的释放；项目产品为工业氧化钙、用于水泥和混凝土的粉煤灰、建筑石膏，对应执行的标准分别为《工业氧化钙》（HG/T 4205-2024）、《用于水泥和混凝土中的粉煤灰》（GB/T 1596-2017）和《建筑石膏》（GB/T 9776-2022）。综上所述，本项目建设符合导则要求。</w:t>
            </w:r>
          </w:p>
          <w:p>
            <w:pPr>
              <w:pStyle w:val="3"/>
              <w:bidi w:val="0"/>
              <w:rPr>
                <w:rFonts w:hint="eastAsia"/>
                <w:color w:val="auto"/>
                <w:highlight w:val="none"/>
                <w:lang w:val="en-US" w:eastAsia="zh-CN"/>
              </w:rPr>
            </w:pPr>
            <w:r>
              <w:rPr>
                <w:rFonts w:hint="eastAsia"/>
                <w:color w:val="auto"/>
                <w:highlight w:val="none"/>
                <w:lang w:val="en-US" w:eastAsia="zh-CN"/>
              </w:rPr>
              <w:t>1.7 《新疆维吾尔自治区2025年空气质量持续改善行动实施方案》符合性分析</w:t>
            </w:r>
          </w:p>
          <w:p>
            <w:pPr>
              <w:pStyle w:val="6"/>
              <w:bidi w:val="0"/>
              <w:rPr>
                <w:rFonts w:hint="eastAsia"/>
                <w:color w:val="auto"/>
                <w:highlight w:val="none"/>
                <w:lang w:val="en-US" w:eastAsia="zh-CN"/>
              </w:rPr>
            </w:pPr>
            <w:r>
              <w:rPr>
                <w:rFonts w:hint="eastAsia"/>
                <w:color w:val="auto"/>
                <w:highlight w:val="none"/>
                <w:lang w:val="en-US" w:eastAsia="zh-CN"/>
              </w:rPr>
              <w:t>根据《自治区人民政府办公厅 新疆生产建设兵团办公厅关于印发&lt;新疆维吾尔自治区2025年空气质量持续改善行动实施方案&gt;的通知》（新政办发〔2024〕58号）要求：（七）持续推进工业炉窑清洁能源替代。有序推进以电代煤，稳妥推进以气代煤。联防联控区原则上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p>
            <w:pPr>
              <w:pStyle w:val="6"/>
              <w:bidi w:val="0"/>
              <w:rPr>
                <w:rFonts w:hint="eastAsia"/>
                <w:color w:val="auto"/>
                <w:highlight w:val="none"/>
                <w:lang w:val="en-US" w:eastAsia="zh-CN"/>
              </w:rPr>
            </w:pPr>
            <w:r>
              <w:rPr>
                <w:rFonts w:hint="eastAsia"/>
                <w:color w:val="auto"/>
                <w:highlight w:val="none"/>
                <w:lang w:val="en-US" w:eastAsia="zh-CN"/>
              </w:rPr>
              <w:t>本项目主要生产设备为电磁回转窑，以电能替代固体燃料（碳）和气体燃料（天然气），以减少污染物产生，本项目符合方案要求。</w:t>
            </w:r>
          </w:p>
          <w:p>
            <w:pPr>
              <w:pStyle w:val="3"/>
              <w:bidi w:val="0"/>
              <w:rPr>
                <w:rFonts w:hint="eastAsia"/>
                <w:color w:val="auto"/>
                <w:highlight w:val="none"/>
                <w:lang w:val="en-US" w:eastAsia="zh-CN"/>
              </w:rPr>
            </w:pPr>
            <w:r>
              <w:rPr>
                <w:rFonts w:hint="eastAsia"/>
                <w:color w:val="auto"/>
                <w:highlight w:val="none"/>
                <w:lang w:val="en-US" w:eastAsia="zh-CN"/>
              </w:rPr>
              <w:t>1.8 《自治州大气污染防治三年攻坚行动方案（2023-2025年）》符合性分析</w:t>
            </w:r>
          </w:p>
          <w:p>
            <w:pPr>
              <w:pStyle w:val="6"/>
              <w:bidi w:val="0"/>
              <w:rPr>
                <w:rFonts w:hint="eastAsia"/>
                <w:color w:val="auto"/>
                <w:highlight w:val="none"/>
                <w:lang w:val="en-US" w:eastAsia="zh-CN"/>
              </w:rPr>
            </w:pPr>
            <w:r>
              <w:rPr>
                <w:rFonts w:hint="eastAsia"/>
                <w:color w:val="auto"/>
                <w:highlight w:val="none"/>
                <w:lang w:val="en-US" w:eastAsia="zh-CN"/>
              </w:rPr>
              <w:t>根据《关于印发&lt;自治州大气污染防治三年攻坚行动方案（2023-2025年）&gt;等通知》（巴政发〔2023〕27号）要求：实施工业炉窑清洁能源替代和升级改造。大力推进电能替代煤炭，积极稳妥推进以气代煤。新、改、扩建加热炉、热处理炉、干燥炉、熔化炉，采用清洁低碳能源，不得使用高污染燃料（煤、石油焦、渣油、重油等）。</w:t>
            </w:r>
          </w:p>
          <w:p>
            <w:pPr>
              <w:pStyle w:val="6"/>
              <w:bidi w:val="0"/>
              <w:rPr>
                <w:rFonts w:hint="eastAsia"/>
                <w:color w:val="auto"/>
                <w:highlight w:val="none"/>
                <w:lang w:val="en-US" w:eastAsia="zh-CN"/>
              </w:rPr>
            </w:pPr>
            <w:r>
              <w:rPr>
                <w:rFonts w:hint="eastAsia"/>
                <w:color w:val="auto"/>
                <w:highlight w:val="none"/>
                <w:lang w:val="en-US" w:eastAsia="zh-CN"/>
              </w:rPr>
              <w:t>本项目主要生产设备为电磁回转窑，以电能替代固体燃料（碳）和气体燃料（天然气），符合方案要求。</w:t>
            </w:r>
          </w:p>
          <w:p>
            <w:pPr>
              <w:pStyle w:val="3"/>
              <w:bidi w:val="0"/>
              <w:rPr>
                <w:rFonts w:hint="eastAsia"/>
                <w:color w:val="auto"/>
                <w:highlight w:val="none"/>
                <w:lang w:val="en-US" w:eastAsia="zh-CN"/>
              </w:rPr>
            </w:pPr>
            <w:r>
              <w:rPr>
                <w:rFonts w:hint="eastAsia"/>
                <w:color w:val="auto"/>
                <w:highlight w:val="none"/>
                <w:lang w:val="en-US" w:eastAsia="zh-CN"/>
              </w:rPr>
              <w:t>1.9 《自治州固体废物污染防治实施方案》符合性分析</w:t>
            </w:r>
          </w:p>
          <w:p>
            <w:pPr>
              <w:pStyle w:val="6"/>
              <w:bidi w:val="0"/>
              <w:rPr>
                <w:rFonts w:hint="eastAsia"/>
                <w:color w:val="auto"/>
                <w:highlight w:val="none"/>
                <w:lang w:val="en-US" w:eastAsia="zh-CN"/>
              </w:rPr>
            </w:pPr>
            <w:r>
              <w:rPr>
                <w:rFonts w:hint="eastAsia"/>
                <w:color w:val="auto"/>
                <w:highlight w:val="none"/>
                <w:lang w:val="en-US" w:eastAsia="zh-CN"/>
              </w:rPr>
              <w:t>根据《关于印发&lt;自治州固体废物污染防治实施方案&gt;的通知》（巴政办发〔2018〕79号）要求：工业固体废物。经信部门组织开展全州冶炼废渣、粉煤灰、煤矸石、脱硫石膏等大宗固体废物综合利用的排查工作，加强对大宗工业固体废物综合利用的行业管理。推进工业固体废物减量化。大力发展循环经济，促进工业固体废物资源化综合利用。在确保无害化的前提下，鼓励将城镇生活、工业企业污水处理厂经处理合格的污泥用于生产新型建材、园林绿化和基质土改良。</w:t>
            </w:r>
          </w:p>
          <w:p>
            <w:pPr>
              <w:pStyle w:val="6"/>
              <w:bidi w:val="0"/>
              <w:rPr>
                <w:rFonts w:hint="default"/>
                <w:color w:val="auto"/>
                <w:highlight w:val="none"/>
                <w:lang w:val="en-US" w:eastAsia="zh-CN"/>
              </w:rPr>
            </w:pPr>
            <w:r>
              <w:rPr>
                <w:rFonts w:hint="eastAsia"/>
                <w:color w:val="auto"/>
                <w:highlight w:val="none"/>
                <w:lang w:val="en-US" w:eastAsia="zh-CN"/>
              </w:rPr>
              <w:t>项目以固体废物电石渣、粉煤灰、脱硫石膏作为原料，可有效利用上游企业产生的工业固体废物，有利于工业固体废物减量化，符合方案要求。</w:t>
            </w:r>
          </w:p>
          <w:p>
            <w:pPr>
              <w:pStyle w:val="3"/>
              <w:bidi w:val="0"/>
              <w:rPr>
                <w:rFonts w:hint="eastAsia"/>
                <w:color w:val="auto"/>
                <w:highlight w:val="none"/>
                <w:lang w:val="en-US" w:eastAsia="zh-CN"/>
              </w:rPr>
            </w:pPr>
            <w:r>
              <w:rPr>
                <w:rFonts w:hint="eastAsia"/>
                <w:color w:val="auto"/>
                <w:highlight w:val="none"/>
                <w:lang w:val="en-US" w:eastAsia="zh-CN"/>
              </w:rPr>
              <w:t>1.10 《关于印发库尔勒市大气污染防治三年攻坚行动方案（2023-2025年）的通知》符合性分析</w:t>
            </w:r>
          </w:p>
          <w:p>
            <w:pPr>
              <w:pStyle w:val="6"/>
              <w:bidi w:val="0"/>
              <w:rPr>
                <w:rFonts w:hint="eastAsia"/>
                <w:color w:val="auto"/>
                <w:highlight w:val="none"/>
                <w:lang w:val="en-US" w:eastAsia="zh-CN"/>
              </w:rPr>
            </w:pPr>
            <w:r>
              <w:rPr>
                <w:rFonts w:hint="eastAsia"/>
                <w:color w:val="auto"/>
                <w:highlight w:val="none"/>
                <w:lang w:val="en-US" w:eastAsia="zh-CN"/>
              </w:rPr>
              <w:t>根据《关于印发库尔勒市大气污染防治三年攻坚行动方案（2023-2025年）的通知》（库政办发〔2023〕31号）要求：实施工业炉窑清洁能源替代和升级改造。大力推进电能替代煤炭，积极稳妥推进以气代煤。新改、扩建加热炉、热处理炉、干燥炉、熔化炉，采用清洁低碳能源，不得使用高污染燃料（煤、石油焦、渣油、重油等）。</w:t>
            </w:r>
          </w:p>
          <w:p>
            <w:pPr>
              <w:pStyle w:val="6"/>
              <w:bidi w:val="0"/>
              <w:rPr>
                <w:rFonts w:hint="eastAsia"/>
                <w:color w:val="auto"/>
                <w:highlight w:val="none"/>
                <w:lang w:val="en-US" w:eastAsia="zh-CN"/>
              </w:rPr>
            </w:pPr>
            <w:r>
              <w:rPr>
                <w:rFonts w:hint="eastAsia"/>
                <w:color w:val="auto"/>
                <w:highlight w:val="none"/>
                <w:lang w:val="en-US" w:eastAsia="zh-CN"/>
              </w:rPr>
              <w:t>本项目主要生产设备为电磁回转窑，以电能替代固体燃料（碳）和气体燃料（天然气），以减少污染物产生，本项目符合通知要求。</w:t>
            </w:r>
          </w:p>
          <w:p>
            <w:pPr>
              <w:pStyle w:val="3"/>
              <w:bidi w:val="0"/>
              <w:rPr>
                <w:rFonts w:hint="eastAsia"/>
                <w:color w:val="auto"/>
                <w:highlight w:val="none"/>
                <w:lang w:val="en-US" w:eastAsia="zh-CN"/>
              </w:rPr>
            </w:pPr>
            <w:r>
              <w:rPr>
                <w:rFonts w:hint="eastAsia"/>
                <w:color w:val="auto"/>
                <w:highlight w:val="none"/>
                <w:lang w:val="en-US" w:eastAsia="zh-CN"/>
              </w:rPr>
              <w:t>1.11 《工业炉窑大气污染综合治理方案》符合性分析</w:t>
            </w:r>
          </w:p>
          <w:p>
            <w:pPr>
              <w:pStyle w:val="6"/>
              <w:bidi w:val="0"/>
              <w:rPr>
                <w:rFonts w:hint="eastAsia"/>
                <w:color w:val="auto"/>
                <w:highlight w:val="none"/>
                <w:lang w:val="en-US" w:eastAsia="zh-CN"/>
              </w:rPr>
            </w:pPr>
            <w:r>
              <w:rPr>
                <w:rFonts w:hint="eastAsia"/>
                <w:color w:val="auto"/>
                <w:highlight w:val="none"/>
                <w:lang w:val="en-US" w:eastAsia="zh-CN"/>
              </w:rPr>
              <w:t>根据《关于印发&lt;工业炉窑大气污染综合治理方案&gt;的通知》（环大气〔2019〕56号）要求：</w:t>
            </w:r>
          </w:p>
          <w:p>
            <w:pPr>
              <w:pStyle w:val="6"/>
              <w:bidi w:val="0"/>
              <w:rPr>
                <w:rFonts w:hint="eastAsia"/>
                <w:color w:val="auto"/>
                <w:highlight w:val="none"/>
              </w:rPr>
            </w:pPr>
            <w:r>
              <w:rPr>
                <w:rFonts w:hint="eastAsia"/>
                <w:color w:val="auto"/>
                <w:highlight w:val="none"/>
                <w:lang w:eastAsia="zh-CN"/>
              </w:rPr>
              <w:t>（</w:t>
            </w:r>
            <w:r>
              <w:rPr>
                <w:rFonts w:hint="eastAsia"/>
                <w:color w:val="auto"/>
                <w:highlight w:val="none"/>
              </w:rPr>
              <w:t>二</w:t>
            </w:r>
            <w:r>
              <w:rPr>
                <w:rFonts w:hint="eastAsia"/>
                <w:color w:val="auto"/>
                <w:highlight w:val="none"/>
                <w:lang w:eastAsia="zh-CN"/>
              </w:rPr>
              <w:t>）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p>
            <w:pPr>
              <w:pStyle w:val="6"/>
              <w:bidi w:val="0"/>
              <w:rPr>
                <w:rFonts w:hint="eastAsia"/>
                <w:color w:val="auto"/>
                <w:highlight w:val="none"/>
              </w:rPr>
            </w:pPr>
            <w:r>
              <w:rPr>
                <w:rFonts w:hint="eastAsia"/>
                <w:color w:val="auto"/>
                <w:highlight w:val="none"/>
              </w:rPr>
              <w:t>（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pPr>
              <w:pStyle w:val="6"/>
              <w:bidi w:val="0"/>
              <w:rPr>
                <w:rFonts w:hint="eastAsia"/>
                <w:color w:val="auto"/>
                <w:highlight w:val="none"/>
              </w:rPr>
            </w:pPr>
            <w:r>
              <w:rPr>
                <w:rFonts w:hint="eastAsia"/>
                <w:color w:val="auto"/>
                <w:highlight w:val="none"/>
              </w:rPr>
              <w:t>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已制定更严格地方排放标准的地区，执行地方排放标准。</w:t>
            </w:r>
          </w:p>
          <w:p>
            <w:pPr>
              <w:pStyle w:val="6"/>
              <w:bidi w:val="0"/>
              <w:rPr>
                <w:rFonts w:hint="eastAsia"/>
                <w:color w:val="auto"/>
                <w:highlight w:val="none"/>
              </w:rPr>
            </w:pPr>
            <w:r>
              <w:rPr>
                <w:rFonts w:hint="eastAsia"/>
                <w:color w:val="auto"/>
                <w:highlight w:val="none"/>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p>
            <w:pPr>
              <w:pStyle w:val="6"/>
              <w:bidi w:val="0"/>
              <w:rPr>
                <w:rFonts w:hint="eastAsia"/>
                <w:color w:val="auto"/>
                <w:highlight w:val="none"/>
              </w:rPr>
            </w:pPr>
            <w:r>
              <w:rPr>
                <w:rFonts w:hint="eastAsia"/>
                <w:color w:val="auto"/>
                <w:highlight w:val="none"/>
              </w:rPr>
              <w:t>（四）开展工业园区和产业集群综合整治。各地要加大涉工业炉窑类工业园区和产业集群的综合整治力度，结合“三线一单”（生态保护红线、环境质量底线、资源利用上线和生态环境准入清单）、规划环评等要求，进一步梳理确定园区和产业发展定位、规模及结构等。制定综合整治方案，对标先进企业，从生产工艺、产能规模、燃料类型、污染治理等方面提出明确要求，提升产业发展质量和环保治理水平。按照统一标准、统一时间表的要求，同步推进区域环境综合整治和企业升级改造。加强工业园区能源替代利用与资源共享，积极推广集中供汽供热或建设清洁低碳能源中心等，替代工业炉窑燃料用煤；充分利用园区内工厂余热、焦炉煤气等清洁低碳能源，加强分质与梯级利用，提高能源利用效率，促进形成清洁低碳高效产业链。</w:t>
            </w:r>
          </w:p>
          <w:p>
            <w:pPr>
              <w:pStyle w:val="6"/>
              <w:bidi w:val="0"/>
              <w:rPr>
                <w:rFonts w:hint="eastAsia"/>
                <w:color w:val="auto"/>
                <w:highlight w:val="none"/>
                <w:lang w:val="en-US" w:eastAsia="zh-CN"/>
              </w:rPr>
            </w:pPr>
            <w:r>
              <w:rPr>
                <w:rFonts w:hint="eastAsia"/>
                <w:color w:val="auto"/>
                <w:highlight w:val="none"/>
                <w:lang w:val="en-US" w:eastAsia="zh-CN"/>
              </w:rPr>
              <w:t>本项目为固体废物治理业，选址位于现有厂区内，符合环境管控单元要求，以上游企业产生的工业固体废物（电石渣、粉煤灰、脱硫石膏）作为原料，生产钙基产品，主要生产设备为电磁回转窑；电磁回转窑以电能替代固体燃料（碳）和气体燃料（天然气），并配套“旋风除尘器+布袋除尘器”高效除尘设备；项目全程采用全密闭流程，原料和产品均存放在密闭筒仓内，原料通过管道螺旋输送，成品采用力气输送，故项目符合方案要求。</w:t>
            </w:r>
          </w:p>
          <w:p>
            <w:pPr>
              <w:pStyle w:val="3"/>
              <w:bidi w:val="0"/>
              <w:rPr>
                <w:rFonts w:hint="default"/>
                <w:color w:val="auto"/>
                <w:highlight w:val="none"/>
                <w:lang w:val="en-US" w:eastAsia="zh-CN"/>
              </w:rPr>
            </w:pPr>
            <w:r>
              <w:rPr>
                <w:rFonts w:hint="eastAsia"/>
                <w:color w:val="auto"/>
                <w:highlight w:val="none"/>
                <w:lang w:val="en-US" w:eastAsia="zh-CN"/>
              </w:rPr>
              <w:t>1.12 《新疆维吾尔自治区工业炉窑大气污染综合治理实施方案》符合性分析</w:t>
            </w:r>
          </w:p>
          <w:p>
            <w:pPr>
              <w:pStyle w:val="6"/>
              <w:bidi w:val="0"/>
              <w:rPr>
                <w:rFonts w:hint="eastAsia"/>
                <w:color w:val="auto"/>
                <w:highlight w:val="none"/>
                <w:lang w:val="en-US" w:eastAsia="zh-CN"/>
              </w:rPr>
            </w:pPr>
            <w:r>
              <w:rPr>
                <w:rFonts w:hint="eastAsia"/>
                <w:color w:val="auto"/>
                <w:highlight w:val="none"/>
                <w:lang w:val="en-US" w:eastAsia="zh-CN"/>
              </w:rPr>
              <w:t>根据《</w:t>
            </w:r>
            <w:r>
              <w:rPr>
                <w:rFonts w:hint="default"/>
                <w:color w:val="auto"/>
                <w:highlight w:val="none"/>
                <w:lang w:val="en-US" w:eastAsia="zh-CN"/>
              </w:rPr>
              <w:t>关于印发</w:t>
            </w:r>
            <w:r>
              <w:rPr>
                <w:rFonts w:hint="eastAsia"/>
                <w:color w:val="auto"/>
                <w:highlight w:val="none"/>
                <w:lang w:val="en-US" w:eastAsia="zh-CN"/>
              </w:rPr>
              <w:t>&lt;</w:t>
            </w:r>
            <w:r>
              <w:rPr>
                <w:rFonts w:hint="default"/>
                <w:color w:val="auto"/>
                <w:highlight w:val="none"/>
                <w:lang w:val="en-US" w:eastAsia="zh-CN"/>
              </w:rPr>
              <w:t>新疆维吾尔自治区工业炉窑大气污染综合治理实施方案</w:t>
            </w:r>
            <w:r>
              <w:rPr>
                <w:rFonts w:hint="eastAsia"/>
                <w:color w:val="auto"/>
                <w:highlight w:val="none"/>
                <w:lang w:val="en-US" w:eastAsia="zh-CN"/>
              </w:rPr>
              <w:t>&gt;</w:t>
            </w:r>
            <w:r>
              <w:rPr>
                <w:rFonts w:hint="default"/>
                <w:color w:val="auto"/>
                <w:highlight w:val="none"/>
                <w:lang w:val="en-US" w:eastAsia="zh-CN"/>
              </w:rPr>
              <w:t>的通知</w:t>
            </w:r>
            <w:r>
              <w:rPr>
                <w:rFonts w:hint="eastAsia"/>
                <w:color w:val="auto"/>
                <w:highlight w:val="none"/>
                <w:lang w:val="en-US" w:eastAsia="zh-CN"/>
              </w:rPr>
              <w:t>》（</w:t>
            </w:r>
            <w:r>
              <w:rPr>
                <w:rFonts w:hint="default"/>
                <w:color w:val="auto"/>
                <w:highlight w:val="none"/>
                <w:lang w:val="en-US" w:eastAsia="zh-CN"/>
              </w:rPr>
              <w:t>新大气发〔2019〕127号</w:t>
            </w:r>
            <w:r>
              <w:rPr>
                <w:rFonts w:hint="eastAsia"/>
                <w:color w:val="auto"/>
                <w:highlight w:val="none"/>
                <w:lang w:val="en-US" w:eastAsia="zh-CN"/>
              </w:rPr>
              <w:t>）要求：</w:t>
            </w:r>
          </w:p>
          <w:p>
            <w:pPr>
              <w:pStyle w:val="6"/>
              <w:bidi w:val="0"/>
              <w:rPr>
                <w:rFonts w:hint="default"/>
                <w:color w:val="auto"/>
                <w:highlight w:val="none"/>
                <w:lang w:val="en-US" w:eastAsia="zh-CN"/>
              </w:rPr>
            </w:pPr>
            <w:r>
              <w:rPr>
                <w:rFonts w:hint="eastAsia"/>
                <w:color w:val="auto"/>
                <w:highlight w:val="none"/>
                <w:lang w:val="en-US" w:eastAsia="zh-CN"/>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p>
            <w:pPr>
              <w:pStyle w:val="6"/>
              <w:bidi w:val="0"/>
              <w:rPr>
                <w:rFonts w:hint="default"/>
                <w:color w:val="auto"/>
                <w:highlight w:val="none"/>
                <w:lang w:val="en-US" w:eastAsia="zh-CN"/>
              </w:rPr>
            </w:pPr>
            <w:r>
              <w:rPr>
                <w:rFonts w:hint="eastAsia"/>
                <w:color w:val="auto"/>
                <w:highlight w:val="none"/>
                <w:lang w:val="en-US" w:eastAsia="zh-CN"/>
              </w:rPr>
              <w:t>（三）实施污染深度治理。</w:t>
            </w:r>
            <w:r>
              <w:rPr>
                <w:rFonts w:hint="default"/>
                <w:color w:val="auto"/>
                <w:highlight w:val="none"/>
                <w:lang w:val="en-US" w:eastAsia="zh-CN"/>
              </w:rPr>
              <w:t>推进工业炉窑全面达标排放。已有行业排放标准的工业炉窑，严格执行行业排放标准相关规定，配套建设高效脱硫脱硝除尘设施，确保稳定达标排放。重点区域钢铁、水泥、焦化、石化、化工、有色等行业，二氧化硫、氮氧化物、颗粒物、挥发性有机物</w:t>
            </w:r>
            <w:r>
              <w:rPr>
                <w:rFonts w:hint="eastAsia"/>
                <w:color w:val="auto"/>
                <w:highlight w:val="none"/>
                <w:lang w:val="en-US" w:eastAsia="zh-CN"/>
              </w:rPr>
              <w:t>（</w:t>
            </w:r>
            <w:r>
              <w:rPr>
                <w:rFonts w:hint="default"/>
                <w:color w:val="auto"/>
                <w:highlight w:val="none"/>
                <w:lang w:val="en-US" w:eastAsia="zh-CN"/>
              </w:rPr>
              <w:t>VOCs</w:t>
            </w:r>
            <w:r>
              <w:rPr>
                <w:rFonts w:hint="eastAsia"/>
                <w:color w:val="auto"/>
                <w:highlight w:val="none"/>
                <w:lang w:val="en-US" w:eastAsia="zh-CN"/>
              </w:rPr>
              <w:t>）</w:t>
            </w:r>
            <w:r>
              <w:rPr>
                <w:rFonts w:hint="default"/>
                <w:color w:val="auto"/>
                <w:highlight w:val="none"/>
                <w:lang w:val="en-US" w:eastAsia="zh-CN"/>
              </w:rPr>
              <w:t>排放全面执行大气污染物特别排放限值。已核发排污许可证的，应严格执行许可要求。暂未制订行业排放标准的工业炉窑，包括铸造、日用玻璃、玻璃纤维、耐火材料、石灰、矿物棉等建材行业，钨、工业硅、金属冶炼废渣</w:t>
            </w:r>
            <w:r>
              <w:rPr>
                <w:rFonts w:hint="eastAsia"/>
                <w:color w:val="auto"/>
                <w:highlight w:val="none"/>
                <w:lang w:val="en-US" w:eastAsia="zh-CN"/>
              </w:rPr>
              <w:t>（</w:t>
            </w:r>
            <w:r>
              <w:rPr>
                <w:rFonts w:hint="default"/>
                <w:color w:val="auto"/>
                <w:highlight w:val="none"/>
                <w:lang w:val="en-US" w:eastAsia="zh-CN"/>
              </w:rPr>
              <w:t>灰</w:t>
            </w:r>
            <w:r>
              <w:rPr>
                <w:rFonts w:hint="eastAsia"/>
                <w:color w:val="auto"/>
                <w:highlight w:val="none"/>
                <w:lang w:val="en-US" w:eastAsia="zh-CN"/>
              </w:rPr>
              <w:t>）</w:t>
            </w:r>
            <w:r>
              <w:rPr>
                <w:rFonts w:hint="default"/>
                <w:color w:val="auto"/>
                <w:highlight w:val="none"/>
                <w:lang w:val="en-US" w:eastAsia="zh-CN"/>
              </w:rPr>
              <w:t>二次提取等有色金属行业，氮肥、电石、无机磷、活性炭等化工行业，应参照相关行业已出台的标准，全面加大污染治理力度，铸造行业烧结、高炉工序污染排放控制按照钢铁行业相关标准要求执行</w:t>
            </w:r>
            <w:r>
              <w:rPr>
                <w:rFonts w:hint="eastAsia"/>
                <w:color w:val="auto"/>
                <w:highlight w:val="none"/>
                <w:lang w:val="en-US" w:eastAsia="zh-CN"/>
              </w:rPr>
              <w:t>；</w:t>
            </w:r>
            <w:r>
              <w:rPr>
                <w:rFonts w:hint="default"/>
                <w:color w:val="auto"/>
                <w:highlight w:val="none"/>
                <w:lang w:val="en-US" w:eastAsia="zh-CN"/>
              </w:rPr>
              <w:t>重点区域原则上按照颗粒物、二氧化硫、氮氧化物排放限值分别不高于30、200、300毫克/立方米实施改造，其中，日用玻璃、玻璃棉氮氧化物排放限值不高于400毫克/立方米。</w:t>
            </w:r>
          </w:p>
          <w:p>
            <w:pPr>
              <w:pStyle w:val="6"/>
              <w:bidi w:val="0"/>
              <w:rPr>
                <w:rFonts w:hint="eastAsia"/>
                <w:color w:val="auto"/>
                <w:highlight w:val="none"/>
              </w:rPr>
            </w:pPr>
            <w:r>
              <w:rPr>
                <w:rFonts w:hint="eastAsia"/>
                <w:color w:val="auto"/>
                <w:highlight w:val="none"/>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四</w:t>
            </w:r>
            <w:r>
              <w:rPr>
                <w:rFonts w:hint="eastAsia"/>
                <w:color w:val="auto"/>
                <w:highlight w:val="none"/>
                <w:lang w:eastAsia="zh-CN"/>
              </w:rPr>
              <w:t>）</w:t>
            </w:r>
            <w:r>
              <w:rPr>
                <w:rFonts w:hint="eastAsia"/>
                <w:color w:val="auto"/>
                <w:highlight w:val="none"/>
              </w:rPr>
              <w:t>开展工业园区和产业集群综合整治。各地</w:t>
            </w:r>
            <w:r>
              <w:rPr>
                <w:rFonts w:hint="eastAsia"/>
                <w:color w:val="auto"/>
                <w:highlight w:val="none"/>
                <w:lang w:eastAsia="zh-CN"/>
              </w:rPr>
              <w:t>（</w:t>
            </w:r>
            <w:r>
              <w:rPr>
                <w:rFonts w:hint="eastAsia"/>
                <w:color w:val="auto"/>
                <w:highlight w:val="none"/>
              </w:rPr>
              <w:t>州、市</w:t>
            </w:r>
            <w:r>
              <w:rPr>
                <w:rFonts w:hint="eastAsia"/>
                <w:color w:val="auto"/>
                <w:highlight w:val="none"/>
                <w:lang w:eastAsia="zh-CN"/>
              </w:rPr>
              <w:t>）</w:t>
            </w:r>
            <w:r>
              <w:rPr>
                <w:rFonts w:hint="eastAsia"/>
                <w:color w:val="auto"/>
                <w:highlight w:val="none"/>
              </w:rPr>
              <w:t>工业园区管委会要结合“三线一单”、规划环评等要求，进一步梳理确定本工业园区和产业发展定位、规模及结构等，加大涉工业炉窑类工业园区和产业集群的综合整治力度。工业园区管委会要制定综合整治方案，对标先进企业，从生产工艺、产能规模、燃料类型、污染治理等方面提出明确要求，提升产业发展质量和环保治理水平。按照统一标准、统一时间表的要求，同步推进区域环境综合整治和企业升级改造。加强工业园区能源替代利用与资源共享，积极推广集中供汽供热或建设清洁低碳能源中心等，替代工业炉窑燃料用煤</w:t>
            </w:r>
            <w:r>
              <w:rPr>
                <w:rFonts w:hint="eastAsia"/>
                <w:color w:val="auto"/>
                <w:highlight w:val="none"/>
                <w:lang w:eastAsia="zh-CN"/>
              </w:rPr>
              <w:t>；</w:t>
            </w:r>
            <w:r>
              <w:rPr>
                <w:rFonts w:hint="eastAsia"/>
                <w:color w:val="auto"/>
                <w:highlight w:val="none"/>
              </w:rPr>
              <w:t>充分利用园区内工厂余热、焦炉煤气等清洁低碳能源，加强分质与梯级利用，提高能源利用效率，促进形成清洁低碳高效产业链。涉工业炉窑类产业集群主要包括陶瓷、玻璃、砖瓦、耐火材料、石灰、矿物棉、铸造、独立轧钢、铁合金、再生有色金属、炭素、化工等行业。各地</w:t>
            </w:r>
            <w:r>
              <w:rPr>
                <w:rFonts w:hint="eastAsia"/>
                <w:color w:val="auto"/>
                <w:highlight w:val="none"/>
                <w:lang w:eastAsia="zh-CN"/>
              </w:rPr>
              <w:t>（</w:t>
            </w:r>
            <w:r>
              <w:rPr>
                <w:rFonts w:hint="eastAsia"/>
                <w:color w:val="auto"/>
                <w:highlight w:val="none"/>
              </w:rPr>
              <w:t>州、市</w:t>
            </w:r>
            <w:r>
              <w:rPr>
                <w:rFonts w:hint="eastAsia"/>
                <w:color w:val="auto"/>
                <w:highlight w:val="none"/>
                <w:lang w:eastAsia="zh-CN"/>
              </w:rPr>
              <w:t>）</w:t>
            </w:r>
            <w:r>
              <w:rPr>
                <w:rFonts w:hint="eastAsia"/>
                <w:color w:val="auto"/>
                <w:highlight w:val="none"/>
              </w:rPr>
              <w:t>应结合当地产业发展特征等</w:t>
            </w:r>
            <w:r>
              <w:rPr>
                <w:rFonts w:hint="eastAsia"/>
                <w:color w:val="auto"/>
                <w:highlight w:val="none"/>
                <w:lang w:val="en-US" w:eastAsia="zh-CN"/>
              </w:rPr>
              <w:t>自行确定。</w:t>
            </w:r>
          </w:p>
          <w:p>
            <w:pPr>
              <w:pStyle w:val="6"/>
              <w:bidi w:val="0"/>
              <w:rPr>
                <w:rFonts w:hint="eastAsia"/>
                <w:color w:val="auto"/>
                <w:highlight w:val="none"/>
                <w:lang w:val="en-US" w:eastAsia="zh-CN"/>
              </w:rPr>
            </w:pPr>
            <w:r>
              <w:rPr>
                <w:rFonts w:hint="eastAsia"/>
                <w:color w:val="auto"/>
                <w:highlight w:val="none"/>
                <w:lang w:val="en-US" w:eastAsia="zh-CN"/>
              </w:rPr>
              <w:t>本项目为固体废物治理业，选址位于现有厂区内，符合环境管控单元要求，以上游企业产生的工业固体废物（电石渣、粉煤灰、脱硫石膏）作为原料，生产钙基产品，主要生产设备为电磁回转窑；电磁回转窑以电能替代固体燃料（碳）和气体燃料（天然气），并配套"旋风除尘器+布袋除尘器"高效除尘设备；项目全程采用全密闭流程，原料和产品均存放在密闭筒仓内，原料通过管道螺旋输送，成品采用力气输送，故项目符合方案要求。</w:t>
            </w:r>
          </w:p>
          <w:p>
            <w:pPr>
              <w:pStyle w:val="3"/>
              <w:bidi w:val="0"/>
              <w:rPr>
                <w:rFonts w:hint="default"/>
                <w:color w:val="auto"/>
                <w:highlight w:val="none"/>
                <w:lang w:val="en-US" w:eastAsia="zh-CN"/>
              </w:rPr>
            </w:pPr>
            <w:r>
              <w:rPr>
                <w:rFonts w:hint="eastAsia"/>
                <w:color w:val="auto"/>
                <w:highlight w:val="none"/>
                <w:lang w:val="en-US" w:eastAsia="zh-CN"/>
              </w:rPr>
              <w:t xml:space="preserve">1.13 </w:t>
            </w:r>
            <w:r>
              <w:rPr>
                <w:rFonts w:hint="default"/>
                <w:color w:val="auto"/>
                <w:highlight w:val="none"/>
                <w:lang w:val="en-US" w:eastAsia="zh-CN"/>
              </w:rPr>
              <w:t>《自治州工业炉窑大气污染综合治理实施方案》</w:t>
            </w:r>
            <w:r>
              <w:rPr>
                <w:rFonts w:hint="eastAsia"/>
                <w:color w:val="auto"/>
                <w:highlight w:val="none"/>
                <w:lang w:val="en-US" w:eastAsia="zh-CN"/>
              </w:rPr>
              <w:t>符合性分析</w:t>
            </w:r>
          </w:p>
          <w:p>
            <w:pPr>
              <w:pStyle w:val="6"/>
              <w:bidi w:val="0"/>
              <w:rPr>
                <w:rFonts w:hint="eastAsia"/>
                <w:color w:val="auto"/>
                <w:highlight w:val="none"/>
                <w:lang w:val="en-US" w:eastAsia="zh-CN"/>
              </w:rPr>
            </w:pPr>
            <w:r>
              <w:rPr>
                <w:rFonts w:hint="eastAsia"/>
                <w:color w:val="auto"/>
                <w:highlight w:val="none"/>
                <w:lang w:val="en-US" w:eastAsia="zh-CN"/>
              </w:rPr>
              <w:t>根据《</w:t>
            </w:r>
            <w:r>
              <w:rPr>
                <w:rFonts w:hint="default"/>
                <w:color w:val="auto"/>
                <w:highlight w:val="none"/>
                <w:lang w:val="en-US" w:eastAsia="zh-CN"/>
              </w:rPr>
              <w:t>关于印发</w:t>
            </w:r>
            <w:r>
              <w:rPr>
                <w:rFonts w:hint="eastAsia"/>
                <w:color w:val="auto"/>
                <w:highlight w:val="none"/>
                <w:lang w:val="en-US" w:eastAsia="zh-CN"/>
              </w:rPr>
              <w:t>&lt;</w:t>
            </w:r>
            <w:r>
              <w:rPr>
                <w:rFonts w:hint="default"/>
                <w:color w:val="auto"/>
                <w:highlight w:val="none"/>
                <w:lang w:val="en-US" w:eastAsia="zh-CN"/>
              </w:rPr>
              <w:t>自治州工业炉窑大气污染综合治理实施方案</w:t>
            </w:r>
            <w:r>
              <w:rPr>
                <w:rFonts w:hint="eastAsia"/>
                <w:color w:val="auto"/>
                <w:highlight w:val="none"/>
                <w:lang w:val="en-US" w:eastAsia="zh-CN"/>
              </w:rPr>
              <w:t>&gt;</w:t>
            </w:r>
            <w:r>
              <w:rPr>
                <w:rFonts w:hint="default"/>
                <w:color w:val="auto"/>
                <w:highlight w:val="none"/>
                <w:lang w:val="en-US" w:eastAsia="zh-CN"/>
              </w:rPr>
              <w:t>的通知</w:t>
            </w:r>
            <w:r>
              <w:rPr>
                <w:rFonts w:hint="eastAsia"/>
                <w:color w:val="auto"/>
                <w:highlight w:val="none"/>
                <w:lang w:val="en-US" w:eastAsia="zh-CN"/>
              </w:rPr>
              <w:t>》（巴环发</w:t>
            </w:r>
            <w:r>
              <w:rPr>
                <w:rFonts w:hint="default"/>
                <w:color w:val="auto"/>
                <w:highlight w:val="none"/>
                <w:lang w:val="en-US" w:eastAsia="zh-CN"/>
              </w:rPr>
              <w:t>〔2019〕</w:t>
            </w:r>
            <w:r>
              <w:rPr>
                <w:rFonts w:hint="eastAsia"/>
                <w:color w:val="auto"/>
                <w:highlight w:val="none"/>
                <w:lang w:val="en-US" w:eastAsia="zh-CN"/>
              </w:rPr>
              <w:t>170</w:t>
            </w:r>
            <w:r>
              <w:rPr>
                <w:rFonts w:hint="default"/>
                <w:color w:val="auto"/>
                <w:highlight w:val="none"/>
                <w:lang w:val="en-US" w:eastAsia="zh-CN"/>
              </w:rPr>
              <w:t>号</w:t>
            </w:r>
            <w:r>
              <w:rPr>
                <w:rFonts w:hint="eastAsia"/>
                <w:color w:val="auto"/>
                <w:highlight w:val="none"/>
                <w:lang w:val="en-US" w:eastAsia="zh-CN"/>
              </w:rPr>
              <w:t>）要求：</w:t>
            </w:r>
          </w:p>
          <w:p>
            <w:pPr>
              <w:pStyle w:val="6"/>
              <w:bidi w:val="0"/>
              <w:rPr>
                <w:rFonts w:hint="eastAsia"/>
                <w:color w:val="auto"/>
                <w:highlight w:val="none"/>
                <w:lang w:val="en-US" w:eastAsia="zh-CN"/>
              </w:rPr>
            </w:pPr>
            <w:r>
              <w:rPr>
                <w:rFonts w:hint="eastAsia"/>
                <w:color w:val="auto"/>
                <w:highlight w:val="none"/>
                <w:lang w:val="en-US" w:eastAsia="zh-CN"/>
              </w:rPr>
              <w:t>（一）加大产业结构调整力度。严格建设项目准入。新建涉工业炉窑的建设项目，原则上要入园区，配套建设高效环保治理设施。重点区域严格控制涉工业炉窑建设项目，严禁新增钢铁、焦化、电解铝、水泥和平板玻璃等产能；严格执行钢铁、水泥、平板玻璃等行业产能置换实施办法；原则上禁止新建燃料类煤气发生炉（园区现有企业统一建设的清洁煤制气中心除外）。加大落后产能和不达标工业炉窑淘汰力度。分行业清理《产业结构调整指导目录》淘汰类工业炉窑。对热效率低下、敞开未封闭，装备简易落后、自动化程度低，无组织排放突出，以及无治理设施或治理设施工艺落后等严重污染环境的工业炉窑，依法责令停业关闭。</w:t>
            </w:r>
          </w:p>
          <w:p>
            <w:pPr>
              <w:pStyle w:val="6"/>
              <w:bidi w:val="0"/>
              <w:rPr>
                <w:rFonts w:hint="default"/>
                <w:color w:val="auto"/>
                <w:highlight w:val="none"/>
                <w:lang w:val="en-US" w:eastAsia="zh-CN"/>
              </w:rPr>
            </w:pPr>
            <w:r>
              <w:rPr>
                <w:rFonts w:hint="eastAsia"/>
                <w:color w:val="auto"/>
                <w:highlight w:val="none"/>
                <w:lang w:val="en-US" w:eastAsia="zh-CN"/>
              </w:rPr>
              <w:t>（二）</w:t>
            </w:r>
            <w:r>
              <w:rPr>
                <w:rFonts w:hint="default"/>
                <w:color w:val="auto"/>
                <w:highlight w:val="none"/>
                <w:lang w:val="en-US" w:eastAsia="zh-CN"/>
              </w:rPr>
              <w:t>加快燃料清洁低碳化替代</w:t>
            </w:r>
            <w:r>
              <w:rPr>
                <w:rFonts w:hint="eastAsia"/>
                <w:color w:val="auto"/>
                <w:highlight w:val="none"/>
                <w:lang w:val="en-US" w:eastAsia="zh-CN"/>
              </w:rPr>
              <w:t>。</w:t>
            </w:r>
            <w:r>
              <w:rPr>
                <w:rFonts w:hint="default"/>
                <w:color w:val="auto"/>
                <w:highlight w:val="none"/>
                <w:lang w:val="en-US" w:eastAsia="zh-CN"/>
              </w:rPr>
              <w:t>加大燃料监管力度。对以煤、石油焦、渣油、重油等为燃料的工业炉窑，加快使用清洁低碳能源以及利用工厂余热、电厂热力等进行替代。重点区域禁止掺烧高硫石油焦</w:t>
            </w:r>
            <w:r>
              <w:rPr>
                <w:rFonts w:hint="eastAsia"/>
                <w:color w:val="auto"/>
                <w:highlight w:val="none"/>
                <w:lang w:val="en-US" w:eastAsia="zh-CN"/>
              </w:rPr>
              <w:t>（</w:t>
            </w:r>
            <w:r>
              <w:rPr>
                <w:rFonts w:hint="default"/>
                <w:color w:val="auto"/>
                <w:highlight w:val="none"/>
                <w:lang w:val="en-US" w:eastAsia="zh-CN"/>
              </w:rPr>
              <w:t>硫含量大于3%</w:t>
            </w:r>
            <w:r>
              <w:rPr>
                <w:rFonts w:hint="eastAsia"/>
                <w:color w:val="auto"/>
                <w:highlight w:val="none"/>
                <w:lang w:val="en-US" w:eastAsia="zh-CN"/>
              </w:rPr>
              <w:t>）</w:t>
            </w:r>
            <w:r>
              <w:rPr>
                <w:rFonts w:hint="default"/>
                <w:color w:val="auto"/>
                <w:highlight w:val="none"/>
                <w:lang w:val="en-US" w:eastAsia="zh-CN"/>
              </w:rPr>
              <w:t>。玻璃行业全面禁止掺烧高硫石油焦。加大煤气发生炉淘汰力度。2020年6月底前，重点区域淘汰炉膛直径3米以下燃料类煤气发生炉</w:t>
            </w:r>
            <w:r>
              <w:rPr>
                <w:rFonts w:hint="eastAsia"/>
                <w:color w:val="auto"/>
                <w:highlight w:val="none"/>
                <w:lang w:val="en-US" w:eastAsia="zh-CN"/>
              </w:rPr>
              <w:t>；</w:t>
            </w:r>
            <w:r>
              <w:rPr>
                <w:rFonts w:hint="default"/>
                <w:color w:val="auto"/>
                <w:highlight w:val="none"/>
                <w:lang w:val="en-US" w:eastAsia="zh-CN"/>
              </w:rPr>
              <w:t>集中使用煤气发生炉的工业园区，暂不具备改用天然气条件的，但具备多家企业集中统一建设使用煤制气中心条件的，应建设统一的清洁煤制气中心。加快淘汰燃煤工业炉窑。在县级及以上城市建成区淘汰和禁止新建燃煤热风炉、烘干炉</w:t>
            </w:r>
            <w:r>
              <w:rPr>
                <w:rFonts w:hint="eastAsia"/>
                <w:color w:val="auto"/>
                <w:highlight w:val="none"/>
                <w:lang w:val="en-US" w:eastAsia="zh-CN"/>
              </w:rPr>
              <w:t>（</w:t>
            </w:r>
            <w:r>
              <w:rPr>
                <w:rFonts w:hint="default"/>
                <w:color w:val="auto"/>
                <w:highlight w:val="none"/>
                <w:lang w:val="en-US" w:eastAsia="zh-CN"/>
              </w:rPr>
              <w:t>窑</w:t>
            </w:r>
            <w:r>
              <w:rPr>
                <w:rFonts w:hint="eastAsia"/>
                <w:color w:val="auto"/>
                <w:highlight w:val="none"/>
                <w:lang w:val="en-US" w:eastAsia="zh-CN"/>
              </w:rPr>
              <w:t>）；</w:t>
            </w:r>
            <w:r>
              <w:rPr>
                <w:rFonts w:hint="default"/>
                <w:color w:val="auto"/>
                <w:highlight w:val="none"/>
                <w:lang w:val="en-US" w:eastAsia="zh-CN"/>
              </w:rPr>
              <w:t>重点区域内严格执行环保标准，基本淘汰热电联产供热管网覆盖范围内的燃煤加</w:t>
            </w:r>
            <w:r>
              <w:rPr>
                <w:rFonts w:hint="eastAsia"/>
                <w:color w:val="auto"/>
                <w:highlight w:val="none"/>
                <w:lang w:val="en-US" w:eastAsia="zh-CN"/>
              </w:rPr>
              <w:t>热</w:t>
            </w:r>
            <w:r>
              <w:rPr>
                <w:rFonts w:hint="default"/>
                <w:color w:val="auto"/>
                <w:highlight w:val="none"/>
                <w:lang w:val="en-US" w:eastAsia="zh-CN"/>
              </w:rPr>
              <w:t>炉、烘干炉</w:t>
            </w:r>
            <w:r>
              <w:rPr>
                <w:rFonts w:hint="eastAsia"/>
                <w:color w:val="auto"/>
                <w:highlight w:val="none"/>
                <w:lang w:val="en-US" w:eastAsia="zh-CN"/>
              </w:rPr>
              <w:t>（</w:t>
            </w:r>
            <w:r>
              <w:rPr>
                <w:rFonts w:hint="default"/>
                <w:color w:val="auto"/>
                <w:highlight w:val="none"/>
                <w:lang w:val="en-US" w:eastAsia="zh-CN"/>
              </w:rPr>
              <w:t>窑</w:t>
            </w:r>
            <w:r>
              <w:rPr>
                <w:rFonts w:hint="eastAsia"/>
                <w:color w:val="auto"/>
                <w:highlight w:val="none"/>
                <w:lang w:val="en-US" w:eastAsia="zh-CN"/>
              </w:rPr>
              <w:t>）</w:t>
            </w:r>
            <w:r>
              <w:rPr>
                <w:rFonts w:hint="default"/>
                <w:color w:val="auto"/>
                <w:highlight w:val="none"/>
                <w:lang w:val="en-US" w:eastAsia="zh-CN"/>
              </w:rPr>
              <w:t>。加快推动现有铸造</w:t>
            </w:r>
            <w:r>
              <w:rPr>
                <w:rFonts w:hint="eastAsia"/>
                <w:color w:val="auto"/>
                <w:highlight w:val="none"/>
                <w:lang w:val="en-US" w:eastAsia="zh-CN"/>
              </w:rPr>
              <w:t>（</w:t>
            </w:r>
            <w:r>
              <w:rPr>
                <w:rFonts w:hint="default"/>
                <w:color w:val="auto"/>
                <w:highlight w:val="none"/>
                <w:lang w:val="en-US" w:eastAsia="zh-CN"/>
              </w:rPr>
              <w:t>10吨/小时及以下</w:t>
            </w:r>
            <w:r>
              <w:rPr>
                <w:rFonts w:hint="eastAsia"/>
                <w:color w:val="auto"/>
                <w:highlight w:val="none"/>
                <w:lang w:val="en-US" w:eastAsia="zh-CN"/>
              </w:rPr>
              <w:t>）</w:t>
            </w:r>
            <w:r>
              <w:rPr>
                <w:rFonts w:hint="default"/>
                <w:color w:val="auto"/>
                <w:highlight w:val="none"/>
                <w:lang w:val="en-US" w:eastAsia="zh-CN"/>
              </w:rPr>
              <w:t>、岩棉等行业冲天炉改为电炉。</w:t>
            </w:r>
          </w:p>
          <w:p>
            <w:pPr>
              <w:pStyle w:val="6"/>
              <w:bidi w:val="0"/>
              <w:rPr>
                <w:rFonts w:hint="eastAsia"/>
                <w:color w:val="auto"/>
                <w:highlight w:val="none"/>
                <w:lang w:val="en-US" w:eastAsia="zh-CN"/>
              </w:rPr>
            </w:pPr>
            <w:r>
              <w:rPr>
                <w:rFonts w:hint="eastAsia"/>
                <w:color w:val="auto"/>
                <w:highlight w:val="none"/>
                <w:lang w:val="en-US" w:eastAsia="zh-CN"/>
              </w:rPr>
              <w:t>（三）实施污染深度治理。推进工业炉窑全面达标排放。已有行业排放标准的工业炉窑，严格执行行业排放标准相关规定，配套建设高效脱硫脱硝除尘设施，确保稳定达标排放。重点区域钢铁、水泥、焦化、石化、化工、有色等重点行业，二氧化硫、氮氧化物、颗粒物、挥发性有机物(VOCs)排放全面执行大气污染物特别排放限值。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w:t>
            </w:r>
          </w:p>
          <w:p>
            <w:pPr>
              <w:pStyle w:val="6"/>
              <w:bidi w:val="0"/>
              <w:rPr>
                <w:rFonts w:hint="eastAsia"/>
                <w:color w:val="auto"/>
                <w:highlight w:val="none"/>
                <w:lang w:val="en-US" w:eastAsia="zh-CN"/>
              </w:rPr>
            </w:pPr>
            <w:r>
              <w:rPr>
                <w:rFonts w:hint="eastAsia"/>
                <w:color w:val="auto"/>
                <w:highlight w:val="none"/>
                <w:lang w:val="en-US" w:eastAsia="zh-CN"/>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p>
            <w:pPr>
              <w:pStyle w:val="6"/>
              <w:bidi w:val="0"/>
              <w:rPr>
                <w:rFonts w:hint="default"/>
                <w:color w:val="auto"/>
                <w:highlight w:val="none"/>
                <w:lang w:val="en-US" w:eastAsia="zh-CN"/>
              </w:rPr>
            </w:pPr>
            <w:r>
              <w:rPr>
                <w:rFonts w:hint="eastAsia"/>
                <w:color w:val="auto"/>
                <w:highlight w:val="none"/>
                <w:lang w:val="en-US" w:eastAsia="zh-CN"/>
              </w:rPr>
              <w:t>（四）</w:t>
            </w:r>
            <w:r>
              <w:rPr>
                <w:rFonts w:hint="default"/>
                <w:color w:val="auto"/>
                <w:highlight w:val="none"/>
                <w:lang w:val="en-US" w:eastAsia="zh-CN"/>
              </w:rPr>
              <w:t>开展工业园区和产业集群综合整治</w:t>
            </w:r>
            <w:r>
              <w:rPr>
                <w:rFonts w:hint="eastAsia"/>
                <w:color w:val="auto"/>
                <w:highlight w:val="none"/>
                <w:lang w:val="en-US" w:eastAsia="zh-CN"/>
              </w:rPr>
              <w:t>。</w:t>
            </w:r>
            <w:r>
              <w:rPr>
                <w:rFonts w:hint="default"/>
                <w:color w:val="auto"/>
                <w:highlight w:val="none"/>
                <w:lang w:val="en-US" w:eastAsia="zh-CN"/>
              </w:rPr>
              <w:t>推进工业园区和产业集群的综合整治力度。各县市工业园区管委会要结合“三线一单”、规划环评等要求，进一步梳理确定本工业园区和产业发展定位、规模及结构等</w:t>
            </w:r>
            <w:r>
              <w:rPr>
                <w:rFonts w:hint="eastAsia"/>
                <w:color w:val="auto"/>
                <w:highlight w:val="none"/>
                <w:lang w:val="en-US" w:eastAsia="zh-CN"/>
              </w:rPr>
              <w:t>；</w:t>
            </w:r>
            <w:r>
              <w:rPr>
                <w:rFonts w:hint="default"/>
                <w:color w:val="auto"/>
                <w:highlight w:val="none"/>
                <w:lang w:val="en-US" w:eastAsia="zh-CN"/>
              </w:rPr>
              <w:t>加大涉工业炉窑类工业园区和产业集群的综合整治力度。工业园区管委会要制定综合整治方案，对标先进企业，从生产工艺、产能规模、燃料类型、污染治理等方面提出明确要求，提升产业发展质量和环保治理水平。按照统一标准、统一时间表的要求，同步推进区域环境综合整治和企业升级改造。加强工业园区能源替代利用与资源共享，积极推广集中供汽供热或建设清洁低碳能源中心等，替代工业炉窑燃料用煤</w:t>
            </w:r>
            <w:r>
              <w:rPr>
                <w:rFonts w:hint="eastAsia"/>
                <w:color w:val="auto"/>
                <w:highlight w:val="none"/>
                <w:lang w:val="en-US" w:eastAsia="zh-CN"/>
              </w:rPr>
              <w:t>；</w:t>
            </w:r>
            <w:r>
              <w:rPr>
                <w:rFonts w:hint="default"/>
                <w:color w:val="auto"/>
                <w:highlight w:val="none"/>
                <w:lang w:val="en-US" w:eastAsia="zh-CN"/>
              </w:rPr>
              <w:t>充分利用园区内工厂余热等清洁低碳能源，加强分质与梯级利用，提高能源利用效率，促进形成清洁低碳高效产业链。</w:t>
            </w:r>
          </w:p>
          <w:p>
            <w:pPr>
              <w:pStyle w:val="6"/>
              <w:bidi w:val="0"/>
              <w:rPr>
                <w:rFonts w:hint="default"/>
                <w:color w:val="auto"/>
                <w:highlight w:val="none"/>
                <w:lang w:val="en-US" w:eastAsia="zh-CN"/>
              </w:rPr>
            </w:pPr>
            <w:r>
              <w:rPr>
                <w:rFonts w:hint="default"/>
                <w:color w:val="auto"/>
                <w:highlight w:val="none"/>
                <w:lang w:val="en-US" w:eastAsia="zh-CN"/>
              </w:rPr>
              <w:t>涉工业炉窑类产业集群主要包括陶瓷、玻璃、砖瓦、耐火材料、石灰、矿物棉、铸造、独立轧钢、铁合金、再生有色金属、炭素、化工等行业。各县市应结合当地产业发展特征等自行确定。</w:t>
            </w:r>
          </w:p>
          <w:p>
            <w:pPr>
              <w:pStyle w:val="6"/>
              <w:bidi w:val="0"/>
              <w:rPr>
                <w:rFonts w:hint="eastAsia"/>
                <w:color w:val="auto"/>
                <w:highlight w:val="none"/>
                <w:lang w:val="en-US" w:eastAsia="zh-CN"/>
              </w:rPr>
            </w:pPr>
            <w:r>
              <w:rPr>
                <w:rFonts w:hint="eastAsia"/>
                <w:color w:val="auto"/>
                <w:highlight w:val="none"/>
                <w:lang w:val="en-US" w:eastAsia="zh-CN"/>
              </w:rPr>
              <w:t>本项目为固体废物治理业，选址位于现有厂区内，现有厂区已形成以活性石灰加工、石灰石、生石灰磨粉、熟石灰消化等一系列生产线，且环保手续完善，项目建设属于扩建；项目选址符合环境管控单元要求；项目以上游企业产生的工业固体废物（电石渣、粉煤灰、脱硫石膏）作为原料，生产钙基产品，主要生产设备为电磁回转窑；电磁回转窑以电能替代固体燃料（碳）和气体燃料（天然气），并配套"旋风除尘器+布袋除尘器"高效除尘设备；项目全程采用全密闭流程，原料和产品均存放在密闭筒仓内，原料通过管道螺旋输送，成品采用力气输送，故项目符合方案要求。</w:t>
            </w:r>
          </w:p>
          <w:p>
            <w:pPr>
              <w:pStyle w:val="6"/>
              <w:bidi w:val="0"/>
              <w:rPr>
                <w:rFonts w:hint="default"/>
                <w:color w:val="auto"/>
                <w:highlight w:val="none"/>
                <w:lang w:val="en-US" w:eastAsia="zh-CN"/>
              </w:rPr>
            </w:pPr>
          </w:p>
        </w:tc>
      </w:tr>
    </w:tbl>
    <w:p>
      <w:pPr>
        <w:pStyle w:val="2"/>
        <w:bidi w:val="0"/>
        <w:rPr>
          <w:snapToGrid w:val="0"/>
          <w:color w:val="auto"/>
          <w:kern w:val="0"/>
          <w:highlight w:val="none"/>
        </w:rPr>
      </w:pPr>
      <w:r>
        <w:rPr>
          <w:rFonts w:hint="eastAsia"/>
          <w:snapToGrid w:val="0"/>
          <w:color w:val="auto"/>
          <w:kern w:val="0"/>
          <w:highlight w:val="none"/>
        </w:rPr>
        <w:br w:type="page"/>
      </w:r>
      <w:bookmarkStart w:id="5" w:name="_Toc12237"/>
      <w:r>
        <w:rPr>
          <w:rFonts w:hint="eastAsia"/>
          <w:color w:val="auto"/>
          <w:highlight w:val="none"/>
        </w:rPr>
        <w:t>二、建设项目工程分析</w:t>
      </w:r>
      <w:bookmarkEnd w:id="5"/>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8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9" w:hRule="atLeast"/>
          <w:jc w:val="center"/>
        </w:trPr>
        <w:tc>
          <w:tcPr>
            <w:tcW w:w="311" w:type="pct"/>
            <w:vAlign w:val="center"/>
          </w:tcPr>
          <w:p>
            <w:pPr>
              <w:pStyle w:val="28"/>
              <w:bidi w:val="0"/>
              <w:rPr>
                <w:color w:val="auto"/>
                <w:highlight w:val="none"/>
              </w:rPr>
            </w:pPr>
            <w:r>
              <w:rPr>
                <w:rFonts w:hint="eastAsia"/>
                <w:color w:val="auto"/>
                <w:highlight w:val="none"/>
              </w:rPr>
              <w:t>建设内容</w:t>
            </w:r>
          </w:p>
        </w:tc>
        <w:tc>
          <w:tcPr>
            <w:tcW w:w="4688" w:type="pct"/>
          </w:tcPr>
          <w:p>
            <w:pPr>
              <w:pStyle w:val="3"/>
              <w:bidi w:val="0"/>
              <w:rPr>
                <w:rFonts w:hint="default"/>
                <w:color w:val="auto"/>
                <w:highlight w:val="none"/>
                <w:lang w:val="en-US" w:eastAsia="zh-CN"/>
              </w:rPr>
            </w:pPr>
            <w:r>
              <w:rPr>
                <w:rFonts w:hint="eastAsia"/>
                <w:color w:val="auto"/>
                <w:highlight w:val="none"/>
              </w:rPr>
              <w:t xml:space="preserve">2.1 </w:t>
            </w:r>
            <w:r>
              <w:rPr>
                <w:rFonts w:hint="eastAsia"/>
                <w:color w:val="auto"/>
                <w:highlight w:val="none"/>
                <w:lang w:val="en-US" w:eastAsia="zh-CN"/>
              </w:rPr>
              <w:t>项目概况</w:t>
            </w:r>
          </w:p>
          <w:p>
            <w:pPr>
              <w:pStyle w:val="6"/>
              <w:bidi w:val="0"/>
              <w:rPr>
                <w:rFonts w:hint="eastAsia"/>
                <w:color w:val="auto"/>
                <w:highlight w:val="none"/>
                <w:lang w:val="en-US" w:eastAsia="zh-CN"/>
              </w:rPr>
            </w:pPr>
            <w:r>
              <w:rPr>
                <w:rFonts w:hint="eastAsia"/>
                <w:color w:val="auto"/>
                <w:highlight w:val="none"/>
                <w:lang w:val="en-US" w:eastAsia="zh-CN"/>
              </w:rPr>
              <w:t>我国工业高速发展产生的固体废弃物中粉煤灰和电石渣等因其较高碱性、堆存占地大、易扬尘污染及潜在重金属浸出风险，构成严峻的环保挑战。传统处置方式（如填埋、简单筑路）不仅占用宝贵土地资源，更造成钙等有价资源的巨大浪费。与此同时，国家“双碳”目标对工业绿色低碳转型提出迫切要求，《“十四五”循环经济发展规划》《“无废城市”建设试点工作方案》等政策法规明确指出要大力推动大宗固废资源化、高值化利用，实现变废为宝，减少原生资源消耗和碳排放。</w:t>
            </w:r>
          </w:p>
          <w:p>
            <w:pPr>
              <w:pStyle w:val="6"/>
              <w:bidi w:val="0"/>
              <w:rPr>
                <w:rFonts w:hint="default"/>
                <w:color w:val="auto"/>
                <w:highlight w:val="none"/>
                <w:lang w:val="en-US" w:eastAsia="zh-CN"/>
              </w:rPr>
            </w:pPr>
            <w:r>
              <w:rPr>
                <w:rFonts w:hint="eastAsia"/>
                <w:color w:val="auto"/>
                <w:highlight w:val="none"/>
                <w:lang w:val="en-US" w:eastAsia="zh-CN"/>
              </w:rPr>
              <w:t>巴州敏宇环保科技有限公司（原名为巴州敏宇化工有限公司），成立于2010年9月1日，曾被新疆窑炉行业协会授予2020-2021年度窑炉企业峰会特别贡献奖，2022年西尼尔镇“镇企联动 共谋发展 共创未来”民族团结进步示范单位；2023年公司创新研发高比表氢氧化钙取得成功并申请了15项专利，AAA级信用企业，已完成“三体系”认证，2025年荣获中国创新创业大赛第十届巴州创新创业大赛奖二等奖，荣获高新技术、专精特新科技型中小企业，</w:t>
            </w:r>
            <w:r>
              <w:rPr>
                <w:rFonts w:hint="eastAsia"/>
                <w:color w:val="auto"/>
                <w:highlight w:val="none"/>
              </w:rPr>
              <w:t>在固废资源化领域多年积累</w:t>
            </w:r>
            <w:r>
              <w:rPr>
                <w:rFonts w:hint="eastAsia"/>
                <w:color w:val="auto"/>
                <w:highlight w:val="none"/>
                <w:lang w:val="en-US" w:eastAsia="zh-CN"/>
              </w:rPr>
              <w:t>了</w:t>
            </w:r>
            <w:r>
              <w:rPr>
                <w:rFonts w:hint="eastAsia"/>
                <w:color w:val="auto"/>
                <w:highlight w:val="none"/>
              </w:rPr>
              <w:t>产业化经验、市场渠道及工程化能力</w:t>
            </w:r>
            <w:r>
              <w:rPr>
                <w:rFonts w:hint="eastAsia"/>
                <w:color w:val="auto"/>
                <w:highlight w:val="none"/>
                <w:lang w:eastAsia="zh-CN"/>
              </w:rPr>
              <w:t>。</w:t>
            </w:r>
          </w:p>
          <w:p>
            <w:pPr>
              <w:pStyle w:val="6"/>
              <w:bidi w:val="0"/>
              <w:rPr>
                <w:rFonts w:hint="eastAsia"/>
                <w:color w:val="auto"/>
                <w:highlight w:val="none"/>
                <w:lang w:val="en-US" w:eastAsia="zh-CN"/>
              </w:rPr>
            </w:pPr>
            <w:r>
              <w:rPr>
                <w:rFonts w:hint="eastAsia"/>
                <w:color w:val="auto"/>
                <w:highlight w:val="none"/>
                <w:lang w:val="en-US" w:eastAsia="zh-CN"/>
              </w:rPr>
              <w:t>为抓住钙系列产品市场机遇，巴州敏宇环保科技有限公司拟投资2000万元，在现有厂区内实施“巴州敏宇环保科技有限公司固废综合利用年产12万吨钙基产品建设项目”，利用中泰美克化工和深能库尔勒发电有限公司等企业的电石渣、粉煤灰及脱硫石膏等固废生产钙基产品，项目分2期建设，一期新建6万吨电磁回转窑生产线及附属配套设施，二期新建6万吨电磁回转窑生产线，两期共计年产12万吨钙基产品。考虑到近期目标及资金周转等事宜，本次评价只对一期建设内容进行评价，即巴州敏宇环保科技有限公司固废综合利用年产12万吨钙基产品建设项目（一期）。</w:t>
            </w:r>
          </w:p>
          <w:p>
            <w:pPr>
              <w:pStyle w:val="6"/>
              <w:bidi w:val="0"/>
              <w:rPr>
                <w:rFonts w:hint="default"/>
                <w:color w:val="auto"/>
                <w:highlight w:val="none"/>
                <w:lang w:val="en-US" w:eastAsia="zh-CN"/>
              </w:rPr>
            </w:pPr>
            <w:r>
              <w:rPr>
                <w:rFonts w:hint="eastAsia"/>
                <w:color w:val="auto"/>
                <w:highlight w:val="none"/>
                <w:lang w:val="en-US" w:eastAsia="zh-CN"/>
              </w:rPr>
              <w:t>本项目在现有厂区内单独设置独立的原料仓、生产装置和成品仓，原料独立购买，产品独立存放和外售，生产上与现有工程无关联。</w:t>
            </w:r>
          </w:p>
          <w:p>
            <w:pPr>
              <w:pStyle w:val="6"/>
              <w:bidi w:val="0"/>
              <w:rPr>
                <w:color w:val="auto"/>
                <w:highlight w:val="none"/>
              </w:rPr>
            </w:pPr>
            <w:r>
              <w:rPr>
                <w:rFonts w:hint="eastAsia"/>
                <w:color w:val="auto"/>
                <w:highlight w:val="none"/>
                <w:lang w:val="en-US" w:eastAsia="zh-CN"/>
              </w:rPr>
              <w:t>根据</w:t>
            </w:r>
            <w:r>
              <w:rPr>
                <w:rFonts w:hint="eastAsia"/>
                <w:color w:val="auto"/>
                <w:highlight w:val="none"/>
              </w:rPr>
              <w:t>《建设项目环境影响评价分类管理名录（2021版）》</w:t>
            </w:r>
            <w:r>
              <w:rPr>
                <w:rFonts w:hint="eastAsia"/>
                <w:color w:val="auto"/>
                <w:highlight w:val="none"/>
                <w:lang w:eastAsia="zh-CN"/>
              </w:rPr>
              <w:t>，</w:t>
            </w:r>
            <w:r>
              <w:rPr>
                <w:rFonts w:hint="eastAsia"/>
                <w:color w:val="auto"/>
                <w:highlight w:val="none"/>
                <w:lang w:val="en-US" w:eastAsia="zh-CN"/>
              </w:rPr>
              <w:t>本项目属于“四十七、生态保护和环境治理业 103 一般工业固体废物处置和综合利用 其他”，应编制环境影响报告表。</w:t>
            </w:r>
            <w:r>
              <w:rPr>
                <w:rFonts w:hint="eastAsia"/>
                <w:color w:val="auto"/>
                <w:highlight w:val="none"/>
              </w:rPr>
              <w:t>按照《中华人民共和国环境保护法》，《建设项目环境保护管理条例》（国务院令 第682号）的规定，</w:t>
            </w:r>
            <w:r>
              <w:rPr>
                <w:rFonts w:hint="eastAsia"/>
                <w:color w:val="auto"/>
                <w:highlight w:val="none"/>
                <w:lang w:val="en-US" w:eastAsia="zh-CN"/>
              </w:rPr>
              <w:t>巴州敏宇环保科技有限公司</w:t>
            </w:r>
            <w:r>
              <w:rPr>
                <w:rFonts w:hint="eastAsia"/>
                <w:color w:val="auto"/>
                <w:highlight w:val="none"/>
              </w:rPr>
              <w:t>委托</w:t>
            </w:r>
            <w:r>
              <w:rPr>
                <w:rFonts w:hint="eastAsia"/>
                <w:color w:val="auto"/>
                <w:highlight w:val="none"/>
                <w:lang w:eastAsia="zh-CN"/>
              </w:rPr>
              <w:t>新疆玖和生态环境科技有限公司</w:t>
            </w:r>
            <w:r>
              <w:rPr>
                <w:rFonts w:hint="eastAsia"/>
                <w:color w:val="auto"/>
                <w:highlight w:val="none"/>
              </w:rPr>
              <w:t>完成本次环境影响评价工作。根据</w:t>
            </w:r>
            <w:r>
              <w:rPr>
                <w:rFonts w:hint="eastAsia"/>
                <w:color w:val="auto"/>
                <w:highlight w:val="none"/>
                <w:lang w:val="en-US" w:eastAsia="zh-CN"/>
              </w:rPr>
              <w:t>建设单位</w:t>
            </w:r>
            <w:r>
              <w:rPr>
                <w:rFonts w:hint="eastAsia"/>
                <w:color w:val="auto"/>
                <w:highlight w:val="none"/>
              </w:rPr>
              <w:t>提供的相关资料，</w:t>
            </w:r>
            <w:r>
              <w:rPr>
                <w:rFonts w:hint="eastAsia"/>
                <w:color w:val="auto"/>
                <w:highlight w:val="none"/>
                <w:lang w:val="en-US" w:eastAsia="zh-CN"/>
              </w:rPr>
              <w:t>我</w:t>
            </w:r>
            <w:r>
              <w:rPr>
                <w:rFonts w:hint="eastAsia"/>
                <w:color w:val="auto"/>
                <w:highlight w:val="none"/>
              </w:rPr>
              <w:t>单位在现场踏勘、资料收集的基础上，按有关规范，认真细致地编制完成了本项目的环境影响报告表。由生态环境主管部门审批后，将作为该项目各项环保工作及主管部门环境管理的依据。</w:t>
            </w:r>
          </w:p>
          <w:p>
            <w:pPr>
              <w:pStyle w:val="4"/>
              <w:bidi w:val="0"/>
              <w:rPr>
                <w:color w:val="auto"/>
                <w:highlight w:val="none"/>
              </w:rPr>
            </w:pPr>
            <w:r>
              <w:rPr>
                <w:rFonts w:hint="eastAsia"/>
                <w:color w:val="auto"/>
                <w:highlight w:val="none"/>
              </w:rPr>
              <w:t>2.1.1 项目基本情况</w:t>
            </w:r>
          </w:p>
          <w:p>
            <w:pPr>
              <w:pStyle w:val="6"/>
              <w:bidi w:val="0"/>
              <w:rPr>
                <w:rFonts w:hint="default"/>
                <w:color w:val="auto"/>
                <w:highlight w:val="none"/>
                <w:lang w:val="en-US" w:eastAsia="zh-CN"/>
              </w:rPr>
            </w:pPr>
            <w:r>
              <w:rPr>
                <w:rFonts w:hint="eastAsia"/>
                <w:color w:val="auto"/>
                <w:highlight w:val="none"/>
                <w:lang w:val="en-US" w:eastAsia="zh-CN"/>
              </w:rPr>
              <w:t>项目在现有厂区内新建1条6万吨电磁回转窑生产线</w:t>
            </w:r>
            <w:r>
              <w:rPr>
                <w:rFonts w:hint="eastAsia"/>
                <w:color w:val="auto"/>
                <w:highlight w:val="none"/>
                <w:vertAlign w:val="baseline"/>
                <w:lang w:val="en-US" w:eastAsia="zh-CN"/>
              </w:rPr>
              <w:t>及附属配套设施。项目基本情况见表2.1-1。</w:t>
            </w:r>
          </w:p>
          <w:p>
            <w:pPr>
              <w:pStyle w:val="36"/>
              <w:bidi w:val="0"/>
              <w:rPr>
                <w:color w:val="auto"/>
                <w:highlight w:val="none"/>
              </w:rPr>
            </w:pPr>
            <w:r>
              <w:rPr>
                <w:rFonts w:hint="eastAsia"/>
                <w:color w:val="auto"/>
                <w:highlight w:val="none"/>
              </w:rPr>
              <w:t>表2.1</w:t>
            </w:r>
            <w:r>
              <w:rPr>
                <w:color w:val="auto"/>
                <w:highlight w:val="none"/>
              </w:rPr>
              <w:t xml:space="preserve">-1 </w:t>
            </w:r>
            <w:r>
              <w:rPr>
                <w:rFonts w:hint="eastAsia"/>
                <w:color w:val="auto"/>
                <w:highlight w:val="none"/>
              </w:rPr>
              <w:t xml:space="preserve">  项目基本情况一览表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455"/>
              <w:gridCol w:w="1313"/>
              <w:gridCol w:w="6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46" w:type="pct"/>
                  <w:gridSpan w:val="3"/>
                  <w:vAlign w:val="center"/>
                </w:tcPr>
                <w:p>
                  <w:pPr>
                    <w:pStyle w:val="57"/>
                    <w:bidi w:val="0"/>
                    <w:rPr>
                      <w:color w:val="auto"/>
                      <w:highlight w:val="none"/>
                    </w:rPr>
                  </w:pPr>
                  <w:r>
                    <w:rPr>
                      <w:rFonts w:hint="eastAsia"/>
                      <w:color w:val="auto"/>
                      <w:highlight w:val="none"/>
                    </w:rPr>
                    <w:t>项目</w:t>
                  </w:r>
                </w:p>
              </w:tc>
              <w:tc>
                <w:tcPr>
                  <w:tcW w:w="3653" w:type="pct"/>
                  <w:vAlign w:val="center"/>
                </w:tcPr>
                <w:p>
                  <w:pPr>
                    <w:pStyle w:val="57"/>
                    <w:bidi w:val="0"/>
                    <w:rPr>
                      <w:color w:val="auto"/>
                      <w:highlight w:val="none"/>
                    </w:rPr>
                  </w:pPr>
                  <w:r>
                    <w:rPr>
                      <w:rFonts w:hint="eastAsia"/>
                      <w:color w:val="auto"/>
                      <w:highlight w:val="none"/>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vMerge w:val="restart"/>
                  <w:vAlign w:val="center"/>
                </w:tcPr>
                <w:p>
                  <w:pPr>
                    <w:pStyle w:val="57"/>
                    <w:bidi w:val="0"/>
                    <w:rPr>
                      <w:color w:val="auto"/>
                      <w:highlight w:val="none"/>
                    </w:rPr>
                  </w:pPr>
                  <w:r>
                    <w:rPr>
                      <w:rFonts w:hint="eastAsia"/>
                      <w:color w:val="auto"/>
                      <w:highlight w:val="none"/>
                    </w:rPr>
                    <w:t>建设内容</w:t>
                  </w:r>
                </w:p>
              </w:tc>
              <w:tc>
                <w:tcPr>
                  <w:tcW w:w="1042" w:type="pct"/>
                  <w:gridSpan w:val="2"/>
                  <w:vAlign w:val="center"/>
                </w:tcPr>
                <w:p>
                  <w:pPr>
                    <w:pStyle w:val="57"/>
                    <w:bidi w:val="0"/>
                    <w:rPr>
                      <w:color w:val="auto"/>
                      <w:highlight w:val="none"/>
                    </w:rPr>
                  </w:pPr>
                  <w:r>
                    <w:rPr>
                      <w:rFonts w:hint="eastAsia"/>
                      <w:color w:val="auto"/>
                      <w:highlight w:val="none"/>
                    </w:rPr>
                    <w:t>主体工程</w:t>
                  </w:r>
                </w:p>
              </w:tc>
              <w:tc>
                <w:tcPr>
                  <w:tcW w:w="3653" w:type="pct"/>
                  <w:vAlign w:val="center"/>
                </w:tcPr>
                <w:p>
                  <w:pPr>
                    <w:pStyle w:val="34"/>
                    <w:bidi w:val="0"/>
                    <w:rPr>
                      <w:rFonts w:hint="default"/>
                      <w:color w:val="auto"/>
                      <w:highlight w:val="none"/>
                      <w:lang w:val="en-US"/>
                    </w:rPr>
                  </w:pPr>
                  <w:r>
                    <w:rPr>
                      <w:rFonts w:hint="eastAsia"/>
                      <w:color w:val="auto"/>
                      <w:highlight w:val="none"/>
                      <w:lang w:val="en-US" w:eastAsia="zh-CN"/>
                    </w:rPr>
                    <w:t>新建1条6万吨电磁回转窑生产线及附属配套设施，设计规模为年产6万吨钙基产品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4" w:type="pct"/>
                  <w:vMerge w:val="continue"/>
                  <w:vAlign w:val="center"/>
                </w:tcPr>
                <w:p>
                  <w:pPr>
                    <w:pStyle w:val="57"/>
                    <w:bidi w:val="0"/>
                    <w:rPr>
                      <w:color w:val="auto"/>
                      <w:highlight w:val="none"/>
                    </w:rPr>
                  </w:pPr>
                </w:p>
              </w:tc>
              <w:tc>
                <w:tcPr>
                  <w:tcW w:w="1042" w:type="pct"/>
                  <w:gridSpan w:val="2"/>
                  <w:vAlign w:val="center"/>
                </w:tcPr>
                <w:p>
                  <w:pPr>
                    <w:pStyle w:val="57"/>
                    <w:bidi w:val="0"/>
                    <w:rPr>
                      <w:color w:val="auto"/>
                      <w:highlight w:val="none"/>
                    </w:rPr>
                  </w:pPr>
                  <w:r>
                    <w:rPr>
                      <w:rFonts w:hint="eastAsia"/>
                      <w:color w:val="auto"/>
                      <w:highlight w:val="none"/>
                    </w:rPr>
                    <w:t>储运工程</w:t>
                  </w:r>
                </w:p>
              </w:tc>
              <w:tc>
                <w:tcPr>
                  <w:tcW w:w="3653" w:type="pct"/>
                  <w:vAlign w:val="center"/>
                </w:tcPr>
                <w:p>
                  <w:pPr>
                    <w:pStyle w:val="34"/>
                    <w:bidi w:val="0"/>
                    <w:rPr>
                      <w:rFonts w:hint="default"/>
                      <w:color w:val="auto"/>
                      <w:highlight w:val="none"/>
                      <w:lang w:val="en-US" w:eastAsia="zh-CN"/>
                    </w:rPr>
                  </w:pPr>
                  <w:r>
                    <w:rPr>
                      <w:rFonts w:hint="eastAsia"/>
                      <w:color w:val="auto"/>
                      <w:highlight w:val="none"/>
                    </w:rPr>
                    <w:t>新建</w:t>
                  </w:r>
                  <w:r>
                    <w:rPr>
                      <w:rFonts w:hint="eastAsia"/>
                      <w:color w:val="auto"/>
                      <w:highlight w:val="none"/>
                      <w:lang w:val="en-US" w:eastAsia="zh-CN"/>
                    </w:rPr>
                    <w:t>1个100m</w:t>
                  </w:r>
                  <w:r>
                    <w:rPr>
                      <w:rFonts w:hint="eastAsia"/>
                      <w:color w:val="auto"/>
                      <w:highlight w:val="none"/>
                      <w:vertAlign w:val="superscript"/>
                      <w:lang w:val="en-US" w:eastAsia="zh-CN"/>
                    </w:rPr>
                    <w:t>3</w:t>
                  </w:r>
                  <w:r>
                    <w:rPr>
                      <w:rFonts w:hint="eastAsia"/>
                      <w:color w:val="auto"/>
                      <w:highlight w:val="none"/>
                      <w:lang w:val="en-US" w:eastAsia="zh-CN"/>
                    </w:rPr>
                    <w:t>原料仓和2个200m</w:t>
                  </w:r>
                  <w:r>
                    <w:rPr>
                      <w:rFonts w:hint="eastAsia"/>
                      <w:color w:val="auto"/>
                      <w:highlight w:val="none"/>
                      <w:vertAlign w:val="superscript"/>
                      <w:lang w:val="en-US" w:eastAsia="zh-CN"/>
                    </w:rPr>
                    <w:t>3</w:t>
                  </w:r>
                  <w:r>
                    <w:rPr>
                      <w:rFonts w:hint="eastAsia"/>
                      <w:color w:val="auto"/>
                      <w:highlight w:val="none"/>
                      <w:lang w:val="en-US" w:eastAsia="zh-CN"/>
                    </w:rPr>
                    <w:t>成品仓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4" w:type="pct"/>
                  <w:vMerge w:val="continue"/>
                  <w:vAlign w:val="center"/>
                </w:tcPr>
                <w:p>
                  <w:pPr>
                    <w:pStyle w:val="57"/>
                    <w:bidi w:val="0"/>
                    <w:rPr>
                      <w:color w:val="auto"/>
                      <w:highlight w:val="none"/>
                    </w:rPr>
                  </w:pPr>
                </w:p>
              </w:tc>
              <w:tc>
                <w:tcPr>
                  <w:tcW w:w="268" w:type="pct"/>
                  <w:vMerge w:val="restart"/>
                  <w:vAlign w:val="center"/>
                </w:tcPr>
                <w:p>
                  <w:pPr>
                    <w:pStyle w:val="57"/>
                    <w:bidi w:val="0"/>
                    <w:rPr>
                      <w:color w:val="auto"/>
                      <w:highlight w:val="none"/>
                    </w:rPr>
                  </w:pPr>
                  <w:r>
                    <w:rPr>
                      <w:rFonts w:hint="eastAsia"/>
                      <w:color w:val="auto"/>
                      <w:highlight w:val="none"/>
                    </w:rPr>
                    <w:t>公用工程</w:t>
                  </w:r>
                </w:p>
              </w:tc>
              <w:tc>
                <w:tcPr>
                  <w:tcW w:w="773" w:type="pct"/>
                  <w:vAlign w:val="center"/>
                </w:tcPr>
                <w:p>
                  <w:pPr>
                    <w:pStyle w:val="57"/>
                    <w:bidi w:val="0"/>
                    <w:rPr>
                      <w:color w:val="auto"/>
                      <w:highlight w:val="none"/>
                    </w:rPr>
                  </w:pPr>
                  <w:r>
                    <w:rPr>
                      <w:rFonts w:hint="eastAsia"/>
                      <w:color w:val="auto"/>
                      <w:highlight w:val="none"/>
                    </w:rPr>
                    <w:t>给水</w:t>
                  </w:r>
                </w:p>
              </w:tc>
              <w:tc>
                <w:tcPr>
                  <w:tcW w:w="3653" w:type="pct"/>
                  <w:vAlign w:val="center"/>
                </w:tcPr>
                <w:p>
                  <w:pPr>
                    <w:pStyle w:val="34"/>
                    <w:bidi w:val="0"/>
                    <w:rPr>
                      <w:rFonts w:hint="default"/>
                      <w:color w:val="auto"/>
                      <w:highlight w:val="none"/>
                      <w:lang w:val="en-US" w:eastAsia="zh-CN"/>
                    </w:rPr>
                  </w:pPr>
                  <w:r>
                    <w:rPr>
                      <w:rFonts w:hint="eastAsia"/>
                      <w:color w:val="auto"/>
                      <w:highlight w:val="none"/>
                      <w:lang w:val="en-US" w:eastAsia="zh-CN"/>
                    </w:rPr>
                    <w:t>项目不涉及生产用水，生活用水由库尔勒经济技术开发区供水管网供给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4" w:type="pct"/>
                  <w:vMerge w:val="continue"/>
                  <w:vAlign w:val="center"/>
                </w:tcPr>
                <w:p>
                  <w:pPr>
                    <w:pStyle w:val="57"/>
                    <w:bidi w:val="0"/>
                    <w:rPr>
                      <w:color w:val="auto"/>
                      <w:highlight w:val="none"/>
                    </w:rPr>
                  </w:pPr>
                </w:p>
              </w:tc>
              <w:tc>
                <w:tcPr>
                  <w:tcW w:w="268" w:type="pct"/>
                  <w:vMerge w:val="continue"/>
                  <w:vAlign w:val="center"/>
                </w:tcPr>
                <w:p>
                  <w:pPr>
                    <w:pStyle w:val="57"/>
                    <w:bidi w:val="0"/>
                    <w:rPr>
                      <w:color w:val="auto"/>
                      <w:highlight w:val="none"/>
                    </w:rPr>
                  </w:pPr>
                </w:p>
              </w:tc>
              <w:tc>
                <w:tcPr>
                  <w:tcW w:w="773" w:type="pct"/>
                  <w:vAlign w:val="center"/>
                </w:tcPr>
                <w:p>
                  <w:pPr>
                    <w:pStyle w:val="57"/>
                    <w:bidi w:val="0"/>
                    <w:rPr>
                      <w:color w:val="auto"/>
                      <w:highlight w:val="none"/>
                    </w:rPr>
                  </w:pPr>
                  <w:r>
                    <w:rPr>
                      <w:rFonts w:hint="eastAsia"/>
                      <w:color w:val="auto"/>
                      <w:highlight w:val="none"/>
                    </w:rPr>
                    <w:t>排水</w:t>
                  </w:r>
                </w:p>
              </w:tc>
              <w:tc>
                <w:tcPr>
                  <w:tcW w:w="3653" w:type="pct"/>
                  <w:vAlign w:val="center"/>
                </w:tcPr>
                <w:p>
                  <w:pPr>
                    <w:pStyle w:val="34"/>
                    <w:bidi w:val="0"/>
                    <w:rPr>
                      <w:rFonts w:hint="default"/>
                      <w:color w:val="auto"/>
                      <w:highlight w:val="none"/>
                      <w:lang w:val="en-US" w:eastAsia="zh-CN"/>
                    </w:rPr>
                  </w:pPr>
                  <w:r>
                    <w:rPr>
                      <w:rFonts w:hint="eastAsia"/>
                      <w:color w:val="auto"/>
                      <w:highlight w:val="none"/>
                      <w:lang w:val="en-US" w:eastAsia="zh-CN"/>
                    </w:rPr>
                    <w:t>新增生活污水依托现有化粪池（3×4×2m）收集处理后，委托库尔勒龙润处理有限公司定期拉运至库尔勒市南市区污水处理厂处理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4" w:type="pct"/>
                  <w:vMerge w:val="continue"/>
                  <w:vAlign w:val="center"/>
                </w:tcPr>
                <w:p>
                  <w:pPr>
                    <w:pStyle w:val="57"/>
                    <w:bidi w:val="0"/>
                    <w:rPr>
                      <w:color w:val="auto"/>
                      <w:highlight w:val="none"/>
                    </w:rPr>
                  </w:pPr>
                </w:p>
              </w:tc>
              <w:tc>
                <w:tcPr>
                  <w:tcW w:w="268" w:type="pct"/>
                  <w:vMerge w:val="continue"/>
                  <w:vAlign w:val="center"/>
                </w:tcPr>
                <w:p>
                  <w:pPr>
                    <w:pStyle w:val="57"/>
                    <w:bidi w:val="0"/>
                    <w:rPr>
                      <w:color w:val="auto"/>
                      <w:highlight w:val="none"/>
                    </w:rPr>
                  </w:pPr>
                </w:p>
              </w:tc>
              <w:tc>
                <w:tcPr>
                  <w:tcW w:w="773" w:type="pct"/>
                  <w:vAlign w:val="center"/>
                </w:tcPr>
                <w:p>
                  <w:pPr>
                    <w:pStyle w:val="57"/>
                    <w:bidi w:val="0"/>
                    <w:rPr>
                      <w:color w:val="auto"/>
                      <w:highlight w:val="none"/>
                    </w:rPr>
                  </w:pPr>
                  <w:r>
                    <w:rPr>
                      <w:rFonts w:hint="eastAsia"/>
                      <w:color w:val="auto"/>
                      <w:highlight w:val="none"/>
                    </w:rPr>
                    <w:t>供电</w:t>
                  </w:r>
                </w:p>
              </w:tc>
              <w:tc>
                <w:tcPr>
                  <w:tcW w:w="3653" w:type="pct"/>
                  <w:vAlign w:val="center"/>
                </w:tcPr>
                <w:p>
                  <w:pPr>
                    <w:pStyle w:val="34"/>
                    <w:bidi w:val="0"/>
                    <w:rPr>
                      <w:rFonts w:hint="default"/>
                      <w:color w:val="auto"/>
                      <w:highlight w:val="none"/>
                      <w:lang w:val="en-US" w:eastAsia="zh-CN"/>
                    </w:rPr>
                  </w:pPr>
                  <w:r>
                    <w:rPr>
                      <w:rFonts w:hint="eastAsia"/>
                      <w:color w:val="auto"/>
                      <w:highlight w:val="none"/>
                    </w:rPr>
                    <w:t>依托</w:t>
                  </w:r>
                  <w:r>
                    <w:rPr>
                      <w:rFonts w:hint="eastAsia"/>
                      <w:color w:val="auto"/>
                      <w:highlight w:val="none"/>
                      <w:lang w:val="en-US" w:eastAsia="zh-CN"/>
                    </w:rPr>
                    <w:t>现有</w:t>
                  </w:r>
                  <w:r>
                    <w:rPr>
                      <w:rFonts w:hint="eastAsia"/>
                      <w:color w:val="auto"/>
                      <w:highlight w:val="none"/>
                    </w:rPr>
                    <w:t>供电系统</w:t>
                  </w:r>
                  <w:r>
                    <w:rPr>
                      <w:rFonts w:hint="eastAsia"/>
                      <w:color w:val="auto"/>
                      <w:highlight w:val="none"/>
                      <w:lang w:eastAsia="zh-CN"/>
                    </w:rPr>
                    <w:t>，</w:t>
                  </w:r>
                  <w:r>
                    <w:rPr>
                      <w:rFonts w:hint="eastAsia"/>
                      <w:color w:val="auto"/>
                      <w:highlight w:val="none"/>
                      <w:lang w:val="en-US" w:eastAsia="zh-CN"/>
                    </w:rPr>
                    <w:t>由市政电网接入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4" w:type="pct"/>
                  <w:vMerge w:val="continue"/>
                  <w:vAlign w:val="center"/>
                </w:tcPr>
                <w:p>
                  <w:pPr>
                    <w:pStyle w:val="57"/>
                    <w:bidi w:val="0"/>
                    <w:rPr>
                      <w:color w:val="auto"/>
                      <w:highlight w:val="none"/>
                    </w:rPr>
                  </w:pPr>
                </w:p>
              </w:tc>
              <w:tc>
                <w:tcPr>
                  <w:tcW w:w="268" w:type="pct"/>
                  <w:vMerge w:val="continue"/>
                  <w:vAlign w:val="center"/>
                </w:tcPr>
                <w:p>
                  <w:pPr>
                    <w:pStyle w:val="57"/>
                    <w:bidi w:val="0"/>
                    <w:rPr>
                      <w:color w:val="auto"/>
                      <w:highlight w:val="none"/>
                    </w:rPr>
                  </w:pPr>
                </w:p>
              </w:tc>
              <w:tc>
                <w:tcPr>
                  <w:tcW w:w="773" w:type="pct"/>
                  <w:vAlign w:val="center"/>
                </w:tcPr>
                <w:p>
                  <w:pPr>
                    <w:pStyle w:val="57"/>
                    <w:bidi w:val="0"/>
                    <w:rPr>
                      <w:rFonts w:hint="eastAsia"/>
                      <w:color w:val="auto"/>
                      <w:highlight w:val="none"/>
                      <w:lang w:val="en-US" w:eastAsia="zh-CN"/>
                    </w:rPr>
                  </w:pPr>
                  <w:r>
                    <w:rPr>
                      <w:rFonts w:hint="eastAsia"/>
                      <w:color w:val="auto"/>
                      <w:highlight w:val="none"/>
                    </w:rPr>
                    <w:t>供</w:t>
                  </w:r>
                  <w:r>
                    <w:rPr>
                      <w:rFonts w:hint="eastAsia"/>
                      <w:color w:val="auto"/>
                      <w:highlight w:val="none"/>
                      <w:lang w:val="en-US" w:eastAsia="zh-CN"/>
                    </w:rPr>
                    <w:t>暖</w:t>
                  </w:r>
                </w:p>
              </w:tc>
              <w:tc>
                <w:tcPr>
                  <w:tcW w:w="3653" w:type="pct"/>
                  <w:vAlign w:val="center"/>
                </w:tcPr>
                <w:p>
                  <w:pPr>
                    <w:pStyle w:val="34"/>
                    <w:bidi w:val="0"/>
                    <w:rPr>
                      <w:rFonts w:hint="default"/>
                      <w:color w:val="auto"/>
                      <w:highlight w:val="none"/>
                      <w:lang w:val="en-US" w:eastAsia="zh-CN"/>
                    </w:rPr>
                  </w:pPr>
                  <w:r>
                    <w:rPr>
                      <w:rFonts w:hint="eastAsia"/>
                      <w:color w:val="auto"/>
                      <w:highlight w:val="none"/>
                      <w:lang w:val="en-US" w:eastAsia="zh-CN"/>
                    </w:rPr>
                    <w:t>生活区采暖用中央空调，热水采用电加热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vMerge w:val="continue"/>
                  <w:vAlign w:val="center"/>
                </w:tcPr>
                <w:p>
                  <w:pPr>
                    <w:pStyle w:val="57"/>
                    <w:bidi w:val="0"/>
                    <w:rPr>
                      <w:color w:val="auto"/>
                      <w:highlight w:val="none"/>
                    </w:rPr>
                  </w:pPr>
                </w:p>
              </w:tc>
              <w:tc>
                <w:tcPr>
                  <w:tcW w:w="268" w:type="pct"/>
                  <w:vMerge w:val="restart"/>
                  <w:vAlign w:val="center"/>
                </w:tcPr>
                <w:p>
                  <w:pPr>
                    <w:pStyle w:val="57"/>
                    <w:bidi w:val="0"/>
                    <w:rPr>
                      <w:color w:val="auto"/>
                      <w:highlight w:val="none"/>
                    </w:rPr>
                  </w:pPr>
                  <w:r>
                    <w:rPr>
                      <w:rFonts w:hint="eastAsia"/>
                      <w:color w:val="auto"/>
                      <w:highlight w:val="none"/>
                    </w:rPr>
                    <w:t>环保工程</w:t>
                  </w:r>
                </w:p>
              </w:tc>
              <w:tc>
                <w:tcPr>
                  <w:tcW w:w="773" w:type="pct"/>
                  <w:vAlign w:val="center"/>
                </w:tcPr>
                <w:p>
                  <w:pPr>
                    <w:pStyle w:val="57"/>
                    <w:bidi w:val="0"/>
                    <w:rPr>
                      <w:color w:val="auto"/>
                      <w:highlight w:val="none"/>
                    </w:rPr>
                  </w:pPr>
                  <w:r>
                    <w:rPr>
                      <w:color w:val="auto"/>
                      <w:highlight w:val="none"/>
                    </w:rPr>
                    <w:t>废气治理</w:t>
                  </w:r>
                </w:p>
              </w:tc>
              <w:tc>
                <w:tcPr>
                  <w:tcW w:w="3653" w:type="pct"/>
                  <w:vAlign w:val="center"/>
                </w:tcPr>
                <w:p>
                  <w:pPr>
                    <w:pStyle w:val="34"/>
                    <w:bidi w:val="0"/>
                    <w:rPr>
                      <w:rFonts w:hint="eastAsia"/>
                      <w:color w:val="auto"/>
                      <w:highlight w:val="none"/>
                      <w:lang w:val="en-US" w:eastAsia="zh-CN"/>
                    </w:rPr>
                  </w:pPr>
                  <w:r>
                    <w:rPr>
                      <w:rFonts w:hint="eastAsia"/>
                      <w:color w:val="auto"/>
                      <w:highlight w:val="none"/>
                      <w:lang w:val="en-US" w:eastAsia="zh-CN"/>
                    </w:rPr>
                    <w:t>窑头落料端干燥器废气通过双筒预热器给原料预热后，经过“旋风除尘器+布袋除尘器”处理，由15m排气筒达标排放；</w:t>
                  </w:r>
                </w:p>
                <w:p>
                  <w:pPr>
                    <w:pStyle w:val="34"/>
                    <w:bidi w:val="0"/>
                    <w:rPr>
                      <w:rFonts w:hint="default"/>
                      <w:color w:val="auto"/>
                      <w:highlight w:val="none"/>
                      <w:lang w:val="en-US" w:eastAsia="zh-CN"/>
                    </w:rPr>
                  </w:pPr>
                  <w:r>
                    <w:rPr>
                      <w:rFonts w:hint="eastAsia"/>
                      <w:color w:val="auto"/>
                      <w:highlight w:val="none"/>
                      <w:lang w:val="en-US" w:eastAsia="zh-CN"/>
                    </w:rPr>
                    <w:t>原料仓和成品仓呼吸废气均由布袋除尘器处理后无组织排放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4" w:type="pct"/>
                  <w:vMerge w:val="continue"/>
                  <w:vAlign w:val="center"/>
                </w:tcPr>
                <w:p>
                  <w:pPr>
                    <w:pStyle w:val="57"/>
                    <w:bidi w:val="0"/>
                    <w:rPr>
                      <w:color w:val="auto"/>
                      <w:highlight w:val="none"/>
                    </w:rPr>
                  </w:pPr>
                </w:p>
              </w:tc>
              <w:tc>
                <w:tcPr>
                  <w:tcW w:w="268" w:type="pct"/>
                  <w:vMerge w:val="continue"/>
                  <w:vAlign w:val="center"/>
                </w:tcPr>
                <w:p>
                  <w:pPr>
                    <w:pStyle w:val="57"/>
                    <w:bidi w:val="0"/>
                    <w:rPr>
                      <w:color w:val="auto"/>
                      <w:highlight w:val="none"/>
                    </w:rPr>
                  </w:pPr>
                </w:p>
              </w:tc>
              <w:tc>
                <w:tcPr>
                  <w:tcW w:w="773" w:type="pct"/>
                  <w:vAlign w:val="center"/>
                </w:tcPr>
                <w:p>
                  <w:pPr>
                    <w:pStyle w:val="57"/>
                    <w:bidi w:val="0"/>
                    <w:rPr>
                      <w:color w:val="auto"/>
                      <w:highlight w:val="none"/>
                    </w:rPr>
                  </w:pPr>
                  <w:r>
                    <w:rPr>
                      <w:color w:val="auto"/>
                      <w:highlight w:val="none"/>
                    </w:rPr>
                    <w:t>废水治理</w:t>
                  </w:r>
                </w:p>
              </w:tc>
              <w:tc>
                <w:tcPr>
                  <w:tcW w:w="3653" w:type="pct"/>
                  <w:vAlign w:val="center"/>
                </w:tcPr>
                <w:p>
                  <w:pPr>
                    <w:pStyle w:val="34"/>
                    <w:bidi w:val="0"/>
                    <w:rPr>
                      <w:color w:val="auto"/>
                      <w:highlight w:val="none"/>
                    </w:rPr>
                  </w:pPr>
                  <w:r>
                    <w:rPr>
                      <w:rFonts w:hint="eastAsia"/>
                      <w:color w:val="auto"/>
                      <w:highlight w:val="none"/>
                      <w:lang w:val="en-US" w:eastAsia="zh-CN"/>
                    </w:rPr>
                    <w:t>项目无生产废水，新增生活污水依托现有化粪池（3×4×2m）收集处理后，委托库尔勒龙润处理有限公司拉运至库尔勒市南市区污水处理厂处理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4" w:type="pct"/>
                  <w:vMerge w:val="continue"/>
                  <w:vAlign w:val="center"/>
                </w:tcPr>
                <w:p>
                  <w:pPr>
                    <w:pStyle w:val="57"/>
                    <w:bidi w:val="0"/>
                    <w:rPr>
                      <w:color w:val="auto"/>
                      <w:highlight w:val="none"/>
                    </w:rPr>
                  </w:pPr>
                </w:p>
              </w:tc>
              <w:tc>
                <w:tcPr>
                  <w:tcW w:w="268" w:type="pct"/>
                  <w:vMerge w:val="continue"/>
                  <w:vAlign w:val="center"/>
                </w:tcPr>
                <w:p>
                  <w:pPr>
                    <w:pStyle w:val="57"/>
                    <w:bidi w:val="0"/>
                    <w:rPr>
                      <w:color w:val="auto"/>
                      <w:highlight w:val="none"/>
                    </w:rPr>
                  </w:pPr>
                </w:p>
              </w:tc>
              <w:tc>
                <w:tcPr>
                  <w:tcW w:w="773" w:type="pct"/>
                  <w:vAlign w:val="center"/>
                </w:tcPr>
                <w:p>
                  <w:pPr>
                    <w:pStyle w:val="57"/>
                    <w:bidi w:val="0"/>
                    <w:rPr>
                      <w:color w:val="auto"/>
                      <w:highlight w:val="none"/>
                    </w:rPr>
                  </w:pPr>
                  <w:r>
                    <w:rPr>
                      <w:color w:val="auto"/>
                      <w:highlight w:val="none"/>
                    </w:rPr>
                    <w:t>噪声治理</w:t>
                  </w:r>
                </w:p>
              </w:tc>
              <w:tc>
                <w:tcPr>
                  <w:tcW w:w="3653" w:type="pct"/>
                  <w:vAlign w:val="center"/>
                </w:tcPr>
                <w:p>
                  <w:pPr>
                    <w:pStyle w:val="34"/>
                    <w:bidi w:val="0"/>
                    <w:rPr>
                      <w:rFonts w:hint="eastAsia"/>
                      <w:color w:val="auto"/>
                      <w:highlight w:val="none"/>
                      <w:lang w:eastAsia="zh-CN"/>
                    </w:rPr>
                  </w:pPr>
                  <w:r>
                    <w:rPr>
                      <w:rFonts w:hint="eastAsia"/>
                      <w:color w:val="auto"/>
                      <w:highlight w:val="none"/>
                    </w:rPr>
                    <w:t>选用低噪声设备，基础</w:t>
                  </w:r>
                  <w:r>
                    <w:rPr>
                      <w:rFonts w:hint="eastAsia"/>
                      <w:color w:val="auto"/>
                      <w:highlight w:val="none"/>
                      <w:lang w:eastAsia="zh-CN"/>
                    </w:rPr>
                    <w:t>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4" w:type="pct"/>
                  <w:vMerge w:val="continue"/>
                  <w:vAlign w:val="center"/>
                </w:tcPr>
                <w:p>
                  <w:pPr>
                    <w:pStyle w:val="57"/>
                    <w:bidi w:val="0"/>
                    <w:rPr>
                      <w:color w:val="auto"/>
                      <w:highlight w:val="none"/>
                    </w:rPr>
                  </w:pPr>
                </w:p>
              </w:tc>
              <w:tc>
                <w:tcPr>
                  <w:tcW w:w="268" w:type="pct"/>
                  <w:vMerge w:val="continue"/>
                  <w:vAlign w:val="center"/>
                </w:tcPr>
                <w:p>
                  <w:pPr>
                    <w:pStyle w:val="57"/>
                    <w:bidi w:val="0"/>
                    <w:rPr>
                      <w:color w:val="auto"/>
                      <w:highlight w:val="none"/>
                    </w:rPr>
                  </w:pPr>
                </w:p>
              </w:tc>
              <w:tc>
                <w:tcPr>
                  <w:tcW w:w="773" w:type="pct"/>
                  <w:vAlign w:val="center"/>
                </w:tcPr>
                <w:p>
                  <w:pPr>
                    <w:pStyle w:val="57"/>
                    <w:bidi w:val="0"/>
                    <w:rPr>
                      <w:color w:val="auto"/>
                      <w:highlight w:val="none"/>
                    </w:rPr>
                  </w:pPr>
                  <w:r>
                    <w:rPr>
                      <w:color w:val="auto"/>
                      <w:highlight w:val="none"/>
                    </w:rPr>
                    <w:t>固废处置</w:t>
                  </w:r>
                </w:p>
              </w:tc>
              <w:tc>
                <w:tcPr>
                  <w:tcW w:w="3653" w:type="pct"/>
                  <w:vAlign w:val="center"/>
                </w:tcPr>
                <w:p>
                  <w:pPr>
                    <w:pStyle w:val="34"/>
                    <w:bidi w:val="0"/>
                    <w:rPr>
                      <w:rFonts w:hint="default" w:eastAsia="宋体"/>
                      <w:color w:val="auto"/>
                      <w:highlight w:val="none"/>
                      <w:lang w:val="en-US" w:eastAsia="zh-CN"/>
                    </w:rPr>
                  </w:pPr>
                  <w:r>
                    <w:rPr>
                      <w:rFonts w:hint="eastAsia"/>
                      <w:color w:val="auto"/>
                      <w:highlight w:val="none"/>
                      <w:lang w:val="en-US" w:eastAsia="zh-CN"/>
                    </w:rPr>
                    <w:t>旋风除尘器和布袋除尘器收尘均作为原料回用；设备检修产生的</w:t>
                  </w:r>
                  <w:r>
                    <w:rPr>
                      <w:rFonts w:hint="eastAsia"/>
                      <w:color w:val="auto"/>
                      <w:highlight w:val="none"/>
                      <w:lang w:eastAsia="zh-CN"/>
                    </w:rPr>
                    <w:t>废润滑油</w:t>
                  </w:r>
                  <w:r>
                    <w:rPr>
                      <w:rFonts w:hint="eastAsia"/>
                      <w:color w:val="auto"/>
                      <w:highlight w:val="none"/>
                    </w:rPr>
                    <w:t>等危险废物依托</w:t>
                  </w:r>
                  <w:r>
                    <w:rPr>
                      <w:rFonts w:hint="eastAsia"/>
                      <w:color w:val="auto"/>
                      <w:highlight w:val="none"/>
                      <w:lang w:eastAsia="zh-CN"/>
                    </w:rPr>
                    <w:t>现有危险废物贮存点</w:t>
                  </w:r>
                  <w:r>
                    <w:rPr>
                      <w:rFonts w:hint="eastAsia"/>
                      <w:color w:val="auto"/>
                      <w:highlight w:val="none"/>
                    </w:rPr>
                    <w:t>（</w:t>
                  </w:r>
                  <w:r>
                    <w:rPr>
                      <w:rFonts w:hint="eastAsia"/>
                      <w:color w:val="auto"/>
                      <w:highlight w:val="none"/>
                      <w:lang w:val="en-US" w:eastAsia="zh-CN"/>
                    </w:rPr>
                    <w:t>1</w:t>
                  </w:r>
                  <w:r>
                    <w:rPr>
                      <w:rFonts w:hint="eastAsia"/>
                      <w:color w:val="auto"/>
                      <w:highlight w:val="none"/>
                    </w:rPr>
                    <w:t>8m</w:t>
                  </w:r>
                  <w:r>
                    <w:rPr>
                      <w:rFonts w:hint="eastAsia"/>
                      <w:color w:val="auto"/>
                      <w:highlight w:val="none"/>
                      <w:vertAlign w:val="superscript"/>
                    </w:rPr>
                    <w:t>2</w:t>
                  </w:r>
                  <w:r>
                    <w:rPr>
                      <w:rFonts w:hint="eastAsia"/>
                      <w:color w:val="auto"/>
                      <w:highlight w:val="none"/>
                    </w:rPr>
                    <w:t>）</w:t>
                  </w:r>
                  <w:r>
                    <w:rPr>
                      <w:rFonts w:hint="eastAsia"/>
                      <w:color w:val="auto"/>
                      <w:highlight w:val="none"/>
                      <w:lang w:val="en-US" w:eastAsia="zh-CN"/>
                    </w:rPr>
                    <w:t>暂存</w:t>
                  </w:r>
                  <w:r>
                    <w:rPr>
                      <w:rFonts w:hint="eastAsia"/>
                      <w:color w:val="auto"/>
                      <w:highlight w:val="none"/>
                    </w:rPr>
                    <w:t>，定期由</w:t>
                  </w:r>
                  <w:r>
                    <w:rPr>
                      <w:rFonts w:hint="eastAsia"/>
                      <w:color w:val="auto"/>
                      <w:highlight w:val="none"/>
                      <w:lang w:eastAsia="zh-CN"/>
                    </w:rPr>
                    <w:t>库尔勒速润再生物资利用回收有限公司</w:t>
                  </w:r>
                  <w:r>
                    <w:rPr>
                      <w:rFonts w:hint="eastAsia"/>
                      <w:color w:val="auto"/>
                      <w:highlight w:val="none"/>
                      <w:lang w:val="en-US" w:eastAsia="zh-CN"/>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4" w:type="pct"/>
                  <w:vMerge w:val="continue"/>
                  <w:vAlign w:val="center"/>
                </w:tcPr>
                <w:p>
                  <w:pPr>
                    <w:pStyle w:val="57"/>
                    <w:bidi w:val="0"/>
                    <w:rPr>
                      <w:color w:val="auto"/>
                      <w:highlight w:val="none"/>
                    </w:rPr>
                  </w:pPr>
                </w:p>
              </w:tc>
              <w:tc>
                <w:tcPr>
                  <w:tcW w:w="268" w:type="pct"/>
                  <w:vMerge w:val="restar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依托工程</w:t>
                  </w:r>
                </w:p>
              </w:tc>
              <w:tc>
                <w:tcPr>
                  <w:tcW w:w="773" w:type="pct"/>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化粪池</w:t>
                  </w:r>
                </w:p>
              </w:tc>
              <w:tc>
                <w:tcPr>
                  <w:tcW w:w="3653" w:type="pct"/>
                  <w:vAlign w:val="center"/>
                </w:tcPr>
                <w:p>
                  <w:pPr>
                    <w:pStyle w:val="34"/>
                    <w:bidi w:val="0"/>
                    <w:rPr>
                      <w:rFonts w:hint="default"/>
                      <w:color w:val="auto"/>
                      <w:highlight w:val="none"/>
                      <w:lang w:val="en-US" w:eastAsia="zh-CN"/>
                    </w:rPr>
                  </w:pPr>
                  <w:r>
                    <w:rPr>
                      <w:rFonts w:hint="eastAsia"/>
                      <w:color w:val="auto"/>
                      <w:highlight w:val="none"/>
                      <w:lang w:val="en-US" w:eastAsia="zh-CN"/>
                    </w:rPr>
                    <w:t>现有工程已建设化粪池（3×4×2m），本项目新增生活污水依托现有化粪池收集处理后，委托库尔勒龙润处理有限公司拉运至库尔勒市南市区污水处理厂处理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4" w:type="pct"/>
                  <w:vMerge w:val="continue"/>
                  <w:vAlign w:val="center"/>
                </w:tcPr>
                <w:p>
                  <w:pPr>
                    <w:pStyle w:val="57"/>
                    <w:bidi w:val="0"/>
                    <w:rPr>
                      <w:color w:val="auto"/>
                      <w:highlight w:val="none"/>
                    </w:rPr>
                  </w:pPr>
                </w:p>
              </w:tc>
              <w:tc>
                <w:tcPr>
                  <w:tcW w:w="268" w:type="pct"/>
                  <w:vMerge w:val="continue"/>
                  <w:vAlign w:val="center"/>
                </w:tcPr>
                <w:p>
                  <w:pPr>
                    <w:pStyle w:val="57"/>
                    <w:bidi w:val="0"/>
                    <w:rPr>
                      <w:rFonts w:hint="eastAsia"/>
                      <w:color w:val="auto"/>
                      <w:highlight w:val="none"/>
                      <w:lang w:val="en-US" w:eastAsia="zh-CN"/>
                    </w:rPr>
                  </w:pPr>
                </w:p>
              </w:tc>
              <w:tc>
                <w:tcPr>
                  <w:tcW w:w="773"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危险废物暂存点</w:t>
                  </w:r>
                </w:p>
              </w:tc>
              <w:tc>
                <w:tcPr>
                  <w:tcW w:w="3653" w:type="pct"/>
                  <w:vAlign w:val="center"/>
                </w:tcPr>
                <w:p>
                  <w:pPr>
                    <w:pStyle w:val="34"/>
                    <w:bidi w:val="0"/>
                    <w:rPr>
                      <w:rFonts w:hint="default"/>
                      <w:color w:val="auto"/>
                      <w:highlight w:val="none"/>
                      <w:vertAlign w:val="baseline"/>
                      <w:lang w:val="en-US" w:eastAsia="zh-CN"/>
                    </w:rPr>
                  </w:pPr>
                  <w:r>
                    <w:rPr>
                      <w:rFonts w:hint="eastAsia"/>
                      <w:color w:val="auto"/>
                      <w:highlight w:val="none"/>
                      <w:lang w:val="en-US" w:eastAsia="zh-CN"/>
                    </w:rPr>
                    <w:t>现有</w:t>
                  </w:r>
                  <w:r>
                    <w:rPr>
                      <w:rFonts w:hint="eastAsia"/>
                      <w:color w:val="auto"/>
                      <w:highlight w:val="none"/>
                      <w:lang w:eastAsia="zh-CN"/>
                    </w:rPr>
                    <w:t>危险废物贮存点</w:t>
                  </w:r>
                  <w:r>
                    <w:rPr>
                      <w:rFonts w:hint="eastAsia"/>
                      <w:color w:val="auto"/>
                      <w:highlight w:val="none"/>
                      <w:lang w:val="en-US" w:eastAsia="zh-CN"/>
                    </w:rPr>
                    <w:t>，18m</w:t>
                  </w:r>
                  <w:r>
                    <w:rPr>
                      <w:rFonts w:hint="eastAsia"/>
                      <w:color w:val="auto"/>
                      <w:highlight w:val="none"/>
                      <w:vertAlign w:val="superscript"/>
                      <w:lang w:val="en-US" w:eastAsia="zh-CN"/>
                    </w:rPr>
                    <w:t>2</w:t>
                  </w:r>
                  <w:r>
                    <w:rPr>
                      <w:rFonts w:hint="eastAsia"/>
                      <w:color w:val="auto"/>
                      <w:highlight w:val="none"/>
                      <w:vertAlign w:val="baseline"/>
                      <w:lang w:val="en-US" w:eastAsia="zh-CN"/>
                    </w:rPr>
                    <w:t>，采用“防渗膜+混凝土”防渗措施，并设有托盘，主要用来存放废机油、废润滑油；定期由库尔勒速润再生物资利用回收有限公司处置</w:t>
                  </w:r>
                </w:p>
              </w:tc>
            </w:tr>
          </w:tbl>
          <w:p>
            <w:pPr>
              <w:pStyle w:val="4"/>
              <w:shd w:val="clear"/>
              <w:spacing w:before="120" w:after="120"/>
              <w:rPr>
                <w:rFonts w:hint="eastAsia"/>
                <w:color w:val="auto"/>
                <w:highlight w:val="none"/>
              </w:rPr>
            </w:pPr>
          </w:p>
          <w:p>
            <w:pPr>
              <w:pStyle w:val="4"/>
              <w:shd w:val="clear"/>
              <w:spacing w:before="120" w:after="120"/>
              <w:rPr>
                <w:color w:val="auto"/>
                <w:highlight w:val="none"/>
              </w:rPr>
            </w:pPr>
            <w:r>
              <w:rPr>
                <w:rFonts w:hint="eastAsia"/>
                <w:color w:val="auto"/>
                <w:highlight w:val="none"/>
              </w:rPr>
              <w:t>2.1.2 厂区平面布置</w:t>
            </w:r>
          </w:p>
          <w:p>
            <w:pPr>
              <w:pStyle w:val="6"/>
              <w:bidi w:val="0"/>
              <w:rPr>
                <w:color w:val="auto"/>
                <w:highlight w:val="none"/>
              </w:rPr>
            </w:pPr>
            <w:r>
              <w:rPr>
                <w:rFonts w:hint="eastAsia"/>
                <w:color w:val="auto"/>
                <w:highlight w:val="none"/>
              </w:rPr>
              <w:t>本项目</w:t>
            </w:r>
            <w:r>
              <w:rPr>
                <w:rFonts w:hint="eastAsia"/>
                <w:color w:val="auto"/>
                <w:highlight w:val="none"/>
                <w:lang w:val="en-US" w:eastAsia="zh-CN"/>
              </w:rPr>
              <w:t>公辅设施均依托现有工程</w:t>
            </w:r>
            <w:r>
              <w:rPr>
                <w:rFonts w:hint="eastAsia"/>
                <w:color w:val="auto"/>
                <w:highlight w:val="none"/>
              </w:rPr>
              <w:t>，新建建构筑物见表2.1-2，厂区平面布置见图2.1-1。</w:t>
            </w:r>
          </w:p>
          <w:p>
            <w:pPr>
              <w:pStyle w:val="4"/>
              <w:bidi w:val="0"/>
              <w:rPr>
                <w:color w:val="auto"/>
                <w:highlight w:val="none"/>
              </w:rPr>
            </w:pPr>
            <w:r>
              <w:rPr>
                <w:rFonts w:hint="eastAsia"/>
                <w:color w:val="auto"/>
                <w:highlight w:val="none"/>
              </w:rPr>
              <w:t>2.1.3 主要建构筑物</w:t>
            </w:r>
          </w:p>
          <w:p>
            <w:pPr>
              <w:pStyle w:val="6"/>
              <w:bidi w:val="0"/>
              <w:rPr>
                <w:color w:val="auto"/>
                <w:highlight w:val="none"/>
              </w:rPr>
            </w:pPr>
            <w:r>
              <w:rPr>
                <w:rFonts w:hint="eastAsia"/>
                <w:color w:val="auto"/>
                <w:highlight w:val="none"/>
              </w:rPr>
              <w:t>项目主要建</w:t>
            </w:r>
            <w:r>
              <w:rPr>
                <w:rFonts w:hint="eastAsia"/>
                <w:color w:val="auto"/>
                <w:highlight w:val="none"/>
                <w:lang w:eastAsia="zh-CN"/>
              </w:rPr>
              <w:t>（</w:t>
            </w:r>
            <w:r>
              <w:rPr>
                <w:rFonts w:hint="eastAsia"/>
                <w:color w:val="auto"/>
                <w:highlight w:val="none"/>
                <w:lang w:val="en-US" w:eastAsia="zh-CN"/>
              </w:rPr>
              <w:t>构</w:t>
            </w:r>
            <w:r>
              <w:rPr>
                <w:rFonts w:hint="eastAsia"/>
                <w:color w:val="auto"/>
                <w:highlight w:val="none"/>
                <w:lang w:eastAsia="zh-CN"/>
              </w:rPr>
              <w:t>）</w:t>
            </w:r>
            <w:r>
              <w:rPr>
                <w:rFonts w:hint="eastAsia"/>
                <w:color w:val="auto"/>
                <w:highlight w:val="none"/>
              </w:rPr>
              <w:t>筑物见下表。</w:t>
            </w:r>
          </w:p>
          <w:p>
            <w:pPr>
              <w:pStyle w:val="36"/>
              <w:bidi w:val="0"/>
              <w:rPr>
                <w:rFonts w:hint="eastAsia"/>
                <w:color w:val="auto"/>
                <w:highlight w:val="none"/>
                <w:lang w:eastAsia="zh-CN"/>
              </w:rPr>
            </w:pPr>
            <w:r>
              <w:rPr>
                <w:rFonts w:hint="eastAsia"/>
                <w:color w:val="auto"/>
                <w:highlight w:val="none"/>
              </w:rPr>
              <w:t xml:space="preserve">表2.1-2   </w:t>
            </w:r>
            <w:r>
              <w:rPr>
                <w:rFonts w:hint="eastAsia"/>
                <w:color w:val="auto"/>
                <w:highlight w:val="none"/>
                <w:lang w:val="en-US" w:eastAsia="zh-CN"/>
              </w:rPr>
              <w:t>主要</w:t>
            </w:r>
            <w:r>
              <w:rPr>
                <w:rFonts w:hint="eastAsia"/>
                <w:color w:val="auto"/>
                <w:highlight w:val="none"/>
              </w:rPr>
              <w:t>建（</w:t>
            </w:r>
            <w:r>
              <w:rPr>
                <w:color w:val="auto"/>
                <w:highlight w:val="none"/>
              </w:rPr>
              <w:t>构）筑物</w:t>
            </w:r>
            <w:r>
              <w:rPr>
                <w:rFonts w:hint="eastAsia"/>
                <w:color w:val="auto"/>
                <w:highlight w:val="none"/>
                <w:lang w:val="en-US" w:eastAsia="zh-CN"/>
              </w:rPr>
              <w:t>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2111"/>
              <w:gridCol w:w="1358"/>
              <w:gridCol w:w="1268"/>
              <w:gridCol w:w="1901"/>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0" w:type="pct"/>
                  <w:vAlign w:val="center"/>
                </w:tcPr>
                <w:p>
                  <w:pPr>
                    <w:pStyle w:val="57"/>
                    <w:bidi w:val="0"/>
                    <w:rPr>
                      <w:color w:val="auto"/>
                      <w:highlight w:val="none"/>
                    </w:rPr>
                  </w:pPr>
                  <w:r>
                    <w:rPr>
                      <w:rFonts w:hint="eastAsia"/>
                      <w:color w:val="auto"/>
                      <w:highlight w:val="none"/>
                    </w:rPr>
                    <w:t>序号</w:t>
                  </w:r>
                </w:p>
              </w:tc>
              <w:tc>
                <w:tcPr>
                  <w:tcW w:w="1244" w:type="pct"/>
                  <w:vAlign w:val="center"/>
                </w:tcPr>
                <w:p>
                  <w:pPr>
                    <w:pStyle w:val="57"/>
                    <w:bidi w:val="0"/>
                    <w:rPr>
                      <w:color w:val="auto"/>
                      <w:highlight w:val="none"/>
                    </w:rPr>
                  </w:pPr>
                  <w:r>
                    <w:rPr>
                      <w:rFonts w:hint="eastAsia"/>
                      <w:color w:val="auto"/>
                      <w:highlight w:val="none"/>
                    </w:rPr>
                    <w:t>建筑物名称</w:t>
                  </w:r>
                </w:p>
              </w:tc>
              <w:tc>
                <w:tcPr>
                  <w:tcW w:w="800" w:type="pct"/>
                  <w:vAlign w:val="center"/>
                </w:tcPr>
                <w:p>
                  <w:pPr>
                    <w:pStyle w:val="57"/>
                    <w:bidi w:val="0"/>
                    <w:rPr>
                      <w:color w:val="auto"/>
                      <w:highlight w:val="none"/>
                    </w:rPr>
                  </w:pPr>
                  <w:r>
                    <w:rPr>
                      <w:rFonts w:hint="eastAsia"/>
                      <w:color w:val="auto"/>
                      <w:highlight w:val="none"/>
                    </w:rPr>
                    <w:t>建筑面积m</w:t>
                  </w:r>
                  <w:r>
                    <w:rPr>
                      <w:rFonts w:hint="eastAsia"/>
                      <w:color w:val="auto"/>
                      <w:highlight w:val="none"/>
                      <w:vertAlign w:val="superscript"/>
                    </w:rPr>
                    <w:t>2</w:t>
                  </w:r>
                </w:p>
              </w:tc>
              <w:tc>
                <w:tcPr>
                  <w:tcW w:w="747" w:type="pct"/>
                  <w:vAlign w:val="center"/>
                </w:tcPr>
                <w:p>
                  <w:pPr>
                    <w:pStyle w:val="57"/>
                    <w:bidi w:val="0"/>
                    <w:rPr>
                      <w:color w:val="auto"/>
                      <w:highlight w:val="none"/>
                    </w:rPr>
                  </w:pPr>
                  <w:r>
                    <w:rPr>
                      <w:rFonts w:hint="eastAsia"/>
                      <w:color w:val="auto"/>
                      <w:highlight w:val="none"/>
                    </w:rPr>
                    <w:t>层高m</w:t>
                  </w:r>
                </w:p>
              </w:tc>
              <w:tc>
                <w:tcPr>
                  <w:tcW w:w="1120" w:type="pct"/>
                  <w:vAlign w:val="center"/>
                </w:tcPr>
                <w:p>
                  <w:pPr>
                    <w:pStyle w:val="57"/>
                    <w:bidi w:val="0"/>
                    <w:rPr>
                      <w:color w:val="auto"/>
                      <w:highlight w:val="none"/>
                    </w:rPr>
                  </w:pPr>
                  <w:r>
                    <w:rPr>
                      <w:rFonts w:hint="eastAsia"/>
                      <w:color w:val="auto"/>
                      <w:highlight w:val="none"/>
                    </w:rPr>
                    <w:t>结构类型</w:t>
                  </w:r>
                </w:p>
              </w:tc>
              <w:tc>
                <w:tcPr>
                  <w:tcW w:w="707" w:type="pct"/>
                  <w:vAlign w:val="center"/>
                </w:tcPr>
                <w:p>
                  <w:pPr>
                    <w:pStyle w:val="57"/>
                    <w:bidi w:val="0"/>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Align w:val="center"/>
                </w:tcPr>
                <w:p>
                  <w:pPr>
                    <w:pStyle w:val="57"/>
                    <w:bidi w:val="0"/>
                    <w:rPr>
                      <w:color w:val="auto"/>
                      <w:highlight w:val="none"/>
                    </w:rPr>
                  </w:pPr>
                  <w:r>
                    <w:rPr>
                      <w:rFonts w:hint="eastAsia"/>
                      <w:color w:val="auto"/>
                      <w:highlight w:val="none"/>
                    </w:rPr>
                    <w:t>1</w:t>
                  </w:r>
                </w:p>
              </w:tc>
              <w:tc>
                <w:tcPr>
                  <w:tcW w:w="1244" w:type="pct"/>
                  <w:vAlign w:val="center"/>
                </w:tcPr>
                <w:p>
                  <w:pPr>
                    <w:pStyle w:val="57"/>
                    <w:bidi w:val="0"/>
                    <w:rPr>
                      <w:color w:val="auto"/>
                      <w:highlight w:val="none"/>
                    </w:rPr>
                  </w:pPr>
                  <w:r>
                    <w:rPr>
                      <w:rFonts w:hint="eastAsia"/>
                      <w:color w:val="auto"/>
                      <w:highlight w:val="none"/>
                    </w:rPr>
                    <w:t>生产车间</w:t>
                  </w:r>
                </w:p>
              </w:tc>
              <w:tc>
                <w:tcPr>
                  <w:tcW w:w="800" w:type="pct"/>
                  <w:vAlign w:val="center"/>
                </w:tcPr>
                <w:p>
                  <w:pPr>
                    <w:pStyle w:val="57"/>
                    <w:bidi w:val="0"/>
                    <w:rPr>
                      <w:rFonts w:hint="default"/>
                      <w:color w:val="auto"/>
                      <w:highlight w:val="none"/>
                      <w:lang w:val="en-US" w:eastAsia="zh-CN"/>
                    </w:rPr>
                  </w:pPr>
                  <w:r>
                    <w:rPr>
                      <w:rFonts w:hint="eastAsia"/>
                      <w:color w:val="auto"/>
                      <w:highlight w:val="none"/>
                      <w:lang w:val="en-US" w:eastAsia="zh-CN"/>
                    </w:rPr>
                    <w:t>800</w:t>
                  </w:r>
                </w:p>
              </w:tc>
              <w:tc>
                <w:tcPr>
                  <w:tcW w:w="747" w:type="pct"/>
                  <w:shd w:val="clear" w:color="auto" w:fill="auto"/>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6</w:t>
                  </w:r>
                </w:p>
              </w:tc>
              <w:tc>
                <w:tcPr>
                  <w:tcW w:w="1120" w:type="pct"/>
                  <w:vAlign w:val="center"/>
                </w:tcPr>
                <w:p>
                  <w:pPr>
                    <w:pStyle w:val="57"/>
                    <w:bidi w:val="0"/>
                    <w:rPr>
                      <w:rFonts w:hint="eastAsia"/>
                      <w:color w:val="auto"/>
                      <w:highlight w:val="none"/>
                      <w:lang w:eastAsia="zh-CN"/>
                    </w:rPr>
                  </w:pPr>
                  <w:r>
                    <w:rPr>
                      <w:rFonts w:hint="eastAsia"/>
                      <w:color w:val="auto"/>
                      <w:highlight w:val="none"/>
                      <w:lang w:val="en-US" w:eastAsia="zh-CN"/>
                    </w:rPr>
                    <w:t>钢构</w:t>
                  </w:r>
                </w:p>
              </w:tc>
              <w:tc>
                <w:tcPr>
                  <w:tcW w:w="707" w:type="pct"/>
                  <w:vAlign w:val="center"/>
                </w:tcPr>
                <w:p>
                  <w:pPr>
                    <w:pStyle w:val="57"/>
                    <w:bidi w:val="0"/>
                    <w:rPr>
                      <w:color w:val="auto"/>
                      <w:highlight w:val="none"/>
                    </w:rPr>
                  </w:pPr>
                  <w:r>
                    <w:rPr>
                      <w:color w:val="auto"/>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0" w:type="pct"/>
                  <w:vAlign w:val="center"/>
                </w:tcPr>
                <w:p>
                  <w:pPr>
                    <w:pStyle w:val="57"/>
                    <w:bidi w:val="0"/>
                    <w:rPr>
                      <w:rFonts w:hint="eastAsia"/>
                      <w:color w:val="auto"/>
                      <w:highlight w:val="none"/>
                      <w:lang w:val="en-US" w:eastAsia="zh-CN"/>
                    </w:rPr>
                  </w:pPr>
                  <w:r>
                    <w:rPr>
                      <w:rFonts w:hint="eastAsia"/>
                      <w:color w:val="auto"/>
                      <w:highlight w:val="none"/>
                      <w:lang w:val="en-US" w:eastAsia="zh-CN"/>
                    </w:rPr>
                    <w:t>2</w:t>
                  </w:r>
                </w:p>
              </w:tc>
              <w:tc>
                <w:tcPr>
                  <w:tcW w:w="1244" w:type="pct"/>
                  <w:vAlign w:val="center"/>
                </w:tcPr>
                <w:p>
                  <w:pPr>
                    <w:pStyle w:val="57"/>
                    <w:bidi w:val="0"/>
                    <w:rPr>
                      <w:rFonts w:hint="default"/>
                      <w:color w:val="auto"/>
                      <w:highlight w:val="none"/>
                      <w:lang w:val="en-US" w:eastAsia="zh-CN"/>
                    </w:rPr>
                  </w:pPr>
                  <w:r>
                    <w:rPr>
                      <w:rFonts w:hint="eastAsia"/>
                      <w:color w:val="auto"/>
                      <w:highlight w:val="none"/>
                      <w:lang w:val="en-US" w:eastAsia="zh-CN"/>
                    </w:rPr>
                    <w:t>办公区</w:t>
                  </w:r>
                </w:p>
              </w:tc>
              <w:tc>
                <w:tcPr>
                  <w:tcW w:w="800" w:type="pct"/>
                  <w:vAlign w:val="center"/>
                </w:tcPr>
                <w:p>
                  <w:pPr>
                    <w:pStyle w:val="57"/>
                    <w:bidi w:val="0"/>
                    <w:rPr>
                      <w:rFonts w:hint="default"/>
                      <w:color w:val="auto"/>
                      <w:highlight w:val="none"/>
                      <w:lang w:val="en-US" w:eastAsia="zh-CN"/>
                    </w:rPr>
                  </w:pPr>
                  <w:r>
                    <w:rPr>
                      <w:rFonts w:hint="eastAsia"/>
                      <w:color w:val="auto"/>
                      <w:highlight w:val="none"/>
                      <w:lang w:val="en-US" w:eastAsia="zh-CN"/>
                    </w:rPr>
                    <w:t>523.71</w:t>
                  </w:r>
                </w:p>
              </w:tc>
              <w:tc>
                <w:tcPr>
                  <w:tcW w:w="747" w:type="pct"/>
                  <w:shd w:val="clear" w:color="auto" w:fill="auto"/>
                  <w:vAlign w:val="center"/>
                </w:tcPr>
                <w:p>
                  <w:pPr>
                    <w:pStyle w:val="57"/>
                    <w:bidi w:val="0"/>
                    <w:rPr>
                      <w:rFonts w:hint="default"/>
                      <w:color w:val="auto"/>
                      <w:highlight w:val="none"/>
                      <w:lang w:val="en-US" w:eastAsia="zh-CN"/>
                    </w:rPr>
                  </w:pPr>
                  <w:r>
                    <w:rPr>
                      <w:rFonts w:hint="eastAsia"/>
                      <w:color w:val="auto"/>
                      <w:highlight w:val="none"/>
                      <w:lang w:val="en-US" w:eastAsia="zh-CN"/>
                    </w:rPr>
                    <w:t>6.8</w:t>
                  </w:r>
                </w:p>
              </w:tc>
              <w:tc>
                <w:tcPr>
                  <w:tcW w:w="1120" w:type="pct"/>
                  <w:vAlign w:val="center"/>
                </w:tcPr>
                <w:p>
                  <w:pPr>
                    <w:pStyle w:val="57"/>
                    <w:bidi w:val="0"/>
                    <w:rPr>
                      <w:rFonts w:hint="eastAsia"/>
                      <w:color w:val="auto"/>
                      <w:highlight w:val="none"/>
                      <w:lang w:val="en-US" w:eastAsia="zh-CN"/>
                    </w:rPr>
                  </w:pPr>
                  <w:r>
                    <w:rPr>
                      <w:rFonts w:hint="eastAsia"/>
                      <w:color w:val="auto"/>
                      <w:highlight w:val="none"/>
                      <w:lang w:val="en-US" w:eastAsia="zh-CN"/>
                    </w:rPr>
                    <w:t>2F，砖混</w:t>
                  </w:r>
                </w:p>
              </w:tc>
              <w:tc>
                <w:tcPr>
                  <w:tcW w:w="707" w:type="pct"/>
                  <w:vAlign w:val="center"/>
                </w:tcPr>
                <w:p>
                  <w:pPr>
                    <w:pStyle w:val="57"/>
                    <w:bidi w:val="0"/>
                    <w:rPr>
                      <w:rFonts w:hint="eastAsia"/>
                      <w:color w:val="auto"/>
                      <w:highlight w:val="none"/>
                      <w:lang w:val="en-US" w:eastAsia="zh-CN"/>
                    </w:rPr>
                  </w:pPr>
                  <w:r>
                    <w:rPr>
                      <w:rFonts w:hint="eastAsia"/>
                      <w:color w:val="auto"/>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0" w:type="pct"/>
                  <w:vAlign w:val="center"/>
                </w:tcPr>
                <w:p>
                  <w:pPr>
                    <w:pStyle w:val="57"/>
                    <w:bidi w:val="0"/>
                    <w:rPr>
                      <w:rFonts w:hint="default"/>
                      <w:color w:val="auto"/>
                      <w:highlight w:val="none"/>
                      <w:lang w:val="en-US" w:eastAsia="zh-CN"/>
                    </w:rPr>
                  </w:pPr>
                  <w:r>
                    <w:rPr>
                      <w:rFonts w:hint="eastAsia"/>
                      <w:color w:val="auto"/>
                      <w:highlight w:val="none"/>
                      <w:lang w:val="en-US" w:eastAsia="zh-CN"/>
                    </w:rPr>
                    <w:t>3</w:t>
                  </w:r>
                </w:p>
              </w:tc>
              <w:tc>
                <w:tcPr>
                  <w:tcW w:w="1244" w:type="pct"/>
                  <w:vAlign w:val="center"/>
                </w:tcPr>
                <w:p>
                  <w:pPr>
                    <w:pStyle w:val="57"/>
                    <w:bidi w:val="0"/>
                    <w:rPr>
                      <w:rFonts w:hint="default"/>
                      <w:color w:val="auto"/>
                      <w:highlight w:val="none"/>
                      <w:lang w:val="en-US" w:eastAsia="zh-CN"/>
                    </w:rPr>
                  </w:pPr>
                  <w:r>
                    <w:rPr>
                      <w:rFonts w:hint="eastAsia"/>
                      <w:color w:val="auto"/>
                      <w:highlight w:val="none"/>
                      <w:lang w:val="en-US" w:eastAsia="zh-CN"/>
                    </w:rPr>
                    <w:t>宿舍楼</w:t>
                  </w:r>
                </w:p>
              </w:tc>
              <w:tc>
                <w:tcPr>
                  <w:tcW w:w="800" w:type="pct"/>
                  <w:vAlign w:val="center"/>
                </w:tcPr>
                <w:p>
                  <w:pPr>
                    <w:pStyle w:val="57"/>
                    <w:bidi w:val="0"/>
                    <w:rPr>
                      <w:rFonts w:hint="default"/>
                      <w:color w:val="auto"/>
                      <w:highlight w:val="none"/>
                      <w:lang w:val="en-US" w:eastAsia="zh-CN"/>
                    </w:rPr>
                  </w:pPr>
                  <w:r>
                    <w:rPr>
                      <w:rFonts w:hint="eastAsia"/>
                      <w:color w:val="auto"/>
                      <w:highlight w:val="none"/>
                      <w:lang w:val="en-US" w:eastAsia="zh-CN"/>
                    </w:rPr>
                    <w:t>669.88</w:t>
                  </w:r>
                </w:p>
              </w:tc>
              <w:tc>
                <w:tcPr>
                  <w:tcW w:w="747" w:type="pct"/>
                  <w:shd w:val="clear" w:color="auto" w:fill="auto"/>
                  <w:vAlign w:val="center"/>
                </w:tcPr>
                <w:p>
                  <w:pPr>
                    <w:pStyle w:val="57"/>
                    <w:bidi w:val="0"/>
                    <w:rPr>
                      <w:rFonts w:hint="default"/>
                      <w:color w:val="auto"/>
                      <w:highlight w:val="none"/>
                      <w:lang w:val="en-US" w:eastAsia="zh-CN"/>
                    </w:rPr>
                  </w:pPr>
                  <w:r>
                    <w:rPr>
                      <w:rFonts w:hint="eastAsia"/>
                      <w:color w:val="auto"/>
                      <w:highlight w:val="none"/>
                      <w:lang w:val="en-US" w:eastAsia="zh-CN"/>
                    </w:rPr>
                    <w:t>6.8</w:t>
                  </w:r>
                </w:p>
              </w:tc>
              <w:tc>
                <w:tcPr>
                  <w:tcW w:w="1120" w:type="pct"/>
                  <w:vAlign w:val="center"/>
                </w:tcPr>
                <w:p>
                  <w:pPr>
                    <w:pStyle w:val="57"/>
                    <w:bidi w:val="0"/>
                    <w:rPr>
                      <w:rFonts w:hint="default"/>
                      <w:color w:val="auto"/>
                      <w:highlight w:val="none"/>
                      <w:lang w:val="en-US" w:eastAsia="zh-CN"/>
                    </w:rPr>
                  </w:pPr>
                  <w:r>
                    <w:rPr>
                      <w:rFonts w:hint="eastAsia"/>
                      <w:color w:val="auto"/>
                      <w:highlight w:val="none"/>
                      <w:lang w:val="en-US" w:eastAsia="zh-CN"/>
                    </w:rPr>
                    <w:t>2F，砖混</w:t>
                  </w:r>
                </w:p>
              </w:tc>
              <w:tc>
                <w:tcPr>
                  <w:tcW w:w="707" w:type="pct"/>
                  <w:vAlign w:val="center"/>
                </w:tcPr>
                <w:p>
                  <w:pPr>
                    <w:pStyle w:val="57"/>
                    <w:bidi w:val="0"/>
                    <w:rPr>
                      <w:rFonts w:hint="eastAsia"/>
                      <w:color w:val="auto"/>
                      <w:highlight w:val="none"/>
                      <w:lang w:val="en-US" w:eastAsia="zh-CN"/>
                    </w:rPr>
                  </w:pPr>
                  <w:r>
                    <w:rPr>
                      <w:rFonts w:hint="eastAsia"/>
                      <w:color w:val="auto"/>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0" w:type="pct"/>
                  <w:vAlign w:val="center"/>
                </w:tcPr>
                <w:p>
                  <w:pPr>
                    <w:pStyle w:val="57"/>
                    <w:bidi w:val="0"/>
                    <w:rPr>
                      <w:rFonts w:hint="default"/>
                      <w:color w:val="auto"/>
                      <w:highlight w:val="none"/>
                      <w:lang w:val="en-US" w:eastAsia="zh-CN"/>
                    </w:rPr>
                  </w:pPr>
                  <w:r>
                    <w:rPr>
                      <w:rFonts w:hint="eastAsia"/>
                      <w:color w:val="auto"/>
                      <w:highlight w:val="none"/>
                      <w:lang w:val="en-US" w:eastAsia="zh-CN"/>
                    </w:rPr>
                    <w:t>4</w:t>
                  </w:r>
                </w:p>
              </w:tc>
              <w:tc>
                <w:tcPr>
                  <w:tcW w:w="1244" w:type="pct"/>
                  <w:vAlign w:val="center"/>
                </w:tcPr>
                <w:p>
                  <w:pPr>
                    <w:pStyle w:val="57"/>
                    <w:bidi w:val="0"/>
                    <w:rPr>
                      <w:rFonts w:hint="default"/>
                      <w:color w:val="auto"/>
                      <w:highlight w:val="none"/>
                      <w:lang w:val="en-US" w:eastAsia="zh-CN"/>
                    </w:rPr>
                  </w:pPr>
                  <w:r>
                    <w:rPr>
                      <w:rFonts w:hint="eastAsia"/>
                      <w:color w:val="auto"/>
                      <w:highlight w:val="none"/>
                      <w:lang w:val="en-US" w:eastAsia="zh-CN"/>
                    </w:rPr>
                    <w:t>门卫室</w:t>
                  </w:r>
                </w:p>
              </w:tc>
              <w:tc>
                <w:tcPr>
                  <w:tcW w:w="800" w:type="pct"/>
                  <w:vAlign w:val="center"/>
                </w:tcPr>
                <w:p>
                  <w:pPr>
                    <w:pStyle w:val="57"/>
                    <w:bidi w:val="0"/>
                    <w:rPr>
                      <w:rFonts w:hint="default"/>
                      <w:color w:val="auto"/>
                      <w:highlight w:val="none"/>
                      <w:lang w:val="en-US" w:eastAsia="zh-CN"/>
                    </w:rPr>
                  </w:pPr>
                  <w:r>
                    <w:rPr>
                      <w:rFonts w:hint="eastAsia"/>
                      <w:color w:val="auto"/>
                      <w:highlight w:val="none"/>
                      <w:lang w:val="en-US" w:eastAsia="zh-CN"/>
                    </w:rPr>
                    <w:t>54</w:t>
                  </w:r>
                </w:p>
              </w:tc>
              <w:tc>
                <w:tcPr>
                  <w:tcW w:w="747" w:type="pct"/>
                  <w:shd w:val="clear" w:color="auto" w:fill="auto"/>
                  <w:vAlign w:val="center"/>
                </w:tcPr>
                <w:p>
                  <w:pPr>
                    <w:pStyle w:val="57"/>
                    <w:bidi w:val="0"/>
                    <w:rPr>
                      <w:rFonts w:hint="default"/>
                      <w:color w:val="auto"/>
                      <w:highlight w:val="none"/>
                      <w:lang w:val="en-US" w:eastAsia="zh-CN"/>
                    </w:rPr>
                  </w:pPr>
                  <w:r>
                    <w:rPr>
                      <w:rFonts w:hint="eastAsia"/>
                      <w:color w:val="auto"/>
                      <w:highlight w:val="none"/>
                      <w:lang w:val="en-US" w:eastAsia="zh-CN"/>
                    </w:rPr>
                    <w:t>3.0</w:t>
                  </w:r>
                </w:p>
              </w:tc>
              <w:tc>
                <w:tcPr>
                  <w:tcW w:w="1120" w:type="pct"/>
                  <w:vAlign w:val="center"/>
                </w:tcPr>
                <w:p>
                  <w:pPr>
                    <w:pStyle w:val="57"/>
                    <w:bidi w:val="0"/>
                    <w:rPr>
                      <w:rFonts w:hint="default"/>
                      <w:color w:val="auto"/>
                      <w:highlight w:val="none"/>
                      <w:lang w:val="en-US" w:eastAsia="zh-CN"/>
                    </w:rPr>
                  </w:pPr>
                  <w:r>
                    <w:rPr>
                      <w:rFonts w:hint="eastAsia"/>
                      <w:color w:val="auto"/>
                      <w:highlight w:val="none"/>
                      <w:lang w:val="en-US" w:eastAsia="zh-CN"/>
                    </w:rPr>
                    <w:t>1F，砖混</w:t>
                  </w:r>
                </w:p>
              </w:tc>
              <w:tc>
                <w:tcPr>
                  <w:tcW w:w="707" w:type="pct"/>
                  <w:vAlign w:val="center"/>
                </w:tcPr>
                <w:p>
                  <w:pPr>
                    <w:pStyle w:val="57"/>
                    <w:bidi w:val="0"/>
                    <w:rPr>
                      <w:rFonts w:hint="eastAsia"/>
                      <w:color w:val="auto"/>
                      <w:highlight w:val="none"/>
                      <w:lang w:val="en-US" w:eastAsia="zh-CN"/>
                    </w:rPr>
                  </w:pPr>
                  <w:r>
                    <w:rPr>
                      <w:rFonts w:hint="eastAsia"/>
                      <w:color w:val="auto"/>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0" w:type="pct"/>
                  <w:vAlign w:val="center"/>
                </w:tcPr>
                <w:p>
                  <w:pPr>
                    <w:pStyle w:val="57"/>
                    <w:bidi w:val="0"/>
                    <w:rPr>
                      <w:rFonts w:hint="default"/>
                      <w:color w:val="auto"/>
                      <w:highlight w:val="none"/>
                      <w:lang w:val="en-US" w:eastAsia="zh-CN"/>
                    </w:rPr>
                  </w:pPr>
                  <w:r>
                    <w:rPr>
                      <w:rFonts w:hint="eastAsia"/>
                      <w:color w:val="auto"/>
                      <w:highlight w:val="none"/>
                      <w:lang w:val="en-US" w:eastAsia="zh-CN"/>
                    </w:rPr>
                    <w:t>5</w:t>
                  </w:r>
                </w:p>
              </w:tc>
              <w:tc>
                <w:tcPr>
                  <w:tcW w:w="1244" w:type="pct"/>
                  <w:vAlign w:val="center"/>
                </w:tcPr>
                <w:p>
                  <w:pPr>
                    <w:pStyle w:val="57"/>
                    <w:bidi w:val="0"/>
                    <w:rPr>
                      <w:rFonts w:hint="default"/>
                      <w:color w:val="auto"/>
                      <w:highlight w:val="none"/>
                      <w:lang w:val="en-US" w:eastAsia="zh-CN"/>
                    </w:rPr>
                  </w:pPr>
                  <w:r>
                    <w:rPr>
                      <w:rFonts w:hint="eastAsia"/>
                      <w:color w:val="auto"/>
                      <w:highlight w:val="none"/>
                      <w:lang w:val="en-US" w:eastAsia="zh-CN"/>
                    </w:rPr>
                    <w:t>停车棚</w:t>
                  </w:r>
                </w:p>
              </w:tc>
              <w:tc>
                <w:tcPr>
                  <w:tcW w:w="800" w:type="pct"/>
                  <w:vAlign w:val="center"/>
                </w:tcPr>
                <w:p>
                  <w:pPr>
                    <w:pStyle w:val="57"/>
                    <w:bidi w:val="0"/>
                    <w:rPr>
                      <w:rFonts w:hint="default"/>
                      <w:color w:val="auto"/>
                      <w:highlight w:val="none"/>
                      <w:lang w:val="en-US" w:eastAsia="zh-CN"/>
                    </w:rPr>
                  </w:pPr>
                  <w:r>
                    <w:rPr>
                      <w:rFonts w:hint="eastAsia"/>
                      <w:color w:val="auto"/>
                      <w:highlight w:val="none"/>
                      <w:lang w:val="en-US" w:eastAsia="zh-CN"/>
                    </w:rPr>
                    <w:t>84.32m</w:t>
                  </w:r>
                </w:p>
              </w:tc>
              <w:tc>
                <w:tcPr>
                  <w:tcW w:w="747" w:type="pct"/>
                  <w:shd w:val="clear" w:color="auto" w:fill="auto"/>
                  <w:vAlign w:val="center"/>
                </w:tcPr>
                <w:p>
                  <w:pPr>
                    <w:pStyle w:val="57"/>
                    <w:bidi w:val="0"/>
                    <w:rPr>
                      <w:rFonts w:hint="default"/>
                      <w:color w:val="auto"/>
                      <w:highlight w:val="none"/>
                      <w:lang w:val="en-US" w:eastAsia="zh-CN"/>
                    </w:rPr>
                  </w:pPr>
                  <w:r>
                    <w:rPr>
                      <w:rFonts w:hint="eastAsia"/>
                      <w:color w:val="auto"/>
                      <w:highlight w:val="none"/>
                      <w:lang w:val="en-US" w:eastAsia="zh-CN"/>
                    </w:rPr>
                    <w:t>/</w:t>
                  </w:r>
                </w:p>
              </w:tc>
              <w:tc>
                <w:tcPr>
                  <w:tcW w:w="1120" w:type="pct"/>
                  <w:vAlign w:val="center"/>
                </w:tcPr>
                <w:p>
                  <w:pPr>
                    <w:pStyle w:val="57"/>
                    <w:bidi w:val="0"/>
                    <w:rPr>
                      <w:rFonts w:hint="default"/>
                      <w:color w:val="auto"/>
                      <w:highlight w:val="none"/>
                      <w:lang w:val="en-US" w:eastAsia="zh-CN"/>
                    </w:rPr>
                  </w:pPr>
                  <w:r>
                    <w:rPr>
                      <w:rFonts w:hint="eastAsia"/>
                      <w:color w:val="auto"/>
                      <w:highlight w:val="none"/>
                      <w:lang w:val="en-US" w:eastAsia="zh-CN"/>
                    </w:rPr>
                    <w:t>1F，钢构</w:t>
                  </w:r>
                </w:p>
              </w:tc>
              <w:tc>
                <w:tcPr>
                  <w:tcW w:w="707" w:type="pct"/>
                  <w:vAlign w:val="center"/>
                </w:tcPr>
                <w:p>
                  <w:pPr>
                    <w:pStyle w:val="57"/>
                    <w:bidi w:val="0"/>
                    <w:rPr>
                      <w:rFonts w:hint="eastAsia"/>
                      <w:color w:val="auto"/>
                      <w:highlight w:val="none"/>
                      <w:lang w:val="en-US" w:eastAsia="zh-CN"/>
                    </w:rPr>
                  </w:pPr>
                  <w:r>
                    <w:rPr>
                      <w:rFonts w:hint="eastAsia"/>
                      <w:color w:val="auto"/>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0" w:type="pct"/>
                  <w:vAlign w:val="center"/>
                </w:tcPr>
                <w:p>
                  <w:pPr>
                    <w:pStyle w:val="57"/>
                    <w:bidi w:val="0"/>
                    <w:rPr>
                      <w:rFonts w:hint="default"/>
                      <w:color w:val="auto"/>
                      <w:highlight w:val="none"/>
                      <w:lang w:val="en-US" w:eastAsia="zh-CN"/>
                    </w:rPr>
                  </w:pPr>
                  <w:r>
                    <w:rPr>
                      <w:rFonts w:hint="eastAsia"/>
                      <w:color w:val="auto"/>
                      <w:highlight w:val="none"/>
                      <w:lang w:val="en-US" w:eastAsia="zh-CN"/>
                    </w:rPr>
                    <w:t>6</w:t>
                  </w:r>
                </w:p>
              </w:tc>
              <w:tc>
                <w:tcPr>
                  <w:tcW w:w="1244" w:type="pct"/>
                  <w:vAlign w:val="center"/>
                </w:tcPr>
                <w:p>
                  <w:pPr>
                    <w:pStyle w:val="57"/>
                    <w:bidi w:val="0"/>
                    <w:rPr>
                      <w:rFonts w:hint="default"/>
                      <w:color w:val="auto"/>
                      <w:highlight w:val="none"/>
                      <w:lang w:val="en-US" w:eastAsia="zh-CN"/>
                    </w:rPr>
                  </w:pPr>
                  <w:r>
                    <w:rPr>
                      <w:rFonts w:hint="eastAsia"/>
                      <w:color w:val="auto"/>
                      <w:highlight w:val="none"/>
                      <w:lang w:val="en-US" w:eastAsia="zh-CN"/>
                    </w:rPr>
                    <w:t>控制室</w:t>
                  </w:r>
                </w:p>
              </w:tc>
              <w:tc>
                <w:tcPr>
                  <w:tcW w:w="800" w:type="pct"/>
                  <w:vAlign w:val="center"/>
                </w:tcPr>
                <w:p>
                  <w:pPr>
                    <w:pStyle w:val="57"/>
                    <w:bidi w:val="0"/>
                    <w:rPr>
                      <w:rFonts w:hint="default"/>
                      <w:color w:val="auto"/>
                      <w:highlight w:val="none"/>
                      <w:lang w:val="en-US" w:eastAsia="zh-CN"/>
                    </w:rPr>
                  </w:pPr>
                  <w:r>
                    <w:rPr>
                      <w:rFonts w:hint="eastAsia"/>
                      <w:color w:val="auto"/>
                      <w:highlight w:val="none"/>
                      <w:lang w:val="en-US" w:eastAsia="zh-CN"/>
                    </w:rPr>
                    <w:t>132.24</w:t>
                  </w:r>
                </w:p>
              </w:tc>
              <w:tc>
                <w:tcPr>
                  <w:tcW w:w="747" w:type="pct"/>
                  <w:shd w:val="clear" w:color="auto" w:fill="auto"/>
                  <w:vAlign w:val="center"/>
                </w:tcPr>
                <w:p>
                  <w:pPr>
                    <w:pStyle w:val="57"/>
                    <w:bidi w:val="0"/>
                    <w:rPr>
                      <w:rFonts w:hint="default"/>
                      <w:color w:val="auto"/>
                      <w:highlight w:val="none"/>
                      <w:lang w:val="en-US" w:eastAsia="zh-CN"/>
                    </w:rPr>
                  </w:pPr>
                  <w:r>
                    <w:rPr>
                      <w:rFonts w:hint="eastAsia"/>
                      <w:color w:val="auto"/>
                      <w:highlight w:val="none"/>
                      <w:lang w:val="en-US" w:eastAsia="zh-CN"/>
                    </w:rPr>
                    <w:t>5.15</w:t>
                  </w:r>
                </w:p>
              </w:tc>
              <w:tc>
                <w:tcPr>
                  <w:tcW w:w="1120" w:type="pct"/>
                  <w:vAlign w:val="center"/>
                </w:tcPr>
                <w:p>
                  <w:pPr>
                    <w:pStyle w:val="57"/>
                    <w:bidi w:val="0"/>
                    <w:rPr>
                      <w:rFonts w:hint="default"/>
                      <w:color w:val="auto"/>
                      <w:highlight w:val="none"/>
                      <w:lang w:val="en-US" w:eastAsia="zh-CN"/>
                    </w:rPr>
                  </w:pPr>
                  <w:r>
                    <w:rPr>
                      <w:rFonts w:hint="eastAsia"/>
                      <w:color w:val="auto"/>
                      <w:highlight w:val="none"/>
                      <w:lang w:val="en-US" w:eastAsia="zh-CN"/>
                    </w:rPr>
                    <w:t>1F，砖混</w:t>
                  </w:r>
                </w:p>
              </w:tc>
              <w:tc>
                <w:tcPr>
                  <w:tcW w:w="707" w:type="pct"/>
                  <w:vAlign w:val="center"/>
                </w:tcPr>
                <w:p>
                  <w:pPr>
                    <w:pStyle w:val="57"/>
                    <w:bidi w:val="0"/>
                    <w:rPr>
                      <w:rFonts w:hint="default"/>
                      <w:color w:val="auto"/>
                      <w:highlight w:val="none"/>
                      <w:lang w:val="en-US" w:eastAsia="zh-CN"/>
                    </w:rPr>
                  </w:pPr>
                  <w:r>
                    <w:rPr>
                      <w:rFonts w:hint="eastAsia"/>
                      <w:color w:val="auto"/>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0" w:type="pct"/>
                  <w:vAlign w:val="center"/>
                </w:tcPr>
                <w:p>
                  <w:pPr>
                    <w:pStyle w:val="57"/>
                    <w:bidi w:val="0"/>
                    <w:rPr>
                      <w:rFonts w:hint="default"/>
                      <w:color w:val="auto"/>
                      <w:highlight w:val="none"/>
                      <w:lang w:val="en-US" w:eastAsia="zh-CN"/>
                    </w:rPr>
                  </w:pPr>
                  <w:r>
                    <w:rPr>
                      <w:rFonts w:hint="eastAsia"/>
                      <w:color w:val="auto"/>
                      <w:highlight w:val="none"/>
                      <w:lang w:val="en-US" w:eastAsia="zh-CN"/>
                    </w:rPr>
                    <w:t>7</w:t>
                  </w:r>
                </w:p>
              </w:tc>
              <w:tc>
                <w:tcPr>
                  <w:tcW w:w="1244" w:type="pct"/>
                  <w:vAlign w:val="center"/>
                </w:tcPr>
                <w:p>
                  <w:pPr>
                    <w:pStyle w:val="57"/>
                    <w:bidi w:val="0"/>
                    <w:rPr>
                      <w:rFonts w:hint="default"/>
                      <w:color w:val="auto"/>
                      <w:highlight w:val="none"/>
                      <w:lang w:val="en-US" w:eastAsia="zh-CN"/>
                    </w:rPr>
                  </w:pPr>
                  <w:r>
                    <w:rPr>
                      <w:rFonts w:hint="eastAsia"/>
                      <w:color w:val="auto"/>
                      <w:highlight w:val="none"/>
                      <w:lang w:val="en-US" w:eastAsia="zh-CN"/>
                    </w:rPr>
                    <w:t>危险废物贮存点</w:t>
                  </w:r>
                </w:p>
              </w:tc>
              <w:tc>
                <w:tcPr>
                  <w:tcW w:w="800" w:type="pct"/>
                  <w:vAlign w:val="center"/>
                </w:tcPr>
                <w:p>
                  <w:pPr>
                    <w:pStyle w:val="57"/>
                    <w:bidi w:val="0"/>
                    <w:rPr>
                      <w:rFonts w:hint="default"/>
                      <w:color w:val="auto"/>
                      <w:highlight w:val="none"/>
                      <w:lang w:val="en-US" w:eastAsia="zh-CN"/>
                    </w:rPr>
                  </w:pPr>
                  <w:r>
                    <w:rPr>
                      <w:rFonts w:hint="eastAsia"/>
                      <w:color w:val="auto"/>
                      <w:highlight w:val="none"/>
                      <w:lang w:val="en-US" w:eastAsia="zh-CN"/>
                    </w:rPr>
                    <w:t>18</w:t>
                  </w:r>
                </w:p>
              </w:tc>
              <w:tc>
                <w:tcPr>
                  <w:tcW w:w="747" w:type="pct"/>
                  <w:shd w:val="clear" w:color="auto" w:fill="auto"/>
                  <w:vAlign w:val="center"/>
                </w:tcPr>
                <w:p>
                  <w:pPr>
                    <w:pStyle w:val="57"/>
                    <w:bidi w:val="0"/>
                    <w:rPr>
                      <w:rFonts w:hint="default"/>
                      <w:color w:val="auto"/>
                      <w:highlight w:val="none"/>
                      <w:lang w:val="en-US" w:eastAsia="zh-CN"/>
                    </w:rPr>
                  </w:pPr>
                  <w:r>
                    <w:rPr>
                      <w:rFonts w:hint="eastAsia"/>
                      <w:color w:val="auto"/>
                      <w:highlight w:val="none"/>
                      <w:lang w:val="en-US" w:eastAsia="zh-CN"/>
                    </w:rPr>
                    <w:t>2.5</w:t>
                  </w:r>
                </w:p>
              </w:tc>
              <w:tc>
                <w:tcPr>
                  <w:tcW w:w="1120" w:type="pct"/>
                  <w:vAlign w:val="center"/>
                </w:tcPr>
                <w:p>
                  <w:pPr>
                    <w:pStyle w:val="57"/>
                    <w:bidi w:val="0"/>
                    <w:rPr>
                      <w:rFonts w:hint="default"/>
                      <w:color w:val="auto"/>
                      <w:highlight w:val="none"/>
                      <w:lang w:val="en-US" w:eastAsia="zh-CN"/>
                    </w:rPr>
                  </w:pPr>
                  <w:r>
                    <w:rPr>
                      <w:rFonts w:hint="eastAsia"/>
                      <w:color w:val="auto"/>
                      <w:highlight w:val="none"/>
                      <w:lang w:val="en-US" w:eastAsia="zh-CN"/>
                    </w:rPr>
                    <w:t>1F，砖混</w:t>
                  </w:r>
                </w:p>
              </w:tc>
              <w:tc>
                <w:tcPr>
                  <w:tcW w:w="707" w:type="pct"/>
                  <w:vAlign w:val="center"/>
                </w:tcPr>
                <w:p>
                  <w:pPr>
                    <w:pStyle w:val="57"/>
                    <w:bidi w:val="0"/>
                    <w:rPr>
                      <w:rFonts w:hint="default"/>
                      <w:color w:val="auto"/>
                      <w:highlight w:val="none"/>
                      <w:lang w:val="en-US" w:eastAsia="zh-CN"/>
                    </w:rPr>
                  </w:pPr>
                  <w:r>
                    <w:rPr>
                      <w:rFonts w:hint="eastAsia"/>
                      <w:color w:val="auto"/>
                      <w:highlight w:val="none"/>
                      <w:lang w:val="en-US" w:eastAsia="zh-CN"/>
                    </w:rPr>
                    <w:t>现有</w:t>
                  </w:r>
                </w:p>
              </w:tc>
            </w:tr>
          </w:tbl>
          <w:p>
            <w:pPr>
              <w:pStyle w:val="4"/>
              <w:bidi w:val="0"/>
              <w:rPr>
                <w:color w:val="auto"/>
                <w:highlight w:val="none"/>
              </w:rPr>
            </w:pPr>
            <w:r>
              <w:rPr>
                <w:rFonts w:hint="eastAsia"/>
                <w:color w:val="auto"/>
                <w:highlight w:val="none"/>
              </w:rPr>
              <w:t xml:space="preserve">2.1.4 </w:t>
            </w:r>
            <w:r>
              <w:rPr>
                <w:color w:val="auto"/>
                <w:highlight w:val="none"/>
              </w:rPr>
              <w:t>设备清单</w:t>
            </w:r>
          </w:p>
          <w:p>
            <w:pPr>
              <w:pStyle w:val="6"/>
              <w:bidi w:val="0"/>
              <w:rPr>
                <w:rFonts w:hint="default"/>
                <w:color w:val="auto"/>
                <w:highlight w:val="none"/>
                <w:lang w:val="en-US" w:eastAsia="zh-CN"/>
              </w:rPr>
            </w:pPr>
            <w:r>
              <w:rPr>
                <w:rFonts w:hint="eastAsia"/>
                <w:color w:val="auto"/>
                <w:highlight w:val="none"/>
                <w:lang w:val="en-US" w:eastAsia="zh-CN"/>
              </w:rPr>
              <w:t>本项目新增电磁回转窑1座，并配套有1个100m</w:t>
            </w:r>
            <w:r>
              <w:rPr>
                <w:rFonts w:hint="eastAsia"/>
                <w:color w:val="auto"/>
                <w:highlight w:val="none"/>
                <w:vertAlign w:val="superscript"/>
                <w:lang w:val="en-US" w:eastAsia="zh-CN"/>
              </w:rPr>
              <w:t>3</w:t>
            </w:r>
            <w:r>
              <w:rPr>
                <w:rFonts w:hint="eastAsia"/>
                <w:color w:val="auto"/>
                <w:highlight w:val="none"/>
                <w:lang w:val="en-US" w:eastAsia="zh-CN"/>
              </w:rPr>
              <w:t>原料筒仓和2个200m</w:t>
            </w:r>
            <w:r>
              <w:rPr>
                <w:rFonts w:hint="eastAsia"/>
                <w:color w:val="auto"/>
                <w:highlight w:val="none"/>
                <w:vertAlign w:val="superscript"/>
                <w:lang w:val="en-US" w:eastAsia="zh-CN"/>
              </w:rPr>
              <w:t>3</w:t>
            </w:r>
            <w:r>
              <w:rPr>
                <w:rFonts w:hint="eastAsia"/>
                <w:color w:val="auto"/>
                <w:highlight w:val="none"/>
                <w:lang w:val="en-US" w:eastAsia="zh-CN"/>
              </w:rPr>
              <w:t>成品仓，主要设备见下表。</w:t>
            </w:r>
          </w:p>
          <w:p>
            <w:pPr>
              <w:pStyle w:val="36"/>
              <w:bidi w:val="0"/>
              <w:rPr>
                <w:rFonts w:hint="eastAsia"/>
                <w:color w:val="auto"/>
                <w:highlight w:val="none"/>
                <w:lang w:eastAsia="zh-CN"/>
              </w:rPr>
            </w:pPr>
            <w:r>
              <w:rPr>
                <w:rFonts w:hint="eastAsia"/>
                <w:color w:val="auto"/>
                <w:highlight w:val="none"/>
              </w:rPr>
              <w:t xml:space="preserve">表2.1-3  </w:t>
            </w:r>
            <w:r>
              <w:rPr>
                <w:rFonts w:hint="eastAsia"/>
                <w:color w:val="auto"/>
                <w:highlight w:val="none"/>
                <w:lang w:val="en-US" w:eastAsia="zh-CN"/>
              </w:rPr>
              <w:t>主要生产</w:t>
            </w:r>
            <w:r>
              <w:rPr>
                <w:rFonts w:hint="eastAsia"/>
                <w:color w:val="auto"/>
                <w:highlight w:val="none"/>
              </w:rPr>
              <w:t>设备</w:t>
            </w:r>
            <w:r>
              <w:rPr>
                <w:rFonts w:hint="eastAsia"/>
                <w:color w:val="auto"/>
                <w:highlight w:val="none"/>
                <w:lang w:val="en-US" w:eastAsia="zh-CN"/>
              </w:rPr>
              <w:t>一览表</w:t>
            </w:r>
          </w:p>
          <w:tbl>
            <w:tblPr>
              <w:tblStyle w:val="2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1"/>
              <w:gridCol w:w="2170"/>
              <w:gridCol w:w="1230"/>
              <w:gridCol w:w="807"/>
              <w:gridCol w:w="3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9" w:type="pct"/>
                  <w:vAlign w:val="center"/>
                </w:tcPr>
                <w:p>
                  <w:pPr>
                    <w:pStyle w:val="57"/>
                    <w:bidi w:val="0"/>
                    <w:rPr>
                      <w:color w:val="auto"/>
                      <w:highlight w:val="none"/>
                    </w:rPr>
                  </w:pPr>
                  <w:r>
                    <w:rPr>
                      <w:rFonts w:hint="eastAsia"/>
                      <w:color w:val="auto"/>
                      <w:highlight w:val="none"/>
                    </w:rPr>
                    <w:t>序号</w:t>
                  </w:r>
                </w:p>
              </w:tc>
              <w:tc>
                <w:tcPr>
                  <w:tcW w:w="1279" w:type="pct"/>
                  <w:vAlign w:val="center"/>
                </w:tcPr>
                <w:p>
                  <w:pPr>
                    <w:pStyle w:val="57"/>
                    <w:bidi w:val="0"/>
                    <w:rPr>
                      <w:color w:val="auto"/>
                      <w:highlight w:val="none"/>
                    </w:rPr>
                  </w:pPr>
                  <w:r>
                    <w:rPr>
                      <w:rFonts w:hint="eastAsia"/>
                      <w:color w:val="auto"/>
                      <w:highlight w:val="none"/>
                    </w:rPr>
                    <w:t>名称</w:t>
                  </w:r>
                </w:p>
              </w:tc>
              <w:tc>
                <w:tcPr>
                  <w:tcW w:w="725" w:type="pct"/>
                  <w:vAlign w:val="center"/>
                </w:tcPr>
                <w:p>
                  <w:pPr>
                    <w:pStyle w:val="57"/>
                    <w:bidi w:val="0"/>
                    <w:rPr>
                      <w:color w:val="auto"/>
                      <w:highlight w:val="none"/>
                    </w:rPr>
                  </w:pPr>
                  <w:r>
                    <w:rPr>
                      <w:rFonts w:hint="eastAsia"/>
                      <w:color w:val="auto"/>
                      <w:highlight w:val="none"/>
                    </w:rPr>
                    <w:t>规格型号</w:t>
                  </w:r>
                </w:p>
              </w:tc>
              <w:tc>
                <w:tcPr>
                  <w:tcW w:w="476" w:type="pct"/>
                  <w:vAlign w:val="center"/>
                </w:tcPr>
                <w:p>
                  <w:pPr>
                    <w:pStyle w:val="57"/>
                    <w:bidi w:val="0"/>
                    <w:rPr>
                      <w:color w:val="auto"/>
                      <w:highlight w:val="none"/>
                    </w:rPr>
                  </w:pPr>
                  <w:r>
                    <w:rPr>
                      <w:rFonts w:hint="eastAsia"/>
                      <w:color w:val="auto"/>
                      <w:highlight w:val="none"/>
                    </w:rPr>
                    <w:t>数量</w:t>
                  </w:r>
                </w:p>
              </w:tc>
              <w:tc>
                <w:tcPr>
                  <w:tcW w:w="2100" w:type="pct"/>
                  <w:vAlign w:val="center"/>
                </w:tcPr>
                <w:p>
                  <w:pPr>
                    <w:pStyle w:val="57"/>
                    <w:bidi w:val="0"/>
                    <w:rPr>
                      <w:color w:val="auto"/>
                      <w:highlight w:val="none"/>
                    </w:rPr>
                  </w:pPr>
                  <w:r>
                    <w:rPr>
                      <w:rFonts w:hint="eastAsia"/>
                      <w:color w:val="auto"/>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pct"/>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1</w:t>
                  </w:r>
                </w:p>
              </w:tc>
              <w:tc>
                <w:tcPr>
                  <w:tcW w:w="1279" w:type="pct"/>
                  <w:shd w:val="clear" w:color="auto" w:fill="auto"/>
                  <w:vAlign w:val="center"/>
                </w:tcPr>
                <w:p>
                  <w:pPr>
                    <w:pStyle w:val="57"/>
                    <w:bidi w:val="0"/>
                    <w:ind w:firstLine="0" w:firstLineChars="0"/>
                    <w:rPr>
                      <w:rFonts w:hint="eastAsia"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原料仓</w:t>
                  </w:r>
                </w:p>
              </w:tc>
              <w:tc>
                <w:tcPr>
                  <w:tcW w:w="725" w:type="pct"/>
                  <w:shd w:val="clear" w:color="auto" w:fill="auto"/>
                  <w:vAlign w:val="center"/>
                </w:tcPr>
                <w:p>
                  <w:pPr>
                    <w:pStyle w:val="57"/>
                    <w:bidi w:val="0"/>
                    <w:ind w:firstLine="0" w:firstLineChars="0"/>
                    <w:rPr>
                      <w:rFonts w:hint="eastAsia"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100m</w:t>
                  </w:r>
                  <w:r>
                    <w:rPr>
                      <w:rFonts w:hint="eastAsia"/>
                      <w:color w:val="auto"/>
                      <w:highlight w:val="none"/>
                      <w:vertAlign w:val="superscript"/>
                      <w:lang w:val="en-US" w:eastAsia="zh-CN"/>
                    </w:rPr>
                    <w:t>3</w:t>
                  </w:r>
                </w:p>
              </w:tc>
              <w:tc>
                <w:tcPr>
                  <w:tcW w:w="476"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1个</w:t>
                  </w:r>
                </w:p>
              </w:tc>
              <w:tc>
                <w:tcPr>
                  <w:tcW w:w="2100"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含仓顶布袋除尘器和引风机（3000m</w:t>
                  </w:r>
                  <w:r>
                    <w:rPr>
                      <w:rFonts w:hint="eastAsia"/>
                      <w:color w:val="auto"/>
                      <w:highlight w:val="none"/>
                      <w:vertAlign w:val="superscript"/>
                      <w:lang w:val="en-US" w:eastAsia="zh-CN"/>
                    </w:rPr>
                    <w:t>3</w:t>
                  </w:r>
                  <w:r>
                    <w:rPr>
                      <w:rFonts w:hint="eastAsia"/>
                      <w:color w:val="auto"/>
                      <w:highlight w:val="none"/>
                      <w:vertAlign w:val="baseline"/>
                      <w:lang w:val="en-US" w:eastAsia="zh-CN"/>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9" w:type="pct"/>
                  <w:vAlign w:val="center"/>
                </w:tcPr>
                <w:p>
                  <w:pPr>
                    <w:pStyle w:val="57"/>
                    <w:bidi w:val="0"/>
                    <w:rPr>
                      <w:rFonts w:hint="default"/>
                      <w:color w:val="auto"/>
                      <w:highlight w:val="none"/>
                      <w:lang w:val="en-US" w:eastAsia="zh-CN"/>
                    </w:rPr>
                  </w:pPr>
                  <w:r>
                    <w:rPr>
                      <w:rFonts w:hint="eastAsia"/>
                      <w:color w:val="auto"/>
                      <w:highlight w:val="none"/>
                      <w:lang w:val="en-US" w:eastAsia="zh-CN"/>
                    </w:rPr>
                    <w:t>2</w:t>
                  </w:r>
                </w:p>
              </w:tc>
              <w:tc>
                <w:tcPr>
                  <w:tcW w:w="1279" w:type="pct"/>
                  <w:shd w:val="clear" w:color="auto" w:fill="auto"/>
                  <w:vAlign w:val="center"/>
                </w:tcPr>
                <w:p>
                  <w:pPr>
                    <w:pStyle w:val="57"/>
                    <w:bidi w:val="0"/>
                    <w:ind w:firstLine="0" w:firstLineChars="0"/>
                    <w:rPr>
                      <w:rFonts w:hint="default"/>
                      <w:color w:val="auto"/>
                      <w:highlight w:val="none"/>
                      <w:lang w:val="en-US" w:eastAsia="zh-CN"/>
                    </w:rPr>
                  </w:pPr>
                  <w:r>
                    <w:rPr>
                      <w:rFonts w:hint="eastAsia"/>
                      <w:color w:val="auto"/>
                      <w:highlight w:val="none"/>
                      <w:lang w:val="en-US" w:eastAsia="zh-CN"/>
                    </w:rPr>
                    <w:t>螺旋输送机</w:t>
                  </w:r>
                </w:p>
              </w:tc>
              <w:tc>
                <w:tcPr>
                  <w:tcW w:w="725" w:type="pct"/>
                  <w:shd w:val="clear" w:color="auto" w:fill="auto"/>
                  <w:vAlign w:val="center"/>
                </w:tcPr>
                <w:p>
                  <w:pPr>
                    <w:pStyle w:val="57"/>
                    <w:bidi w:val="0"/>
                    <w:ind w:firstLine="0" w:firstLineChars="0"/>
                    <w:rPr>
                      <w:rFonts w:hint="eastAsia"/>
                      <w:color w:val="auto"/>
                      <w:highlight w:val="none"/>
                      <w:lang w:val="en-US" w:eastAsia="zh-CN"/>
                    </w:rPr>
                  </w:pPr>
                  <w:r>
                    <w:rPr>
                      <w:rFonts w:hint="eastAsia"/>
                      <w:color w:val="auto"/>
                      <w:highlight w:val="none"/>
                      <w:lang w:val="en-US" w:eastAsia="zh-CN"/>
                    </w:rPr>
                    <w:t>/</w:t>
                  </w:r>
                </w:p>
              </w:tc>
              <w:tc>
                <w:tcPr>
                  <w:tcW w:w="476" w:type="pct"/>
                  <w:shd w:val="clear" w:color="auto" w:fill="auto"/>
                  <w:vAlign w:val="center"/>
                </w:tcPr>
                <w:p>
                  <w:pPr>
                    <w:pStyle w:val="57"/>
                    <w:bidi w:val="0"/>
                    <w:ind w:firstLine="0" w:firstLineChars="0"/>
                    <w:rPr>
                      <w:rFonts w:hint="default"/>
                      <w:color w:val="auto"/>
                      <w:highlight w:val="none"/>
                      <w:lang w:val="en-US" w:eastAsia="zh-CN"/>
                    </w:rPr>
                  </w:pPr>
                  <w:r>
                    <w:rPr>
                      <w:rFonts w:hint="eastAsia"/>
                      <w:color w:val="auto"/>
                      <w:highlight w:val="none"/>
                      <w:lang w:val="en-US" w:eastAsia="zh-CN"/>
                    </w:rPr>
                    <w:t>1个</w:t>
                  </w:r>
                </w:p>
              </w:tc>
              <w:tc>
                <w:tcPr>
                  <w:tcW w:w="2100" w:type="pct"/>
                  <w:shd w:val="clear" w:color="auto" w:fill="auto"/>
                  <w:vAlign w:val="center"/>
                </w:tcPr>
                <w:p>
                  <w:pPr>
                    <w:pStyle w:val="57"/>
                    <w:bidi w:val="0"/>
                    <w:ind w:firstLine="0" w:firstLineChars="0"/>
                    <w:rPr>
                      <w:rFonts w:hint="default"/>
                      <w:color w:val="auto"/>
                      <w:highlight w:val="none"/>
                      <w:lang w:val="en-US" w:eastAsia="zh-CN"/>
                    </w:rPr>
                  </w:pPr>
                  <w:r>
                    <w:rPr>
                      <w:rFonts w:hint="eastAsia"/>
                      <w:color w:val="auto"/>
                      <w:highlight w:val="none"/>
                      <w:lang w:val="en-US" w:eastAsia="zh-CN"/>
                    </w:rPr>
                    <w:t>配套安装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9" w:type="pct"/>
                  <w:vAlign w:val="center"/>
                </w:tcPr>
                <w:p>
                  <w:pPr>
                    <w:pStyle w:val="57"/>
                    <w:bidi w:val="0"/>
                    <w:rPr>
                      <w:rFonts w:hint="eastAsia" w:eastAsia="宋体"/>
                      <w:color w:val="auto"/>
                      <w:highlight w:val="none"/>
                      <w:lang w:eastAsia="zh-CN"/>
                    </w:rPr>
                  </w:pPr>
                  <w:r>
                    <w:rPr>
                      <w:rFonts w:hint="eastAsia"/>
                      <w:color w:val="auto"/>
                      <w:highlight w:val="none"/>
                      <w:lang w:val="en-US" w:eastAsia="zh-CN"/>
                    </w:rPr>
                    <w:t>3</w:t>
                  </w:r>
                </w:p>
              </w:tc>
              <w:tc>
                <w:tcPr>
                  <w:tcW w:w="1279" w:type="pct"/>
                  <w:vAlign w:val="center"/>
                </w:tcPr>
                <w:p>
                  <w:pPr>
                    <w:pStyle w:val="57"/>
                    <w:bidi w:val="0"/>
                    <w:rPr>
                      <w:rFonts w:hint="default"/>
                      <w:color w:val="auto"/>
                      <w:highlight w:val="none"/>
                      <w:lang w:val="en-US" w:eastAsia="zh-CN"/>
                    </w:rPr>
                  </w:pPr>
                  <w:r>
                    <w:rPr>
                      <w:rFonts w:hint="eastAsia"/>
                      <w:color w:val="auto"/>
                      <w:highlight w:val="none"/>
                      <w:lang w:val="en-US" w:eastAsia="zh-CN"/>
                    </w:rPr>
                    <w:t>双筒预热器</w:t>
                  </w:r>
                </w:p>
              </w:tc>
              <w:tc>
                <w:tcPr>
                  <w:tcW w:w="725" w:type="pct"/>
                  <w:vAlign w:val="center"/>
                </w:tcPr>
                <w:p>
                  <w:pPr>
                    <w:pStyle w:val="57"/>
                    <w:bidi w:val="0"/>
                    <w:rPr>
                      <w:rFonts w:hint="default"/>
                      <w:color w:val="auto"/>
                      <w:highlight w:val="none"/>
                      <w:lang w:val="en-US" w:eastAsia="zh-CN"/>
                    </w:rPr>
                  </w:pPr>
                  <w:r>
                    <w:rPr>
                      <w:rFonts w:hint="eastAsia"/>
                      <w:color w:val="auto"/>
                      <w:highlight w:val="none"/>
                      <w:lang w:val="en-US" w:eastAsia="zh-CN"/>
                    </w:rPr>
                    <w:t>/</w:t>
                  </w:r>
                </w:p>
              </w:tc>
              <w:tc>
                <w:tcPr>
                  <w:tcW w:w="476" w:type="pct"/>
                  <w:vAlign w:val="center"/>
                </w:tcPr>
                <w:p>
                  <w:pPr>
                    <w:pStyle w:val="57"/>
                    <w:bidi w:val="0"/>
                    <w:rPr>
                      <w:rFonts w:hint="default"/>
                      <w:color w:val="auto"/>
                      <w:highlight w:val="none"/>
                      <w:lang w:val="en-US" w:eastAsia="zh-CN"/>
                    </w:rPr>
                  </w:pPr>
                  <w:r>
                    <w:rPr>
                      <w:rFonts w:hint="eastAsia"/>
                      <w:color w:val="auto"/>
                      <w:highlight w:val="none"/>
                      <w:lang w:val="en-US" w:eastAsia="zh-CN"/>
                    </w:rPr>
                    <w:t>1个</w:t>
                  </w:r>
                </w:p>
              </w:tc>
              <w:tc>
                <w:tcPr>
                  <w:tcW w:w="2100" w:type="pct"/>
                  <w:vAlign w:val="center"/>
                </w:tcPr>
                <w:p>
                  <w:pPr>
                    <w:pStyle w:val="57"/>
                    <w:bidi w:val="0"/>
                    <w:rPr>
                      <w:color w:val="auto"/>
                      <w:highlight w:val="none"/>
                    </w:rPr>
                  </w:pPr>
                  <w:r>
                    <w:rPr>
                      <w:rFonts w:hint="eastAsia"/>
                      <w:color w:val="auto"/>
                      <w:highlight w:val="none"/>
                      <w:lang w:val="en-US" w:eastAsia="zh-CN"/>
                    </w:rPr>
                    <w:t>配套安装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9" w:type="pct"/>
                  <w:vAlign w:val="center"/>
                </w:tcPr>
                <w:p>
                  <w:pPr>
                    <w:pStyle w:val="57"/>
                    <w:bidi w:val="0"/>
                    <w:rPr>
                      <w:rFonts w:hint="eastAsia" w:eastAsia="宋体"/>
                      <w:color w:val="auto"/>
                      <w:highlight w:val="none"/>
                      <w:lang w:eastAsia="zh-CN"/>
                    </w:rPr>
                  </w:pPr>
                  <w:r>
                    <w:rPr>
                      <w:rFonts w:hint="eastAsia"/>
                      <w:color w:val="auto"/>
                      <w:highlight w:val="none"/>
                      <w:lang w:val="en-US" w:eastAsia="zh-CN"/>
                    </w:rPr>
                    <w:t>4</w:t>
                  </w:r>
                </w:p>
              </w:tc>
              <w:tc>
                <w:tcPr>
                  <w:tcW w:w="1279"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电磁回转窑</w:t>
                  </w:r>
                </w:p>
              </w:tc>
              <w:tc>
                <w:tcPr>
                  <w:tcW w:w="725"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1000kW</w:t>
                  </w:r>
                </w:p>
              </w:tc>
              <w:tc>
                <w:tcPr>
                  <w:tcW w:w="476"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1座</w:t>
                  </w:r>
                </w:p>
              </w:tc>
              <w:tc>
                <w:tcPr>
                  <w:tcW w:w="2100"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产能6万吨/年（8.3t/h）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9" w:type="pct"/>
                  <w:shd w:val="clear" w:color="auto" w:fill="auto"/>
                  <w:vAlign w:val="center"/>
                </w:tcPr>
                <w:p>
                  <w:pPr>
                    <w:pStyle w:val="57"/>
                    <w:bidi w:val="0"/>
                    <w:ind w:firstLine="0" w:firstLineChars="0"/>
                    <w:rPr>
                      <w:rFonts w:hint="eastAsia"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5</w:t>
                  </w:r>
                </w:p>
              </w:tc>
              <w:tc>
                <w:tcPr>
                  <w:tcW w:w="1279" w:type="pct"/>
                  <w:shd w:val="clear" w:color="auto" w:fill="auto"/>
                  <w:vAlign w:val="center"/>
                </w:tcPr>
                <w:p>
                  <w:pPr>
                    <w:pStyle w:val="57"/>
                    <w:bidi w:val="0"/>
                    <w:ind w:firstLine="0" w:firstLineChars="0"/>
                    <w:rPr>
                      <w:rFonts w:hint="default"/>
                      <w:color w:val="auto"/>
                      <w:highlight w:val="none"/>
                      <w:lang w:val="en-US" w:eastAsia="zh-CN"/>
                    </w:rPr>
                  </w:pPr>
                  <w:r>
                    <w:rPr>
                      <w:rFonts w:hint="eastAsia"/>
                      <w:color w:val="auto"/>
                      <w:highlight w:val="none"/>
                      <w:lang w:val="en-US" w:eastAsia="zh-CN"/>
                    </w:rPr>
                    <w:t>回转窑废气处理设施</w:t>
                  </w:r>
                </w:p>
              </w:tc>
              <w:tc>
                <w:tcPr>
                  <w:tcW w:w="725" w:type="pct"/>
                  <w:shd w:val="clear" w:color="auto" w:fill="auto"/>
                  <w:vAlign w:val="center"/>
                </w:tcPr>
                <w:p>
                  <w:pPr>
                    <w:pStyle w:val="57"/>
                    <w:bidi w:val="0"/>
                    <w:ind w:firstLine="0" w:firstLineChars="0"/>
                    <w:rPr>
                      <w:rFonts w:hint="default"/>
                      <w:color w:val="auto"/>
                      <w:highlight w:val="none"/>
                      <w:lang w:val="en-US" w:eastAsia="zh-CN"/>
                    </w:rPr>
                  </w:pPr>
                  <w:r>
                    <w:rPr>
                      <w:rFonts w:hint="eastAsia"/>
                      <w:color w:val="auto"/>
                      <w:highlight w:val="none"/>
                      <w:lang w:val="en-US" w:eastAsia="zh-CN"/>
                    </w:rPr>
                    <w:t>/</w:t>
                  </w:r>
                </w:p>
              </w:tc>
              <w:tc>
                <w:tcPr>
                  <w:tcW w:w="476" w:type="pct"/>
                  <w:shd w:val="clear" w:color="auto" w:fill="auto"/>
                  <w:vAlign w:val="center"/>
                </w:tcPr>
                <w:p>
                  <w:pPr>
                    <w:pStyle w:val="57"/>
                    <w:bidi w:val="0"/>
                    <w:ind w:firstLine="0" w:firstLineChars="0"/>
                    <w:rPr>
                      <w:rFonts w:hint="default"/>
                      <w:color w:val="auto"/>
                      <w:highlight w:val="none"/>
                      <w:lang w:val="en-US" w:eastAsia="zh-CN"/>
                    </w:rPr>
                  </w:pPr>
                  <w:r>
                    <w:rPr>
                      <w:rFonts w:hint="eastAsia"/>
                      <w:color w:val="auto"/>
                      <w:highlight w:val="none"/>
                      <w:lang w:val="en-US" w:eastAsia="zh-CN"/>
                    </w:rPr>
                    <w:t>1套</w:t>
                  </w:r>
                </w:p>
              </w:tc>
              <w:tc>
                <w:tcPr>
                  <w:tcW w:w="2100"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旋风除尘+布袋除尘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9" w:type="pct"/>
                  <w:shd w:val="clear" w:color="auto" w:fill="auto"/>
                  <w:vAlign w:val="center"/>
                </w:tcPr>
                <w:p>
                  <w:pPr>
                    <w:pStyle w:val="57"/>
                    <w:bidi w:val="0"/>
                    <w:ind w:firstLine="0" w:firstLineChars="0"/>
                    <w:rPr>
                      <w:rFonts w:hint="eastAsia"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6</w:t>
                  </w:r>
                </w:p>
              </w:tc>
              <w:tc>
                <w:tcPr>
                  <w:tcW w:w="1279" w:type="pct"/>
                  <w:shd w:val="clear" w:color="auto" w:fill="auto"/>
                  <w:vAlign w:val="center"/>
                </w:tcPr>
                <w:p>
                  <w:pPr>
                    <w:pStyle w:val="57"/>
                    <w:bidi w:val="0"/>
                    <w:ind w:firstLine="0" w:firstLineChars="0"/>
                    <w:rPr>
                      <w:rFonts w:hint="eastAsia"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单层圆筒干燥器</w:t>
                  </w:r>
                </w:p>
              </w:tc>
              <w:tc>
                <w:tcPr>
                  <w:tcW w:w="725"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套</w:t>
                  </w:r>
                </w:p>
              </w:tc>
              <w:tc>
                <w:tcPr>
                  <w:tcW w:w="476"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1套</w:t>
                  </w:r>
                </w:p>
              </w:tc>
              <w:tc>
                <w:tcPr>
                  <w:tcW w:w="2100"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rPr>
                  </w:pPr>
                  <w:r>
                    <w:rPr>
                      <w:rFonts w:hint="eastAsia"/>
                      <w:color w:val="auto"/>
                      <w:highlight w:val="none"/>
                      <w:lang w:val="en-US" w:eastAsia="zh-CN"/>
                    </w:rPr>
                    <w:t>含风冷刮板机+1台7.5kW罗茨风机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9" w:type="pct"/>
                  <w:shd w:val="clear" w:color="auto" w:fill="auto"/>
                  <w:vAlign w:val="center"/>
                </w:tcPr>
                <w:p>
                  <w:pPr>
                    <w:pStyle w:val="57"/>
                    <w:bidi w:val="0"/>
                    <w:ind w:firstLine="0" w:firstLineChars="0"/>
                    <w:rPr>
                      <w:rFonts w:hint="eastAsia"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7</w:t>
                  </w:r>
                </w:p>
              </w:tc>
              <w:tc>
                <w:tcPr>
                  <w:tcW w:w="1279"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气力输送设备</w:t>
                  </w:r>
                </w:p>
              </w:tc>
              <w:tc>
                <w:tcPr>
                  <w:tcW w:w="725"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套</w:t>
                  </w:r>
                </w:p>
              </w:tc>
              <w:tc>
                <w:tcPr>
                  <w:tcW w:w="476"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1套</w:t>
                  </w:r>
                </w:p>
              </w:tc>
              <w:tc>
                <w:tcPr>
                  <w:tcW w:w="2100"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rPr>
                  </w:pPr>
                  <w:r>
                    <w:rPr>
                      <w:rFonts w:hint="eastAsia"/>
                      <w:color w:val="auto"/>
                      <w:highlight w:val="none"/>
                      <w:lang w:val="en-US" w:eastAsia="zh-CN"/>
                    </w:rPr>
                    <w:t>含1台5.5kW罗茨风机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9" w:type="pct"/>
                  <w:vAlign w:val="center"/>
                </w:tcPr>
                <w:p>
                  <w:pPr>
                    <w:pStyle w:val="57"/>
                    <w:bidi w:val="0"/>
                    <w:rPr>
                      <w:rFonts w:hint="default"/>
                      <w:color w:val="auto"/>
                      <w:highlight w:val="none"/>
                      <w:lang w:val="en-US" w:eastAsia="zh-CN"/>
                    </w:rPr>
                  </w:pPr>
                  <w:r>
                    <w:rPr>
                      <w:rFonts w:hint="eastAsia"/>
                      <w:color w:val="auto"/>
                      <w:highlight w:val="none"/>
                      <w:lang w:val="en-US" w:eastAsia="zh-CN"/>
                    </w:rPr>
                    <w:t>8</w:t>
                  </w:r>
                </w:p>
              </w:tc>
              <w:tc>
                <w:tcPr>
                  <w:tcW w:w="1279"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成品仓</w:t>
                  </w:r>
                </w:p>
              </w:tc>
              <w:tc>
                <w:tcPr>
                  <w:tcW w:w="725"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200m</w:t>
                  </w:r>
                  <w:r>
                    <w:rPr>
                      <w:rFonts w:hint="eastAsia"/>
                      <w:color w:val="auto"/>
                      <w:highlight w:val="none"/>
                      <w:vertAlign w:val="superscript"/>
                      <w:lang w:val="en-US" w:eastAsia="zh-CN"/>
                    </w:rPr>
                    <w:t>3</w:t>
                  </w:r>
                </w:p>
              </w:tc>
              <w:tc>
                <w:tcPr>
                  <w:tcW w:w="476" w:type="pct"/>
                  <w:shd w:val="clear" w:color="auto" w:fill="auto"/>
                  <w:vAlign w:val="center"/>
                </w:tcPr>
                <w:p>
                  <w:pPr>
                    <w:pStyle w:val="57"/>
                    <w:bidi w:val="0"/>
                    <w:ind w:firstLine="0" w:firstLineChars="0"/>
                    <w:rPr>
                      <w:rFonts w:hint="default"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2个</w:t>
                  </w:r>
                </w:p>
              </w:tc>
              <w:tc>
                <w:tcPr>
                  <w:tcW w:w="2100" w:type="pct"/>
                  <w:shd w:val="clear" w:color="auto" w:fill="auto"/>
                  <w:vAlign w:val="center"/>
                </w:tcPr>
                <w:p>
                  <w:pPr>
                    <w:pStyle w:val="57"/>
                    <w:bidi w:val="0"/>
                    <w:ind w:firstLine="0" w:firstLineChars="0"/>
                    <w:rPr>
                      <w:rFonts w:hint="eastAsia" w:ascii="Times New Roman" w:hAnsi="Times New Roman" w:eastAsia="宋体" w:cs="Times New Roman"/>
                      <w:color w:val="auto"/>
                      <w:kern w:val="21"/>
                      <w:sz w:val="21"/>
                      <w:szCs w:val="21"/>
                      <w:highlight w:val="none"/>
                      <w:lang w:val="en-US" w:eastAsia="zh-CN"/>
                    </w:rPr>
                  </w:pPr>
                  <w:r>
                    <w:rPr>
                      <w:rFonts w:hint="eastAsia"/>
                      <w:color w:val="auto"/>
                      <w:highlight w:val="none"/>
                      <w:lang w:val="en-US" w:eastAsia="zh-CN"/>
                    </w:rPr>
                    <w:t>含仓顶布袋除尘器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000" w:type="pct"/>
                  <w:gridSpan w:val="5"/>
                  <w:vAlign w:val="center"/>
                </w:tcPr>
                <w:p>
                  <w:pPr>
                    <w:pStyle w:val="34"/>
                    <w:bidi w:val="0"/>
                    <w:rPr>
                      <w:rFonts w:hint="default"/>
                      <w:color w:val="auto"/>
                      <w:highlight w:val="none"/>
                      <w:lang w:val="en-US" w:eastAsia="zh-CN"/>
                    </w:rPr>
                  </w:pPr>
                  <w:r>
                    <w:rPr>
                      <w:rStyle w:val="66"/>
                      <w:rFonts w:hint="eastAsia"/>
                      <w:color w:val="auto"/>
                      <w:highlight w:val="none"/>
                      <w:lang w:val="en-US" w:eastAsia="zh-CN"/>
                    </w:rPr>
                    <w:t>注：电磁回转窑属于工业炉窑电气化成果，为大功率高效节能型设备，其热效率可达88%～95%，显著高于燃煤炉窑（50%～60%）和电阻窑（60%～70%）；未列入《产业结构调整指导目录（2024 年本）》限制类和淘汰类设备，亦未列入《高耗能落后机电设备（产品）淘汰目录（第二批）》；根据《工业领域碳达峰实施方案》（工信部联节〔2022〕88号），电炉窑、电加热技术已在</w:t>
                  </w:r>
                  <w:r>
                    <w:rPr>
                      <w:rStyle w:val="66"/>
                      <w:color w:val="auto"/>
                      <w:highlight w:val="none"/>
                      <w:lang w:val="en-US" w:eastAsia="zh-CN"/>
                    </w:rPr>
                    <w:t>铸造、玻璃、陶瓷等重点行业</w:t>
                  </w:r>
                  <w:r>
                    <w:rPr>
                      <w:rStyle w:val="66"/>
                      <w:rFonts w:hint="eastAsia"/>
                      <w:color w:val="auto"/>
                      <w:highlight w:val="none"/>
                      <w:lang w:val="en-US" w:eastAsia="zh-CN"/>
                    </w:rPr>
                    <w:t>进行推广</w:t>
                  </w:r>
                  <w:r>
                    <w:rPr>
                      <w:rFonts w:hint="eastAsia"/>
                      <w:color w:val="auto"/>
                      <w:highlight w:val="none"/>
                      <w:lang w:val="en-US" w:eastAsia="zh-CN"/>
                    </w:rPr>
                    <w:t>。</w:t>
                  </w:r>
                </w:p>
              </w:tc>
            </w:tr>
          </w:tbl>
          <w:p>
            <w:pPr>
              <w:pStyle w:val="4"/>
              <w:bidi w:val="0"/>
              <w:rPr>
                <w:color w:val="auto"/>
                <w:highlight w:val="none"/>
              </w:rPr>
            </w:pPr>
            <w:r>
              <w:rPr>
                <w:rFonts w:hint="eastAsia"/>
                <w:color w:val="auto"/>
                <w:highlight w:val="none"/>
              </w:rPr>
              <w:t>2.1.5 原辅材料及产品方案</w:t>
            </w:r>
          </w:p>
          <w:p>
            <w:pPr>
              <w:pStyle w:val="6"/>
              <w:bidi w:val="0"/>
              <w:rPr>
                <w:rFonts w:hint="eastAsia"/>
                <w:color w:val="auto"/>
                <w:highlight w:val="none"/>
              </w:rPr>
            </w:pPr>
            <w:r>
              <w:rPr>
                <w:rFonts w:hint="eastAsia"/>
                <w:color w:val="auto"/>
                <w:highlight w:val="none"/>
              </w:rPr>
              <w:t>（1）原材料及动力消耗</w:t>
            </w:r>
          </w:p>
          <w:p>
            <w:pPr>
              <w:pStyle w:val="6"/>
              <w:bidi w:val="0"/>
              <w:rPr>
                <w:rFonts w:hint="default"/>
                <w:color w:val="auto"/>
                <w:highlight w:val="none"/>
                <w:lang w:val="en-US" w:eastAsia="zh-CN"/>
              </w:rPr>
            </w:pPr>
            <w:r>
              <w:rPr>
                <w:rFonts w:hint="eastAsia"/>
                <w:color w:val="auto"/>
                <w:highlight w:val="none"/>
                <w:lang w:val="en-US" w:eastAsia="zh-CN"/>
              </w:rPr>
              <w:t>本项目在现有厂区内单独设置独立的原料仓、生产装置和成品仓，原料独立购买，产品独立存放和外售，生产上与现有工程无关联，不影响现有工程原材料用量及产品产量，故本项目原材料及动力消耗均为全厂新增量，现有工程原辅材料见“与项目有关的原有环境污染问题”章节表2.3-3，现有工程产品详情见“与项目有关的原有环境污染问题”章节表2.3-4；本项目主要原材料及动力消耗详情见</w:t>
            </w:r>
            <w:r>
              <w:rPr>
                <w:rFonts w:hint="eastAsia"/>
                <w:color w:val="auto"/>
                <w:highlight w:val="none"/>
              </w:rPr>
              <w:t>表2.1-4。</w:t>
            </w:r>
          </w:p>
          <w:p>
            <w:pPr>
              <w:pStyle w:val="36"/>
              <w:bidi w:val="0"/>
              <w:rPr>
                <w:color w:val="auto"/>
                <w:highlight w:val="none"/>
              </w:rPr>
            </w:pPr>
            <w:r>
              <w:rPr>
                <w:rFonts w:hint="eastAsia"/>
                <w:color w:val="auto"/>
                <w:highlight w:val="none"/>
              </w:rPr>
              <w:t xml:space="preserve">表2.1-4   </w:t>
            </w:r>
            <w:r>
              <w:rPr>
                <w:rFonts w:hint="eastAsia"/>
                <w:color w:val="auto"/>
                <w:highlight w:val="none"/>
                <w:lang w:val="en-US" w:eastAsia="zh-CN"/>
              </w:rPr>
              <w:t>本项目</w:t>
            </w:r>
            <w:r>
              <w:rPr>
                <w:rFonts w:hint="eastAsia"/>
                <w:color w:val="auto"/>
                <w:highlight w:val="none"/>
              </w:rPr>
              <w:t>主要原材料及动力消耗表</w:t>
            </w:r>
          </w:p>
          <w:tbl>
            <w:tblPr>
              <w:tblStyle w:val="2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7"/>
              <w:gridCol w:w="1483"/>
              <w:gridCol w:w="1098"/>
              <w:gridCol w:w="3"/>
              <w:gridCol w:w="1101"/>
              <w:gridCol w:w="1308"/>
              <w:gridCol w:w="2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7" w:type="pct"/>
                  <w:vAlign w:val="center"/>
                </w:tcPr>
                <w:p>
                  <w:pPr>
                    <w:pStyle w:val="57"/>
                    <w:bidi w:val="0"/>
                    <w:rPr>
                      <w:color w:val="auto"/>
                      <w:highlight w:val="none"/>
                    </w:rPr>
                  </w:pPr>
                  <w:r>
                    <w:rPr>
                      <w:rFonts w:hint="eastAsia"/>
                      <w:color w:val="auto"/>
                      <w:highlight w:val="none"/>
                    </w:rPr>
                    <w:t>序号</w:t>
                  </w:r>
                </w:p>
              </w:tc>
              <w:tc>
                <w:tcPr>
                  <w:tcW w:w="874" w:type="pct"/>
                  <w:vAlign w:val="center"/>
                </w:tcPr>
                <w:p>
                  <w:pPr>
                    <w:pStyle w:val="57"/>
                    <w:bidi w:val="0"/>
                    <w:rPr>
                      <w:color w:val="auto"/>
                      <w:highlight w:val="none"/>
                    </w:rPr>
                  </w:pPr>
                  <w:r>
                    <w:rPr>
                      <w:rFonts w:hint="eastAsia"/>
                      <w:color w:val="auto"/>
                      <w:highlight w:val="none"/>
                    </w:rPr>
                    <w:t>名称</w:t>
                  </w:r>
                </w:p>
              </w:tc>
              <w:tc>
                <w:tcPr>
                  <w:tcW w:w="649" w:type="pct"/>
                  <w:gridSpan w:val="2"/>
                  <w:vAlign w:val="center"/>
                </w:tcPr>
                <w:p>
                  <w:pPr>
                    <w:pStyle w:val="57"/>
                    <w:bidi w:val="0"/>
                    <w:rPr>
                      <w:color w:val="auto"/>
                      <w:highlight w:val="none"/>
                    </w:rPr>
                  </w:pPr>
                  <w:r>
                    <w:rPr>
                      <w:rFonts w:hint="eastAsia"/>
                      <w:color w:val="auto"/>
                      <w:highlight w:val="none"/>
                    </w:rPr>
                    <w:t>单位</w:t>
                  </w:r>
                </w:p>
              </w:tc>
              <w:tc>
                <w:tcPr>
                  <w:tcW w:w="649" w:type="pct"/>
                  <w:vAlign w:val="center"/>
                </w:tcPr>
                <w:p>
                  <w:pPr>
                    <w:pStyle w:val="57"/>
                    <w:bidi w:val="0"/>
                    <w:rPr>
                      <w:color w:val="auto"/>
                      <w:highlight w:val="none"/>
                    </w:rPr>
                  </w:pPr>
                  <w:r>
                    <w:rPr>
                      <w:rFonts w:hint="eastAsia"/>
                      <w:color w:val="auto"/>
                      <w:highlight w:val="none"/>
                    </w:rPr>
                    <w:t>消耗量</w:t>
                  </w:r>
                </w:p>
              </w:tc>
              <w:tc>
                <w:tcPr>
                  <w:tcW w:w="771" w:type="pct"/>
                  <w:vAlign w:val="center"/>
                </w:tcPr>
                <w:p>
                  <w:pPr>
                    <w:pStyle w:val="57"/>
                    <w:bidi w:val="0"/>
                    <w:rPr>
                      <w:color w:val="auto"/>
                      <w:highlight w:val="none"/>
                    </w:rPr>
                  </w:pPr>
                </w:p>
              </w:tc>
              <w:tc>
                <w:tcPr>
                  <w:tcW w:w="1636" w:type="pct"/>
                  <w:vAlign w:val="center"/>
                </w:tcPr>
                <w:p>
                  <w:pPr>
                    <w:pStyle w:val="57"/>
                    <w:bidi w:val="0"/>
                    <w:rPr>
                      <w:color w:val="auto"/>
                      <w:highlight w:val="none"/>
                    </w:rPr>
                  </w:pPr>
                  <w:r>
                    <w:rPr>
                      <w:rFonts w:hint="eastAsia"/>
                      <w:color w:val="auto"/>
                      <w:highlight w:val="none"/>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7" w:type="pct"/>
                  <w:vAlign w:val="center"/>
                </w:tcPr>
                <w:p>
                  <w:pPr>
                    <w:pStyle w:val="57"/>
                    <w:bidi w:val="0"/>
                    <w:rPr>
                      <w:color w:val="auto"/>
                      <w:highlight w:val="none"/>
                    </w:rPr>
                  </w:pPr>
                  <w:r>
                    <w:rPr>
                      <w:rFonts w:hint="eastAsia"/>
                      <w:color w:val="auto"/>
                      <w:highlight w:val="none"/>
                    </w:rPr>
                    <w:t>1</w:t>
                  </w:r>
                </w:p>
              </w:tc>
              <w:tc>
                <w:tcPr>
                  <w:tcW w:w="874" w:type="pct"/>
                  <w:vAlign w:val="center"/>
                </w:tcPr>
                <w:p>
                  <w:pPr>
                    <w:pStyle w:val="57"/>
                    <w:bidi w:val="0"/>
                    <w:rPr>
                      <w:rFonts w:hint="default"/>
                      <w:color w:val="auto"/>
                      <w:highlight w:val="none"/>
                      <w:lang w:val="en-US" w:eastAsia="zh-CN"/>
                    </w:rPr>
                  </w:pPr>
                  <w:r>
                    <w:rPr>
                      <w:rFonts w:hint="eastAsia"/>
                      <w:color w:val="auto"/>
                      <w:highlight w:val="none"/>
                      <w:lang w:val="en-US" w:eastAsia="zh-CN"/>
                    </w:rPr>
                    <w:t>电石渣</w:t>
                  </w:r>
                </w:p>
              </w:tc>
              <w:tc>
                <w:tcPr>
                  <w:tcW w:w="647" w:type="pct"/>
                  <w:vMerge w:val="restart"/>
                  <w:vAlign w:val="center"/>
                </w:tcPr>
                <w:p>
                  <w:pPr>
                    <w:pStyle w:val="57"/>
                    <w:bidi w:val="0"/>
                    <w:rPr>
                      <w:rFonts w:hint="default"/>
                      <w:color w:val="auto"/>
                      <w:highlight w:val="none"/>
                      <w:lang w:val="en-US" w:eastAsia="zh-CN"/>
                    </w:rPr>
                  </w:pPr>
                  <w:r>
                    <w:rPr>
                      <w:rFonts w:hint="eastAsia"/>
                      <w:color w:val="auto"/>
                      <w:highlight w:val="none"/>
                      <w:lang w:val="en-US" w:eastAsia="zh-CN"/>
                    </w:rPr>
                    <w:t>t/a</w:t>
                  </w:r>
                </w:p>
              </w:tc>
              <w:tc>
                <w:tcPr>
                  <w:tcW w:w="651" w:type="pct"/>
                  <w:gridSpan w:val="2"/>
                  <w:vMerge w:val="restart"/>
                  <w:shd w:val="clear" w:color="auto" w:fill="auto"/>
                  <w:vAlign w:val="center"/>
                </w:tcPr>
                <w:p>
                  <w:pPr>
                    <w:pStyle w:val="57"/>
                    <w:bidi w:val="0"/>
                    <w:rPr>
                      <w:rFonts w:hint="default"/>
                      <w:color w:val="auto"/>
                      <w:highlight w:val="none"/>
                      <w:lang w:val="en-US" w:eastAsia="zh-CN"/>
                    </w:rPr>
                  </w:pPr>
                  <w:r>
                    <w:rPr>
                      <w:rFonts w:hint="eastAsia"/>
                      <w:color w:val="auto"/>
                      <w:highlight w:val="none"/>
                      <w:lang w:val="en-US" w:eastAsia="zh-CN"/>
                    </w:rPr>
                    <w:t>75000</w:t>
                  </w:r>
                </w:p>
              </w:tc>
              <w:tc>
                <w:tcPr>
                  <w:tcW w:w="771" w:type="pct"/>
                  <w:vMerge w:val="restart"/>
                  <w:shd w:val="clear" w:color="auto" w:fill="auto"/>
                  <w:vAlign w:val="center"/>
                </w:tcPr>
                <w:p>
                  <w:pPr>
                    <w:pStyle w:val="57"/>
                    <w:bidi w:val="0"/>
                    <w:rPr>
                      <w:rFonts w:hint="default"/>
                      <w:color w:val="auto"/>
                      <w:highlight w:val="none"/>
                      <w:lang w:val="en-US" w:eastAsia="zh-CN"/>
                    </w:rPr>
                  </w:pPr>
                </w:p>
              </w:tc>
              <w:tc>
                <w:tcPr>
                  <w:tcW w:w="1636" w:type="pct"/>
                  <w:vMerge w:val="restart"/>
                  <w:vAlign w:val="center"/>
                </w:tcPr>
                <w:p>
                  <w:pPr>
                    <w:pStyle w:val="57"/>
                    <w:bidi w:val="0"/>
                    <w:rPr>
                      <w:rFonts w:hint="default"/>
                      <w:color w:val="auto"/>
                      <w:highlight w:val="none"/>
                      <w:lang w:val="en-US" w:eastAsia="zh-CN"/>
                    </w:rPr>
                  </w:pPr>
                  <w:r>
                    <w:rPr>
                      <w:rFonts w:hint="eastAsia"/>
                      <w:color w:val="auto"/>
                      <w:highlight w:val="none"/>
                      <w:lang w:val="en-US" w:eastAsia="zh-CN"/>
                    </w:rPr>
                    <w:t>新疆美克化工股份有限公司和深能库尔勒发电有限公司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7" w:type="pct"/>
                  <w:vAlign w:val="center"/>
                </w:tcPr>
                <w:p>
                  <w:pPr>
                    <w:pStyle w:val="57"/>
                    <w:bidi w:val="0"/>
                    <w:rPr>
                      <w:color w:val="auto"/>
                      <w:highlight w:val="none"/>
                    </w:rPr>
                  </w:pPr>
                  <w:r>
                    <w:rPr>
                      <w:rFonts w:hint="eastAsia"/>
                      <w:color w:val="auto"/>
                      <w:highlight w:val="none"/>
                    </w:rPr>
                    <w:t>2</w:t>
                  </w:r>
                </w:p>
              </w:tc>
              <w:tc>
                <w:tcPr>
                  <w:tcW w:w="874" w:type="pct"/>
                  <w:vAlign w:val="center"/>
                </w:tcPr>
                <w:p>
                  <w:pPr>
                    <w:pStyle w:val="57"/>
                    <w:bidi w:val="0"/>
                    <w:rPr>
                      <w:rFonts w:hint="eastAsia"/>
                      <w:color w:val="auto"/>
                      <w:highlight w:val="none"/>
                      <w:lang w:eastAsia="zh-CN"/>
                    </w:rPr>
                  </w:pPr>
                  <w:r>
                    <w:rPr>
                      <w:rFonts w:hint="eastAsia"/>
                      <w:color w:val="auto"/>
                      <w:highlight w:val="none"/>
                      <w:lang w:val="en-US" w:eastAsia="zh-CN"/>
                    </w:rPr>
                    <w:t>粉煤灰</w:t>
                  </w:r>
                </w:p>
              </w:tc>
              <w:tc>
                <w:tcPr>
                  <w:tcW w:w="647" w:type="pct"/>
                  <w:vMerge w:val="continue"/>
                  <w:vAlign w:val="center"/>
                </w:tcPr>
                <w:p>
                  <w:pPr>
                    <w:pStyle w:val="57"/>
                    <w:bidi w:val="0"/>
                    <w:rPr>
                      <w:color w:val="auto"/>
                      <w:highlight w:val="none"/>
                    </w:rPr>
                  </w:pPr>
                </w:p>
              </w:tc>
              <w:tc>
                <w:tcPr>
                  <w:tcW w:w="651" w:type="pct"/>
                  <w:gridSpan w:val="2"/>
                  <w:vMerge w:val="continue"/>
                  <w:shd w:val="clear" w:color="auto" w:fill="auto"/>
                  <w:vAlign w:val="center"/>
                </w:tcPr>
                <w:p>
                  <w:pPr>
                    <w:pStyle w:val="57"/>
                    <w:bidi w:val="0"/>
                    <w:rPr>
                      <w:color w:val="auto"/>
                      <w:highlight w:val="none"/>
                    </w:rPr>
                  </w:pPr>
                </w:p>
              </w:tc>
              <w:tc>
                <w:tcPr>
                  <w:tcW w:w="771" w:type="pct"/>
                  <w:vMerge w:val="continue"/>
                  <w:shd w:val="clear" w:color="auto" w:fill="auto"/>
                  <w:vAlign w:val="center"/>
                </w:tcPr>
                <w:p>
                  <w:pPr>
                    <w:pStyle w:val="57"/>
                    <w:bidi w:val="0"/>
                    <w:rPr>
                      <w:color w:val="auto"/>
                      <w:highlight w:val="none"/>
                    </w:rPr>
                  </w:pPr>
                </w:p>
              </w:tc>
              <w:tc>
                <w:tcPr>
                  <w:tcW w:w="1636" w:type="pct"/>
                  <w:vMerge w:val="continue"/>
                  <w:vAlign w:val="center"/>
                </w:tcPr>
                <w:p>
                  <w:pPr>
                    <w:pStyle w:val="57"/>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7" w:type="pct"/>
                  <w:vAlign w:val="center"/>
                </w:tcPr>
                <w:p>
                  <w:pPr>
                    <w:pStyle w:val="57"/>
                    <w:bidi w:val="0"/>
                    <w:rPr>
                      <w:color w:val="auto"/>
                      <w:highlight w:val="none"/>
                    </w:rPr>
                  </w:pPr>
                  <w:r>
                    <w:rPr>
                      <w:rFonts w:hint="eastAsia"/>
                      <w:color w:val="auto"/>
                      <w:highlight w:val="none"/>
                    </w:rPr>
                    <w:t>3</w:t>
                  </w:r>
                </w:p>
              </w:tc>
              <w:tc>
                <w:tcPr>
                  <w:tcW w:w="874" w:type="pct"/>
                  <w:vAlign w:val="center"/>
                </w:tcPr>
                <w:p>
                  <w:pPr>
                    <w:pStyle w:val="57"/>
                    <w:bidi w:val="0"/>
                    <w:rPr>
                      <w:rFonts w:hint="eastAsia"/>
                      <w:color w:val="auto"/>
                      <w:highlight w:val="none"/>
                      <w:lang w:eastAsia="zh-CN"/>
                    </w:rPr>
                  </w:pPr>
                  <w:r>
                    <w:rPr>
                      <w:rFonts w:hint="eastAsia"/>
                      <w:color w:val="auto"/>
                      <w:highlight w:val="none"/>
                      <w:lang w:val="en-US" w:eastAsia="zh-CN"/>
                    </w:rPr>
                    <w:t>脱硫石膏</w:t>
                  </w:r>
                </w:p>
              </w:tc>
              <w:tc>
                <w:tcPr>
                  <w:tcW w:w="647" w:type="pct"/>
                  <w:vMerge w:val="continue"/>
                  <w:vAlign w:val="center"/>
                </w:tcPr>
                <w:p>
                  <w:pPr>
                    <w:pStyle w:val="57"/>
                    <w:bidi w:val="0"/>
                    <w:rPr>
                      <w:color w:val="auto"/>
                      <w:highlight w:val="none"/>
                    </w:rPr>
                  </w:pPr>
                </w:p>
              </w:tc>
              <w:tc>
                <w:tcPr>
                  <w:tcW w:w="651" w:type="pct"/>
                  <w:gridSpan w:val="2"/>
                  <w:vMerge w:val="continue"/>
                  <w:shd w:val="clear" w:color="auto" w:fill="auto"/>
                  <w:vAlign w:val="center"/>
                </w:tcPr>
                <w:p>
                  <w:pPr>
                    <w:pStyle w:val="57"/>
                    <w:bidi w:val="0"/>
                    <w:rPr>
                      <w:color w:val="auto"/>
                      <w:highlight w:val="none"/>
                    </w:rPr>
                  </w:pPr>
                </w:p>
              </w:tc>
              <w:tc>
                <w:tcPr>
                  <w:tcW w:w="771" w:type="pct"/>
                  <w:vMerge w:val="continue"/>
                  <w:shd w:val="clear" w:color="auto" w:fill="auto"/>
                  <w:vAlign w:val="center"/>
                </w:tcPr>
                <w:p>
                  <w:pPr>
                    <w:pStyle w:val="57"/>
                    <w:bidi w:val="0"/>
                    <w:rPr>
                      <w:color w:val="auto"/>
                      <w:highlight w:val="none"/>
                    </w:rPr>
                  </w:pPr>
                </w:p>
              </w:tc>
              <w:tc>
                <w:tcPr>
                  <w:tcW w:w="1636" w:type="pct"/>
                  <w:vMerge w:val="continue"/>
                  <w:vAlign w:val="center"/>
                </w:tcPr>
                <w:p>
                  <w:pPr>
                    <w:pStyle w:val="57"/>
                    <w:bidi w:val="0"/>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7" w:type="pct"/>
                  <w:vAlign w:val="center"/>
                </w:tcPr>
                <w:p>
                  <w:pPr>
                    <w:pStyle w:val="57"/>
                    <w:bidi w:val="0"/>
                    <w:rPr>
                      <w:color w:val="auto"/>
                      <w:highlight w:val="none"/>
                    </w:rPr>
                  </w:pPr>
                  <w:r>
                    <w:rPr>
                      <w:rFonts w:hint="eastAsia"/>
                      <w:color w:val="auto"/>
                      <w:highlight w:val="none"/>
                    </w:rPr>
                    <w:t>4</w:t>
                  </w:r>
                </w:p>
              </w:tc>
              <w:tc>
                <w:tcPr>
                  <w:tcW w:w="874" w:type="pct"/>
                  <w:vAlign w:val="center"/>
                </w:tcPr>
                <w:p>
                  <w:pPr>
                    <w:pStyle w:val="57"/>
                    <w:bidi w:val="0"/>
                    <w:rPr>
                      <w:rFonts w:hint="default"/>
                      <w:color w:val="auto"/>
                      <w:highlight w:val="none"/>
                      <w:lang w:val="en-US" w:eastAsia="zh-CN"/>
                    </w:rPr>
                  </w:pPr>
                  <w:r>
                    <w:rPr>
                      <w:rFonts w:hint="eastAsia"/>
                      <w:color w:val="auto"/>
                      <w:highlight w:val="none"/>
                      <w:lang w:val="en-US" w:eastAsia="zh-CN"/>
                    </w:rPr>
                    <w:t>电</w:t>
                  </w:r>
                </w:p>
              </w:tc>
              <w:tc>
                <w:tcPr>
                  <w:tcW w:w="647" w:type="pct"/>
                  <w:shd w:val="clear" w:color="auto" w:fill="auto"/>
                  <w:vAlign w:val="center"/>
                </w:tcPr>
                <w:p>
                  <w:pPr>
                    <w:pStyle w:val="57"/>
                    <w:bidi w:val="0"/>
                    <w:rPr>
                      <w:rFonts w:hint="default"/>
                      <w:color w:val="auto"/>
                      <w:highlight w:val="none"/>
                      <w:lang w:val="en-US" w:eastAsia="zh-CN"/>
                    </w:rPr>
                  </w:pPr>
                  <w:r>
                    <w:rPr>
                      <w:rFonts w:hint="eastAsia"/>
                      <w:color w:val="auto"/>
                      <w:highlight w:val="none"/>
                      <w:lang w:val="en-US" w:eastAsia="zh-CN"/>
                    </w:rPr>
                    <w:t>kW·h</w:t>
                  </w:r>
                  <w:r>
                    <w:rPr>
                      <w:rFonts w:hint="eastAsia"/>
                      <w:color w:val="auto"/>
                      <w:highlight w:val="none"/>
                    </w:rPr>
                    <w:t>/a</w:t>
                  </w:r>
                </w:p>
              </w:tc>
              <w:tc>
                <w:tcPr>
                  <w:tcW w:w="651" w:type="pct"/>
                  <w:gridSpan w:val="2"/>
                  <w:shd w:val="clear" w:color="auto" w:fill="auto"/>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7333200</w:t>
                  </w:r>
                </w:p>
              </w:tc>
              <w:tc>
                <w:tcPr>
                  <w:tcW w:w="771" w:type="pct"/>
                  <w:shd w:val="clear" w:color="auto" w:fill="auto"/>
                  <w:vAlign w:val="center"/>
                </w:tcPr>
                <w:p>
                  <w:pPr>
                    <w:pStyle w:val="57"/>
                    <w:bidi w:val="0"/>
                    <w:rPr>
                      <w:rFonts w:hint="eastAsia"/>
                      <w:color w:val="auto"/>
                      <w:highlight w:val="none"/>
                      <w:lang w:val="en-US" w:eastAsia="zh-CN"/>
                    </w:rPr>
                  </w:pPr>
                </w:p>
              </w:tc>
              <w:tc>
                <w:tcPr>
                  <w:tcW w:w="1636" w:type="pct"/>
                  <w:vAlign w:val="center"/>
                </w:tcPr>
                <w:p>
                  <w:pPr>
                    <w:pStyle w:val="57"/>
                    <w:bidi w:val="0"/>
                    <w:rPr>
                      <w:color w:val="auto"/>
                      <w:highlight w:val="none"/>
                    </w:rPr>
                  </w:pPr>
                  <w:r>
                    <w:rPr>
                      <w:rFonts w:hint="eastAsia"/>
                      <w:color w:val="auto"/>
                      <w:highlight w:val="none"/>
                      <w:lang w:val="en-US" w:eastAsia="zh-CN"/>
                    </w:rPr>
                    <w:t>市政电网</w:t>
                  </w:r>
                  <w:r>
                    <w:rPr>
                      <w:rFonts w:hint="eastAsia"/>
                      <w:color w:val="auto"/>
                      <w:highlight w:val="none"/>
                    </w:rPr>
                    <w:t>供给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17" w:type="pct"/>
                  <w:vAlign w:val="center"/>
                </w:tcPr>
                <w:p>
                  <w:pPr>
                    <w:pStyle w:val="57"/>
                    <w:bidi w:val="0"/>
                    <w:rPr>
                      <w:rFonts w:hint="eastAsia"/>
                      <w:color w:val="auto"/>
                      <w:highlight w:val="none"/>
                      <w:lang w:eastAsia="zh-CN"/>
                    </w:rPr>
                  </w:pPr>
                  <w:r>
                    <w:rPr>
                      <w:rFonts w:hint="eastAsia"/>
                      <w:color w:val="auto"/>
                      <w:highlight w:val="none"/>
                      <w:lang w:val="en-US" w:eastAsia="zh-CN"/>
                    </w:rPr>
                    <w:t>5</w:t>
                  </w:r>
                </w:p>
              </w:tc>
              <w:tc>
                <w:tcPr>
                  <w:tcW w:w="874" w:type="pct"/>
                  <w:vAlign w:val="center"/>
                </w:tcPr>
                <w:p>
                  <w:pPr>
                    <w:pStyle w:val="57"/>
                    <w:bidi w:val="0"/>
                    <w:rPr>
                      <w:color w:val="auto"/>
                      <w:highlight w:val="none"/>
                    </w:rPr>
                  </w:pPr>
                  <w:r>
                    <w:rPr>
                      <w:rFonts w:hint="eastAsia"/>
                      <w:color w:val="auto"/>
                      <w:highlight w:val="none"/>
                    </w:rPr>
                    <w:t>水</w:t>
                  </w:r>
                </w:p>
              </w:tc>
              <w:tc>
                <w:tcPr>
                  <w:tcW w:w="647" w:type="pct"/>
                  <w:vAlign w:val="center"/>
                </w:tcPr>
                <w:p>
                  <w:pPr>
                    <w:pStyle w:val="57"/>
                    <w:bidi w:val="0"/>
                    <w:rPr>
                      <w:color w:val="auto"/>
                      <w:highlight w:val="none"/>
                    </w:rPr>
                  </w:pP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651" w:type="pct"/>
                  <w:gridSpan w:val="2"/>
                  <w:shd w:val="clear" w:color="auto" w:fill="auto"/>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150</w:t>
                  </w:r>
                </w:p>
              </w:tc>
              <w:tc>
                <w:tcPr>
                  <w:tcW w:w="771" w:type="pct"/>
                  <w:shd w:val="clear" w:color="auto" w:fill="auto"/>
                  <w:vAlign w:val="center"/>
                </w:tcPr>
                <w:p>
                  <w:pPr>
                    <w:pStyle w:val="57"/>
                    <w:bidi w:val="0"/>
                    <w:rPr>
                      <w:color w:val="auto"/>
                      <w:highlight w:val="none"/>
                    </w:rPr>
                  </w:pPr>
                </w:p>
              </w:tc>
              <w:tc>
                <w:tcPr>
                  <w:tcW w:w="1636" w:type="pct"/>
                  <w:vAlign w:val="center"/>
                </w:tcPr>
                <w:p>
                  <w:pPr>
                    <w:pStyle w:val="57"/>
                    <w:bidi w:val="0"/>
                    <w:rPr>
                      <w:color w:val="auto"/>
                      <w:highlight w:val="none"/>
                    </w:rPr>
                  </w:pPr>
                  <w:r>
                    <w:rPr>
                      <w:rFonts w:hint="eastAsia"/>
                      <w:color w:val="auto"/>
                      <w:highlight w:val="none"/>
                      <w:lang w:val="en-US" w:eastAsia="zh-CN"/>
                    </w:rPr>
                    <w:t>市政电网</w:t>
                  </w:r>
                  <w:r>
                    <w:rPr>
                      <w:rFonts w:hint="eastAsia"/>
                      <w:color w:val="auto"/>
                      <w:highlight w:val="none"/>
                    </w:rPr>
                    <w:t>供给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000" w:type="pct"/>
                  <w:gridSpan w:val="7"/>
                  <w:vAlign w:val="center"/>
                </w:tcPr>
                <w:p>
                  <w:pPr>
                    <w:pStyle w:val="34"/>
                    <w:bidi w:val="0"/>
                    <w:rPr>
                      <w:rFonts w:hint="eastAsia"/>
                      <w:color w:val="auto"/>
                      <w:highlight w:val="none"/>
                      <w:lang w:val="en-US" w:eastAsia="zh-CN"/>
                    </w:rPr>
                  </w:pPr>
                  <w:r>
                    <w:rPr>
                      <w:rFonts w:hint="eastAsia"/>
                      <w:color w:val="auto"/>
                      <w:highlight w:val="none"/>
                      <w:lang w:val="en-US" w:eastAsia="zh-CN"/>
                    </w:rPr>
                    <w:t>注：电石渣、粉煤灰和脱硫石膏3种原料年总消耗量为75000t/a，根据市场需求进行调整。</w:t>
                  </w:r>
                </w:p>
              </w:tc>
            </w:tr>
          </w:tbl>
          <w:p>
            <w:pPr>
              <w:pStyle w:val="6"/>
              <w:bidi w:val="0"/>
              <w:rPr>
                <w:color w:val="auto"/>
                <w:highlight w:val="none"/>
              </w:rPr>
            </w:pPr>
            <w:r>
              <w:rPr>
                <w:rFonts w:hint="eastAsia"/>
                <w:color w:val="auto"/>
                <w:highlight w:val="none"/>
              </w:rPr>
              <w:t>（2）产品方案</w:t>
            </w:r>
          </w:p>
          <w:p>
            <w:pPr>
              <w:pStyle w:val="6"/>
              <w:bidi w:val="0"/>
              <w:rPr>
                <w:rFonts w:hint="default" w:eastAsia="宋体"/>
                <w:color w:val="auto"/>
                <w:highlight w:val="none"/>
                <w:lang w:val="en-US" w:eastAsia="zh-CN"/>
              </w:rPr>
            </w:pPr>
            <w:r>
              <w:rPr>
                <w:rFonts w:hint="eastAsia"/>
                <w:color w:val="auto"/>
                <w:highlight w:val="none"/>
                <w:lang w:val="en-US" w:eastAsia="zh-CN"/>
              </w:rPr>
              <w:t>本项目产品有工业氧化钙（用于工业添加剂）、用于水泥和混凝土的粉煤灰、建筑石膏，对应执行的标准《工业氧化钙》（HG/T 4205-2024）、《用于水泥和混凝土中的粉煤灰》（GB/T 1596-2017）和《建筑石膏》（GB/T 9776-2022）。</w:t>
            </w:r>
          </w:p>
          <w:p>
            <w:pPr>
              <w:pStyle w:val="36"/>
              <w:bidi w:val="0"/>
              <w:rPr>
                <w:color w:val="auto"/>
                <w:highlight w:val="none"/>
              </w:rPr>
            </w:pPr>
            <w:r>
              <w:rPr>
                <w:rFonts w:hint="eastAsia"/>
                <w:color w:val="auto"/>
                <w:highlight w:val="none"/>
              </w:rPr>
              <w:t>表2.1-5  产品方案表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878"/>
              <w:gridCol w:w="1842"/>
              <w:gridCol w:w="1214"/>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9" w:type="pct"/>
                  <w:vAlign w:val="center"/>
                </w:tcPr>
                <w:p>
                  <w:pPr>
                    <w:pStyle w:val="57"/>
                    <w:bidi w:val="0"/>
                    <w:rPr>
                      <w:color w:val="auto"/>
                      <w:highlight w:val="none"/>
                    </w:rPr>
                  </w:pPr>
                  <w:r>
                    <w:rPr>
                      <w:rFonts w:hint="eastAsia"/>
                      <w:color w:val="auto"/>
                      <w:highlight w:val="none"/>
                    </w:rPr>
                    <w:t>序号</w:t>
                  </w:r>
                </w:p>
              </w:tc>
              <w:tc>
                <w:tcPr>
                  <w:tcW w:w="1697" w:type="pct"/>
                  <w:vAlign w:val="center"/>
                </w:tcPr>
                <w:p>
                  <w:pPr>
                    <w:pStyle w:val="57"/>
                    <w:bidi w:val="0"/>
                    <w:rPr>
                      <w:color w:val="auto"/>
                      <w:highlight w:val="none"/>
                    </w:rPr>
                  </w:pPr>
                  <w:r>
                    <w:rPr>
                      <w:rFonts w:hint="eastAsia"/>
                      <w:color w:val="auto"/>
                      <w:highlight w:val="none"/>
                    </w:rPr>
                    <w:t>名称</w:t>
                  </w:r>
                </w:p>
              </w:tc>
              <w:tc>
                <w:tcPr>
                  <w:tcW w:w="1086" w:type="pct"/>
                  <w:vAlign w:val="center"/>
                </w:tcPr>
                <w:p>
                  <w:pPr>
                    <w:pStyle w:val="57"/>
                    <w:bidi w:val="0"/>
                    <w:rPr>
                      <w:color w:val="auto"/>
                      <w:highlight w:val="none"/>
                    </w:rPr>
                  </w:pPr>
                  <w:r>
                    <w:rPr>
                      <w:rFonts w:hint="eastAsia"/>
                      <w:color w:val="auto"/>
                      <w:highlight w:val="none"/>
                    </w:rPr>
                    <w:t>年产量（</w:t>
                  </w:r>
                  <w:r>
                    <w:rPr>
                      <w:color w:val="auto"/>
                      <w:highlight w:val="none"/>
                    </w:rPr>
                    <w:t>t/a</w:t>
                  </w:r>
                  <w:r>
                    <w:rPr>
                      <w:rFonts w:hint="eastAsia"/>
                      <w:color w:val="auto"/>
                      <w:highlight w:val="none"/>
                    </w:rPr>
                    <w:t>）</w:t>
                  </w:r>
                </w:p>
              </w:tc>
              <w:tc>
                <w:tcPr>
                  <w:tcW w:w="716" w:type="pct"/>
                  <w:vAlign w:val="center"/>
                </w:tcPr>
                <w:p>
                  <w:pPr>
                    <w:pStyle w:val="57"/>
                    <w:bidi w:val="0"/>
                    <w:rPr>
                      <w:color w:val="auto"/>
                      <w:highlight w:val="none"/>
                    </w:rPr>
                  </w:pPr>
                  <w:r>
                    <w:rPr>
                      <w:rFonts w:hint="eastAsia"/>
                      <w:color w:val="auto"/>
                      <w:highlight w:val="none"/>
                    </w:rPr>
                    <w:t>储存位置</w:t>
                  </w:r>
                </w:p>
              </w:tc>
              <w:tc>
                <w:tcPr>
                  <w:tcW w:w="1039"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Align w:val="center"/>
                </w:tcPr>
                <w:p>
                  <w:pPr>
                    <w:pStyle w:val="57"/>
                    <w:bidi w:val="0"/>
                    <w:rPr>
                      <w:color w:val="auto"/>
                      <w:highlight w:val="none"/>
                    </w:rPr>
                  </w:pPr>
                  <w:r>
                    <w:rPr>
                      <w:rFonts w:hint="eastAsia"/>
                      <w:color w:val="auto"/>
                      <w:highlight w:val="none"/>
                    </w:rPr>
                    <w:t>1</w:t>
                  </w:r>
                </w:p>
              </w:tc>
              <w:tc>
                <w:tcPr>
                  <w:tcW w:w="1697"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工业氧化钙</w:t>
                  </w:r>
                </w:p>
              </w:tc>
              <w:tc>
                <w:tcPr>
                  <w:tcW w:w="1086" w:type="pct"/>
                  <w:vMerge w:val="restar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60000</w:t>
                  </w:r>
                </w:p>
              </w:tc>
              <w:tc>
                <w:tcPr>
                  <w:tcW w:w="716" w:type="pct"/>
                  <w:vMerge w:val="restart"/>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成品仓</w:t>
                  </w:r>
                </w:p>
              </w:tc>
              <w:tc>
                <w:tcPr>
                  <w:tcW w:w="1039" w:type="pct"/>
                  <w:vAlign w:val="center"/>
                </w:tcPr>
                <w:p>
                  <w:pPr>
                    <w:pStyle w:val="57"/>
                    <w:bidi w:val="0"/>
                    <w:rPr>
                      <w:color w:val="auto"/>
                      <w:highlight w:val="none"/>
                    </w:rPr>
                  </w:pPr>
                  <w:r>
                    <w:rPr>
                      <w:rFonts w:hint="eastAsia"/>
                      <w:color w:val="auto"/>
                      <w:highlight w:val="none"/>
                      <w:lang w:val="en-US" w:eastAsia="zh-CN"/>
                    </w:rPr>
                    <w:t>HG/T 4205-2024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9" w:type="pct"/>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2</w:t>
                  </w:r>
                </w:p>
              </w:tc>
              <w:tc>
                <w:tcPr>
                  <w:tcW w:w="1697" w:type="pct"/>
                  <w:vAlign w:val="center"/>
                </w:tcPr>
                <w:p>
                  <w:pPr>
                    <w:pStyle w:val="57"/>
                    <w:bidi w:val="0"/>
                    <w:rPr>
                      <w:rFonts w:hint="eastAsia"/>
                      <w:color w:val="auto"/>
                      <w:highlight w:val="none"/>
                      <w:lang w:val="en-US" w:eastAsia="zh-CN"/>
                    </w:rPr>
                  </w:pPr>
                  <w:r>
                    <w:rPr>
                      <w:rFonts w:hint="eastAsia"/>
                      <w:color w:val="auto"/>
                      <w:highlight w:val="none"/>
                      <w:lang w:val="en-US" w:eastAsia="zh-CN"/>
                    </w:rPr>
                    <w:t>用于水泥和混凝土的粉煤灰</w:t>
                  </w:r>
                </w:p>
              </w:tc>
              <w:tc>
                <w:tcPr>
                  <w:tcW w:w="1086" w:type="pct"/>
                  <w:vMerge w:val="continue"/>
                  <w:vAlign w:val="center"/>
                </w:tcPr>
                <w:p>
                  <w:pPr>
                    <w:pStyle w:val="57"/>
                    <w:bidi w:val="0"/>
                    <w:rPr>
                      <w:rFonts w:hint="eastAsia"/>
                      <w:color w:val="auto"/>
                      <w:highlight w:val="none"/>
                    </w:rPr>
                  </w:pPr>
                </w:p>
              </w:tc>
              <w:tc>
                <w:tcPr>
                  <w:tcW w:w="716" w:type="pct"/>
                  <w:vMerge w:val="continue"/>
                  <w:vAlign w:val="center"/>
                </w:tcPr>
                <w:p>
                  <w:pPr>
                    <w:pStyle w:val="57"/>
                    <w:bidi w:val="0"/>
                    <w:rPr>
                      <w:rFonts w:hint="eastAsia"/>
                      <w:color w:val="auto"/>
                      <w:highlight w:val="none"/>
                    </w:rPr>
                  </w:pPr>
                </w:p>
              </w:tc>
              <w:tc>
                <w:tcPr>
                  <w:tcW w:w="1039" w:type="pct"/>
                  <w:vAlign w:val="center"/>
                </w:tcPr>
                <w:p>
                  <w:pPr>
                    <w:pStyle w:val="57"/>
                    <w:bidi w:val="0"/>
                    <w:rPr>
                      <w:color w:val="auto"/>
                      <w:highlight w:val="none"/>
                    </w:rPr>
                  </w:pPr>
                  <w:r>
                    <w:rPr>
                      <w:rFonts w:hint="eastAsia"/>
                      <w:color w:val="auto"/>
                      <w:highlight w:val="none"/>
                      <w:lang w:val="en-US" w:eastAsia="zh-CN"/>
                    </w:rPr>
                    <w:t>GB/T 1596-2017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9" w:type="pct"/>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3</w:t>
                  </w:r>
                </w:p>
              </w:tc>
              <w:tc>
                <w:tcPr>
                  <w:tcW w:w="1697" w:type="pct"/>
                  <w:vAlign w:val="center"/>
                </w:tcPr>
                <w:p>
                  <w:pPr>
                    <w:pStyle w:val="57"/>
                    <w:bidi w:val="0"/>
                    <w:rPr>
                      <w:rFonts w:hint="eastAsia"/>
                      <w:color w:val="auto"/>
                      <w:highlight w:val="none"/>
                      <w:lang w:val="en-US" w:eastAsia="zh-CN"/>
                    </w:rPr>
                  </w:pPr>
                  <w:r>
                    <w:rPr>
                      <w:rFonts w:hint="eastAsia"/>
                      <w:color w:val="auto"/>
                      <w:highlight w:val="none"/>
                      <w:lang w:val="en-US" w:eastAsia="zh-CN"/>
                    </w:rPr>
                    <w:t>建筑石膏</w:t>
                  </w:r>
                </w:p>
              </w:tc>
              <w:tc>
                <w:tcPr>
                  <w:tcW w:w="1086" w:type="pct"/>
                  <w:vMerge w:val="continue"/>
                  <w:vAlign w:val="center"/>
                </w:tcPr>
                <w:p>
                  <w:pPr>
                    <w:pStyle w:val="57"/>
                    <w:bidi w:val="0"/>
                    <w:rPr>
                      <w:rFonts w:hint="eastAsia"/>
                      <w:color w:val="auto"/>
                      <w:highlight w:val="none"/>
                    </w:rPr>
                  </w:pPr>
                </w:p>
              </w:tc>
              <w:tc>
                <w:tcPr>
                  <w:tcW w:w="716" w:type="pct"/>
                  <w:vMerge w:val="continue"/>
                  <w:vAlign w:val="center"/>
                </w:tcPr>
                <w:p>
                  <w:pPr>
                    <w:pStyle w:val="57"/>
                    <w:bidi w:val="0"/>
                    <w:rPr>
                      <w:rFonts w:hint="eastAsia"/>
                      <w:color w:val="auto"/>
                      <w:highlight w:val="none"/>
                    </w:rPr>
                  </w:pPr>
                </w:p>
              </w:tc>
              <w:tc>
                <w:tcPr>
                  <w:tcW w:w="1039" w:type="pct"/>
                  <w:vAlign w:val="center"/>
                </w:tcPr>
                <w:p>
                  <w:pPr>
                    <w:pStyle w:val="57"/>
                    <w:bidi w:val="0"/>
                    <w:rPr>
                      <w:color w:val="auto"/>
                      <w:highlight w:val="none"/>
                    </w:rPr>
                  </w:pPr>
                  <w:r>
                    <w:rPr>
                      <w:rFonts w:hint="eastAsia"/>
                      <w:color w:val="auto"/>
                      <w:highlight w:val="none"/>
                      <w:lang w:val="en-US" w:eastAsia="zh-CN"/>
                    </w:rPr>
                    <w:t>GB/T 9776-2022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5"/>
                  <w:vAlign w:val="center"/>
                </w:tcPr>
                <w:p>
                  <w:pPr>
                    <w:pStyle w:val="34"/>
                    <w:bidi w:val="0"/>
                    <w:rPr>
                      <w:rFonts w:hint="default"/>
                      <w:color w:val="auto"/>
                      <w:highlight w:val="none"/>
                      <w:lang w:val="en-US" w:eastAsia="zh-CN"/>
                    </w:rPr>
                  </w:pPr>
                  <w:r>
                    <w:rPr>
                      <w:rFonts w:hint="eastAsia"/>
                      <w:color w:val="auto"/>
                      <w:highlight w:val="none"/>
                      <w:lang w:val="en-US" w:eastAsia="zh-CN"/>
                    </w:rPr>
                    <w:t>注：由于只有一套生产设备，总产量为6万吨/年，各产品产出量根据市场需求进行调整和原料采购</w:t>
                  </w:r>
                </w:p>
              </w:tc>
            </w:tr>
          </w:tbl>
          <w:p>
            <w:pPr>
              <w:pStyle w:val="6"/>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物料平衡</w:t>
            </w:r>
          </w:p>
          <w:p>
            <w:pPr>
              <w:pStyle w:val="36"/>
              <w:bidi w:val="0"/>
              <w:rPr>
                <w:rFonts w:hint="default"/>
                <w:color w:val="auto"/>
                <w:highlight w:val="none"/>
                <w:lang w:val="en-US" w:eastAsia="zh-CN"/>
              </w:rPr>
            </w:pPr>
            <w:r>
              <w:rPr>
                <w:rFonts w:hint="eastAsia"/>
                <w:color w:val="auto"/>
                <w:highlight w:val="none"/>
                <w:lang w:val="en-US" w:eastAsia="zh-CN"/>
              </w:rPr>
              <w:t>表2.1-6  本项目物料平衡一览表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2545"/>
              <w:gridCol w:w="1282"/>
              <w:gridCol w:w="2713"/>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829" w:type="dxa"/>
                  <w:vAlign w:val="center"/>
                </w:tcPr>
                <w:p>
                  <w:pPr>
                    <w:pStyle w:val="57"/>
                    <w:bidi w:val="0"/>
                    <w:rPr>
                      <w:rFonts w:hint="eastAsia"/>
                      <w:color w:val="auto"/>
                      <w:highlight w:val="none"/>
                      <w:lang w:val="en-US" w:eastAsia="zh-CN"/>
                    </w:rPr>
                  </w:pPr>
                  <w:r>
                    <w:rPr>
                      <w:rFonts w:hint="eastAsia"/>
                      <w:color w:val="auto"/>
                      <w:highlight w:val="none"/>
                      <w:lang w:val="en-US" w:eastAsia="zh-CN"/>
                    </w:rPr>
                    <w:t>序号</w:t>
                  </w:r>
                </w:p>
              </w:tc>
              <w:tc>
                <w:tcPr>
                  <w:tcW w:w="3827" w:type="dxa"/>
                  <w:gridSpan w:val="2"/>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投入（t/a）</w:t>
                  </w:r>
                </w:p>
              </w:tc>
              <w:tc>
                <w:tcPr>
                  <w:tcW w:w="3829" w:type="dxa"/>
                  <w:gridSpan w:val="2"/>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9" w:type="dxa"/>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1</w:t>
                  </w:r>
                </w:p>
              </w:tc>
              <w:tc>
                <w:tcPr>
                  <w:tcW w:w="2545" w:type="dxa"/>
                  <w:vAlign w:val="center"/>
                </w:tcPr>
                <w:p>
                  <w:pPr>
                    <w:pStyle w:val="57"/>
                    <w:bidi w:val="0"/>
                    <w:rPr>
                      <w:rFonts w:hint="eastAsia"/>
                      <w:color w:val="auto"/>
                      <w:highlight w:val="none"/>
                      <w:lang w:val="en-US" w:eastAsia="zh-CN"/>
                    </w:rPr>
                  </w:pPr>
                  <w:r>
                    <w:rPr>
                      <w:rFonts w:hint="eastAsia"/>
                      <w:color w:val="auto"/>
                      <w:highlight w:val="none"/>
                      <w:lang w:val="en-US" w:eastAsia="zh-CN"/>
                    </w:rPr>
                    <w:t>原料</w:t>
                  </w:r>
                </w:p>
                <w:p>
                  <w:pPr>
                    <w:pStyle w:val="57"/>
                    <w:bidi w:val="0"/>
                    <w:rPr>
                      <w:rFonts w:hint="eastAsia" w:eastAsia="宋体"/>
                      <w:color w:val="auto"/>
                      <w:highlight w:val="none"/>
                      <w:lang w:val="en-US" w:eastAsia="zh-CN"/>
                    </w:rPr>
                  </w:pPr>
                  <w:r>
                    <w:rPr>
                      <w:rFonts w:hint="eastAsia"/>
                      <w:color w:val="auto"/>
                      <w:highlight w:val="none"/>
                      <w:lang w:val="en-US" w:eastAsia="zh-CN"/>
                    </w:rPr>
                    <w:t>（含水率15%～20%）</w:t>
                  </w:r>
                </w:p>
              </w:tc>
              <w:tc>
                <w:tcPr>
                  <w:tcW w:w="1282"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75000</w:t>
                  </w:r>
                </w:p>
              </w:tc>
              <w:tc>
                <w:tcPr>
                  <w:tcW w:w="2713" w:type="dxa"/>
                  <w:vAlign w:val="center"/>
                </w:tcPr>
                <w:p>
                  <w:pPr>
                    <w:pStyle w:val="57"/>
                    <w:bidi w:val="0"/>
                    <w:rPr>
                      <w:rFonts w:hint="eastAsia"/>
                      <w:color w:val="auto"/>
                      <w:highlight w:val="none"/>
                      <w:lang w:val="en-US" w:eastAsia="zh-CN"/>
                    </w:rPr>
                  </w:pPr>
                  <w:r>
                    <w:rPr>
                      <w:rFonts w:hint="eastAsia"/>
                      <w:color w:val="auto"/>
                      <w:highlight w:val="none"/>
                      <w:lang w:val="en-US" w:eastAsia="zh-CN"/>
                    </w:rPr>
                    <w:t>成品</w:t>
                  </w:r>
                </w:p>
                <w:p>
                  <w:pPr>
                    <w:pStyle w:val="57"/>
                    <w:bidi w:val="0"/>
                    <w:rPr>
                      <w:rFonts w:hint="default" w:eastAsia="宋体"/>
                      <w:color w:val="auto"/>
                      <w:highlight w:val="none"/>
                      <w:lang w:val="en-US" w:eastAsia="zh-CN"/>
                    </w:rPr>
                  </w:pPr>
                  <w:r>
                    <w:rPr>
                      <w:rFonts w:hint="eastAsia"/>
                      <w:color w:val="auto"/>
                      <w:highlight w:val="none"/>
                      <w:lang w:val="en-US" w:eastAsia="zh-CN"/>
                    </w:rPr>
                    <w:t>(含水率＜1%)</w:t>
                  </w:r>
                </w:p>
              </w:tc>
              <w:tc>
                <w:tcPr>
                  <w:tcW w:w="1116"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9" w:type="dxa"/>
                  <w:vAlign w:val="center"/>
                </w:tcPr>
                <w:p>
                  <w:pPr>
                    <w:pStyle w:val="57"/>
                    <w:bidi w:val="0"/>
                    <w:rPr>
                      <w:rFonts w:hint="default"/>
                      <w:color w:val="auto"/>
                      <w:highlight w:val="none"/>
                      <w:lang w:val="en-US" w:eastAsia="zh-CN"/>
                    </w:rPr>
                  </w:pPr>
                  <w:r>
                    <w:rPr>
                      <w:rFonts w:hint="eastAsia"/>
                      <w:color w:val="auto"/>
                      <w:highlight w:val="none"/>
                      <w:lang w:val="en-US" w:eastAsia="zh-CN"/>
                    </w:rPr>
                    <w:t>2</w:t>
                  </w:r>
                </w:p>
              </w:tc>
              <w:tc>
                <w:tcPr>
                  <w:tcW w:w="2545" w:type="dxa"/>
                  <w:vAlign w:val="center"/>
                </w:tcPr>
                <w:p>
                  <w:pPr>
                    <w:pStyle w:val="57"/>
                    <w:bidi w:val="0"/>
                    <w:ind w:firstLine="0" w:firstLineChars="0"/>
                    <w:rPr>
                      <w:rFonts w:hint="eastAsia"/>
                      <w:color w:val="auto"/>
                      <w:highlight w:val="none"/>
                      <w:lang w:val="en-US" w:eastAsia="zh-CN"/>
                    </w:rPr>
                  </w:pPr>
                  <w:r>
                    <w:rPr>
                      <w:rFonts w:hint="eastAsia"/>
                      <w:color w:val="auto"/>
                      <w:highlight w:val="none"/>
                      <w:lang w:val="en-US" w:eastAsia="zh-CN"/>
                    </w:rPr>
                    <w:t>旋风+布袋收尘</w:t>
                  </w:r>
                </w:p>
              </w:tc>
              <w:tc>
                <w:tcPr>
                  <w:tcW w:w="1282" w:type="dxa"/>
                  <w:vAlign w:val="center"/>
                </w:tcPr>
                <w:p>
                  <w:pPr>
                    <w:pStyle w:val="57"/>
                    <w:bidi w:val="0"/>
                    <w:ind w:firstLine="0" w:firstLineChars="0"/>
                    <w:rPr>
                      <w:rFonts w:hint="default"/>
                      <w:color w:val="auto"/>
                      <w:highlight w:val="none"/>
                      <w:lang w:val="en-US"/>
                    </w:rPr>
                  </w:pPr>
                  <w:r>
                    <w:rPr>
                      <w:rFonts w:hint="eastAsia"/>
                      <w:color w:val="auto"/>
                      <w:highlight w:val="none"/>
                      <w:lang w:val="en-US" w:eastAsia="zh-CN"/>
                    </w:rPr>
                    <w:t>86.826</w:t>
                  </w:r>
                </w:p>
              </w:tc>
              <w:tc>
                <w:tcPr>
                  <w:tcW w:w="2713" w:type="dxa"/>
                  <w:vAlign w:val="center"/>
                </w:tcPr>
                <w:p>
                  <w:pPr>
                    <w:pStyle w:val="57"/>
                    <w:bidi w:val="0"/>
                    <w:rPr>
                      <w:rFonts w:hint="default"/>
                      <w:color w:val="auto"/>
                      <w:highlight w:val="none"/>
                      <w:lang w:val="en-US" w:eastAsia="zh-CN"/>
                    </w:rPr>
                  </w:pPr>
                  <w:r>
                    <w:rPr>
                      <w:rFonts w:hint="eastAsia"/>
                      <w:color w:val="auto"/>
                      <w:highlight w:val="none"/>
                      <w:lang w:val="en-US" w:eastAsia="zh-CN"/>
                    </w:rPr>
                    <w:t>烧失量（含原料中H</w:t>
                  </w:r>
                  <w:r>
                    <w:rPr>
                      <w:rFonts w:hint="eastAsia"/>
                      <w:color w:val="auto"/>
                      <w:highlight w:val="none"/>
                      <w:vertAlign w:val="subscript"/>
                      <w:lang w:val="en-US" w:eastAsia="zh-CN"/>
                    </w:rPr>
                    <w:t>2</w:t>
                  </w:r>
                  <w:r>
                    <w:rPr>
                      <w:rFonts w:hint="eastAsia"/>
                      <w:color w:val="auto"/>
                      <w:highlight w:val="none"/>
                      <w:lang w:val="en-US" w:eastAsia="zh-CN"/>
                    </w:rPr>
                    <w:t>O）</w:t>
                  </w:r>
                </w:p>
              </w:tc>
              <w:tc>
                <w:tcPr>
                  <w:tcW w:w="1116"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14999.656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9" w:type="dxa"/>
                  <w:vAlign w:val="center"/>
                </w:tcPr>
                <w:p>
                  <w:pPr>
                    <w:pStyle w:val="57"/>
                    <w:bidi w:val="0"/>
                    <w:rPr>
                      <w:rFonts w:hint="default"/>
                      <w:color w:val="auto"/>
                      <w:highlight w:val="none"/>
                      <w:lang w:val="en-US" w:eastAsia="zh-CN"/>
                    </w:rPr>
                  </w:pPr>
                  <w:r>
                    <w:rPr>
                      <w:rFonts w:hint="eastAsia"/>
                      <w:color w:val="auto"/>
                      <w:highlight w:val="none"/>
                      <w:lang w:val="en-US" w:eastAsia="zh-CN"/>
                    </w:rPr>
                    <w:t>3</w:t>
                  </w:r>
                </w:p>
              </w:tc>
              <w:tc>
                <w:tcPr>
                  <w:tcW w:w="2545" w:type="dxa"/>
                  <w:vAlign w:val="center"/>
                </w:tcPr>
                <w:p>
                  <w:pPr>
                    <w:pStyle w:val="57"/>
                    <w:bidi w:val="0"/>
                    <w:rPr>
                      <w:rFonts w:hint="eastAsia"/>
                      <w:color w:val="auto"/>
                      <w:highlight w:val="none"/>
                      <w:lang w:val="en-US" w:eastAsia="zh-CN"/>
                    </w:rPr>
                  </w:pPr>
                </w:p>
              </w:tc>
              <w:tc>
                <w:tcPr>
                  <w:tcW w:w="1282" w:type="dxa"/>
                  <w:vAlign w:val="center"/>
                </w:tcPr>
                <w:p>
                  <w:pPr>
                    <w:pStyle w:val="57"/>
                    <w:bidi w:val="0"/>
                    <w:rPr>
                      <w:rFonts w:hint="eastAsia"/>
                      <w:color w:val="auto"/>
                      <w:highlight w:val="none"/>
                    </w:rPr>
                  </w:pPr>
                </w:p>
              </w:tc>
              <w:tc>
                <w:tcPr>
                  <w:tcW w:w="2713" w:type="dxa"/>
                  <w:vAlign w:val="center"/>
                </w:tcPr>
                <w:p>
                  <w:pPr>
                    <w:pStyle w:val="57"/>
                    <w:bidi w:val="0"/>
                    <w:rPr>
                      <w:rFonts w:hint="default"/>
                      <w:color w:val="auto"/>
                      <w:highlight w:val="none"/>
                      <w:lang w:val="en-US" w:eastAsia="zh-CN"/>
                    </w:rPr>
                  </w:pPr>
                  <w:r>
                    <w:rPr>
                      <w:rFonts w:hint="eastAsia"/>
                      <w:color w:val="auto"/>
                      <w:highlight w:val="none"/>
                      <w:lang w:val="en-US" w:eastAsia="zh-CN"/>
                    </w:rPr>
                    <w:t>旋风+布袋收尘</w:t>
                  </w:r>
                </w:p>
              </w:tc>
              <w:tc>
                <w:tcPr>
                  <w:tcW w:w="1116"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86.826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829" w:type="dxa"/>
                  <w:vAlign w:val="center"/>
                </w:tcPr>
                <w:p>
                  <w:pPr>
                    <w:pStyle w:val="57"/>
                    <w:bidi w:val="0"/>
                    <w:rPr>
                      <w:rFonts w:hint="default"/>
                      <w:color w:val="auto"/>
                      <w:highlight w:val="none"/>
                      <w:lang w:val="en-US" w:eastAsia="zh-CN"/>
                    </w:rPr>
                  </w:pPr>
                  <w:r>
                    <w:rPr>
                      <w:rFonts w:hint="eastAsia"/>
                      <w:color w:val="auto"/>
                      <w:highlight w:val="none"/>
                      <w:lang w:val="en-US" w:eastAsia="zh-CN"/>
                    </w:rPr>
                    <w:t>4</w:t>
                  </w:r>
                </w:p>
              </w:tc>
              <w:tc>
                <w:tcPr>
                  <w:tcW w:w="2545" w:type="dxa"/>
                  <w:vAlign w:val="center"/>
                </w:tcPr>
                <w:p>
                  <w:pPr>
                    <w:pStyle w:val="57"/>
                    <w:bidi w:val="0"/>
                    <w:rPr>
                      <w:rFonts w:hint="eastAsia"/>
                      <w:color w:val="auto"/>
                      <w:highlight w:val="none"/>
                      <w:lang w:val="en-US" w:eastAsia="zh-CN"/>
                    </w:rPr>
                  </w:pPr>
                </w:p>
              </w:tc>
              <w:tc>
                <w:tcPr>
                  <w:tcW w:w="1282" w:type="dxa"/>
                  <w:vAlign w:val="center"/>
                </w:tcPr>
                <w:p>
                  <w:pPr>
                    <w:pStyle w:val="57"/>
                    <w:bidi w:val="0"/>
                    <w:rPr>
                      <w:rFonts w:hint="eastAsia"/>
                      <w:color w:val="auto"/>
                      <w:highlight w:val="none"/>
                    </w:rPr>
                  </w:pPr>
                </w:p>
              </w:tc>
              <w:tc>
                <w:tcPr>
                  <w:tcW w:w="2713" w:type="dxa"/>
                  <w:vAlign w:val="center"/>
                </w:tcPr>
                <w:p>
                  <w:pPr>
                    <w:pStyle w:val="57"/>
                    <w:bidi w:val="0"/>
                    <w:rPr>
                      <w:rFonts w:hint="default"/>
                      <w:color w:val="auto"/>
                      <w:highlight w:val="none"/>
                      <w:lang w:val="en-US" w:eastAsia="zh-CN"/>
                    </w:rPr>
                  </w:pPr>
                  <w:r>
                    <w:rPr>
                      <w:rFonts w:hint="eastAsia"/>
                      <w:color w:val="auto"/>
                      <w:highlight w:val="none"/>
                      <w:lang w:val="en-US" w:eastAsia="zh-CN"/>
                    </w:rPr>
                    <w:t>有组织粉尘</w:t>
                  </w:r>
                </w:p>
              </w:tc>
              <w:tc>
                <w:tcPr>
                  <w:tcW w:w="1116" w:type="dxa"/>
                  <w:vAlign w:val="center"/>
                </w:tcPr>
                <w:p>
                  <w:pPr>
                    <w:pStyle w:val="57"/>
                    <w:bidi w:val="0"/>
                    <w:rPr>
                      <w:rFonts w:hint="default"/>
                      <w:color w:val="auto"/>
                      <w:highlight w:val="none"/>
                      <w:lang w:val="en-US" w:eastAsia="zh-CN"/>
                    </w:rPr>
                  </w:pPr>
                  <w:r>
                    <w:rPr>
                      <w:rFonts w:hint="eastAsia"/>
                      <w:color w:val="auto"/>
                      <w:highlight w:val="none"/>
                      <w:lang w:val="en-US" w:eastAsia="zh-CN"/>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9" w:type="dxa"/>
                  <w:vAlign w:val="center"/>
                </w:tcPr>
                <w:p>
                  <w:pPr>
                    <w:pStyle w:val="57"/>
                    <w:bidi w:val="0"/>
                    <w:rPr>
                      <w:rFonts w:hint="default"/>
                      <w:color w:val="auto"/>
                      <w:highlight w:val="none"/>
                      <w:lang w:val="en-US" w:eastAsia="zh-CN"/>
                    </w:rPr>
                  </w:pPr>
                  <w:r>
                    <w:rPr>
                      <w:rFonts w:hint="eastAsia"/>
                      <w:color w:val="auto"/>
                      <w:highlight w:val="none"/>
                      <w:lang w:val="en-US" w:eastAsia="zh-CN"/>
                    </w:rPr>
                    <w:t>5</w:t>
                  </w:r>
                </w:p>
              </w:tc>
              <w:tc>
                <w:tcPr>
                  <w:tcW w:w="2545" w:type="dxa"/>
                  <w:vAlign w:val="center"/>
                </w:tcPr>
                <w:p>
                  <w:pPr>
                    <w:pStyle w:val="57"/>
                    <w:bidi w:val="0"/>
                    <w:rPr>
                      <w:rFonts w:hint="eastAsia"/>
                      <w:color w:val="auto"/>
                      <w:highlight w:val="none"/>
                      <w:lang w:val="en-US" w:eastAsia="zh-CN"/>
                    </w:rPr>
                  </w:pPr>
                </w:p>
              </w:tc>
              <w:tc>
                <w:tcPr>
                  <w:tcW w:w="1282" w:type="dxa"/>
                  <w:vAlign w:val="center"/>
                </w:tcPr>
                <w:p>
                  <w:pPr>
                    <w:pStyle w:val="57"/>
                    <w:bidi w:val="0"/>
                    <w:rPr>
                      <w:rFonts w:hint="eastAsia"/>
                      <w:color w:val="auto"/>
                      <w:highlight w:val="none"/>
                    </w:rPr>
                  </w:pPr>
                </w:p>
              </w:tc>
              <w:tc>
                <w:tcPr>
                  <w:tcW w:w="2713" w:type="dxa"/>
                  <w:vAlign w:val="center"/>
                </w:tcPr>
                <w:p>
                  <w:pPr>
                    <w:pStyle w:val="57"/>
                    <w:bidi w:val="0"/>
                    <w:rPr>
                      <w:rFonts w:hint="default"/>
                      <w:color w:val="auto"/>
                      <w:highlight w:val="none"/>
                      <w:lang w:val="en-US" w:eastAsia="zh-CN"/>
                    </w:rPr>
                  </w:pPr>
                  <w:r>
                    <w:rPr>
                      <w:rFonts w:hint="eastAsia"/>
                      <w:color w:val="auto"/>
                      <w:highlight w:val="none"/>
                      <w:lang w:val="en-US" w:eastAsia="zh-CN"/>
                    </w:rPr>
                    <w:t>无组织粉尘</w:t>
                  </w:r>
                </w:p>
              </w:tc>
              <w:tc>
                <w:tcPr>
                  <w:tcW w:w="1116" w:type="dxa"/>
                  <w:vAlign w:val="center"/>
                </w:tcPr>
                <w:p>
                  <w:pPr>
                    <w:pStyle w:val="57"/>
                    <w:bidi w:val="0"/>
                    <w:rPr>
                      <w:rFonts w:hint="default"/>
                      <w:color w:val="auto"/>
                      <w:highlight w:val="none"/>
                      <w:lang w:val="en-US" w:eastAsia="zh-CN"/>
                    </w:rPr>
                  </w:pPr>
                  <w:r>
                    <w:rPr>
                      <w:rFonts w:hint="eastAsia"/>
                      <w:color w:val="auto"/>
                      <w:highlight w:val="none"/>
                      <w:lang w:val="en-US" w:eastAsia="zh-CN"/>
                    </w:rPr>
                    <w:t>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74" w:type="dxa"/>
                  <w:gridSpan w:val="2"/>
                  <w:vAlign w:val="center"/>
                </w:tcPr>
                <w:p>
                  <w:pPr>
                    <w:pStyle w:val="57"/>
                    <w:bidi w:val="0"/>
                    <w:rPr>
                      <w:rFonts w:hint="default"/>
                      <w:color w:val="auto"/>
                      <w:highlight w:val="none"/>
                      <w:lang w:val="en-US" w:eastAsia="zh-CN"/>
                    </w:rPr>
                  </w:pPr>
                  <w:r>
                    <w:rPr>
                      <w:rFonts w:hint="eastAsia"/>
                      <w:color w:val="auto"/>
                      <w:highlight w:val="none"/>
                      <w:lang w:val="en-US" w:eastAsia="zh-CN"/>
                    </w:rPr>
                    <w:t>合计</w:t>
                  </w:r>
                </w:p>
              </w:tc>
              <w:tc>
                <w:tcPr>
                  <w:tcW w:w="1282"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75086.826</w:t>
                  </w:r>
                </w:p>
              </w:tc>
              <w:tc>
                <w:tcPr>
                  <w:tcW w:w="2713" w:type="dxa"/>
                  <w:vAlign w:val="center"/>
                </w:tcPr>
                <w:p>
                  <w:pPr>
                    <w:pStyle w:val="57"/>
                    <w:bidi w:val="0"/>
                    <w:rPr>
                      <w:rFonts w:hint="eastAsia"/>
                      <w:color w:val="auto"/>
                      <w:highlight w:val="none"/>
                      <w:lang w:val="en-US" w:eastAsia="zh-CN"/>
                    </w:rPr>
                  </w:pPr>
                </w:p>
              </w:tc>
              <w:tc>
                <w:tcPr>
                  <w:tcW w:w="1116"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75086.826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85" w:type="dxa"/>
                  <w:gridSpan w:val="5"/>
                  <w:vAlign w:val="center"/>
                </w:tcPr>
                <w:p>
                  <w:pPr>
                    <w:pStyle w:val="34"/>
                    <w:bidi w:val="0"/>
                    <w:rPr>
                      <w:rFonts w:hint="default"/>
                      <w:color w:val="auto"/>
                      <w:highlight w:val="none"/>
                      <w:lang w:val="en-US" w:eastAsia="zh-CN"/>
                    </w:rPr>
                  </w:pPr>
                  <w:r>
                    <w:rPr>
                      <w:rFonts w:hint="eastAsia"/>
                      <w:color w:val="auto"/>
                      <w:highlight w:val="none"/>
                      <w:lang w:val="en-US" w:eastAsia="zh-CN"/>
                    </w:rPr>
                    <w:t>注：由于原料为一般工业固废电石渣、粉煤灰和脱硫石膏，其各自含水率主要受上游企业堆场堆存时间及洒水抑尘情况影响，主要含水率在15%～20%左右；经电磁回转窑加热干燥后，成品含水率＜1%。</w:t>
                  </w:r>
                </w:p>
              </w:tc>
            </w:tr>
          </w:tbl>
          <w:p>
            <w:pPr>
              <w:pStyle w:val="4"/>
              <w:bidi w:val="0"/>
              <w:rPr>
                <w:rFonts w:hint="default"/>
                <w:color w:val="auto"/>
                <w:highlight w:val="none"/>
                <w:lang w:val="en-US" w:eastAsia="zh-CN"/>
              </w:rPr>
            </w:pPr>
            <w:r>
              <w:rPr>
                <w:rFonts w:hint="eastAsia"/>
                <w:color w:val="auto"/>
                <w:highlight w:val="none"/>
                <w:lang w:val="en-US" w:eastAsia="zh-CN"/>
              </w:rPr>
              <w:t>2.1.6 劳动定员及工作制度</w:t>
            </w:r>
          </w:p>
          <w:p>
            <w:pPr>
              <w:pStyle w:val="6"/>
              <w:bidi w:val="0"/>
              <w:rPr>
                <w:rFonts w:hint="default"/>
                <w:color w:val="auto"/>
                <w:highlight w:val="none"/>
                <w:lang w:val="en-US" w:eastAsia="zh-CN"/>
              </w:rPr>
            </w:pPr>
            <w:r>
              <w:rPr>
                <w:rFonts w:hint="eastAsia"/>
                <w:color w:val="auto"/>
                <w:highlight w:val="none"/>
                <w:lang w:val="en-US" w:eastAsia="zh-CN"/>
              </w:rPr>
              <w:t>现有劳动定员23人，本次新增劳动定员5人，项目实施后，全厂劳动定员28人。生产岗位为三班倒制度，设计年生产300天。</w:t>
            </w:r>
          </w:p>
          <w:p>
            <w:pPr>
              <w:pStyle w:val="4"/>
              <w:bidi w:val="0"/>
              <w:rPr>
                <w:color w:val="auto"/>
                <w:highlight w:val="none"/>
              </w:rPr>
            </w:pPr>
            <w:r>
              <w:rPr>
                <w:rFonts w:hint="eastAsia"/>
                <w:color w:val="auto"/>
                <w:highlight w:val="none"/>
              </w:rPr>
              <w:t>2.1.</w:t>
            </w:r>
            <w:r>
              <w:rPr>
                <w:rFonts w:hint="eastAsia"/>
                <w:color w:val="auto"/>
                <w:highlight w:val="none"/>
                <w:lang w:val="en-US" w:eastAsia="zh-CN"/>
              </w:rPr>
              <w:t>7</w:t>
            </w:r>
            <w:r>
              <w:rPr>
                <w:rFonts w:hint="eastAsia"/>
                <w:color w:val="auto"/>
                <w:highlight w:val="none"/>
              </w:rPr>
              <w:t xml:space="preserve"> </w:t>
            </w:r>
            <w:r>
              <w:rPr>
                <w:color w:val="auto"/>
                <w:highlight w:val="none"/>
              </w:rPr>
              <w:t>公用工程</w:t>
            </w:r>
          </w:p>
          <w:p>
            <w:pPr>
              <w:pStyle w:val="6"/>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给水</w:t>
            </w:r>
          </w:p>
          <w:p>
            <w:pPr>
              <w:pStyle w:val="6"/>
              <w:bidi w:val="0"/>
              <w:rPr>
                <w:rFonts w:hint="default"/>
                <w:color w:val="auto"/>
                <w:highlight w:val="none"/>
                <w:lang w:val="en-US" w:eastAsia="zh-CN"/>
              </w:rPr>
            </w:pPr>
            <w:r>
              <w:rPr>
                <w:rFonts w:hint="eastAsia"/>
                <w:color w:val="auto"/>
                <w:highlight w:val="none"/>
              </w:rPr>
              <w:t>本项目</w:t>
            </w:r>
            <w:r>
              <w:rPr>
                <w:rFonts w:hint="eastAsia"/>
                <w:color w:val="auto"/>
                <w:highlight w:val="none"/>
                <w:lang w:val="en-US" w:eastAsia="zh-CN"/>
              </w:rPr>
              <w:t>无生产用水，主要用水为生活用水。项目新增定员5人，生活用水按100L/</w:t>
            </w:r>
            <w:r>
              <w:rPr>
                <w:rFonts w:hint="eastAsia"/>
                <w:color w:val="auto"/>
                <w:highlight w:val="none"/>
              </w:rPr>
              <w:t>（人·d）</w:t>
            </w:r>
            <w:r>
              <w:rPr>
                <w:rFonts w:hint="eastAsia"/>
                <w:color w:val="auto"/>
                <w:highlight w:val="none"/>
                <w:lang w:eastAsia="zh-CN"/>
              </w:rPr>
              <w:t>，</w:t>
            </w:r>
            <w:r>
              <w:rPr>
                <w:rFonts w:hint="eastAsia"/>
                <w:color w:val="auto"/>
                <w:highlight w:val="none"/>
                <w:lang w:val="en-US" w:eastAsia="zh-CN"/>
              </w:rPr>
              <w:t>则新增生活用水量为0.5m</w:t>
            </w:r>
            <w:r>
              <w:rPr>
                <w:rFonts w:hint="eastAsia"/>
                <w:color w:val="auto"/>
                <w:highlight w:val="none"/>
                <w:vertAlign w:val="superscript"/>
                <w:lang w:val="en-US" w:eastAsia="zh-CN"/>
              </w:rPr>
              <w:t>3</w:t>
            </w:r>
            <w:r>
              <w:rPr>
                <w:rFonts w:hint="eastAsia"/>
                <w:color w:val="auto"/>
                <w:highlight w:val="none"/>
                <w:lang w:val="en-US" w:eastAsia="zh-CN"/>
              </w:rPr>
              <w:t>/d（150m</w:t>
            </w:r>
            <w:r>
              <w:rPr>
                <w:rFonts w:hint="eastAsia"/>
                <w:color w:val="auto"/>
                <w:highlight w:val="none"/>
                <w:vertAlign w:val="superscript"/>
                <w:lang w:val="en-US" w:eastAsia="zh-CN"/>
              </w:rPr>
              <w:t>3</w:t>
            </w:r>
            <w:r>
              <w:rPr>
                <w:rFonts w:hint="eastAsia"/>
                <w:color w:val="auto"/>
                <w:highlight w:val="none"/>
                <w:vertAlign w:val="baseline"/>
                <w:lang w:val="en-US" w:eastAsia="zh-CN"/>
              </w:rPr>
              <w:t>/a</w:t>
            </w:r>
            <w:r>
              <w:rPr>
                <w:rFonts w:hint="eastAsia"/>
                <w:color w:val="auto"/>
                <w:highlight w:val="none"/>
                <w:lang w:val="en-US" w:eastAsia="zh-CN"/>
              </w:rPr>
              <w:t>）。</w:t>
            </w:r>
          </w:p>
          <w:p>
            <w:pPr>
              <w:pStyle w:val="6"/>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排水</w:t>
            </w:r>
          </w:p>
          <w:p>
            <w:pPr>
              <w:pStyle w:val="6"/>
              <w:bidi w:val="0"/>
              <w:rPr>
                <w:color w:val="auto"/>
                <w:highlight w:val="none"/>
              </w:rPr>
            </w:pPr>
            <w:r>
              <w:rPr>
                <w:rFonts w:hint="eastAsia"/>
                <w:color w:val="auto"/>
                <w:highlight w:val="none"/>
                <w:lang w:val="en-US" w:eastAsia="zh-CN"/>
              </w:rPr>
              <w:t>生活污水产生量</w:t>
            </w:r>
            <w:r>
              <w:rPr>
                <w:rFonts w:hint="eastAsia"/>
                <w:color w:val="auto"/>
                <w:highlight w:val="none"/>
              </w:rPr>
              <w:t>按照用水量的80%计，</w:t>
            </w:r>
            <w:r>
              <w:rPr>
                <w:rFonts w:hint="eastAsia"/>
                <w:color w:val="auto"/>
                <w:highlight w:val="none"/>
                <w:lang w:val="en-US" w:eastAsia="zh-CN"/>
              </w:rPr>
              <w:t>则项目新增生活污水量</w:t>
            </w:r>
            <w:r>
              <w:rPr>
                <w:rFonts w:hint="eastAsia"/>
                <w:color w:val="auto"/>
                <w:highlight w:val="none"/>
              </w:rPr>
              <w:t>为</w:t>
            </w:r>
            <w:r>
              <w:rPr>
                <w:rFonts w:hint="eastAsia"/>
                <w:color w:val="auto"/>
                <w:highlight w:val="none"/>
                <w:lang w:val="en-US" w:eastAsia="zh-CN"/>
              </w:rPr>
              <w:t>0.4</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（120m</w:t>
            </w:r>
            <w:r>
              <w:rPr>
                <w:rFonts w:hint="eastAsia"/>
                <w:color w:val="auto"/>
                <w:highlight w:val="none"/>
                <w:vertAlign w:val="superscript"/>
                <w:lang w:val="en-US" w:eastAsia="zh-CN"/>
              </w:rPr>
              <w:t>3</w:t>
            </w:r>
            <w:r>
              <w:rPr>
                <w:rFonts w:hint="eastAsia"/>
                <w:color w:val="auto"/>
                <w:highlight w:val="none"/>
                <w:vertAlign w:val="baseline"/>
                <w:lang w:val="en-US" w:eastAsia="zh-CN"/>
              </w:rPr>
              <w:t>/a</w:t>
            </w:r>
            <w:r>
              <w:rPr>
                <w:rFonts w:hint="eastAsia"/>
                <w:color w:val="auto"/>
                <w:highlight w:val="none"/>
                <w:lang w:val="en-US" w:eastAsia="zh-CN"/>
              </w:rPr>
              <w:t>）</w:t>
            </w:r>
            <w:r>
              <w:rPr>
                <w:rFonts w:hint="eastAsia"/>
                <w:color w:val="auto"/>
                <w:highlight w:val="none"/>
              </w:rPr>
              <w:t>，</w:t>
            </w:r>
            <w:r>
              <w:rPr>
                <w:rFonts w:hint="eastAsia"/>
                <w:color w:val="auto"/>
                <w:highlight w:val="none"/>
                <w:lang w:val="en-US" w:eastAsia="zh-CN"/>
              </w:rPr>
              <w:t>生活污水依托现有化粪池（3×4×2m）收集处理后，委托库尔勒龙润处理有限公司定期拉运至库尔勒市南市区污水处理厂处理，见附件12</w:t>
            </w:r>
            <w:r>
              <w:rPr>
                <w:rFonts w:hint="eastAsia"/>
                <w:color w:val="auto"/>
                <w:highlight w:val="none"/>
              </w:rPr>
              <w:t>。</w:t>
            </w:r>
          </w:p>
          <w:p>
            <w:pPr>
              <w:pStyle w:val="5"/>
              <w:bidi w:val="0"/>
              <w:rPr>
                <w:rFonts w:hint="eastAsia"/>
                <w:color w:val="auto"/>
                <w:highlight w:val="none"/>
                <w:lang w:val="en-US" w:eastAsia="zh-CN"/>
              </w:rPr>
            </w:pPr>
            <w:r>
              <w:rPr>
                <w:rFonts w:hint="eastAsia"/>
                <w:color w:val="auto"/>
                <w:highlight w:val="none"/>
                <w:lang w:val="en-US" w:eastAsia="zh-CN"/>
              </w:rPr>
              <w:t>2.1.6.3 供电</w:t>
            </w:r>
          </w:p>
          <w:p>
            <w:pPr>
              <w:pStyle w:val="6"/>
              <w:bidi w:val="0"/>
              <w:rPr>
                <w:rFonts w:hint="default"/>
                <w:color w:val="auto"/>
                <w:highlight w:val="none"/>
                <w:lang w:val="en-US" w:eastAsia="zh-CN"/>
              </w:rPr>
            </w:pPr>
            <w:r>
              <w:rPr>
                <w:rFonts w:hint="eastAsia"/>
                <w:color w:val="auto"/>
                <w:highlight w:val="none"/>
                <w:lang w:val="en-US" w:eastAsia="zh-CN"/>
              </w:rPr>
              <w:t>项目供电由市政电网提供。</w:t>
            </w:r>
          </w:p>
          <w:p>
            <w:pPr>
              <w:pStyle w:val="5"/>
              <w:bidi w:val="0"/>
              <w:rPr>
                <w:rFonts w:hint="default"/>
                <w:color w:val="auto"/>
                <w:highlight w:val="none"/>
                <w:lang w:val="en-US" w:eastAsia="zh-CN"/>
              </w:rPr>
            </w:pPr>
            <w:r>
              <w:rPr>
                <w:rFonts w:hint="eastAsia"/>
                <w:color w:val="auto"/>
                <w:highlight w:val="none"/>
                <w:lang w:val="en-US" w:eastAsia="zh-CN"/>
              </w:rPr>
              <w:t>2.1.6.4 供暖</w:t>
            </w:r>
          </w:p>
          <w:p>
            <w:pPr>
              <w:pStyle w:val="6"/>
              <w:bidi w:val="0"/>
              <w:rPr>
                <w:rFonts w:hint="eastAsia"/>
                <w:color w:val="auto"/>
                <w:highlight w:val="none"/>
                <w:lang w:val="en-US" w:eastAsia="zh-CN"/>
              </w:rPr>
            </w:pPr>
            <w:r>
              <w:rPr>
                <w:rFonts w:hint="eastAsia"/>
                <w:color w:val="auto"/>
                <w:highlight w:val="none"/>
                <w:lang w:val="en-US" w:eastAsia="zh-CN"/>
              </w:rPr>
              <w:t>生活区采暖用中央空调，热水采用电热。</w:t>
            </w:r>
          </w:p>
          <w:p>
            <w:pPr>
              <w:pStyle w:val="6"/>
              <w:bidi w:val="0"/>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9" w:hRule="atLeast"/>
          <w:jc w:val="center"/>
        </w:trPr>
        <w:tc>
          <w:tcPr>
            <w:tcW w:w="5000" w:type="pct"/>
            <w:gridSpan w:val="2"/>
          </w:tcPr>
          <w:p>
            <w:pPr>
              <w:pStyle w:val="37"/>
              <w:bidi w:val="0"/>
              <w:rPr>
                <w:color w:val="auto"/>
                <w:highlight w:val="none"/>
              </w:rPr>
            </w:pPr>
          </w:p>
          <w:p>
            <w:pPr>
              <w:pStyle w:val="37"/>
              <w:bidi w:val="0"/>
              <w:rPr>
                <w:rFonts w:hint="eastAsia"/>
                <w:color w:val="auto"/>
                <w:highlight w:val="none"/>
                <w:lang w:eastAsia="zh-CN"/>
              </w:rPr>
            </w:pPr>
            <w:r>
              <w:rPr>
                <w:rFonts w:hint="eastAsia"/>
                <w:color w:val="auto"/>
                <w:highlight w:val="none"/>
                <w:lang w:eastAsia="zh-CN"/>
              </w:rPr>
              <w:drawing>
                <wp:inline distT="0" distB="0" distL="114300" distR="114300">
                  <wp:extent cx="5401310" cy="3054350"/>
                  <wp:effectExtent l="0" t="0" r="8890" b="12700"/>
                  <wp:docPr id="4" name="图片 4" descr="敏宇化工总平面规划图-Model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敏宇化工总平面规划图-Model_01(1)"/>
                          <pic:cNvPicPr>
                            <a:picLocks noChangeAspect="1"/>
                          </pic:cNvPicPr>
                        </pic:nvPicPr>
                        <pic:blipFill>
                          <a:blip r:embed="rId26"/>
                          <a:stretch>
                            <a:fillRect/>
                          </a:stretch>
                        </pic:blipFill>
                        <pic:spPr>
                          <a:xfrm>
                            <a:off x="0" y="0"/>
                            <a:ext cx="5401310" cy="3054350"/>
                          </a:xfrm>
                          <a:prstGeom prst="rect">
                            <a:avLst/>
                          </a:prstGeom>
                        </pic:spPr>
                      </pic:pic>
                    </a:graphicData>
                  </a:graphic>
                </wp:inline>
              </w:drawing>
            </w:r>
          </w:p>
          <w:p>
            <w:pPr>
              <w:pStyle w:val="37"/>
              <w:bidi w:val="0"/>
              <w:rPr>
                <w:color w:val="auto"/>
                <w:highlight w:val="none"/>
              </w:rPr>
            </w:pPr>
            <w:r>
              <w:rPr>
                <w:rFonts w:hint="eastAsia"/>
                <w:color w:val="auto"/>
                <w:highlight w:val="none"/>
              </w:rPr>
              <w:t>图2.1-1  项目平面布置图</w:t>
            </w:r>
          </w:p>
          <w:p>
            <w:pPr>
              <w:pStyle w:val="37"/>
              <w:bidi w:val="0"/>
              <w:rPr>
                <w:rFonts w:hint="eastAsia"/>
                <w:color w:val="auto"/>
                <w:highlight w:val="none"/>
                <w:lang w:eastAsia="zh-CN"/>
              </w:rPr>
            </w:pPr>
            <w:r>
              <w:rPr>
                <w:rFonts w:hint="eastAsia"/>
                <w:color w:val="auto"/>
                <w:highlight w:val="none"/>
                <w:lang w:eastAsia="zh-CN"/>
              </w:rPr>
              <w:drawing>
                <wp:inline distT="0" distB="0" distL="114300" distR="114300">
                  <wp:extent cx="5401310" cy="5111750"/>
                  <wp:effectExtent l="0" t="0" r="8890" b="12700"/>
                  <wp:docPr id="23" name="图片 23" descr="未标题-1-恢复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标题-1-恢复的"/>
                          <pic:cNvPicPr>
                            <a:picLocks noChangeAspect="1"/>
                          </pic:cNvPicPr>
                        </pic:nvPicPr>
                        <pic:blipFill>
                          <a:blip r:embed="rId27"/>
                          <a:stretch>
                            <a:fillRect/>
                          </a:stretch>
                        </pic:blipFill>
                        <pic:spPr>
                          <a:xfrm>
                            <a:off x="0" y="0"/>
                            <a:ext cx="5401310" cy="5111750"/>
                          </a:xfrm>
                          <a:prstGeom prst="rect">
                            <a:avLst/>
                          </a:prstGeom>
                        </pic:spPr>
                      </pic:pic>
                    </a:graphicData>
                  </a:graphic>
                </wp:inline>
              </w:drawing>
            </w:r>
          </w:p>
          <w:p>
            <w:pPr>
              <w:pStyle w:val="37"/>
              <w:bidi w:val="0"/>
              <w:rPr>
                <w:color w:val="auto"/>
                <w:highlight w:val="none"/>
              </w:rPr>
            </w:pPr>
            <w:r>
              <w:rPr>
                <w:rFonts w:hint="eastAsia"/>
                <w:color w:val="auto"/>
                <w:highlight w:val="none"/>
              </w:rPr>
              <w:t xml:space="preserve">图2.1-3  </w:t>
            </w:r>
            <w:r>
              <w:rPr>
                <w:rFonts w:hint="eastAsia"/>
                <w:color w:val="auto"/>
                <w:highlight w:val="none"/>
                <w:lang w:val="en-US" w:eastAsia="zh-CN"/>
              </w:rPr>
              <w:t>项目</w:t>
            </w:r>
            <w:r>
              <w:rPr>
                <w:rFonts w:hint="eastAsia"/>
                <w:color w:val="auto"/>
                <w:highlight w:val="none"/>
              </w:rPr>
              <w:t>周边关系</w:t>
            </w:r>
            <w:r>
              <w:rPr>
                <w:rFonts w:hint="eastAsia"/>
                <w:color w:val="auto"/>
                <w:highlight w:val="none"/>
                <w:lang w:val="en-US" w:eastAsia="zh-CN"/>
              </w:rPr>
              <w:t>及监测布点</w:t>
            </w:r>
            <w:r>
              <w:rPr>
                <w:rFonts w:hint="eastAsia"/>
                <w:color w:val="auto"/>
                <w:highlight w:val="none"/>
              </w:rPr>
              <w:t>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9" w:hRule="atLeast"/>
          <w:jc w:val="center"/>
        </w:trPr>
        <w:tc>
          <w:tcPr>
            <w:tcW w:w="5000" w:type="pct"/>
            <w:gridSpan w:val="2"/>
          </w:tcPr>
          <w:p>
            <w:pPr>
              <w:pStyle w:val="37"/>
              <w:bidi w:val="0"/>
              <w:rPr>
                <w:rFonts w:hint="eastAsia"/>
                <w:color w:val="auto"/>
                <w:highlight w:val="none"/>
                <w:lang w:eastAsia="zh-CN"/>
              </w:rPr>
            </w:pPr>
          </w:p>
          <w:p>
            <w:pPr>
              <w:pStyle w:val="37"/>
              <w:bidi w:val="0"/>
              <w:rPr>
                <w:rFonts w:hint="eastAsia"/>
                <w:color w:val="auto"/>
                <w:highlight w:val="none"/>
                <w:lang w:eastAsia="zh-CN"/>
              </w:rPr>
            </w:pPr>
            <w:r>
              <w:rPr>
                <w:rFonts w:hint="eastAsia"/>
                <w:color w:val="auto"/>
                <w:highlight w:val="none"/>
                <w:lang w:eastAsia="zh-CN"/>
              </w:rPr>
              <w:drawing>
                <wp:inline distT="0" distB="0" distL="114300" distR="114300">
                  <wp:extent cx="5401310" cy="7559040"/>
                  <wp:effectExtent l="0" t="0" r="8890" b="3810"/>
                  <wp:docPr id="7" name="图片 7" descr="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地理位置图"/>
                          <pic:cNvPicPr>
                            <a:picLocks noChangeAspect="1"/>
                          </pic:cNvPicPr>
                        </pic:nvPicPr>
                        <pic:blipFill>
                          <a:blip r:embed="rId28"/>
                          <a:stretch>
                            <a:fillRect/>
                          </a:stretch>
                        </pic:blipFill>
                        <pic:spPr>
                          <a:xfrm>
                            <a:off x="0" y="0"/>
                            <a:ext cx="5401310" cy="7559040"/>
                          </a:xfrm>
                          <a:prstGeom prst="rect">
                            <a:avLst/>
                          </a:prstGeom>
                        </pic:spPr>
                      </pic:pic>
                    </a:graphicData>
                  </a:graphic>
                </wp:inline>
              </w:drawing>
            </w:r>
          </w:p>
          <w:p>
            <w:pPr>
              <w:pStyle w:val="37"/>
              <w:bidi w:val="0"/>
              <w:rPr>
                <w:rFonts w:hAnsi="宋体"/>
                <w:bCs/>
                <w:color w:val="auto"/>
                <w:highlight w:val="none"/>
              </w:rPr>
            </w:pPr>
            <w:r>
              <w:rPr>
                <w:rFonts w:hint="eastAsia"/>
                <w:color w:val="auto"/>
                <w:highlight w:val="none"/>
              </w:rPr>
              <w:t>图2.1-4  项目地理位置图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3" w:hRule="atLeast"/>
          <w:jc w:val="center"/>
        </w:trPr>
        <w:tc>
          <w:tcPr>
            <w:tcW w:w="311" w:type="pct"/>
            <w:vAlign w:val="center"/>
          </w:tcPr>
          <w:p>
            <w:pPr>
              <w:pStyle w:val="28"/>
              <w:bidi w:val="0"/>
              <w:rPr>
                <w:rFonts w:ascii="黑体" w:hAnsi="黑体" w:eastAsia="黑体"/>
                <w:snapToGrid w:val="0"/>
                <w:color w:val="auto"/>
                <w:szCs w:val="30"/>
                <w:highlight w:val="none"/>
              </w:rPr>
            </w:pPr>
            <w:r>
              <w:rPr>
                <w:rFonts w:hint="eastAsia"/>
                <w:color w:val="auto"/>
                <w:highlight w:val="none"/>
              </w:rPr>
              <w:t>工艺流程和产排污环节</w:t>
            </w:r>
          </w:p>
        </w:tc>
        <w:tc>
          <w:tcPr>
            <w:tcW w:w="4688" w:type="pct"/>
          </w:tcPr>
          <w:p>
            <w:pPr>
              <w:pStyle w:val="3"/>
              <w:bidi w:val="0"/>
              <w:rPr>
                <w:color w:val="auto"/>
                <w:highlight w:val="none"/>
              </w:rPr>
            </w:pPr>
            <w:r>
              <w:rPr>
                <w:rFonts w:hint="eastAsia"/>
                <w:color w:val="auto"/>
                <w:highlight w:val="none"/>
              </w:rPr>
              <w:t>2.2 施工期</w:t>
            </w:r>
          </w:p>
          <w:p>
            <w:pPr>
              <w:pStyle w:val="6"/>
              <w:bidi w:val="0"/>
              <w:rPr>
                <w:rFonts w:hint="eastAsia"/>
                <w:color w:val="auto"/>
                <w:highlight w:val="none"/>
                <w:lang w:val="en-US" w:eastAsia="zh-CN"/>
              </w:rPr>
            </w:pPr>
            <w:r>
              <w:rPr>
                <w:rFonts w:hint="eastAsia"/>
                <w:color w:val="auto"/>
                <w:highlight w:val="none"/>
                <w:lang w:val="en-US" w:eastAsia="zh-CN"/>
              </w:rPr>
              <w:t>本项目选址位于现有厂区，地面已进行水泥硬化，施工期不涉及土建工程，主要为钢结构厂房建设和设备安装。</w:t>
            </w:r>
          </w:p>
          <w:p>
            <w:pPr>
              <w:pStyle w:val="37"/>
              <w:bidi w:val="0"/>
              <w:rPr>
                <w:rFonts w:hint="eastAsia"/>
                <w:color w:val="auto"/>
                <w:highlight w:val="none"/>
                <w:lang w:val="en-US" w:eastAsia="zh-CN"/>
              </w:rPr>
            </w:pPr>
            <w:r>
              <w:rPr>
                <w:rFonts w:hint="eastAsia"/>
                <w:color w:val="auto"/>
                <w:highlight w:val="none"/>
                <w:lang w:val="en-US" w:eastAsia="zh-CN"/>
              </w:rPr>
              <w:object>
                <v:shape id="_x0000_i1025" o:spt="75" type="#_x0000_t75" style="height:81pt;width:317.7pt;" o:ole="t" filled="f" o:preferrelative="t" stroked="f" coordsize="21600,21600">
                  <v:path/>
                  <v:fill on="f" focussize="0,0"/>
                  <v:stroke on="f"/>
                  <v:imagedata r:id="rId30" o:title=""/>
                  <o:lock v:ext="edit" aspectratio="f"/>
                  <w10:wrap type="none"/>
                  <w10:anchorlock/>
                </v:shape>
                <o:OLEObject Type="Embed" ProgID="Visio.Drawing.11" ShapeID="_x0000_i1025" DrawAspect="Content" ObjectID="_1468075725" r:id="rId29">
                  <o:LockedField>false</o:LockedField>
                </o:OLEObject>
              </w:object>
            </w:r>
          </w:p>
          <w:p>
            <w:pPr>
              <w:pStyle w:val="37"/>
              <w:bidi w:val="0"/>
              <w:rPr>
                <w:rFonts w:hint="default"/>
                <w:color w:val="auto"/>
                <w:highlight w:val="none"/>
                <w:lang w:val="en-US" w:eastAsia="zh-CN"/>
              </w:rPr>
            </w:pPr>
            <w:r>
              <w:rPr>
                <w:rFonts w:hint="eastAsia"/>
                <w:color w:val="auto"/>
                <w:highlight w:val="none"/>
                <w:lang w:val="en-US" w:eastAsia="zh-CN"/>
              </w:rPr>
              <w:t>图2.2-1  施工流程示意图</w:t>
            </w:r>
          </w:p>
          <w:p>
            <w:pPr>
              <w:pStyle w:val="6"/>
              <w:bidi w:val="0"/>
              <w:rPr>
                <w:rFonts w:hint="default" w:eastAsia="宋体"/>
                <w:color w:val="auto"/>
                <w:highlight w:val="none"/>
                <w:lang w:val="en-US" w:eastAsia="zh-CN"/>
              </w:rPr>
            </w:pPr>
            <w:r>
              <w:rPr>
                <w:rFonts w:hint="eastAsia"/>
                <w:color w:val="auto"/>
                <w:highlight w:val="none"/>
                <w:lang w:val="en-US" w:eastAsia="zh-CN"/>
              </w:rPr>
              <w:t>（1）施工废气</w:t>
            </w:r>
          </w:p>
          <w:p>
            <w:pPr>
              <w:pStyle w:val="6"/>
              <w:bidi w:val="0"/>
              <w:rPr>
                <w:rFonts w:hint="default" w:eastAsia="宋体"/>
                <w:color w:val="auto"/>
                <w:highlight w:val="none"/>
                <w:lang w:val="en-US" w:eastAsia="zh-CN"/>
              </w:rPr>
            </w:pPr>
            <w:r>
              <w:rPr>
                <w:rFonts w:hint="eastAsia"/>
                <w:color w:val="auto"/>
                <w:highlight w:val="none"/>
                <w:lang w:val="en-US" w:eastAsia="zh-CN"/>
              </w:rPr>
              <w:t>施工废气主要为钢结构厂房焊接烟气和运输车辆尾气，随着施工结束而消失。</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废水</w:t>
            </w:r>
          </w:p>
          <w:p>
            <w:pPr>
              <w:pStyle w:val="6"/>
              <w:bidi w:val="0"/>
              <w:rPr>
                <w:rFonts w:hint="default" w:eastAsia="宋体"/>
                <w:color w:val="auto"/>
                <w:highlight w:val="none"/>
                <w:lang w:val="en-US" w:eastAsia="zh-CN"/>
              </w:rPr>
            </w:pPr>
            <w:r>
              <w:rPr>
                <w:rFonts w:hint="eastAsia"/>
                <w:color w:val="auto"/>
                <w:highlight w:val="none"/>
                <w:lang w:val="en-US" w:eastAsia="zh-CN"/>
              </w:rPr>
              <w:t>施工人员来自开发区居民区或库尔勒市区，施工人员生活污水主要为盥洗废水，依托现有化粪池（3×4×2m）收集处理后，委托库尔勒龙润处理有限公司定期拉运至库尔勒市南市区污水处理厂处理</w:t>
            </w:r>
            <w:r>
              <w:rPr>
                <w:rFonts w:hint="eastAsia"/>
                <w:color w:val="auto"/>
                <w:highlight w:val="none"/>
              </w:rPr>
              <w:t>。</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固体废物</w:t>
            </w:r>
          </w:p>
          <w:p>
            <w:pPr>
              <w:pStyle w:val="6"/>
              <w:bidi w:val="0"/>
              <w:rPr>
                <w:rFonts w:hint="default" w:eastAsia="宋体"/>
                <w:color w:val="auto"/>
                <w:highlight w:val="none"/>
                <w:lang w:val="en-US" w:eastAsia="zh-CN"/>
              </w:rPr>
            </w:pPr>
            <w:r>
              <w:rPr>
                <w:rFonts w:hint="eastAsia"/>
                <w:color w:val="auto"/>
                <w:highlight w:val="none"/>
                <w:lang w:val="en-US" w:eastAsia="zh-CN"/>
              </w:rPr>
              <w:t>施工期固体废物主要为钢构边角料和设备包装材料，分类收集后外售，生活垃圾分类收集后交由环卫部门处置。</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lang w:val="en-US" w:eastAsia="zh-CN"/>
              </w:rPr>
              <w:t>噪声</w:t>
            </w:r>
          </w:p>
          <w:p>
            <w:pPr>
              <w:pStyle w:val="6"/>
              <w:bidi w:val="0"/>
              <w:rPr>
                <w:rFonts w:hint="default" w:eastAsia="宋体"/>
                <w:color w:val="auto"/>
                <w:highlight w:val="none"/>
                <w:lang w:val="en-US" w:eastAsia="zh-CN"/>
              </w:rPr>
            </w:pPr>
            <w:r>
              <w:rPr>
                <w:rFonts w:hint="eastAsia"/>
                <w:color w:val="auto"/>
                <w:highlight w:val="none"/>
                <w:lang w:val="en-US" w:eastAsia="zh-CN"/>
              </w:rPr>
              <w:t>施工期噪声主要为运输车辆和吊装机械的运行噪声，随着施工结束而消失。</w:t>
            </w:r>
          </w:p>
          <w:p>
            <w:pPr>
              <w:pStyle w:val="4"/>
              <w:bidi w:val="0"/>
              <w:rPr>
                <w:rFonts w:hint="eastAsia"/>
                <w:color w:val="auto"/>
                <w:highlight w:val="none"/>
              </w:rPr>
            </w:pPr>
            <w:r>
              <w:rPr>
                <w:rFonts w:hint="eastAsia"/>
                <w:color w:val="auto"/>
                <w:highlight w:val="none"/>
              </w:rPr>
              <w:t>2.2.1 运营期工艺流程及产污环节</w:t>
            </w:r>
          </w:p>
          <w:p>
            <w:pPr>
              <w:pStyle w:val="6"/>
              <w:bidi w:val="0"/>
              <w:rPr>
                <w:color w:val="auto"/>
                <w:highlight w:val="none"/>
              </w:rPr>
            </w:pPr>
            <w:r>
              <w:rPr>
                <w:rFonts w:hint="eastAsia"/>
                <w:color w:val="auto"/>
                <w:highlight w:val="none"/>
              </w:rPr>
              <w:t>（1）</w:t>
            </w:r>
            <w:r>
              <w:rPr>
                <w:rFonts w:hint="eastAsia"/>
                <w:color w:val="auto"/>
                <w:highlight w:val="none"/>
                <w:lang w:val="en-US" w:eastAsia="zh-CN"/>
              </w:rPr>
              <w:t>物料</w:t>
            </w:r>
            <w:r>
              <w:rPr>
                <w:rFonts w:hint="eastAsia"/>
                <w:color w:val="auto"/>
                <w:highlight w:val="none"/>
              </w:rPr>
              <w:t>准备</w:t>
            </w:r>
          </w:p>
          <w:p>
            <w:pPr>
              <w:pStyle w:val="6"/>
              <w:bidi w:val="0"/>
              <w:rPr>
                <w:rFonts w:hint="default"/>
                <w:color w:val="auto"/>
                <w:highlight w:val="none"/>
                <w:lang w:val="en-US"/>
              </w:rPr>
            </w:pPr>
            <w:r>
              <w:rPr>
                <w:rFonts w:hint="eastAsia"/>
                <w:color w:val="auto"/>
                <w:highlight w:val="none"/>
                <w:lang w:val="en-US" w:eastAsia="zh-CN"/>
              </w:rPr>
              <w:t>本项目只设1条生产线，可使用的原料及对应的产品为电石渣（工业氧化钙）、粉煤灰（用于水泥和混凝土的粉煤灰）、脱硫石膏（建筑石膏）共3种，根据市场所需，进行原料外购，并由罐车上料至原料仓内。考虑到只建设1座电磁回转窑和1个原料仓，故只能一次性外购一种原料，并批次生产。</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加热干燥</w:t>
            </w:r>
          </w:p>
          <w:p>
            <w:pPr>
              <w:pStyle w:val="6"/>
              <w:bidi w:val="0"/>
              <w:rPr>
                <w:rFonts w:hint="default"/>
                <w:color w:val="auto"/>
                <w:highlight w:val="none"/>
                <w:lang w:val="en-US" w:eastAsia="zh-CN"/>
              </w:rPr>
            </w:pPr>
            <w:r>
              <w:rPr>
                <w:rFonts w:hint="eastAsia"/>
                <w:color w:val="auto"/>
                <w:highlight w:val="none"/>
                <w:lang w:val="en-US" w:eastAsia="zh-CN"/>
              </w:rPr>
              <w:t>通过控制柜设定好温度，其中电石渣和粉煤灰设置加热温度为750～850℃、脱硫石膏设置加热温度为180～200℃、原料仓内原料通过双筒预热器预热后，经螺旋输送机持续定量输送至电磁回转窑窑尾开始加热，并随回转窑转动，转至窑头进入出料阶段，进而完成连续生产，其中物料在电磁回转窑的滞留时间约25～30min。经前期校企实验室实验数据，产出比（原料:产品）约为1:0.8，去除因加热使原料中水分蒸发外，其原材料成分会发生以下变化：</w:t>
            </w:r>
          </w:p>
          <w:p>
            <w:pPr>
              <w:pStyle w:val="6"/>
              <w:bidi w:val="0"/>
              <w:rPr>
                <w:rFonts w:hint="eastAsia"/>
                <w:color w:val="auto"/>
                <w:highlight w:val="none"/>
                <w:vertAlign w:val="baseline"/>
                <w:lang w:val="en-US" w:eastAsia="zh-CN"/>
              </w:rPr>
            </w:pPr>
            <w:r>
              <w:rPr>
                <w:rFonts w:hint="eastAsia"/>
                <w:color w:val="auto"/>
                <w:highlight w:val="none"/>
                <w:lang w:val="en-US" w:eastAsia="zh-CN"/>
              </w:rPr>
              <w:t>电石渣    Ca(OH)</w:t>
            </w:r>
            <w:r>
              <w:rPr>
                <w:rFonts w:hint="eastAsia"/>
                <w:color w:val="auto"/>
                <w:highlight w:val="none"/>
                <w:vertAlign w:val="subscript"/>
                <w:lang w:val="en-US" w:eastAsia="zh-CN"/>
              </w:rPr>
              <w:t>2</w:t>
            </w:r>
            <w:r>
              <w:rPr>
                <w:rFonts w:hint="eastAsia"/>
                <w:color w:val="auto"/>
                <w:highlight w:val="none"/>
                <w:vertAlign w:val="baseline"/>
                <w:lang w:val="en-US" w:eastAsia="zh-CN"/>
              </w:rPr>
              <w:t>→CaO+H</w:t>
            </w:r>
            <w:r>
              <w:rPr>
                <w:rFonts w:hint="eastAsia"/>
                <w:color w:val="auto"/>
                <w:highlight w:val="none"/>
                <w:vertAlign w:val="subscript"/>
                <w:lang w:val="en-US" w:eastAsia="zh-CN"/>
              </w:rPr>
              <w:t>2</w:t>
            </w:r>
            <w:r>
              <w:rPr>
                <w:rFonts w:hint="eastAsia"/>
                <w:color w:val="auto"/>
                <w:highlight w:val="none"/>
                <w:vertAlign w:val="baseline"/>
                <w:lang w:val="en-US" w:eastAsia="zh-CN"/>
              </w:rPr>
              <w:t>O↑</w:t>
            </w:r>
          </w:p>
          <w:p>
            <w:pPr>
              <w:pStyle w:val="6"/>
              <w:bidi w:val="0"/>
              <w:rPr>
                <w:rFonts w:hint="default"/>
                <w:color w:val="auto"/>
                <w:highlight w:val="none"/>
                <w:vertAlign w:val="baseline"/>
                <w:lang w:val="en-US" w:eastAsia="zh-CN"/>
              </w:rPr>
            </w:pPr>
            <w:r>
              <w:rPr>
                <w:rFonts w:hint="eastAsia"/>
                <w:color w:val="auto"/>
                <w:highlight w:val="none"/>
                <w:vertAlign w:val="baseline"/>
                <w:lang w:val="en-US" w:eastAsia="zh-CN"/>
              </w:rPr>
              <w:t xml:space="preserve">粉煤灰    </w:t>
            </w:r>
            <w:r>
              <w:rPr>
                <w:rFonts w:hint="eastAsia"/>
                <w:color w:val="auto"/>
                <w:highlight w:val="none"/>
                <w:lang w:val="en-US" w:eastAsia="zh-CN"/>
              </w:rPr>
              <w:t>Ca(OH)</w:t>
            </w:r>
            <w:r>
              <w:rPr>
                <w:rFonts w:hint="eastAsia"/>
                <w:color w:val="auto"/>
                <w:highlight w:val="none"/>
                <w:vertAlign w:val="subscript"/>
                <w:lang w:val="en-US" w:eastAsia="zh-CN"/>
              </w:rPr>
              <w:t>2</w:t>
            </w:r>
            <w:r>
              <w:rPr>
                <w:rFonts w:hint="eastAsia"/>
                <w:color w:val="auto"/>
                <w:highlight w:val="none"/>
                <w:vertAlign w:val="baseline"/>
                <w:lang w:val="en-US" w:eastAsia="zh-CN"/>
              </w:rPr>
              <w:t>→CaO+H</w:t>
            </w:r>
            <w:r>
              <w:rPr>
                <w:rFonts w:hint="eastAsia"/>
                <w:color w:val="auto"/>
                <w:highlight w:val="none"/>
                <w:vertAlign w:val="subscript"/>
                <w:lang w:val="en-US" w:eastAsia="zh-CN"/>
              </w:rPr>
              <w:t>2</w:t>
            </w:r>
            <w:r>
              <w:rPr>
                <w:rFonts w:hint="eastAsia"/>
                <w:color w:val="auto"/>
                <w:highlight w:val="none"/>
                <w:vertAlign w:val="baseline"/>
                <w:lang w:val="en-US" w:eastAsia="zh-CN"/>
              </w:rPr>
              <w:t>O↑     部分玻璃相转变为晶态结构</w:t>
            </w:r>
          </w:p>
          <w:p>
            <w:pPr>
              <w:pStyle w:val="6"/>
              <w:bidi w:val="0"/>
              <w:rPr>
                <w:rFonts w:hint="default"/>
                <w:color w:val="auto"/>
                <w:highlight w:val="none"/>
                <w:vertAlign w:val="baseline"/>
                <w:lang w:val="en-US" w:eastAsia="zh-CN"/>
              </w:rPr>
            </w:pPr>
            <w:r>
              <w:rPr>
                <w:rFonts w:hint="eastAsia"/>
                <w:color w:val="auto"/>
                <w:highlight w:val="none"/>
                <w:vertAlign w:val="baseline"/>
                <w:lang w:val="en-US" w:eastAsia="zh-CN"/>
              </w:rPr>
              <w:t>脱硫石膏  CaSO</w:t>
            </w:r>
            <w:r>
              <w:rPr>
                <w:rFonts w:hint="eastAsia"/>
                <w:color w:val="auto"/>
                <w:highlight w:val="none"/>
                <w:vertAlign w:val="subscript"/>
                <w:lang w:val="en-US" w:eastAsia="zh-CN"/>
              </w:rPr>
              <w:t>4</w:t>
            </w:r>
            <w:r>
              <w:rPr>
                <w:rFonts w:hint="eastAsia"/>
                <w:color w:val="auto"/>
                <w:highlight w:val="none"/>
                <w:vertAlign w:val="baseline"/>
                <w:lang w:val="en-US" w:eastAsia="zh-CN"/>
              </w:rPr>
              <w:t>·2H</w:t>
            </w:r>
            <w:r>
              <w:rPr>
                <w:rFonts w:hint="eastAsia"/>
                <w:color w:val="auto"/>
                <w:highlight w:val="none"/>
                <w:vertAlign w:val="subscript"/>
                <w:lang w:val="en-US" w:eastAsia="zh-CN"/>
              </w:rPr>
              <w:t>2</w:t>
            </w:r>
            <w:r>
              <w:rPr>
                <w:rFonts w:hint="eastAsia"/>
                <w:color w:val="auto"/>
                <w:highlight w:val="none"/>
                <w:vertAlign w:val="baseline"/>
                <w:lang w:val="en-US" w:eastAsia="zh-CN"/>
              </w:rPr>
              <w:t>O→CaSO</w:t>
            </w:r>
            <w:r>
              <w:rPr>
                <w:rFonts w:hint="eastAsia"/>
                <w:color w:val="auto"/>
                <w:highlight w:val="none"/>
                <w:vertAlign w:val="subscript"/>
                <w:lang w:val="en-US" w:eastAsia="zh-CN"/>
              </w:rPr>
              <w:t>4</w:t>
            </w:r>
            <w:r>
              <w:rPr>
                <w:rFonts w:hint="eastAsia"/>
                <w:color w:val="auto"/>
                <w:highlight w:val="none"/>
                <w:vertAlign w:val="baseline"/>
                <w:lang w:val="en-US" w:eastAsia="zh-CN"/>
              </w:rPr>
              <w:t>·0.5H</w:t>
            </w:r>
            <w:r>
              <w:rPr>
                <w:rFonts w:hint="eastAsia"/>
                <w:color w:val="auto"/>
                <w:highlight w:val="none"/>
                <w:vertAlign w:val="subscript"/>
                <w:lang w:val="en-US" w:eastAsia="zh-CN"/>
              </w:rPr>
              <w:t>2</w:t>
            </w:r>
            <w:r>
              <w:rPr>
                <w:rFonts w:hint="eastAsia"/>
                <w:color w:val="auto"/>
                <w:highlight w:val="none"/>
                <w:vertAlign w:val="baseline"/>
                <w:lang w:val="en-US" w:eastAsia="zh-CN"/>
              </w:rPr>
              <w:t>O+H</w:t>
            </w:r>
            <w:r>
              <w:rPr>
                <w:rFonts w:hint="eastAsia"/>
                <w:color w:val="auto"/>
                <w:highlight w:val="none"/>
                <w:vertAlign w:val="subscript"/>
                <w:lang w:val="en-US" w:eastAsia="zh-CN"/>
              </w:rPr>
              <w:t>2</w:t>
            </w:r>
            <w:r>
              <w:rPr>
                <w:rFonts w:hint="eastAsia"/>
                <w:color w:val="auto"/>
                <w:highlight w:val="none"/>
                <w:vertAlign w:val="baseline"/>
                <w:lang w:val="en-US" w:eastAsia="zh-CN"/>
              </w:rPr>
              <w:t>O↑</w:t>
            </w:r>
          </w:p>
          <w:p>
            <w:pPr>
              <w:pStyle w:val="6"/>
              <w:bidi w:val="0"/>
              <w:rPr>
                <w:rFonts w:hint="default"/>
                <w:color w:val="auto"/>
                <w:highlight w:val="none"/>
                <w:lang w:val="en-US" w:eastAsia="zh-CN"/>
              </w:rPr>
            </w:pPr>
            <w:r>
              <w:rPr>
                <w:rFonts w:hint="eastAsia"/>
                <w:color w:val="auto"/>
                <w:highlight w:val="none"/>
                <w:lang w:val="en-US" w:eastAsia="zh-CN"/>
              </w:rPr>
              <w:t>其中，脱硫石膏主要成分</w:t>
            </w:r>
            <w:r>
              <w:rPr>
                <w:rFonts w:hint="eastAsia"/>
                <w:color w:val="auto"/>
                <w:highlight w:val="none"/>
                <w:vertAlign w:val="baseline"/>
                <w:lang w:val="en-US" w:eastAsia="zh-CN"/>
              </w:rPr>
              <w:t>CaSO</w:t>
            </w:r>
            <w:r>
              <w:rPr>
                <w:rFonts w:hint="eastAsia"/>
                <w:color w:val="auto"/>
                <w:highlight w:val="none"/>
                <w:vertAlign w:val="subscript"/>
                <w:lang w:val="en-US" w:eastAsia="zh-CN"/>
              </w:rPr>
              <w:t>4</w:t>
            </w:r>
            <w:r>
              <w:rPr>
                <w:rFonts w:hint="eastAsia"/>
                <w:color w:val="auto"/>
                <w:highlight w:val="none"/>
                <w:vertAlign w:val="baseline"/>
                <w:lang w:val="en-US" w:eastAsia="zh-CN"/>
              </w:rPr>
              <w:t>·2H</w:t>
            </w:r>
            <w:r>
              <w:rPr>
                <w:rFonts w:hint="eastAsia"/>
                <w:color w:val="auto"/>
                <w:highlight w:val="none"/>
                <w:vertAlign w:val="subscript"/>
                <w:lang w:val="en-US" w:eastAsia="zh-CN"/>
              </w:rPr>
              <w:t>2</w:t>
            </w:r>
            <w:r>
              <w:rPr>
                <w:rFonts w:hint="eastAsia"/>
                <w:color w:val="auto"/>
                <w:highlight w:val="none"/>
                <w:vertAlign w:val="baseline"/>
                <w:lang w:val="en-US" w:eastAsia="zh-CN"/>
              </w:rPr>
              <w:t>O，在加热至180～200℃，可高效生成半水硫酸钙（建筑用石膏）；在</w:t>
            </w:r>
            <w:r>
              <w:rPr>
                <w:rFonts w:hint="eastAsia"/>
                <w:color w:val="auto"/>
                <w:highlight w:val="none"/>
                <w:lang w:val="en-US" w:eastAsia="zh-CN"/>
              </w:rPr>
              <w:t>≥1200℃时开始缓慢热分解，1350～14500℃时可较完全分解为CaO、SO</w:t>
            </w:r>
            <w:r>
              <w:rPr>
                <w:rFonts w:hint="eastAsia"/>
                <w:color w:val="auto"/>
                <w:highlight w:val="none"/>
                <w:vertAlign w:val="subscript"/>
                <w:lang w:val="en-US" w:eastAsia="zh-CN"/>
              </w:rPr>
              <w:t>2</w:t>
            </w:r>
            <w:r>
              <w:rPr>
                <w:rFonts w:hint="eastAsia"/>
                <w:color w:val="auto"/>
                <w:highlight w:val="none"/>
                <w:lang w:val="en-US" w:eastAsia="zh-CN"/>
              </w:rPr>
              <w:t>、O</w:t>
            </w:r>
            <w:r>
              <w:rPr>
                <w:rFonts w:hint="eastAsia"/>
                <w:color w:val="auto"/>
                <w:highlight w:val="none"/>
                <w:vertAlign w:val="subscript"/>
                <w:lang w:val="en-US" w:eastAsia="zh-CN"/>
              </w:rPr>
              <w:t>2</w:t>
            </w:r>
            <w:r>
              <w:rPr>
                <w:rFonts w:hint="eastAsia"/>
                <w:color w:val="auto"/>
                <w:highlight w:val="none"/>
                <w:lang w:val="en-US" w:eastAsia="zh-CN"/>
              </w:rPr>
              <w:t>；在具备C、CO、H</w:t>
            </w:r>
            <w:r>
              <w:rPr>
                <w:rFonts w:hint="eastAsia"/>
                <w:color w:val="auto"/>
                <w:highlight w:val="none"/>
                <w:vertAlign w:val="subscript"/>
                <w:lang w:val="en-US" w:eastAsia="zh-CN"/>
              </w:rPr>
              <w:t>2</w:t>
            </w:r>
            <w:r>
              <w:rPr>
                <w:rFonts w:hint="eastAsia"/>
                <w:color w:val="auto"/>
                <w:highlight w:val="none"/>
                <w:lang w:val="en-US" w:eastAsia="zh-CN"/>
              </w:rPr>
              <w:t>等还原剂的还原气氛中，800～1000℃时可生成硫化钙，硫化钙与剩余CaSO</w:t>
            </w:r>
            <w:r>
              <w:rPr>
                <w:rFonts w:hint="eastAsia"/>
                <w:color w:val="auto"/>
                <w:highlight w:val="none"/>
                <w:vertAlign w:val="subscript"/>
                <w:lang w:val="en-US" w:eastAsia="zh-CN"/>
              </w:rPr>
              <w:t>4</w:t>
            </w:r>
            <w:r>
              <w:rPr>
                <w:rFonts w:hint="eastAsia"/>
                <w:color w:val="auto"/>
                <w:highlight w:val="none"/>
                <w:lang w:val="en-US" w:eastAsia="zh-CN"/>
              </w:rPr>
              <w:t>发生反应生成SO</w:t>
            </w:r>
            <w:r>
              <w:rPr>
                <w:rFonts w:hint="eastAsia"/>
                <w:color w:val="auto"/>
                <w:highlight w:val="none"/>
                <w:vertAlign w:val="subscript"/>
                <w:lang w:val="en-US" w:eastAsia="zh-CN"/>
              </w:rPr>
              <w:t>2</w:t>
            </w:r>
            <w:r>
              <w:rPr>
                <w:rFonts w:hint="eastAsia"/>
                <w:color w:val="auto"/>
                <w:highlight w:val="none"/>
                <w:lang w:val="en-US" w:eastAsia="zh-CN"/>
              </w:rPr>
              <w:t>。本项目在加热脱硫石膏时，控制加热温度为180～200℃，硫酸盐不会发生分解，不会产生SO</w:t>
            </w:r>
            <w:r>
              <w:rPr>
                <w:rFonts w:hint="eastAsia"/>
                <w:color w:val="auto"/>
                <w:highlight w:val="none"/>
                <w:vertAlign w:val="subscript"/>
                <w:lang w:val="en-US" w:eastAsia="zh-CN"/>
              </w:rPr>
              <w:t>2</w:t>
            </w:r>
            <w:r>
              <w:rPr>
                <w:rFonts w:hint="eastAsia"/>
                <w:color w:val="auto"/>
                <w:highlight w:val="none"/>
                <w:lang w:val="en-US" w:eastAsia="zh-CN"/>
              </w:rPr>
              <w:t>。</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成品入仓</w:t>
            </w:r>
          </w:p>
          <w:p>
            <w:pPr>
              <w:pStyle w:val="6"/>
              <w:bidi w:val="0"/>
              <w:rPr>
                <w:rFonts w:hint="eastAsia"/>
                <w:color w:val="auto"/>
                <w:highlight w:val="none"/>
                <w:lang w:val="en-US" w:eastAsia="zh-CN"/>
              </w:rPr>
            </w:pPr>
            <w:r>
              <w:rPr>
                <w:rFonts w:hint="eastAsia"/>
                <w:color w:val="auto"/>
                <w:highlight w:val="none"/>
                <w:lang w:val="en-US" w:eastAsia="zh-CN"/>
              </w:rPr>
              <w:t>加热干燥后的物料从窑头位置出料，经单层圆筒干燥器分离出湿气后，成品经气力输送装置输送至成品仓；分离出的高温废气通过双筒预热器给原料预热后，经旋风除尘器+布袋除尘器处理，由15m高排气筒排放。</w:t>
            </w:r>
          </w:p>
          <w:p>
            <w:pPr>
              <w:pStyle w:val="6"/>
              <w:bidi w:val="0"/>
              <w:rPr>
                <w:rFonts w:hint="eastAsia"/>
                <w:color w:val="auto"/>
                <w:highlight w:val="none"/>
                <w:lang w:val="en-US" w:eastAsia="zh-CN"/>
              </w:rPr>
            </w:pPr>
            <w:r>
              <w:rPr>
                <w:rFonts w:hint="eastAsia"/>
                <w:color w:val="auto"/>
                <w:highlight w:val="none"/>
                <w:lang w:val="en-US" w:eastAsia="zh-CN"/>
              </w:rPr>
              <w:t>按批次进行成品送检，记录档案，不合格的产品作为原料回用。</w:t>
            </w:r>
          </w:p>
          <w:p>
            <w:pPr>
              <w:pStyle w:val="6"/>
              <w:bidi w:val="0"/>
              <w:rPr>
                <w:rFonts w:hint="eastAsia"/>
                <w:color w:val="auto"/>
                <w:highlight w:val="none"/>
                <w:lang w:val="en-US" w:eastAsia="zh-CN"/>
              </w:rPr>
            </w:pPr>
            <w:r>
              <w:rPr>
                <w:rFonts w:hint="eastAsia"/>
                <w:color w:val="auto"/>
                <w:highlight w:val="none"/>
                <w:lang w:val="en-US" w:eastAsia="zh-CN"/>
              </w:rPr>
              <w:t>（4）产品更换</w:t>
            </w:r>
          </w:p>
          <w:p>
            <w:pPr>
              <w:pStyle w:val="6"/>
              <w:bidi w:val="0"/>
              <w:rPr>
                <w:rFonts w:hint="default"/>
                <w:color w:val="auto"/>
                <w:highlight w:val="none"/>
                <w:lang w:val="en-US" w:eastAsia="zh-CN"/>
              </w:rPr>
            </w:pPr>
            <w:r>
              <w:rPr>
                <w:rFonts w:hint="eastAsia"/>
                <w:color w:val="auto"/>
                <w:highlight w:val="none"/>
                <w:lang w:val="en-US" w:eastAsia="zh-CN"/>
              </w:rPr>
              <w:t>根据市场需求，需更换产品时，将原料仓内原料处理完后，进行停窑作业（有延后，以保障窑内材料的成品率），将窑内产品人工清理后作为产品外售；清空成品仓，以用于更换的产品存放，加急生产时，2个成品仓可临时选取其中1个用于上个产品的周转。</w:t>
            </w:r>
          </w:p>
          <w:p>
            <w:pPr>
              <w:pStyle w:val="37"/>
              <w:bidi w:val="0"/>
              <w:rPr>
                <w:rFonts w:hint="eastAsia"/>
                <w:color w:val="auto"/>
                <w:highlight w:val="none"/>
                <w:lang w:eastAsia="zh-CN"/>
              </w:rPr>
            </w:pPr>
            <w:r>
              <w:rPr>
                <w:rFonts w:hint="eastAsia"/>
                <w:color w:val="auto"/>
                <w:highlight w:val="none"/>
                <w:lang w:eastAsia="zh-CN"/>
              </w:rPr>
              <w:object>
                <v:shape id="_x0000_i1026" o:spt="75" type="#_x0000_t75" style="height:81pt;width:424.45pt;" o:ole="t" filled="f" o:preferrelative="t" stroked="f" coordsize="21600,21600">
                  <v:path/>
                  <v:fill on="f" focussize="0,0"/>
                  <v:stroke on="f"/>
                  <v:imagedata r:id="rId32" o:title=""/>
                  <o:lock v:ext="edit" aspectratio="f"/>
                  <w10:wrap type="none"/>
                  <w10:anchorlock/>
                </v:shape>
                <o:OLEObject Type="Embed" ProgID="Visio.Drawing.11" ShapeID="_x0000_i1026" DrawAspect="Content" ObjectID="_1468075726" r:id="rId31">
                  <o:LockedField>false</o:LockedField>
                </o:OLEObject>
              </w:object>
            </w:r>
          </w:p>
          <w:p>
            <w:pPr>
              <w:pStyle w:val="37"/>
              <w:bidi w:val="0"/>
              <w:rPr>
                <w:rFonts w:hint="eastAsia"/>
                <w:color w:val="auto"/>
                <w:highlight w:val="none"/>
                <w:lang w:eastAsia="zh-CN"/>
              </w:rPr>
            </w:pPr>
            <w:r>
              <w:rPr>
                <w:rFonts w:hint="eastAsia"/>
                <w:color w:val="auto"/>
                <w:highlight w:val="none"/>
                <w:lang w:val="en-US" w:eastAsia="zh-CN"/>
              </w:rPr>
              <w:t>图2.2-2  电磁回转窑工艺流程示意图</w:t>
            </w:r>
          </w:p>
          <w:p>
            <w:pPr>
              <w:pStyle w:val="37"/>
              <w:bidi w:val="0"/>
              <w:rPr>
                <w:rFonts w:hint="eastAsia"/>
                <w:color w:val="auto"/>
                <w:highlight w:val="none"/>
                <w:lang w:eastAsia="zh-CN"/>
              </w:rPr>
            </w:pPr>
            <w:r>
              <w:rPr>
                <w:rFonts w:hint="eastAsia"/>
                <w:color w:val="auto"/>
                <w:highlight w:val="none"/>
                <w:lang w:eastAsia="zh-CN"/>
              </w:rPr>
              <w:drawing>
                <wp:inline distT="0" distB="0" distL="114300" distR="114300">
                  <wp:extent cx="3703955" cy="3210560"/>
                  <wp:effectExtent l="0" t="0" r="10795" b="8890"/>
                  <wp:docPr id="21" name="图片 2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2"/>
                          <pic:cNvPicPr>
                            <a:picLocks noChangeAspect="1"/>
                          </pic:cNvPicPr>
                        </pic:nvPicPr>
                        <pic:blipFill>
                          <a:blip r:embed="rId33"/>
                          <a:stretch>
                            <a:fillRect/>
                          </a:stretch>
                        </pic:blipFill>
                        <pic:spPr>
                          <a:xfrm>
                            <a:off x="0" y="0"/>
                            <a:ext cx="3703955" cy="3210560"/>
                          </a:xfrm>
                          <a:prstGeom prst="rect">
                            <a:avLst/>
                          </a:prstGeom>
                        </pic:spPr>
                      </pic:pic>
                    </a:graphicData>
                  </a:graphic>
                </wp:inline>
              </w:drawing>
            </w:r>
          </w:p>
          <w:p>
            <w:pPr>
              <w:pStyle w:val="37"/>
              <w:bidi w:val="0"/>
              <w:rPr>
                <w:rFonts w:hint="default"/>
                <w:color w:val="auto"/>
                <w:highlight w:val="none"/>
                <w:lang w:val="en-US" w:eastAsia="zh-CN"/>
              </w:rPr>
            </w:pPr>
            <w:r>
              <w:rPr>
                <w:rFonts w:hint="eastAsia"/>
                <w:color w:val="auto"/>
                <w:highlight w:val="none"/>
                <w:lang w:val="en-US" w:eastAsia="zh-CN"/>
              </w:rPr>
              <w:t>图2.2-3 单层圆筒干燥器工作示意图</w:t>
            </w:r>
          </w:p>
          <w:p>
            <w:pPr>
              <w:pStyle w:val="6"/>
              <w:bidi w:val="0"/>
              <w:rPr>
                <w:rFonts w:hint="default" w:eastAsia="宋体"/>
                <w:color w:val="auto"/>
                <w:highlight w:val="none"/>
                <w:lang w:val="en-US" w:eastAsia="zh-CN"/>
              </w:rPr>
            </w:pPr>
            <w:r>
              <w:rPr>
                <w:rFonts w:hint="eastAsia"/>
                <w:color w:val="auto"/>
                <w:highlight w:val="none"/>
                <w:lang w:val="en-US" w:eastAsia="zh-CN"/>
              </w:rPr>
              <w:t>本项目废气主要为干燥器废气G1、原料仓上料时的呼吸气G2和成品仓的呼吸气G3。其中干燥器废气，通过双筒预热器给原料预热后，经“旋风除尘器+布袋除尘器”处理，由15m排气筒达标排放；原料仓和成品仓呼吸气经布袋除尘器处理后，无组织排放。</w:t>
            </w:r>
          </w:p>
          <w:p>
            <w:pPr>
              <w:pStyle w:val="6"/>
              <w:bidi w:val="0"/>
              <w:rPr>
                <w:rFonts w:hint="default"/>
                <w:color w:val="auto"/>
                <w:highlight w:val="none"/>
                <w:lang w:val="en-US" w:eastAsia="zh-CN"/>
              </w:rPr>
            </w:pPr>
            <w:r>
              <w:rPr>
                <w:rFonts w:hint="eastAsia"/>
                <w:color w:val="auto"/>
                <w:highlight w:val="none"/>
                <w:lang w:val="en-US" w:eastAsia="zh-CN"/>
              </w:rPr>
              <w:t>本项目无生产废水。</w:t>
            </w:r>
          </w:p>
          <w:p>
            <w:pPr>
              <w:pStyle w:val="6"/>
              <w:bidi w:val="0"/>
              <w:rPr>
                <w:rFonts w:hint="eastAsia"/>
                <w:color w:val="auto"/>
                <w:highlight w:val="none"/>
                <w:lang w:val="en-US" w:eastAsia="zh-CN"/>
              </w:rPr>
            </w:pPr>
            <w:r>
              <w:rPr>
                <w:rFonts w:hint="eastAsia"/>
                <w:color w:val="auto"/>
                <w:highlight w:val="none"/>
                <w:lang w:val="en-US" w:eastAsia="zh-CN"/>
              </w:rPr>
              <w:t>本项目噪声源主要为罗茨风机运行噪声，采用基础减振的降噪措施。</w:t>
            </w:r>
          </w:p>
          <w:p>
            <w:pPr>
              <w:pStyle w:val="6"/>
              <w:bidi w:val="0"/>
              <w:rPr>
                <w:rFonts w:hint="default"/>
                <w:color w:val="auto"/>
                <w:highlight w:val="none"/>
                <w:lang w:val="en-US" w:eastAsia="zh-CN"/>
              </w:rPr>
            </w:pPr>
            <w:r>
              <w:rPr>
                <w:rFonts w:hint="eastAsia"/>
                <w:color w:val="auto"/>
                <w:highlight w:val="none"/>
                <w:lang w:val="en-US" w:eastAsia="zh-CN"/>
              </w:rPr>
              <w:t>本项目固体废物主要为旋风除尘器和布袋除尘器收尘，作为原料回用；废布袋由厂家回收；设备检修产生的废润滑油等危险废物依托现有危险废物贮存点暂存，定期由库尔勒速润再生物资利用回收有限公司处置。</w:t>
            </w: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rFonts w:hint="eastAsia"/>
                <w:color w:val="auto"/>
                <w:highlight w:val="none"/>
                <w:lang w:val="en-US" w:eastAsia="zh-CN"/>
              </w:rPr>
            </w:pPr>
          </w:p>
          <w:p>
            <w:pPr>
              <w:pStyle w:val="37"/>
              <w:bidi w:val="0"/>
              <w:rPr>
                <w:color w:val="auto"/>
                <w:highlight w:val="none"/>
              </w:rPr>
            </w:pPr>
            <w:r>
              <w:rPr>
                <w:rFonts w:hint="eastAsia"/>
                <w:color w:val="auto"/>
                <w:highlight w:val="none"/>
                <w:lang w:val="en-US" w:eastAsia="zh-CN"/>
              </w:rPr>
              <w:t>表</w:t>
            </w:r>
            <w:r>
              <w:rPr>
                <w:rFonts w:hint="eastAsia"/>
                <w:color w:val="auto"/>
                <w:highlight w:val="none"/>
              </w:rPr>
              <w:t xml:space="preserve">2.2-1  </w:t>
            </w:r>
            <w:r>
              <w:rPr>
                <w:rFonts w:hint="eastAsia"/>
                <w:color w:val="auto"/>
                <w:highlight w:val="none"/>
                <w:lang w:val="en-US" w:eastAsia="zh-CN"/>
              </w:rPr>
              <w:t>本项目</w:t>
            </w:r>
            <w:r>
              <w:rPr>
                <w:rFonts w:hint="eastAsia"/>
                <w:color w:val="auto"/>
                <w:highlight w:val="none"/>
              </w:rPr>
              <w:t>工艺</w:t>
            </w:r>
            <w:r>
              <w:rPr>
                <w:rFonts w:hint="eastAsia"/>
                <w:color w:val="auto"/>
                <w:highlight w:val="none"/>
                <w:lang w:val="en-US" w:eastAsia="zh-CN"/>
              </w:rPr>
              <w:t>流程</w:t>
            </w:r>
            <w:r>
              <w:rPr>
                <w:rFonts w:hint="eastAsia"/>
                <w:color w:val="auto"/>
                <w:highlight w:val="none"/>
              </w:rPr>
              <w:t>主要排污节点及治理措施一览表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4"/>
              <w:gridCol w:w="467"/>
              <w:gridCol w:w="1478"/>
              <w:gridCol w:w="1601"/>
              <w:gridCol w:w="3191"/>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397" w:type="pct"/>
                  <w:vAlign w:val="center"/>
                </w:tcPr>
                <w:p>
                  <w:pPr>
                    <w:pStyle w:val="57"/>
                    <w:bidi w:val="0"/>
                    <w:rPr>
                      <w:color w:val="auto"/>
                      <w:highlight w:val="none"/>
                    </w:rPr>
                  </w:pPr>
                  <w:r>
                    <w:rPr>
                      <w:rFonts w:hint="eastAsia"/>
                      <w:color w:val="auto"/>
                      <w:highlight w:val="none"/>
                    </w:rPr>
                    <w:t>污染源</w:t>
                  </w:r>
                </w:p>
              </w:tc>
              <w:tc>
                <w:tcPr>
                  <w:tcW w:w="275" w:type="pct"/>
                  <w:vAlign w:val="center"/>
                </w:tcPr>
                <w:p>
                  <w:pPr>
                    <w:pStyle w:val="57"/>
                    <w:bidi w:val="0"/>
                    <w:rPr>
                      <w:color w:val="auto"/>
                      <w:highlight w:val="none"/>
                    </w:rPr>
                  </w:pPr>
                  <w:r>
                    <w:rPr>
                      <w:rFonts w:hint="eastAsia"/>
                      <w:color w:val="auto"/>
                      <w:highlight w:val="none"/>
                    </w:rPr>
                    <w:t>序号</w:t>
                  </w:r>
                </w:p>
              </w:tc>
              <w:tc>
                <w:tcPr>
                  <w:tcW w:w="871" w:type="pct"/>
                  <w:vAlign w:val="center"/>
                </w:tcPr>
                <w:p>
                  <w:pPr>
                    <w:pStyle w:val="57"/>
                    <w:bidi w:val="0"/>
                    <w:rPr>
                      <w:color w:val="auto"/>
                      <w:highlight w:val="none"/>
                    </w:rPr>
                  </w:pPr>
                  <w:r>
                    <w:rPr>
                      <w:rFonts w:hint="eastAsia"/>
                      <w:color w:val="auto"/>
                      <w:highlight w:val="none"/>
                    </w:rPr>
                    <w:t>污染源</w:t>
                  </w:r>
                </w:p>
              </w:tc>
              <w:tc>
                <w:tcPr>
                  <w:tcW w:w="943" w:type="pct"/>
                  <w:vAlign w:val="center"/>
                </w:tcPr>
                <w:p>
                  <w:pPr>
                    <w:pStyle w:val="57"/>
                    <w:bidi w:val="0"/>
                    <w:rPr>
                      <w:color w:val="auto"/>
                      <w:highlight w:val="none"/>
                    </w:rPr>
                  </w:pPr>
                  <w:r>
                    <w:rPr>
                      <w:rFonts w:hint="eastAsia"/>
                      <w:color w:val="auto"/>
                      <w:highlight w:val="none"/>
                    </w:rPr>
                    <w:t>污染因子</w:t>
                  </w:r>
                </w:p>
              </w:tc>
              <w:tc>
                <w:tcPr>
                  <w:tcW w:w="1880" w:type="pct"/>
                  <w:vAlign w:val="center"/>
                </w:tcPr>
                <w:p>
                  <w:pPr>
                    <w:pStyle w:val="57"/>
                    <w:bidi w:val="0"/>
                    <w:rPr>
                      <w:color w:val="auto"/>
                      <w:highlight w:val="none"/>
                    </w:rPr>
                  </w:pPr>
                  <w:r>
                    <w:rPr>
                      <w:rFonts w:hint="eastAsia"/>
                      <w:color w:val="auto"/>
                      <w:highlight w:val="none"/>
                    </w:rPr>
                    <w:t>治理措施</w:t>
                  </w:r>
                </w:p>
              </w:tc>
              <w:tc>
                <w:tcPr>
                  <w:tcW w:w="631" w:type="pct"/>
                  <w:vAlign w:val="center"/>
                </w:tcPr>
                <w:p>
                  <w:pPr>
                    <w:pStyle w:val="57"/>
                    <w:bidi w:val="0"/>
                    <w:rPr>
                      <w:color w:val="auto"/>
                      <w:highlight w:val="none"/>
                    </w:rPr>
                  </w:pPr>
                  <w:r>
                    <w:rPr>
                      <w:rFonts w:hint="eastAsia"/>
                      <w:color w:val="auto"/>
                      <w:highlight w:val="none"/>
                    </w:rPr>
                    <w:t>排放特征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97" w:type="pct"/>
                  <w:vMerge w:val="restart"/>
                  <w:vAlign w:val="center"/>
                </w:tcPr>
                <w:p>
                  <w:pPr>
                    <w:pStyle w:val="57"/>
                    <w:bidi w:val="0"/>
                    <w:rPr>
                      <w:color w:val="auto"/>
                      <w:highlight w:val="none"/>
                    </w:rPr>
                  </w:pPr>
                  <w:r>
                    <w:rPr>
                      <w:rFonts w:hint="eastAsia"/>
                      <w:color w:val="auto"/>
                      <w:highlight w:val="none"/>
                    </w:rPr>
                    <w:t>废气</w:t>
                  </w:r>
                </w:p>
              </w:tc>
              <w:tc>
                <w:tcPr>
                  <w:tcW w:w="275" w:type="pct"/>
                  <w:vAlign w:val="center"/>
                </w:tcPr>
                <w:p>
                  <w:pPr>
                    <w:pStyle w:val="57"/>
                    <w:bidi w:val="0"/>
                    <w:rPr>
                      <w:color w:val="auto"/>
                      <w:highlight w:val="none"/>
                    </w:rPr>
                  </w:pPr>
                  <w:r>
                    <w:rPr>
                      <w:rFonts w:hint="eastAsia"/>
                      <w:color w:val="auto"/>
                      <w:highlight w:val="none"/>
                    </w:rPr>
                    <w:t>G1</w:t>
                  </w:r>
                </w:p>
              </w:tc>
              <w:tc>
                <w:tcPr>
                  <w:tcW w:w="871" w:type="pct"/>
                  <w:vAlign w:val="center"/>
                </w:tcPr>
                <w:p>
                  <w:pPr>
                    <w:pStyle w:val="57"/>
                    <w:bidi w:val="0"/>
                    <w:rPr>
                      <w:rFonts w:hint="eastAsia" w:eastAsia="宋体"/>
                      <w:color w:val="auto"/>
                      <w:highlight w:val="none"/>
                      <w:lang w:eastAsia="zh-CN"/>
                    </w:rPr>
                  </w:pPr>
                  <w:r>
                    <w:rPr>
                      <w:rFonts w:hint="eastAsia"/>
                      <w:color w:val="auto"/>
                      <w:highlight w:val="none"/>
                      <w:lang w:val="en-US" w:eastAsia="zh-CN"/>
                    </w:rPr>
                    <w:t>干燥器废气</w:t>
                  </w:r>
                </w:p>
              </w:tc>
              <w:tc>
                <w:tcPr>
                  <w:tcW w:w="943" w:type="pct"/>
                  <w:vAlign w:val="center"/>
                </w:tcPr>
                <w:p>
                  <w:pPr>
                    <w:pStyle w:val="57"/>
                    <w:bidi w:val="0"/>
                    <w:rPr>
                      <w:rFonts w:hint="eastAsia" w:eastAsia="宋体"/>
                      <w:color w:val="auto"/>
                      <w:highlight w:val="none"/>
                      <w:lang w:val="en-US" w:eastAsia="zh-CN"/>
                    </w:rPr>
                  </w:pPr>
                  <w:r>
                    <w:rPr>
                      <w:rFonts w:hint="eastAsia"/>
                      <w:color w:val="auto"/>
                      <w:highlight w:val="none"/>
                    </w:rPr>
                    <w:t>颗粒物</w:t>
                  </w:r>
                </w:p>
              </w:tc>
              <w:tc>
                <w:tcPr>
                  <w:tcW w:w="1880" w:type="pct"/>
                  <w:vAlign w:val="center"/>
                </w:tcPr>
                <w:p>
                  <w:pPr>
                    <w:pStyle w:val="57"/>
                    <w:bidi w:val="0"/>
                    <w:rPr>
                      <w:color w:val="auto"/>
                      <w:highlight w:val="none"/>
                    </w:rPr>
                  </w:pPr>
                  <w:r>
                    <w:rPr>
                      <w:rFonts w:hint="eastAsia"/>
                      <w:color w:val="auto"/>
                      <w:highlight w:val="none"/>
                      <w:lang w:val="en-US" w:eastAsia="zh-CN"/>
                    </w:rPr>
                    <w:t>通过双筒预热器给原料预热后，经旋风除尘器+布袋除尘器处理，由15m高排气筒排放</w:t>
                  </w:r>
                </w:p>
              </w:tc>
              <w:tc>
                <w:tcPr>
                  <w:tcW w:w="631" w:type="pct"/>
                  <w:vAlign w:val="center"/>
                </w:tcPr>
                <w:p>
                  <w:pPr>
                    <w:pStyle w:val="57"/>
                    <w:bidi w:val="0"/>
                    <w:rPr>
                      <w:color w:val="auto"/>
                      <w:highlight w:val="none"/>
                    </w:rPr>
                  </w:pPr>
                  <w:r>
                    <w:rPr>
                      <w:rFonts w:hint="eastAsia"/>
                      <w:color w:val="auto"/>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397" w:type="pct"/>
                  <w:vMerge w:val="continue"/>
                  <w:vAlign w:val="center"/>
                </w:tcPr>
                <w:p>
                  <w:pPr>
                    <w:pStyle w:val="57"/>
                    <w:bidi w:val="0"/>
                    <w:rPr>
                      <w:rFonts w:hint="eastAsia"/>
                      <w:color w:val="auto"/>
                      <w:highlight w:val="none"/>
                    </w:rPr>
                  </w:pPr>
                </w:p>
              </w:tc>
              <w:tc>
                <w:tcPr>
                  <w:tcW w:w="275"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G2</w:t>
                  </w:r>
                </w:p>
              </w:tc>
              <w:tc>
                <w:tcPr>
                  <w:tcW w:w="871"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原料仓呼吸气</w:t>
                  </w:r>
                </w:p>
              </w:tc>
              <w:tc>
                <w:tcPr>
                  <w:tcW w:w="943" w:type="pct"/>
                  <w:vAlign w:val="center"/>
                </w:tcPr>
                <w:p>
                  <w:pPr>
                    <w:pStyle w:val="57"/>
                    <w:bidi w:val="0"/>
                    <w:rPr>
                      <w:rFonts w:hint="eastAsia"/>
                      <w:color w:val="auto"/>
                      <w:highlight w:val="none"/>
                    </w:rPr>
                  </w:pPr>
                  <w:r>
                    <w:rPr>
                      <w:rFonts w:hint="eastAsia"/>
                      <w:color w:val="auto"/>
                      <w:highlight w:val="none"/>
                    </w:rPr>
                    <w:t>颗粒物</w:t>
                  </w:r>
                </w:p>
              </w:tc>
              <w:tc>
                <w:tcPr>
                  <w:tcW w:w="1880"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布袋除尘器</w:t>
                  </w:r>
                </w:p>
              </w:tc>
              <w:tc>
                <w:tcPr>
                  <w:tcW w:w="631" w:type="pct"/>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397" w:type="pct"/>
                  <w:vMerge w:val="continue"/>
                  <w:vAlign w:val="center"/>
                </w:tcPr>
                <w:p>
                  <w:pPr>
                    <w:pStyle w:val="57"/>
                    <w:bidi w:val="0"/>
                    <w:rPr>
                      <w:rFonts w:hint="eastAsia"/>
                      <w:color w:val="auto"/>
                      <w:highlight w:val="none"/>
                    </w:rPr>
                  </w:pPr>
                </w:p>
              </w:tc>
              <w:tc>
                <w:tcPr>
                  <w:tcW w:w="275"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G3</w:t>
                  </w:r>
                </w:p>
              </w:tc>
              <w:tc>
                <w:tcPr>
                  <w:tcW w:w="871"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成品仓呼吸气</w:t>
                  </w:r>
                </w:p>
              </w:tc>
              <w:tc>
                <w:tcPr>
                  <w:tcW w:w="943" w:type="pct"/>
                  <w:vAlign w:val="center"/>
                </w:tcPr>
                <w:p>
                  <w:pPr>
                    <w:pStyle w:val="57"/>
                    <w:bidi w:val="0"/>
                    <w:rPr>
                      <w:rFonts w:hint="eastAsia"/>
                      <w:color w:val="auto"/>
                      <w:highlight w:val="none"/>
                    </w:rPr>
                  </w:pPr>
                  <w:r>
                    <w:rPr>
                      <w:rFonts w:hint="eastAsia"/>
                      <w:color w:val="auto"/>
                      <w:highlight w:val="none"/>
                    </w:rPr>
                    <w:t>颗粒物</w:t>
                  </w:r>
                </w:p>
              </w:tc>
              <w:tc>
                <w:tcPr>
                  <w:tcW w:w="1880" w:type="pct"/>
                  <w:vAlign w:val="center"/>
                </w:tcPr>
                <w:p>
                  <w:pPr>
                    <w:pStyle w:val="57"/>
                    <w:bidi w:val="0"/>
                    <w:rPr>
                      <w:rFonts w:hint="eastAsia"/>
                      <w:color w:val="auto"/>
                      <w:highlight w:val="none"/>
                    </w:rPr>
                  </w:pPr>
                  <w:r>
                    <w:rPr>
                      <w:rFonts w:hint="eastAsia"/>
                      <w:color w:val="auto"/>
                      <w:highlight w:val="none"/>
                      <w:lang w:val="en-US" w:eastAsia="zh-CN"/>
                    </w:rPr>
                    <w:t>布袋除尘器</w:t>
                  </w:r>
                </w:p>
              </w:tc>
              <w:tc>
                <w:tcPr>
                  <w:tcW w:w="631" w:type="pct"/>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7" w:type="pct"/>
                  <w:vMerge w:val="restart"/>
                  <w:vAlign w:val="center"/>
                </w:tcPr>
                <w:p>
                  <w:pPr>
                    <w:pStyle w:val="57"/>
                    <w:bidi w:val="0"/>
                    <w:rPr>
                      <w:color w:val="auto"/>
                      <w:highlight w:val="none"/>
                    </w:rPr>
                  </w:pPr>
                  <w:r>
                    <w:rPr>
                      <w:rFonts w:hint="eastAsia"/>
                      <w:color w:val="auto"/>
                      <w:highlight w:val="none"/>
                    </w:rPr>
                    <w:t>噪声</w:t>
                  </w:r>
                </w:p>
              </w:tc>
              <w:tc>
                <w:tcPr>
                  <w:tcW w:w="275" w:type="pct"/>
                  <w:vAlign w:val="center"/>
                </w:tcPr>
                <w:p>
                  <w:pPr>
                    <w:pStyle w:val="57"/>
                    <w:bidi w:val="0"/>
                    <w:rPr>
                      <w:color w:val="auto"/>
                      <w:highlight w:val="none"/>
                    </w:rPr>
                  </w:pPr>
                  <w:r>
                    <w:rPr>
                      <w:rFonts w:hint="eastAsia"/>
                      <w:color w:val="auto"/>
                      <w:highlight w:val="none"/>
                    </w:rPr>
                    <w:t>N1</w:t>
                  </w:r>
                </w:p>
              </w:tc>
              <w:tc>
                <w:tcPr>
                  <w:tcW w:w="871"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原料仓引风机</w:t>
                  </w:r>
                </w:p>
              </w:tc>
              <w:tc>
                <w:tcPr>
                  <w:tcW w:w="943" w:type="pct"/>
                  <w:vAlign w:val="center"/>
                </w:tcPr>
                <w:p>
                  <w:pPr>
                    <w:pStyle w:val="57"/>
                    <w:bidi w:val="0"/>
                    <w:rPr>
                      <w:color w:val="auto"/>
                      <w:highlight w:val="none"/>
                    </w:rPr>
                  </w:pPr>
                  <w:r>
                    <w:rPr>
                      <w:rFonts w:hint="eastAsia"/>
                      <w:color w:val="auto"/>
                      <w:highlight w:val="none"/>
                    </w:rPr>
                    <w:t>噪声</w:t>
                  </w:r>
                </w:p>
              </w:tc>
              <w:tc>
                <w:tcPr>
                  <w:tcW w:w="1880" w:type="pct"/>
                  <w:vAlign w:val="center"/>
                </w:tcPr>
                <w:p>
                  <w:pPr>
                    <w:pStyle w:val="57"/>
                    <w:bidi w:val="0"/>
                    <w:rPr>
                      <w:rFonts w:hint="eastAsia"/>
                      <w:color w:val="auto"/>
                      <w:highlight w:val="none"/>
                      <w:lang w:eastAsia="zh-CN"/>
                    </w:rPr>
                  </w:pPr>
                  <w:r>
                    <w:rPr>
                      <w:rFonts w:hint="eastAsia"/>
                      <w:color w:val="auto"/>
                      <w:highlight w:val="none"/>
                    </w:rPr>
                    <w:t>基础</w:t>
                  </w:r>
                  <w:r>
                    <w:rPr>
                      <w:rFonts w:hint="eastAsia"/>
                      <w:color w:val="auto"/>
                      <w:highlight w:val="none"/>
                      <w:lang w:eastAsia="zh-CN"/>
                    </w:rPr>
                    <w:t>减振</w:t>
                  </w:r>
                </w:p>
              </w:tc>
              <w:tc>
                <w:tcPr>
                  <w:tcW w:w="631" w:type="pct"/>
                  <w:vAlign w:val="center"/>
                </w:tcPr>
                <w:p>
                  <w:pPr>
                    <w:pStyle w:val="57"/>
                    <w:bidi w:val="0"/>
                    <w:rPr>
                      <w:rFonts w:hint="eastAsia" w:eastAsia="宋体"/>
                      <w:color w:val="auto"/>
                      <w:highlight w:val="none"/>
                      <w:lang w:eastAsia="zh-CN"/>
                    </w:rPr>
                  </w:pPr>
                  <w:r>
                    <w:rPr>
                      <w:rFonts w:hint="eastAsia"/>
                      <w:color w:val="auto"/>
                      <w:highlight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7" w:type="pct"/>
                  <w:vMerge w:val="continue"/>
                  <w:vAlign w:val="center"/>
                </w:tcPr>
                <w:p>
                  <w:pPr>
                    <w:pStyle w:val="57"/>
                    <w:bidi w:val="0"/>
                    <w:rPr>
                      <w:color w:val="auto"/>
                      <w:highlight w:val="none"/>
                    </w:rPr>
                  </w:pPr>
                </w:p>
              </w:tc>
              <w:tc>
                <w:tcPr>
                  <w:tcW w:w="275" w:type="pct"/>
                  <w:vAlign w:val="center"/>
                </w:tcPr>
                <w:p>
                  <w:pPr>
                    <w:pStyle w:val="57"/>
                    <w:bidi w:val="0"/>
                    <w:rPr>
                      <w:color w:val="auto"/>
                      <w:highlight w:val="none"/>
                    </w:rPr>
                  </w:pPr>
                  <w:r>
                    <w:rPr>
                      <w:rFonts w:hint="eastAsia"/>
                      <w:color w:val="auto"/>
                      <w:highlight w:val="none"/>
                    </w:rPr>
                    <w:t>N2</w:t>
                  </w:r>
                </w:p>
              </w:tc>
              <w:tc>
                <w:tcPr>
                  <w:tcW w:w="871" w:type="pct"/>
                  <w:vAlign w:val="center"/>
                </w:tcPr>
                <w:p>
                  <w:pPr>
                    <w:pStyle w:val="57"/>
                    <w:bidi w:val="0"/>
                    <w:rPr>
                      <w:rFonts w:hint="default"/>
                      <w:color w:val="auto"/>
                      <w:highlight w:val="none"/>
                      <w:lang w:val="en-US"/>
                    </w:rPr>
                  </w:pPr>
                  <w:r>
                    <w:rPr>
                      <w:rFonts w:hint="eastAsia"/>
                      <w:color w:val="auto"/>
                      <w:highlight w:val="none"/>
                      <w:lang w:val="en-US" w:eastAsia="zh-CN"/>
                    </w:rPr>
                    <w:t>干燥器罗茨风机</w:t>
                  </w:r>
                </w:p>
              </w:tc>
              <w:tc>
                <w:tcPr>
                  <w:tcW w:w="943" w:type="pct"/>
                  <w:vAlign w:val="center"/>
                </w:tcPr>
                <w:p>
                  <w:pPr>
                    <w:pStyle w:val="57"/>
                    <w:bidi w:val="0"/>
                    <w:rPr>
                      <w:color w:val="auto"/>
                      <w:highlight w:val="none"/>
                    </w:rPr>
                  </w:pPr>
                  <w:r>
                    <w:rPr>
                      <w:rFonts w:hint="eastAsia"/>
                      <w:color w:val="auto"/>
                      <w:highlight w:val="none"/>
                    </w:rPr>
                    <w:t>噪声</w:t>
                  </w:r>
                </w:p>
              </w:tc>
              <w:tc>
                <w:tcPr>
                  <w:tcW w:w="1880" w:type="pct"/>
                  <w:vAlign w:val="center"/>
                </w:tcPr>
                <w:p>
                  <w:pPr>
                    <w:pStyle w:val="57"/>
                    <w:bidi w:val="0"/>
                    <w:rPr>
                      <w:rFonts w:hint="eastAsia"/>
                      <w:color w:val="auto"/>
                      <w:highlight w:val="none"/>
                      <w:lang w:eastAsia="zh-CN"/>
                    </w:rPr>
                  </w:pPr>
                  <w:r>
                    <w:rPr>
                      <w:rFonts w:hint="eastAsia"/>
                      <w:color w:val="auto"/>
                      <w:highlight w:val="none"/>
                    </w:rPr>
                    <w:t>基础</w:t>
                  </w:r>
                  <w:r>
                    <w:rPr>
                      <w:rFonts w:hint="eastAsia"/>
                      <w:color w:val="auto"/>
                      <w:highlight w:val="none"/>
                      <w:lang w:eastAsia="zh-CN"/>
                    </w:rPr>
                    <w:t>减振</w:t>
                  </w:r>
                </w:p>
              </w:tc>
              <w:tc>
                <w:tcPr>
                  <w:tcW w:w="631" w:type="pct"/>
                  <w:vAlign w:val="center"/>
                </w:tcPr>
                <w:p>
                  <w:pPr>
                    <w:pStyle w:val="57"/>
                    <w:bidi w:val="0"/>
                    <w:rPr>
                      <w:color w:val="auto"/>
                      <w:highlight w:val="none"/>
                    </w:rPr>
                  </w:pPr>
                  <w:r>
                    <w:rPr>
                      <w:rFonts w:hint="eastAsia"/>
                      <w:color w:val="auto"/>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7" w:type="pct"/>
                  <w:vMerge w:val="continue"/>
                  <w:vAlign w:val="center"/>
                </w:tcPr>
                <w:p>
                  <w:pPr>
                    <w:pStyle w:val="57"/>
                    <w:bidi w:val="0"/>
                    <w:rPr>
                      <w:color w:val="auto"/>
                      <w:highlight w:val="none"/>
                    </w:rPr>
                  </w:pPr>
                </w:p>
              </w:tc>
              <w:tc>
                <w:tcPr>
                  <w:tcW w:w="275"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N3</w:t>
                  </w:r>
                </w:p>
              </w:tc>
              <w:tc>
                <w:tcPr>
                  <w:tcW w:w="871" w:type="pct"/>
                  <w:vAlign w:val="center"/>
                </w:tcPr>
                <w:p>
                  <w:pPr>
                    <w:pStyle w:val="57"/>
                    <w:bidi w:val="0"/>
                    <w:rPr>
                      <w:rFonts w:hint="default"/>
                      <w:color w:val="auto"/>
                      <w:highlight w:val="none"/>
                      <w:lang w:val="en-US" w:eastAsia="zh-CN"/>
                    </w:rPr>
                  </w:pPr>
                  <w:r>
                    <w:rPr>
                      <w:rFonts w:hint="eastAsia"/>
                      <w:color w:val="auto"/>
                      <w:highlight w:val="none"/>
                      <w:lang w:val="en-US" w:eastAsia="zh-CN"/>
                    </w:rPr>
                    <w:t>气力输送装置风机</w:t>
                  </w:r>
                </w:p>
              </w:tc>
              <w:tc>
                <w:tcPr>
                  <w:tcW w:w="943" w:type="pct"/>
                  <w:vAlign w:val="center"/>
                </w:tcPr>
                <w:p>
                  <w:pPr>
                    <w:pStyle w:val="57"/>
                    <w:bidi w:val="0"/>
                    <w:rPr>
                      <w:rFonts w:hint="eastAsia"/>
                      <w:color w:val="auto"/>
                      <w:highlight w:val="none"/>
                    </w:rPr>
                  </w:pPr>
                  <w:r>
                    <w:rPr>
                      <w:rFonts w:hint="eastAsia"/>
                      <w:color w:val="auto"/>
                      <w:highlight w:val="none"/>
                    </w:rPr>
                    <w:t>噪声</w:t>
                  </w:r>
                </w:p>
              </w:tc>
              <w:tc>
                <w:tcPr>
                  <w:tcW w:w="1880" w:type="pct"/>
                  <w:vAlign w:val="center"/>
                </w:tcPr>
                <w:p>
                  <w:pPr>
                    <w:pStyle w:val="57"/>
                    <w:bidi w:val="0"/>
                    <w:rPr>
                      <w:rFonts w:hint="eastAsia"/>
                      <w:color w:val="auto"/>
                      <w:highlight w:val="none"/>
                    </w:rPr>
                  </w:pPr>
                  <w:r>
                    <w:rPr>
                      <w:rFonts w:hint="eastAsia"/>
                      <w:color w:val="auto"/>
                      <w:highlight w:val="none"/>
                    </w:rPr>
                    <w:t>基础</w:t>
                  </w:r>
                  <w:r>
                    <w:rPr>
                      <w:rFonts w:hint="eastAsia"/>
                      <w:color w:val="auto"/>
                      <w:highlight w:val="none"/>
                      <w:lang w:eastAsia="zh-CN"/>
                    </w:rPr>
                    <w:t>减振</w:t>
                  </w:r>
                </w:p>
              </w:tc>
              <w:tc>
                <w:tcPr>
                  <w:tcW w:w="631" w:type="pct"/>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7" w:type="pct"/>
                  <w:vMerge w:val="restart"/>
                  <w:vAlign w:val="center"/>
                </w:tcPr>
                <w:p>
                  <w:pPr>
                    <w:pStyle w:val="57"/>
                    <w:bidi w:val="0"/>
                    <w:rPr>
                      <w:color w:val="auto"/>
                      <w:highlight w:val="none"/>
                    </w:rPr>
                  </w:pPr>
                  <w:r>
                    <w:rPr>
                      <w:rFonts w:hint="eastAsia"/>
                      <w:color w:val="auto"/>
                      <w:highlight w:val="none"/>
                    </w:rPr>
                    <w:t>固体</w:t>
                  </w:r>
                </w:p>
                <w:p>
                  <w:pPr>
                    <w:pStyle w:val="57"/>
                    <w:bidi w:val="0"/>
                    <w:rPr>
                      <w:color w:val="auto"/>
                      <w:highlight w:val="none"/>
                    </w:rPr>
                  </w:pPr>
                  <w:r>
                    <w:rPr>
                      <w:rFonts w:hint="eastAsia"/>
                      <w:color w:val="auto"/>
                      <w:highlight w:val="none"/>
                    </w:rPr>
                    <w:t>废物</w:t>
                  </w:r>
                </w:p>
              </w:tc>
              <w:tc>
                <w:tcPr>
                  <w:tcW w:w="275" w:type="pct"/>
                  <w:vAlign w:val="center"/>
                </w:tcPr>
                <w:p>
                  <w:pPr>
                    <w:pStyle w:val="57"/>
                    <w:bidi w:val="0"/>
                    <w:rPr>
                      <w:color w:val="auto"/>
                      <w:highlight w:val="none"/>
                    </w:rPr>
                  </w:pPr>
                  <w:r>
                    <w:rPr>
                      <w:rFonts w:hint="eastAsia"/>
                      <w:color w:val="auto"/>
                      <w:highlight w:val="none"/>
                    </w:rPr>
                    <w:t>S1</w:t>
                  </w:r>
                </w:p>
              </w:tc>
              <w:tc>
                <w:tcPr>
                  <w:tcW w:w="871"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不合格产品</w:t>
                  </w:r>
                </w:p>
              </w:tc>
              <w:tc>
                <w:tcPr>
                  <w:tcW w:w="943" w:type="pct"/>
                  <w:vAlign w:val="center"/>
                </w:tcPr>
                <w:p>
                  <w:pPr>
                    <w:pStyle w:val="57"/>
                    <w:bidi w:val="0"/>
                    <w:rPr>
                      <w:color w:val="auto"/>
                      <w:highlight w:val="none"/>
                    </w:rPr>
                  </w:pPr>
                  <w:r>
                    <w:rPr>
                      <w:rFonts w:hint="eastAsia"/>
                      <w:color w:val="auto"/>
                      <w:highlight w:val="none"/>
                    </w:rPr>
                    <w:t>一般固废</w:t>
                  </w:r>
                </w:p>
              </w:tc>
              <w:tc>
                <w:tcPr>
                  <w:tcW w:w="1880"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作为原料回用</w:t>
                  </w:r>
                </w:p>
              </w:tc>
              <w:tc>
                <w:tcPr>
                  <w:tcW w:w="631" w:type="pct"/>
                  <w:vAlign w:val="center"/>
                </w:tcPr>
                <w:p>
                  <w:pPr>
                    <w:pStyle w:val="57"/>
                    <w:bidi w:val="0"/>
                    <w:rPr>
                      <w:rFonts w:hint="eastAsia" w:eastAsia="宋体"/>
                      <w:color w:val="auto"/>
                      <w:highlight w:val="none"/>
                      <w:lang w:eastAsia="zh-CN"/>
                    </w:rPr>
                  </w:pPr>
                  <w:r>
                    <w:rPr>
                      <w:rFonts w:hint="eastAsia"/>
                      <w:color w:val="auto"/>
                      <w:highlight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7" w:type="pct"/>
                  <w:vMerge w:val="continue"/>
                  <w:vAlign w:val="center"/>
                </w:tcPr>
                <w:p>
                  <w:pPr>
                    <w:pStyle w:val="57"/>
                    <w:bidi w:val="0"/>
                    <w:rPr>
                      <w:color w:val="auto"/>
                      <w:highlight w:val="none"/>
                    </w:rPr>
                  </w:pPr>
                </w:p>
              </w:tc>
              <w:tc>
                <w:tcPr>
                  <w:tcW w:w="275" w:type="pct"/>
                  <w:vAlign w:val="center"/>
                </w:tcPr>
                <w:p>
                  <w:pPr>
                    <w:pStyle w:val="57"/>
                    <w:bidi w:val="0"/>
                    <w:rPr>
                      <w:color w:val="auto"/>
                      <w:highlight w:val="none"/>
                    </w:rPr>
                  </w:pPr>
                  <w:r>
                    <w:rPr>
                      <w:rFonts w:hint="eastAsia"/>
                      <w:color w:val="auto"/>
                      <w:highlight w:val="none"/>
                    </w:rPr>
                    <w:t>S2</w:t>
                  </w:r>
                </w:p>
              </w:tc>
              <w:tc>
                <w:tcPr>
                  <w:tcW w:w="871"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旋风除尘器收尘</w:t>
                  </w:r>
                </w:p>
              </w:tc>
              <w:tc>
                <w:tcPr>
                  <w:tcW w:w="943" w:type="pct"/>
                  <w:vAlign w:val="center"/>
                </w:tcPr>
                <w:p>
                  <w:pPr>
                    <w:pStyle w:val="57"/>
                    <w:bidi w:val="0"/>
                    <w:rPr>
                      <w:color w:val="auto"/>
                      <w:highlight w:val="none"/>
                    </w:rPr>
                  </w:pPr>
                  <w:r>
                    <w:rPr>
                      <w:rFonts w:hint="eastAsia"/>
                      <w:color w:val="auto"/>
                      <w:highlight w:val="none"/>
                    </w:rPr>
                    <w:t>一般固废</w:t>
                  </w:r>
                </w:p>
              </w:tc>
              <w:tc>
                <w:tcPr>
                  <w:tcW w:w="1880" w:type="pct"/>
                  <w:vAlign w:val="center"/>
                </w:tcPr>
                <w:p>
                  <w:pPr>
                    <w:pStyle w:val="57"/>
                    <w:bidi w:val="0"/>
                    <w:rPr>
                      <w:color w:val="auto"/>
                      <w:highlight w:val="none"/>
                    </w:rPr>
                  </w:pPr>
                  <w:r>
                    <w:rPr>
                      <w:rFonts w:hint="eastAsia"/>
                      <w:color w:val="auto"/>
                      <w:highlight w:val="none"/>
                      <w:lang w:val="en-US" w:eastAsia="zh-CN"/>
                    </w:rPr>
                    <w:t>作为原料回用</w:t>
                  </w:r>
                </w:p>
              </w:tc>
              <w:tc>
                <w:tcPr>
                  <w:tcW w:w="631" w:type="pct"/>
                  <w:vAlign w:val="center"/>
                </w:tcPr>
                <w:p>
                  <w:pPr>
                    <w:pStyle w:val="57"/>
                    <w:bidi w:val="0"/>
                    <w:rPr>
                      <w:color w:val="auto"/>
                      <w:highlight w:val="none"/>
                    </w:rPr>
                  </w:pPr>
                  <w:r>
                    <w:rPr>
                      <w:rFonts w:hint="eastAsia"/>
                      <w:color w:val="auto"/>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7" w:type="pct"/>
                  <w:vMerge w:val="continue"/>
                  <w:vAlign w:val="center"/>
                </w:tcPr>
                <w:p>
                  <w:pPr>
                    <w:pStyle w:val="57"/>
                    <w:bidi w:val="0"/>
                    <w:rPr>
                      <w:color w:val="auto"/>
                      <w:highlight w:val="none"/>
                    </w:rPr>
                  </w:pPr>
                </w:p>
              </w:tc>
              <w:tc>
                <w:tcPr>
                  <w:tcW w:w="275" w:type="pct"/>
                  <w:vAlign w:val="center"/>
                </w:tcPr>
                <w:p>
                  <w:pPr>
                    <w:pStyle w:val="57"/>
                    <w:bidi w:val="0"/>
                    <w:rPr>
                      <w:color w:val="auto"/>
                      <w:highlight w:val="none"/>
                    </w:rPr>
                  </w:pPr>
                  <w:r>
                    <w:rPr>
                      <w:rFonts w:hint="eastAsia"/>
                      <w:color w:val="auto"/>
                      <w:highlight w:val="none"/>
                    </w:rPr>
                    <w:t>S3</w:t>
                  </w:r>
                </w:p>
              </w:tc>
              <w:tc>
                <w:tcPr>
                  <w:tcW w:w="871"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布袋除尘器收尘</w:t>
                  </w:r>
                </w:p>
              </w:tc>
              <w:tc>
                <w:tcPr>
                  <w:tcW w:w="943" w:type="pct"/>
                  <w:vAlign w:val="center"/>
                </w:tcPr>
                <w:p>
                  <w:pPr>
                    <w:pStyle w:val="57"/>
                    <w:bidi w:val="0"/>
                    <w:rPr>
                      <w:color w:val="auto"/>
                      <w:highlight w:val="none"/>
                    </w:rPr>
                  </w:pPr>
                  <w:r>
                    <w:rPr>
                      <w:rFonts w:hint="eastAsia"/>
                      <w:color w:val="auto"/>
                      <w:highlight w:val="none"/>
                    </w:rPr>
                    <w:t>一般固废</w:t>
                  </w:r>
                </w:p>
              </w:tc>
              <w:tc>
                <w:tcPr>
                  <w:tcW w:w="1880" w:type="pct"/>
                  <w:vAlign w:val="center"/>
                </w:tcPr>
                <w:p>
                  <w:pPr>
                    <w:pStyle w:val="57"/>
                    <w:bidi w:val="0"/>
                    <w:rPr>
                      <w:color w:val="auto"/>
                      <w:highlight w:val="none"/>
                    </w:rPr>
                  </w:pPr>
                  <w:r>
                    <w:rPr>
                      <w:rFonts w:hint="eastAsia"/>
                      <w:color w:val="auto"/>
                      <w:highlight w:val="none"/>
                      <w:lang w:val="en-US" w:eastAsia="zh-CN"/>
                    </w:rPr>
                    <w:t>作为原料回用</w:t>
                  </w:r>
                </w:p>
              </w:tc>
              <w:tc>
                <w:tcPr>
                  <w:tcW w:w="631" w:type="pct"/>
                  <w:vAlign w:val="center"/>
                </w:tcPr>
                <w:p>
                  <w:pPr>
                    <w:pStyle w:val="57"/>
                    <w:bidi w:val="0"/>
                    <w:rPr>
                      <w:color w:val="auto"/>
                      <w:highlight w:val="none"/>
                    </w:rPr>
                  </w:pPr>
                  <w:r>
                    <w:rPr>
                      <w:rFonts w:hint="eastAsia"/>
                      <w:color w:val="auto"/>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7" w:type="pct"/>
                  <w:vMerge w:val="continue"/>
                  <w:vAlign w:val="center"/>
                </w:tcPr>
                <w:p>
                  <w:pPr>
                    <w:pStyle w:val="57"/>
                    <w:bidi w:val="0"/>
                    <w:rPr>
                      <w:color w:val="auto"/>
                      <w:highlight w:val="none"/>
                    </w:rPr>
                  </w:pPr>
                </w:p>
              </w:tc>
              <w:tc>
                <w:tcPr>
                  <w:tcW w:w="275" w:type="pct"/>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S4</w:t>
                  </w:r>
                </w:p>
              </w:tc>
              <w:tc>
                <w:tcPr>
                  <w:tcW w:w="871" w:type="pct"/>
                  <w:vAlign w:val="center"/>
                </w:tcPr>
                <w:p>
                  <w:pPr>
                    <w:pStyle w:val="57"/>
                    <w:bidi w:val="0"/>
                    <w:rPr>
                      <w:rFonts w:hint="default"/>
                      <w:color w:val="auto"/>
                      <w:highlight w:val="none"/>
                      <w:lang w:val="en-US" w:eastAsia="zh-CN"/>
                    </w:rPr>
                  </w:pPr>
                  <w:r>
                    <w:rPr>
                      <w:rFonts w:hint="eastAsia"/>
                      <w:color w:val="auto"/>
                      <w:highlight w:val="none"/>
                      <w:lang w:val="en-US" w:eastAsia="zh-CN"/>
                    </w:rPr>
                    <w:t>废布袋</w:t>
                  </w:r>
                </w:p>
              </w:tc>
              <w:tc>
                <w:tcPr>
                  <w:tcW w:w="943" w:type="pct"/>
                  <w:vAlign w:val="center"/>
                </w:tcPr>
                <w:p>
                  <w:pPr>
                    <w:pStyle w:val="57"/>
                    <w:bidi w:val="0"/>
                    <w:rPr>
                      <w:rFonts w:hint="eastAsia"/>
                      <w:color w:val="auto"/>
                      <w:highlight w:val="none"/>
                    </w:rPr>
                  </w:pPr>
                  <w:r>
                    <w:rPr>
                      <w:rFonts w:hint="eastAsia"/>
                      <w:color w:val="auto"/>
                      <w:highlight w:val="none"/>
                    </w:rPr>
                    <w:t>一般固废</w:t>
                  </w:r>
                </w:p>
              </w:tc>
              <w:tc>
                <w:tcPr>
                  <w:tcW w:w="1880" w:type="pct"/>
                  <w:vAlign w:val="center"/>
                </w:tcPr>
                <w:p>
                  <w:pPr>
                    <w:pStyle w:val="57"/>
                    <w:bidi w:val="0"/>
                    <w:rPr>
                      <w:rFonts w:hint="default"/>
                      <w:color w:val="auto"/>
                      <w:highlight w:val="none"/>
                      <w:lang w:val="en-US" w:eastAsia="zh-CN"/>
                    </w:rPr>
                  </w:pPr>
                  <w:r>
                    <w:rPr>
                      <w:rFonts w:hint="eastAsia"/>
                      <w:color w:val="auto"/>
                      <w:highlight w:val="none"/>
                      <w:lang w:val="en-US" w:eastAsia="zh-CN"/>
                    </w:rPr>
                    <w:t>厂家回收</w:t>
                  </w:r>
                </w:p>
              </w:tc>
              <w:tc>
                <w:tcPr>
                  <w:tcW w:w="631" w:type="pct"/>
                  <w:vAlign w:val="center"/>
                </w:tcPr>
                <w:p>
                  <w:pPr>
                    <w:pStyle w:val="57"/>
                    <w:bidi w:val="0"/>
                    <w:rPr>
                      <w:rFonts w:hint="eastAsia"/>
                      <w:color w:val="auto"/>
                      <w:highlight w:val="none"/>
                    </w:rPr>
                  </w:pPr>
                  <w:r>
                    <w:rPr>
                      <w:rFonts w:hint="eastAsia"/>
                      <w:color w:val="auto"/>
                      <w:highlight w:val="none"/>
                      <w:lang w:val="en-US"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7" w:type="pct"/>
                  <w:vMerge w:val="continue"/>
                  <w:vAlign w:val="center"/>
                </w:tcPr>
                <w:p>
                  <w:pPr>
                    <w:pStyle w:val="57"/>
                    <w:bidi w:val="0"/>
                    <w:rPr>
                      <w:color w:val="auto"/>
                      <w:highlight w:val="none"/>
                    </w:rPr>
                  </w:pPr>
                </w:p>
              </w:tc>
              <w:tc>
                <w:tcPr>
                  <w:tcW w:w="275"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S5</w:t>
                  </w:r>
                </w:p>
              </w:tc>
              <w:tc>
                <w:tcPr>
                  <w:tcW w:w="871" w:type="pct"/>
                  <w:vAlign w:val="center"/>
                </w:tcPr>
                <w:p>
                  <w:pPr>
                    <w:pStyle w:val="57"/>
                    <w:bidi w:val="0"/>
                    <w:rPr>
                      <w:rFonts w:hint="default"/>
                      <w:color w:val="auto"/>
                      <w:highlight w:val="none"/>
                      <w:lang w:val="en-US" w:eastAsia="zh-CN"/>
                    </w:rPr>
                  </w:pPr>
                  <w:r>
                    <w:rPr>
                      <w:rFonts w:hint="eastAsia"/>
                      <w:color w:val="auto"/>
                      <w:highlight w:val="none"/>
                      <w:lang w:val="en-US" w:eastAsia="zh-CN"/>
                    </w:rPr>
                    <w:t>废润滑油</w:t>
                  </w:r>
                </w:p>
              </w:tc>
              <w:tc>
                <w:tcPr>
                  <w:tcW w:w="943" w:type="pct"/>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危险废物</w:t>
                  </w:r>
                </w:p>
              </w:tc>
              <w:tc>
                <w:tcPr>
                  <w:tcW w:w="1880" w:type="pct"/>
                  <w:vAlign w:val="center"/>
                </w:tcPr>
                <w:p>
                  <w:pPr>
                    <w:pStyle w:val="57"/>
                    <w:bidi w:val="0"/>
                    <w:rPr>
                      <w:rFonts w:hint="eastAsia"/>
                      <w:color w:val="auto"/>
                      <w:highlight w:val="none"/>
                      <w:lang w:val="en-US" w:eastAsia="zh-CN"/>
                    </w:rPr>
                  </w:pPr>
                  <w:r>
                    <w:rPr>
                      <w:rFonts w:hint="eastAsia"/>
                      <w:color w:val="auto"/>
                      <w:highlight w:val="none"/>
                      <w:lang w:val="en-US" w:eastAsia="zh-CN"/>
                    </w:rPr>
                    <w:t>依托现有危险废物贮存点暂存，定期由库尔勒速润再生物资利用回收有限公司处置</w:t>
                  </w:r>
                </w:p>
              </w:tc>
              <w:tc>
                <w:tcPr>
                  <w:tcW w:w="631"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间断</w:t>
                  </w:r>
                </w:p>
              </w:tc>
            </w:tr>
          </w:tbl>
          <w:p>
            <w:pPr>
              <w:pStyle w:val="50"/>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9" w:hRule="atLeast"/>
          <w:jc w:val="center"/>
        </w:trPr>
        <w:tc>
          <w:tcPr>
            <w:tcW w:w="311" w:type="pct"/>
            <w:vAlign w:val="center"/>
          </w:tcPr>
          <w:p>
            <w:pPr>
              <w:pStyle w:val="28"/>
              <w:bidi w:val="0"/>
              <w:rPr>
                <w:color w:val="auto"/>
                <w:highlight w:val="none"/>
              </w:rPr>
            </w:pPr>
            <w:r>
              <w:rPr>
                <w:rFonts w:hint="eastAsia"/>
                <w:color w:val="auto"/>
                <w:highlight w:val="none"/>
              </w:rPr>
              <w:t>与项目有关的原有环境污染问题</w:t>
            </w:r>
          </w:p>
        </w:tc>
        <w:tc>
          <w:tcPr>
            <w:tcW w:w="4688" w:type="pct"/>
          </w:tcPr>
          <w:p>
            <w:pPr>
              <w:pStyle w:val="3"/>
              <w:bidi w:val="0"/>
              <w:rPr>
                <w:color w:val="auto"/>
                <w:highlight w:val="none"/>
              </w:rPr>
            </w:pPr>
            <w:r>
              <w:rPr>
                <w:rFonts w:hint="eastAsia"/>
                <w:color w:val="auto"/>
                <w:highlight w:val="none"/>
              </w:rPr>
              <w:t>2.3 与项目有关的原有环境污染问题</w:t>
            </w:r>
          </w:p>
          <w:p>
            <w:pPr>
              <w:pStyle w:val="4"/>
              <w:bidi w:val="0"/>
              <w:rPr>
                <w:color w:val="auto"/>
                <w:highlight w:val="none"/>
              </w:rPr>
            </w:pPr>
            <w:r>
              <w:rPr>
                <w:rFonts w:hint="eastAsia"/>
                <w:color w:val="auto"/>
                <w:highlight w:val="none"/>
              </w:rPr>
              <w:t xml:space="preserve">2.3.1 </w:t>
            </w:r>
            <w:r>
              <w:rPr>
                <w:rFonts w:hint="eastAsia"/>
                <w:color w:val="auto"/>
                <w:highlight w:val="none"/>
                <w:lang w:val="en-US" w:eastAsia="zh-CN"/>
              </w:rPr>
              <w:t>现有</w:t>
            </w:r>
            <w:r>
              <w:rPr>
                <w:rFonts w:hint="eastAsia"/>
                <w:color w:val="auto"/>
                <w:highlight w:val="none"/>
              </w:rPr>
              <w:t>工程环保手续执行情况</w:t>
            </w:r>
          </w:p>
          <w:p>
            <w:pPr>
              <w:pStyle w:val="6"/>
              <w:bidi w:val="0"/>
              <w:rPr>
                <w:rFonts w:hint="eastAsia"/>
                <w:color w:val="auto"/>
                <w:highlight w:val="none"/>
                <w:lang w:val="en-US" w:eastAsia="zh-CN"/>
              </w:rPr>
            </w:pPr>
            <w:r>
              <w:rPr>
                <w:rFonts w:hint="eastAsia"/>
                <w:color w:val="auto"/>
                <w:highlight w:val="none"/>
                <w:lang w:val="en-US" w:eastAsia="zh-CN"/>
              </w:rPr>
              <w:t>巴州敏宇化工有限公司于2011年2月24日取得《关于对</w:t>
            </w:r>
            <w:r>
              <w:rPr>
                <w:rFonts w:hint="eastAsia"/>
                <w:color w:val="auto"/>
                <w:highlight w:val="none"/>
              </w:rPr>
              <w:t>新疆巴州敏宇化工有限公司年产30万吨活性石灰项目</w:t>
            </w:r>
            <w:r>
              <w:rPr>
                <w:rFonts w:hint="eastAsia"/>
                <w:color w:val="auto"/>
                <w:highlight w:val="none"/>
                <w:lang w:val="en-US" w:eastAsia="zh-CN"/>
              </w:rPr>
              <w:t>环境影响报告表的批复》（巴环控函〔2011〕64号），该项目于2019年7月17日通过自主验收（巴环评价验备序〔2019〕144号）；</w:t>
            </w:r>
          </w:p>
          <w:p>
            <w:pPr>
              <w:pStyle w:val="6"/>
              <w:bidi w:val="0"/>
              <w:rPr>
                <w:rFonts w:hint="eastAsia"/>
                <w:color w:val="auto"/>
                <w:highlight w:val="none"/>
                <w:lang w:val="en-US" w:eastAsia="zh-CN"/>
              </w:rPr>
            </w:pPr>
            <w:r>
              <w:rPr>
                <w:rFonts w:hint="eastAsia"/>
                <w:color w:val="auto"/>
                <w:highlight w:val="none"/>
              </w:rPr>
              <w:t>2021年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13</w:t>
            </w:r>
            <w:r>
              <w:rPr>
                <w:rFonts w:hint="eastAsia"/>
                <w:color w:val="auto"/>
                <w:highlight w:val="none"/>
              </w:rPr>
              <w:t>日</w:t>
            </w:r>
            <w:r>
              <w:rPr>
                <w:rFonts w:hint="eastAsia"/>
                <w:color w:val="auto"/>
                <w:highlight w:val="none"/>
                <w:lang w:eastAsia="zh-CN"/>
              </w:rPr>
              <w:t>，</w:t>
            </w:r>
            <w:r>
              <w:rPr>
                <w:rFonts w:hint="eastAsia"/>
                <w:color w:val="auto"/>
                <w:highlight w:val="none"/>
                <w:lang w:val="en-US" w:eastAsia="zh-CN"/>
              </w:rPr>
              <w:t>取得《关于</w:t>
            </w:r>
            <w:r>
              <w:rPr>
                <w:rFonts w:hint="eastAsia"/>
                <w:color w:val="auto"/>
                <w:highlight w:val="none"/>
              </w:rPr>
              <w:t>巴州敏宇化工有限公司石灰石、生石灰磨粉加工项目</w:t>
            </w:r>
            <w:r>
              <w:rPr>
                <w:rFonts w:hint="eastAsia"/>
                <w:color w:val="auto"/>
                <w:highlight w:val="none"/>
                <w:lang w:val="en-US" w:eastAsia="zh-CN"/>
              </w:rPr>
              <w:t>环境影响报告表的批复》（</w:t>
            </w:r>
            <w:r>
              <w:rPr>
                <w:rFonts w:hint="eastAsia"/>
                <w:color w:val="auto"/>
                <w:highlight w:val="none"/>
              </w:rPr>
              <w:t>巴环评价函</w:t>
            </w:r>
            <w:r>
              <w:rPr>
                <w:rFonts w:hint="eastAsia"/>
                <w:color w:val="auto"/>
                <w:highlight w:val="none"/>
                <w:lang w:eastAsia="zh-CN"/>
              </w:rPr>
              <w:t>〔</w:t>
            </w:r>
            <w:r>
              <w:rPr>
                <w:rFonts w:hint="eastAsia"/>
                <w:color w:val="auto"/>
                <w:highlight w:val="none"/>
              </w:rPr>
              <w:t>2021</w:t>
            </w:r>
            <w:r>
              <w:rPr>
                <w:rFonts w:hint="eastAsia"/>
                <w:color w:val="auto"/>
                <w:highlight w:val="none"/>
                <w:lang w:eastAsia="zh-CN"/>
              </w:rPr>
              <w:t>〕</w:t>
            </w:r>
            <w:r>
              <w:rPr>
                <w:rFonts w:hint="eastAsia"/>
                <w:color w:val="auto"/>
                <w:highlight w:val="none"/>
                <w:lang w:val="en-US" w:eastAsia="zh-CN"/>
              </w:rPr>
              <w:t>131</w:t>
            </w:r>
            <w:r>
              <w:rPr>
                <w:rFonts w:hint="eastAsia"/>
                <w:color w:val="auto"/>
                <w:highlight w:val="none"/>
              </w:rPr>
              <w:t>号</w:t>
            </w:r>
            <w:r>
              <w:rPr>
                <w:rFonts w:hint="eastAsia"/>
                <w:color w:val="auto"/>
                <w:highlight w:val="none"/>
                <w:lang w:val="en-US" w:eastAsia="zh-CN"/>
              </w:rPr>
              <w:t>），</w:t>
            </w:r>
            <w:r>
              <w:rPr>
                <w:rFonts w:hint="eastAsia"/>
                <w:color w:val="auto"/>
                <w:highlight w:val="none"/>
              </w:rPr>
              <w:t>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11</w:t>
            </w:r>
            <w:r>
              <w:rPr>
                <w:rFonts w:hint="eastAsia"/>
                <w:color w:val="auto"/>
                <w:highlight w:val="none"/>
              </w:rPr>
              <w:t>日通过自主验收</w:t>
            </w:r>
            <w:r>
              <w:rPr>
                <w:rFonts w:hint="eastAsia"/>
                <w:color w:val="auto"/>
                <w:highlight w:val="none"/>
                <w:lang w:eastAsia="zh-CN"/>
              </w:rPr>
              <w:t>；</w:t>
            </w:r>
          </w:p>
          <w:p>
            <w:pPr>
              <w:pStyle w:val="6"/>
              <w:bidi w:val="0"/>
              <w:rPr>
                <w:rFonts w:hint="default"/>
                <w:color w:val="auto"/>
                <w:highlight w:val="none"/>
                <w:lang w:val="en-US" w:eastAsia="zh-CN"/>
              </w:rPr>
            </w:pPr>
            <w:r>
              <w:rPr>
                <w:rFonts w:hint="eastAsia"/>
                <w:color w:val="auto"/>
                <w:highlight w:val="none"/>
                <w:lang w:val="en-US" w:eastAsia="zh-CN"/>
              </w:rPr>
              <w:t>2022年3月9日初次申领，2024年6月24日完成重新申请，目前排污许可证单位名称已更改为巴州敏宇环保科技有限公司，《</w:t>
            </w:r>
            <w:r>
              <w:rPr>
                <w:rFonts w:hint="eastAsia"/>
                <w:color w:val="auto"/>
                <w:highlight w:val="none"/>
              </w:rPr>
              <w:t>固定污染源排污许可证</w:t>
            </w:r>
            <w:r>
              <w:rPr>
                <w:rFonts w:hint="eastAsia"/>
                <w:color w:val="auto"/>
                <w:highlight w:val="none"/>
                <w:lang w:val="en-US" w:eastAsia="zh-CN"/>
              </w:rPr>
              <w:t>》（证书编号：</w:t>
            </w:r>
            <w:r>
              <w:rPr>
                <w:rFonts w:hint="eastAsia"/>
                <w:color w:val="auto"/>
                <w:highlight w:val="none"/>
              </w:rPr>
              <w:t>9165280156051726XQ001P</w:t>
            </w:r>
            <w:r>
              <w:rPr>
                <w:rFonts w:hint="eastAsia"/>
                <w:color w:val="auto"/>
                <w:highlight w:val="none"/>
                <w:lang w:val="en-US" w:eastAsia="zh-CN"/>
              </w:rPr>
              <w:t>）；</w:t>
            </w:r>
          </w:p>
          <w:p>
            <w:pPr>
              <w:pStyle w:val="6"/>
              <w:bidi w:val="0"/>
              <w:rPr>
                <w:rFonts w:hint="eastAsia"/>
                <w:color w:val="auto"/>
                <w:highlight w:val="none"/>
                <w:lang w:val="en-US" w:eastAsia="zh-CN"/>
              </w:rPr>
            </w:pPr>
            <w:r>
              <w:rPr>
                <w:rFonts w:hint="eastAsia"/>
                <w:color w:val="auto"/>
                <w:highlight w:val="none"/>
              </w:rPr>
              <w:t>巴州敏宇环保科技有限公司</w:t>
            </w:r>
            <w:r>
              <w:rPr>
                <w:rFonts w:hint="eastAsia"/>
                <w:color w:val="auto"/>
                <w:highlight w:val="none"/>
                <w:lang w:val="en-US" w:eastAsia="zh-CN"/>
              </w:rPr>
              <w:t>现有应急预案《巴州敏宇化工有限公司突发环境事件应急预案》</w:t>
            </w:r>
            <w:r>
              <w:rPr>
                <w:rFonts w:hint="eastAsia"/>
                <w:color w:val="auto"/>
                <w:highlight w:val="none"/>
                <w:lang w:eastAsia="zh-CN"/>
              </w:rPr>
              <w:t>（</w:t>
            </w:r>
            <w:r>
              <w:rPr>
                <w:rFonts w:hint="eastAsia"/>
                <w:color w:val="auto"/>
                <w:highlight w:val="none"/>
              </w:rPr>
              <w:t>备案编号6528</w:t>
            </w:r>
            <w:r>
              <w:rPr>
                <w:rFonts w:hint="eastAsia"/>
                <w:color w:val="auto"/>
                <w:highlight w:val="none"/>
                <w:lang w:val="en-US" w:eastAsia="zh-CN"/>
              </w:rPr>
              <w:t>01</w:t>
            </w:r>
            <w:r>
              <w:rPr>
                <w:rFonts w:hint="eastAsia"/>
                <w:color w:val="auto"/>
                <w:highlight w:val="none"/>
              </w:rPr>
              <w:t>-2022-</w:t>
            </w:r>
            <w:r>
              <w:rPr>
                <w:rFonts w:hint="eastAsia"/>
                <w:color w:val="auto"/>
                <w:highlight w:val="none"/>
                <w:lang w:val="en-US" w:eastAsia="zh-CN"/>
              </w:rPr>
              <w:t>1</w:t>
            </w:r>
            <w:r>
              <w:rPr>
                <w:rFonts w:hint="eastAsia"/>
                <w:color w:val="auto"/>
                <w:highlight w:val="none"/>
              </w:rPr>
              <w:t>-</w:t>
            </w:r>
            <w:r>
              <w:rPr>
                <w:rFonts w:hint="eastAsia"/>
                <w:color w:val="auto"/>
                <w:highlight w:val="none"/>
                <w:lang w:val="en-US" w:eastAsia="zh-CN"/>
              </w:rPr>
              <w:t>006-</w:t>
            </w:r>
            <w:r>
              <w:rPr>
                <w:rFonts w:hint="eastAsia"/>
                <w:color w:val="auto"/>
                <w:highlight w:val="none"/>
              </w:rPr>
              <w:t>L</w:t>
            </w:r>
            <w:r>
              <w:rPr>
                <w:rFonts w:hint="eastAsia"/>
                <w:color w:val="auto"/>
                <w:highlight w:val="none"/>
                <w:lang w:eastAsia="zh-CN"/>
              </w:rPr>
              <w:t>）；</w:t>
            </w:r>
          </w:p>
          <w:p>
            <w:pPr>
              <w:pStyle w:val="6"/>
              <w:bidi w:val="0"/>
              <w:rPr>
                <w:color w:val="auto"/>
                <w:highlight w:val="none"/>
              </w:rPr>
            </w:pPr>
            <w:r>
              <w:rPr>
                <w:rFonts w:hint="eastAsia"/>
                <w:color w:val="auto"/>
                <w:highlight w:val="none"/>
              </w:rPr>
              <w:t>巴州敏宇化工有限公司于‌2024年2月27日‌变更为巴州敏宇环保科技有限公司</w:t>
            </w:r>
            <w:r>
              <w:rPr>
                <w:rFonts w:hint="eastAsia"/>
                <w:color w:val="auto"/>
                <w:highlight w:val="none"/>
                <w:lang w:eastAsia="zh-CN"/>
              </w:rPr>
              <w:t>。</w:t>
            </w:r>
            <w:r>
              <w:rPr>
                <w:rFonts w:hint="eastAsia"/>
                <w:color w:val="auto"/>
                <w:highlight w:val="none"/>
              </w:rPr>
              <w:t>现有项目环保手续齐全。</w:t>
            </w:r>
          </w:p>
          <w:p>
            <w:pPr>
              <w:pStyle w:val="6"/>
              <w:bidi w:val="0"/>
              <w:rPr>
                <w:color w:val="auto"/>
                <w:highlight w:val="none"/>
              </w:rPr>
            </w:pPr>
            <w:r>
              <w:rPr>
                <w:rFonts w:hint="eastAsia"/>
                <w:color w:val="auto"/>
                <w:highlight w:val="none"/>
                <w:lang w:eastAsia="zh-CN"/>
              </w:rPr>
              <w:t>现有工程</w:t>
            </w:r>
            <w:r>
              <w:rPr>
                <w:rFonts w:hint="eastAsia"/>
                <w:color w:val="auto"/>
                <w:highlight w:val="none"/>
              </w:rPr>
              <w:t>环保手续情况见表2.</w:t>
            </w:r>
            <w:r>
              <w:rPr>
                <w:rFonts w:hint="eastAsia"/>
                <w:color w:val="auto"/>
                <w:highlight w:val="none"/>
                <w:lang w:val="en-US" w:eastAsia="zh-CN"/>
              </w:rPr>
              <w:t>3</w:t>
            </w:r>
            <w:r>
              <w:rPr>
                <w:rFonts w:hint="eastAsia"/>
                <w:color w:val="auto"/>
                <w:highlight w:val="none"/>
              </w:rPr>
              <w:t>-1。</w:t>
            </w:r>
          </w:p>
          <w:p>
            <w:pPr>
              <w:pStyle w:val="36"/>
              <w:bidi w:val="0"/>
              <w:rPr>
                <w:color w:val="auto"/>
                <w:highlight w:val="none"/>
              </w:rPr>
            </w:pPr>
            <w:r>
              <w:rPr>
                <w:rFonts w:hint="eastAsia"/>
                <w:color w:val="auto"/>
                <w:highlight w:val="none"/>
              </w:rPr>
              <w:t xml:space="preserve">表2.3-1 </w:t>
            </w:r>
            <w:r>
              <w:rPr>
                <w:rFonts w:hint="eastAsia"/>
                <w:color w:val="auto"/>
                <w:highlight w:val="none"/>
                <w:lang w:eastAsia="zh-CN"/>
              </w:rPr>
              <w:t>现有工程</w:t>
            </w:r>
            <w:r>
              <w:rPr>
                <w:rFonts w:hint="eastAsia"/>
                <w:color w:val="auto"/>
                <w:highlight w:val="none"/>
              </w:rPr>
              <w:t>环保手续情况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29"/>
              <w:gridCol w:w="805"/>
              <w:gridCol w:w="2122"/>
              <w:gridCol w:w="1406"/>
              <w:gridCol w:w="1368"/>
              <w:gridCol w:w="900"/>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4" w:type="pct"/>
                  <w:vMerge w:val="restart"/>
                  <w:noWrap w:val="0"/>
                  <w:vAlign w:val="center"/>
                </w:tcPr>
                <w:p>
                  <w:pPr>
                    <w:pStyle w:val="57"/>
                    <w:bidi w:val="0"/>
                    <w:rPr>
                      <w:rFonts w:hint="eastAsia"/>
                      <w:color w:val="auto"/>
                      <w:highlight w:val="none"/>
                    </w:rPr>
                  </w:pPr>
                  <w:r>
                    <w:rPr>
                      <w:rFonts w:hint="eastAsia"/>
                      <w:color w:val="auto"/>
                      <w:highlight w:val="none"/>
                    </w:rPr>
                    <w:t>序号</w:t>
                  </w:r>
                </w:p>
              </w:tc>
              <w:tc>
                <w:tcPr>
                  <w:tcW w:w="474" w:type="pct"/>
                  <w:vMerge w:val="restart"/>
                  <w:noWrap w:val="0"/>
                  <w:vAlign w:val="center"/>
                </w:tcPr>
                <w:p>
                  <w:pPr>
                    <w:pStyle w:val="57"/>
                    <w:bidi w:val="0"/>
                    <w:rPr>
                      <w:rFonts w:hint="eastAsia"/>
                      <w:color w:val="auto"/>
                      <w:highlight w:val="none"/>
                    </w:rPr>
                  </w:pPr>
                  <w:r>
                    <w:rPr>
                      <w:rFonts w:hint="eastAsia"/>
                      <w:color w:val="auto"/>
                      <w:highlight w:val="none"/>
                    </w:rPr>
                    <w:t>类别</w:t>
                  </w:r>
                </w:p>
              </w:tc>
              <w:tc>
                <w:tcPr>
                  <w:tcW w:w="1250" w:type="pct"/>
                  <w:vMerge w:val="restart"/>
                  <w:noWrap w:val="0"/>
                  <w:vAlign w:val="center"/>
                </w:tcPr>
                <w:p>
                  <w:pPr>
                    <w:pStyle w:val="57"/>
                    <w:bidi w:val="0"/>
                    <w:rPr>
                      <w:rFonts w:hint="eastAsia"/>
                      <w:color w:val="auto"/>
                      <w:highlight w:val="none"/>
                    </w:rPr>
                  </w:pPr>
                  <w:r>
                    <w:rPr>
                      <w:rFonts w:hint="eastAsia"/>
                      <w:color w:val="auto"/>
                      <w:highlight w:val="none"/>
                    </w:rPr>
                    <w:t>建设项目名称</w:t>
                  </w:r>
                </w:p>
              </w:tc>
              <w:tc>
                <w:tcPr>
                  <w:tcW w:w="2164" w:type="pct"/>
                  <w:gridSpan w:val="3"/>
                  <w:noWrap w:val="0"/>
                  <w:vAlign w:val="center"/>
                </w:tcPr>
                <w:p>
                  <w:pPr>
                    <w:pStyle w:val="57"/>
                    <w:bidi w:val="0"/>
                    <w:rPr>
                      <w:rFonts w:hint="eastAsia"/>
                      <w:color w:val="auto"/>
                      <w:highlight w:val="none"/>
                    </w:rPr>
                  </w:pPr>
                  <w:r>
                    <w:rPr>
                      <w:rFonts w:hint="eastAsia"/>
                      <w:color w:val="auto"/>
                      <w:highlight w:val="none"/>
                    </w:rPr>
                    <w:t>环评文件</w:t>
                  </w:r>
                </w:p>
              </w:tc>
              <w:tc>
                <w:tcPr>
                  <w:tcW w:w="916" w:type="pct"/>
                  <w:vMerge w:val="restart"/>
                  <w:noWrap w:val="0"/>
                  <w:vAlign w:val="center"/>
                </w:tcPr>
                <w:p>
                  <w:pPr>
                    <w:pStyle w:val="57"/>
                    <w:bidi w:val="0"/>
                    <w:rPr>
                      <w:rFonts w:hint="eastAsia"/>
                      <w:color w:val="auto"/>
                      <w:highlight w:val="none"/>
                    </w:rPr>
                  </w:pPr>
                  <w:r>
                    <w:rPr>
                      <w:rFonts w:hint="eastAsia"/>
                      <w:color w:val="auto"/>
                      <w:highlight w:val="none"/>
                    </w:rPr>
                    <w:t>验收文件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4" w:type="pct"/>
                  <w:vMerge w:val="continue"/>
                  <w:noWrap w:val="0"/>
                  <w:vAlign w:val="center"/>
                </w:tcPr>
                <w:p>
                  <w:pPr>
                    <w:pStyle w:val="57"/>
                    <w:bidi w:val="0"/>
                    <w:rPr>
                      <w:rFonts w:hint="eastAsia"/>
                      <w:color w:val="auto"/>
                      <w:highlight w:val="none"/>
                    </w:rPr>
                  </w:pPr>
                </w:p>
              </w:tc>
              <w:tc>
                <w:tcPr>
                  <w:tcW w:w="474" w:type="pct"/>
                  <w:vMerge w:val="continue"/>
                  <w:noWrap w:val="0"/>
                  <w:vAlign w:val="center"/>
                </w:tcPr>
                <w:p>
                  <w:pPr>
                    <w:pStyle w:val="57"/>
                    <w:bidi w:val="0"/>
                    <w:rPr>
                      <w:rFonts w:hint="eastAsia"/>
                      <w:color w:val="auto"/>
                      <w:highlight w:val="none"/>
                    </w:rPr>
                  </w:pPr>
                </w:p>
              </w:tc>
              <w:tc>
                <w:tcPr>
                  <w:tcW w:w="1250" w:type="pct"/>
                  <w:vMerge w:val="continue"/>
                  <w:noWrap w:val="0"/>
                  <w:vAlign w:val="center"/>
                </w:tcPr>
                <w:p>
                  <w:pPr>
                    <w:pStyle w:val="57"/>
                    <w:bidi w:val="0"/>
                    <w:rPr>
                      <w:rFonts w:hint="eastAsia"/>
                      <w:color w:val="auto"/>
                      <w:highlight w:val="none"/>
                    </w:rPr>
                  </w:pPr>
                </w:p>
              </w:tc>
              <w:tc>
                <w:tcPr>
                  <w:tcW w:w="828" w:type="pct"/>
                  <w:noWrap w:val="0"/>
                  <w:vAlign w:val="center"/>
                </w:tcPr>
                <w:p>
                  <w:pPr>
                    <w:pStyle w:val="57"/>
                    <w:bidi w:val="0"/>
                    <w:rPr>
                      <w:rFonts w:hint="eastAsia"/>
                      <w:color w:val="auto"/>
                      <w:highlight w:val="none"/>
                    </w:rPr>
                  </w:pPr>
                  <w:r>
                    <w:rPr>
                      <w:rFonts w:hint="eastAsia"/>
                      <w:color w:val="auto"/>
                      <w:highlight w:val="none"/>
                    </w:rPr>
                    <w:t>审批单位</w:t>
                  </w:r>
                </w:p>
              </w:tc>
              <w:tc>
                <w:tcPr>
                  <w:tcW w:w="806" w:type="pct"/>
                  <w:noWrap w:val="0"/>
                  <w:vAlign w:val="center"/>
                </w:tcPr>
                <w:p>
                  <w:pPr>
                    <w:pStyle w:val="57"/>
                    <w:bidi w:val="0"/>
                    <w:rPr>
                      <w:rFonts w:hint="eastAsia"/>
                      <w:color w:val="auto"/>
                      <w:highlight w:val="none"/>
                    </w:rPr>
                  </w:pPr>
                  <w:r>
                    <w:rPr>
                      <w:rFonts w:hint="eastAsia"/>
                      <w:color w:val="auto"/>
                      <w:highlight w:val="none"/>
                    </w:rPr>
                    <w:t>批准文号</w:t>
                  </w:r>
                </w:p>
              </w:tc>
              <w:tc>
                <w:tcPr>
                  <w:tcW w:w="529" w:type="pct"/>
                  <w:noWrap w:val="0"/>
                  <w:vAlign w:val="center"/>
                </w:tcPr>
                <w:p>
                  <w:pPr>
                    <w:pStyle w:val="57"/>
                    <w:bidi w:val="0"/>
                    <w:rPr>
                      <w:rFonts w:hint="eastAsia"/>
                      <w:color w:val="auto"/>
                      <w:highlight w:val="none"/>
                    </w:rPr>
                  </w:pPr>
                  <w:r>
                    <w:rPr>
                      <w:rFonts w:hint="eastAsia"/>
                      <w:color w:val="auto"/>
                      <w:highlight w:val="none"/>
                    </w:rPr>
                    <w:t>批准时间</w:t>
                  </w:r>
                </w:p>
              </w:tc>
              <w:tc>
                <w:tcPr>
                  <w:tcW w:w="916" w:type="pct"/>
                  <w:vMerge w:val="continue"/>
                  <w:noWrap w:val="0"/>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4" w:type="pct"/>
                  <w:noWrap w:val="0"/>
                  <w:vAlign w:val="center"/>
                </w:tcPr>
                <w:p>
                  <w:pPr>
                    <w:pStyle w:val="57"/>
                    <w:bidi w:val="0"/>
                    <w:rPr>
                      <w:rFonts w:hint="eastAsia"/>
                      <w:color w:val="auto"/>
                      <w:highlight w:val="none"/>
                    </w:rPr>
                  </w:pPr>
                  <w:r>
                    <w:rPr>
                      <w:rFonts w:hint="eastAsia"/>
                      <w:color w:val="auto"/>
                      <w:highlight w:val="none"/>
                    </w:rPr>
                    <w:t>1</w:t>
                  </w:r>
                </w:p>
              </w:tc>
              <w:tc>
                <w:tcPr>
                  <w:tcW w:w="474" w:type="pct"/>
                  <w:vMerge w:val="restart"/>
                  <w:noWrap w:val="0"/>
                  <w:vAlign w:val="center"/>
                </w:tcPr>
                <w:p>
                  <w:pPr>
                    <w:pStyle w:val="57"/>
                    <w:bidi w:val="0"/>
                    <w:rPr>
                      <w:color w:val="auto"/>
                      <w:highlight w:val="none"/>
                    </w:rPr>
                  </w:pPr>
                  <w:r>
                    <w:rPr>
                      <w:rFonts w:hint="eastAsia"/>
                      <w:color w:val="auto"/>
                      <w:highlight w:val="none"/>
                    </w:rPr>
                    <w:t>环评及验收情况</w:t>
                  </w:r>
                </w:p>
              </w:tc>
              <w:tc>
                <w:tcPr>
                  <w:tcW w:w="1250" w:type="pct"/>
                  <w:noWrap w:val="0"/>
                  <w:vAlign w:val="center"/>
                </w:tcPr>
                <w:p>
                  <w:pPr>
                    <w:pStyle w:val="57"/>
                    <w:bidi w:val="0"/>
                    <w:rPr>
                      <w:rFonts w:hint="eastAsia"/>
                      <w:color w:val="auto"/>
                      <w:highlight w:val="none"/>
                    </w:rPr>
                  </w:pPr>
                  <w:r>
                    <w:rPr>
                      <w:rFonts w:hint="eastAsia"/>
                      <w:color w:val="auto"/>
                      <w:highlight w:val="none"/>
                    </w:rPr>
                    <w:t>新疆巴州敏宇化工有限公司年产30万吨活性石灰项目</w:t>
                  </w:r>
                </w:p>
              </w:tc>
              <w:tc>
                <w:tcPr>
                  <w:tcW w:w="828"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原</w:t>
                  </w:r>
                  <w:r>
                    <w:rPr>
                      <w:rFonts w:hint="eastAsia"/>
                      <w:color w:val="auto"/>
                      <w:highlight w:val="none"/>
                    </w:rPr>
                    <w:t>巴音郭楞蒙古自治州</w:t>
                  </w:r>
                  <w:r>
                    <w:rPr>
                      <w:rFonts w:hint="eastAsia"/>
                      <w:color w:val="auto"/>
                      <w:highlight w:val="none"/>
                      <w:lang w:val="en-US" w:eastAsia="zh-CN"/>
                    </w:rPr>
                    <w:t>环境保护局</w:t>
                  </w:r>
                </w:p>
              </w:tc>
              <w:tc>
                <w:tcPr>
                  <w:tcW w:w="806" w:type="pct"/>
                  <w:noWrap w:val="0"/>
                  <w:vAlign w:val="center"/>
                </w:tcPr>
                <w:p>
                  <w:pPr>
                    <w:pStyle w:val="57"/>
                    <w:bidi w:val="0"/>
                    <w:rPr>
                      <w:rFonts w:hint="eastAsia"/>
                      <w:color w:val="auto"/>
                      <w:highlight w:val="none"/>
                    </w:rPr>
                  </w:pPr>
                  <w:r>
                    <w:rPr>
                      <w:rFonts w:hint="eastAsia"/>
                      <w:color w:val="auto"/>
                      <w:highlight w:val="none"/>
                    </w:rPr>
                    <w:t>巴环</w:t>
                  </w:r>
                  <w:r>
                    <w:rPr>
                      <w:rFonts w:hint="eastAsia"/>
                      <w:color w:val="auto"/>
                      <w:highlight w:val="none"/>
                      <w:lang w:val="en-US" w:eastAsia="zh-CN"/>
                    </w:rPr>
                    <w:t>控</w:t>
                  </w:r>
                  <w:r>
                    <w:rPr>
                      <w:rFonts w:hint="eastAsia"/>
                      <w:color w:val="auto"/>
                      <w:highlight w:val="none"/>
                    </w:rPr>
                    <w:t>函</w:t>
                  </w:r>
                  <w:r>
                    <w:rPr>
                      <w:rFonts w:hint="eastAsia"/>
                      <w:color w:val="auto"/>
                      <w:highlight w:val="none"/>
                      <w:lang w:eastAsia="zh-CN"/>
                    </w:rPr>
                    <w:t>〔</w:t>
                  </w:r>
                  <w:r>
                    <w:rPr>
                      <w:rFonts w:hint="eastAsia"/>
                      <w:color w:val="auto"/>
                      <w:highlight w:val="none"/>
                      <w:lang w:val="en-US" w:eastAsia="zh-CN"/>
                    </w:rPr>
                    <w:t>2011</w:t>
                  </w:r>
                  <w:r>
                    <w:rPr>
                      <w:rFonts w:hint="eastAsia"/>
                      <w:color w:val="auto"/>
                      <w:highlight w:val="none"/>
                      <w:lang w:eastAsia="zh-CN"/>
                    </w:rPr>
                    <w:t>〕</w:t>
                  </w:r>
                  <w:r>
                    <w:rPr>
                      <w:rFonts w:hint="eastAsia"/>
                      <w:color w:val="auto"/>
                      <w:highlight w:val="none"/>
                      <w:lang w:val="en-US" w:eastAsia="zh-CN"/>
                    </w:rPr>
                    <w:t>64</w:t>
                  </w:r>
                  <w:r>
                    <w:rPr>
                      <w:rFonts w:hint="eastAsia"/>
                      <w:color w:val="auto"/>
                      <w:highlight w:val="none"/>
                    </w:rPr>
                    <w:t>号</w:t>
                  </w:r>
                </w:p>
              </w:tc>
              <w:tc>
                <w:tcPr>
                  <w:tcW w:w="529" w:type="pct"/>
                  <w:noWrap w:val="0"/>
                  <w:vAlign w:val="center"/>
                </w:tcPr>
                <w:p>
                  <w:pPr>
                    <w:pStyle w:val="57"/>
                    <w:bidi w:val="0"/>
                    <w:rPr>
                      <w:rFonts w:hint="eastAsia"/>
                      <w:color w:val="auto"/>
                      <w:highlight w:val="none"/>
                    </w:rPr>
                  </w:pPr>
                  <w:r>
                    <w:rPr>
                      <w:rFonts w:hint="eastAsia"/>
                      <w:color w:val="auto"/>
                      <w:highlight w:val="none"/>
                      <w:lang w:val="en-US" w:eastAsia="zh-CN"/>
                    </w:rPr>
                    <w:t>2011</w:t>
                  </w:r>
                  <w:r>
                    <w:rPr>
                      <w:rFonts w:hint="eastAsia"/>
                      <w:color w:val="auto"/>
                      <w:highlight w:val="none"/>
                    </w:rPr>
                    <w:t>年</w:t>
                  </w:r>
                  <w:r>
                    <w:rPr>
                      <w:rFonts w:hint="eastAsia"/>
                      <w:color w:val="auto"/>
                      <w:highlight w:val="none"/>
                      <w:lang w:val="en-US" w:eastAsia="zh-CN"/>
                    </w:rPr>
                    <w:t>2</w:t>
                  </w:r>
                  <w:r>
                    <w:rPr>
                      <w:rFonts w:hint="eastAsia"/>
                      <w:color w:val="auto"/>
                      <w:highlight w:val="none"/>
                    </w:rPr>
                    <w:t>月</w:t>
                  </w:r>
                  <w:r>
                    <w:rPr>
                      <w:rFonts w:hint="eastAsia"/>
                      <w:color w:val="auto"/>
                      <w:highlight w:val="none"/>
                      <w:lang w:val="en-US" w:eastAsia="zh-CN"/>
                    </w:rPr>
                    <w:t>24</w:t>
                  </w:r>
                  <w:r>
                    <w:rPr>
                      <w:rFonts w:hint="eastAsia"/>
                      <w:color w:val="auto"/>
                      <w:highlight w:val="none"/>
                    </w:rPr>
                    <w:t>日</w:t>
                  </w:r>
                </w:p>
              </w:tc>
              <w:tc>
                <w:tcPr>
                  <w:tcW w:w="916"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2019年7月17日通过自主验收</w:t>
                  </w:r>
                </w:p>
                <w:p>
                  <w:pPr>
                    <w:pStyle w:val="57"/>
                    <w:bidi w:val="0"/>
                    <w:rPr>
                      <w:rFonts w:hint="default"/>
                      <w:color w:val="auto"/>
                      <w:highlight w:val="none"/>
                      <w:lang w:val="en-US" w:eastAsia="zh-CN"/>
                    </w:rPr>
                  </w:pPr>
                  <w:r>
                    <w:rPr>
                      <w:rFonts w:hint="eastAsia"/>
                      <w:color w:val="auto"/>
                      <w:highlight w:val="none"/>
                      <w:lang w:val="en-US" w:eastAsia="zh-CN"/>
                    </w:rPr>
                    <w:t>巴环评价验备序〔2019〕144号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4" w:type="pct"/>
                  <w:noWrap w:val="0"/>
                  <w:vAlign w:val="center"/>
                </w:tcPr>
                <w:p>
                  <w:pPr>
                    <w:pStyle w:val="57"/>
                    <w:bidi w:val="0"/>
                    <w:rPr>
                      <w:rFonts w:hint="eastAsia"/>
                      <w:color w:val="auto"/>
                      <w:highlight w:val="none"/>
                    </w:rPr>
                  </w:pPr>
                  <w:r>
                    <w:rPr>
                      <w:rFonts w:hint="eastAsia"/>
                      <w:color w:val="auto"/>
                      <w:highlight w:val="none"/>
                    </w:rPr>
                    <w:t>2</w:t>
                  </w:r>
                </w:p>
              </w:tc>
              <w:tc>
                <w:tcPr>
                  <w:tcW w:w="474" w:type="pct"/>
                  <w:vMerge w:val="continue"/>
                  <w:noWrap w:val="0"/>
                  <w:vAlign w:val="center"/>
                </w:tcPr>
                <w:p>
                  <w:pPr>
                    <w:pStyle w:val="57"/>
                    <w:bidi w:val="0"/>
                    <w:rPr>
                      <w:color w:val="auto"/>
                      <w:highlight w:val="none"/>
                    </w:rPr>
                  </w:pPr>
                </w:p>
              </w:tc>
              <w:tc>
                <w:tcPr>
                  <w:tcW w:w="1250" w:type="pct"/>
                  <w:noWrap w:val="0"/>
                  <w:vAlign w:val="center"/>
                </w:tcPr>
                <w:p>
                  <w:pPr>
                    <w:pStyle w:val="57"/>
                    <w:bidi w:val="0"/>
                    <w:rPr>
                      <w:rFonts w:hint="eastAsia"/>
                      <w:color w:val="auto"/>
                      <w:highlight w:val="none"/>
                    </w:rPr>
                  </w:pPr>
                  <w:r>
                    <w:rPr>
                      <w:rFonts w:hint="eastAsia"/>
                      <w:color w:val="auto"/>
                      <w:highlight w:val="none"/>
                    </w:rPr>
                    <w:t>巴州敏宇化工有限公司石灰石、生石灰磨粉加工项目</w:t>
                  </w:r>
                </w:p>
              </w:tc>
              <w:tc>
                <w:tcPr>
                  <w:tcW w:w="828" w:type="pct"/>
                  <w:noWrap w:val="0"/>
                  <w:vAlign w:val="center"/>
                </w:tcPr>
                <w:p>
                  <w:pPr>
                    <w:pStyle w:val="57"/>
                    <w:bidi w:val="0"/>
                    <w:rPr>
                      <w:color w:val="auto"/>
                      <w:highlight w:val="none"/>
                    </w:rPr>
                  </w:pPr>
                  <w:r>
                    <w:rPr>
                      <w:rFonts w:hint="eastAsia"/>
                      <w:color w:val="auto"/>
                      <w:highlight w:val="none"/>
                    </w:rPr>
                    <w:t>巴音郭楞蒙古自治州生态环境局</w:t>
                  </w:r>
                </w:p>
              </w:tc>
              <w:tc>
                <w:tcPr>
                  <w:tcW w:w="806" w:type="pct"/>
                  <w:noWrap w:val="0"/>
                  <w:vAlign w:val="center"/>
                </w:tcPr>
                <w:p>
                  <w:pPr>
                    <w:pStyle w:val="57"/>
                    <w:bidi w:val="0"/>
                    <w:rPr>
                      <w:rFonts w:hint="eastAsia"/>
                      <w:color w:val="auto"/>
                      <w:highlight w:val="none"/>
                    </w:rPr>
                  </w:pPr>
                  <w:r>
                    <w:rPr>
                      <w:rFonts w:hint="eastAsia"/>
                      <w:color w:val="auto"/>
                      <w:highlight w:val="none"/>
                    </w:rPr>
                    <w:t>巴环评价函</w:t>
                  </w:r>
                  <w:r>
                    <w:rPr>
                      <w:rFonts w:hint="eastAsia"/>
                      <w:color w:val="auto"/>
                      <w:highlight w:val="none"/>
                      <w:lang w:eastAsia="zh-CN"/>
                    </w:rPr>
                    <w:t>〔</w:t>
                  </w:r>
                  <w:r>
                    <w:rPr>
                      <w:rFonts w:hint="eastAsia"/>
                      <w:color w:val="auto"/>
                      <w:highlight w:val="none"/>
                    </w:rPr>
                    <w:t>2021</w:t>
                  </w:r>
                  <w:r>
                    <w:rPr>
                      <w:rFonts w:hint="eastAsia"/>
                      <w:color w:val="auto"/>
                      <w:highlight w:val="none"/>
                      <w:lang w:eastAsia="zh-CN"/>
                    </w:rPr>
                    <w:t>〕</w:t>
                  </w:r>
                  <w:r>
                    <w:rPr>
                      <w:rFonts w:hint="eastAsia"/>
                      <w:color w:val="auto"/>
                      <w:highlight w:val="none"/>
                      <w:lang w:val="en-US" w:eastAsia="zh-CN"/>
                    </w:rPr>
                    <w:t>131</w:t>
                  </w:r>
                  <w:r>
                    <w:rPr>
                      <w:rFonts w:hint="eastAsia"/>
                      <w:color w:val="auto"/>
                      <w:highlight w:val="none"/>
                    </w:rPr>
                    <w:t>号</w:t>
                  </w:r>
                </w:p>
              </w:tc>
              <w:tc>
                <w:tcPr>
                  <w:tcW w:w="529" w:type="pct"/>
                  <w:noWrap w:val="0"/>
                  <w:vAlign w:val="center"/>
                </w:tcPr>
                <w:p>
                  <w:pPr>
                    <w:pStyle w:val="57"/>
                    <w:bidi w:val="0"/>
                    <w:rPr>
                      <w:rFonts w:hint="eastAsia"/>
                      <w:color w:val="auto"/>
                      <w:highlight w:val="none"/>
                    </w:rPr>
                  </w:pPr>
                  <w:r>
                    <w:rPr>
                      <w:rFonts w:hint="eastAsia"/>
                      <w:color w:val="auto"/>
                      <w:highlight w:val="none"/>
                    </w:rPr>
                    <w:t>2021年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13</w:t>
                  </w:r>
                  <w:r>
                    <w:rPr>
                      <w:rFonts w:hint="eastAsia"/>
                      <w:color w:val="auto"/>
                      <w:highlight w:val="none"/>
                    </w:rPr>
                    <w:t>日</w:t>
                  </w:r>
                </w:p>
              </w:tc>
              <w:tc>
                <w:tcPr>
                  <w:tcW w:w="916" w:type="pct"/>
                  <w:noWrap w:val="0"/>
                  <w:vAlign w:val="center"/>
                </w:tcPr>
                <w:p>
                  <w:pPr>
                    <w:pStyle w:val="57"/>
                    <w:bidi w:val="0"/>
                    <w:rPr>
                      <w:color w:val="auto"/>
                      <w:highlight w:val="none"/>
                    </w:rPr>
                  </w:pPr>
                  <w:r>
                    <w:rPr>
                      <w:rFonts w:hint="eastAsia"/>
                      <w:color w:val="auto"/>
                      <w:highlight w:val="none"/>
                    </w:rPr>
                    <w:t>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11</w:t>
                  </w:r>
                  <w:r>
                    <w:rPr>
                      <w:rFonts w:hint="eastAsia"/>
                      <w:color w:val="auto"/>
                      <w:highlight w:val="none"/>
                    </w:rPr>
                    <w:t>日通过自主验收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4" w:type="pct"/>
                  <w:noWrap w:val="0"/>
                  <w:vAlign w:val="center"/>
                </w:tcPr>
                <w:p>
                  <w:pPr>
                    <w:pStyle w:val="57"/>
                    <w:bidi w:val="0"/>
                    <w:rPr>
                      <w:rFonts w:hint="eastAsia"/>
                      <w:color w:val="auto"/>
                      <w:highlight w:val="none"/>
                      <w:lang w:eastAsia="zh-CN"/>
                    </w:rPr>
                  </w:pPr>
                  <w:r>
                    <w:rPr>
                      <w:rFonts w:hint="eastAsia"/>
                      <w:color w:val="auto"/>
                      <w:highlight w:val="none"/>
                      <w:lang w:val="en-US" w:eastAsia="zh-CN"/>
                    </w:rPr>
                    <w:t>3</w:t>
                  </w:r>
                </w:p>
              </w:tc>
              <w:tc>
                <w:tcPr>
                  <w:tcW w:w="474" w:type="pct"/>
                  <w:noWrap w:val="0"/>
                  <w:vAlign w:val="center"/>
                </w:tcPr>
                <w:p>
                  <w:pPr>
                    <w:pStyle w:val="57"/>
                    <w:bidi w:val="0"/>
                    <w:rPr>
                      <w:rFonts w:hint="eastAsia"/>
                      <w:color w:val="auto"/>
                      <w:highlight w:val="none"/>
                    </w:rPr>
                  </w:pPr>
                  <w:r>
                    <w:rPr>
                      <w:rFonts w:hint="eastAsia"/>
                      <w:color w:val="auto"/>
                      <w:highlight w:val="none"/>
                    </w:rPr>
                    <w:t>环境风险应急预案</w:t>
                  </w:r>
                </w:p>
              </w:tc>
              <w:tc>
                <w:tcPr>
                  <w:tcW w:w="1250"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巴州敏宇化工有限公司突发环境事件应急预案</w:t>
                  </w:r>
                </w:p>
              </w:tc>
              <w:tc>
                <w:tcPr>
                  <w:tcW w:w="3080" w:type="pct"/>
                  <w:gridSpan w:val="4"/>
                  <w:noWrap w:val="0"/>
                  <w:vAlign w:val="center"/>
                </w:tcPr>
                <w:p>
                  <w:pPr>
                    <w:pStyle w:val="57"/>
                    <w:bidi w:val="0"/>
                    <w:rPr>
                      <w:rFonts w:hint="eastAsia"/>
                      <w:color w:val="auto"/>
                      <w:highlight w:val="none"/>
                      <w:lang w:eastAsia="zh-CN"/>
                    </w:rPr>
                  </w:pPr>
                  <w:r>
                    <w:rPr>
                      <w:rFonts w:hint="eastAsia"/>
                      <w:color w:val="auto"/>
                      <w:highlight w:val="none"/>
                    </w:rPr>
                    <w:t>《</w:t>
                  </w:r>
                  <w:r>
                    <w:rPr>
                      <w:rFonts w:hint="eastAsia"/>
                      <w:color w:val="auto"/>
                      <w:highlight w:val="none"/>
                      <w:lang w:val="en-US" w:eastAsia="zh-CN"/>
                    </w:rPr>
                    <w:t>巴州敏宇化工有限公司突发环境事件应急预案</w:t>
                  </w:r>
                  <w:r>
                    <w:rPr>
                      <w:rFonts w:hint="eastAsia"/>
                      <w:color w:val="auto"/>
                      <w:highlight w:val="none"/>
                    </w:rPr>
                    <w:t>》</w:t>
                  </w:r>
                  <w:r>
                    <w:rPr>
                      <w:rFonts w:hint="eastAsia"/>
                      <w:color w:val="auto"/>
                      <w:highlight w:val="none"/>
                      <w:lang w:eastAsia="zh-CN"/>
                    </w:rPr>
                    <w:t>（</w:t>
                  </w:r>
                  <w:r>
                    <w:rPr>
                      <w:rFonts w:hint="eastAsia"/>
                      <w:color w:val="auto"/>
                      <w:highlight w:val="none"/>
                    </w:rPr>
                    <w:t>备案编号6528</w:t>
                  </w:r>
                  <w:r>
                    <w:rPr>
                      <w:rFonts w:hint="eastAsia"/>
                      <w:color w:val="auto"/>
                      <w:highlight w:val="none"/>
                      <w:lang w:val="en-US" w:eastAsia="zh-CN"/>
                    </w:rPr>
                    <w:t>01</w:t>
                  </w:r>
                  <w:r>
                    <w:rPr>
                      <w:rFonts w:hint="eastAsia"/>
                      <w:color w:val="auto"/>
                      <w:highlight w:val="none"/>
                    </w:rPr>
                    <w:t>-2022-</w:t>
                  </w:r>
                  <w:r>
                    <w:rPr>
                      <w:rFonts w:hint="eastAsia"/>
                      <w:color w:val="auto"/>
                      <w:highlight w:val="none"/>
                      <w:lang w:val="en-US" w:eastAsia="zh-CN"/>
                    </w:rPr>
                    <w:t>1</w:t>
                  </w:r>
                  <w:r>
                    <w:rPr>
                      <w:rFonts w:hint="eastAsia"/>
                      <w:color w:val="auto"/>
                      <w:highlight w:val="none"/>
                    </w:rPr>
                    <w:t>-</w:t>
                  </w:r>
                  <w:r>
                    <w:rPr>
                      <w:rFonts w:hint="eastAsia"/>
                      <w:color w:val="auto"/>
                      <w:highlight w:val="none"/>
                      <w:lang w:val="en-US" w:eastAsia="zh-CN"/>
                    </w:rPr>
                    <w:t>006-</w:t>
                  </w:r>
                  <w:r>
                    <w:rPr>
                      <w:rFonts w:hint="eastAsia"/>
                      <w:color w:val="auto"/>
                      <w:highlight w:val="none"/>
                    </w:rPr>
                    <w:t>L</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4" w:type="pct"/>
                  <w:noWrap w:val="0"/>
                  <w:vAlign w:val="center"/>
                </w:tcPr>
                <w:p>
                  <w:pPr>
                    <w:pStyle w:val="57"/>
                    <w:bidi w:val="0"/>
                    <w:rPr>
                      <w:rFonts w:hint="eastAsia"/>
                      <w:color w:val="auto"/>
                      <w:highlight w:val="none"/>
                      <w:lang w:eastAsia="zh-CN"/>
                    </w:rPr>
                  </w:pPr>
                  <w:r>
                    <w:rPr>
                      <w:rFonts w:hint="eastAsia"/>
                      <w:color w:val="auto"/>
                      <w:highlight w:val="none"/>
                      <w:lang w:val="en-US" w:eastAsia="zh-CN"/>
                    </w:rPr>
                    <w:t>4</w:t>
                  </w:r>
                </w:p>
              </w:tc>
              <w:tc>
                <w:tcPr>
                  <w:tcW w:w="474" w:type="pct"/>
                  <w:noWrap w:val="0"/>
                  <w:vAlign w:val="center"/>
                </w:tcPr>
                <w:p>
                  <w:pPr>
                    <w:pStyle w:val="57"/>
                    <w:bidi w:val="0"/>
                    <w:rPr>
                      <w:rFonts w:hint="eastAsia"/>
                      <w:color w:val="auto"/>
                      <w:highlight w:val="none"/>
                    </w:rPr>
                  </w:pPr>
                  <w:r>
                    <w:rPr>
                      <w:rFonts w:hint="eastAsia"/>
                      <w:color w:val="auto"/>
                      <w:highlight w:val="none"/>
                    </w:rPr>
                    <w:t>排污许可执行情况</w:t>
                  </w:r>
                </w:p>
              </w:tc>
              <w:tc>
                <w:tcPr>
                  <w:tcW w:w="1250" w:type="pct"/>
                  <w:noWrap w:val="0"/>
                  <w:vAlign w:val="center"/>
                </w:tcPr>
                <w:p>
                  <w:pPr>
                    <w:pStyle w:val="57"/>
                    <w:bidi w:val="0"/>
                    <w:rPr>
                      <w:rFonts w:hint="eastAsia"/>
                      <w:color w:val="auto"/>
                      <w:highlight w:val="none"/>
                    </w:rPr>
                  </w:pPr>
                  <w:r>
                    <w:rPr>
                      <w:rFonts w:hint="eastAsia"/>
                      <w:color w:val="auto"/>
                      <w:highlight w:val="none"/>
                      <w:lang w:val="en-US" w:eastAsia="zh-CN"/>
                    </w:rPr>
                    <w:t>巴州敏宇环保科技有限公司</w:t>
                  </w:r>
                </w:p>
              </w:tc>
              <w:tc>
                <w:tcPr>
                  <w:tcW w:w="3080" w:type="pct"/>
                  <w:gridSpan w:val="4"/>
                  <w:noWrap w:val="0"/>
                  <w:vAlign w:val="center"/>
                </w:tcPr>
                <w:p>
                  <w:pPr>
                    <w:pStyle w:val="57"/>
                    <w:bidi w:val="0"/>
                    <w:rPr>
                      <w:rFonts w:hint="eastAsia"/>
                      <w:color w:val="auto"/>
                      <w:highlight w:val="none"/>
                      <w:lang w:eastAsia="zh-CN"/>
                    </w:rPr>
                  </w:pPr>
                  <w:r>
                    <w:rPr>
                      <w:rFonts w:hint="eastAsia"/>
                      <w:color w:val="auto"/>
                      <w:highlight w:val="none"/>
                      <w:lang w:val="en-US" w:eastAsia="zh-CN"/>
                    </w:rPr>
                    <w:t>巴州敏宇环保科技有限公司</w:t>
                  </w:r>
                  <w:r>
                    <w:rPr>
                      <w:rFonts w:hint="eastAsia"/>
                      <w:color w:val="auto"/>
                      <w:highlight w:val="none"/>
                    </w:rPr>
                    <w:t>固定污染源排污许可证</w:t>
                  </w:r>
                  <w:r>
                    <w:rPr>
                      <w:rFonts w:hint="eastAsia"/>
                      <w:color w:val="auto"/>
                      <w:highlight w:val="none"/>
                      <w:lang w:eastAsia="zh-CN"/>
                    </w:rPr>
                    <w:t>（</w:t>
                  </w:r>
                  <w:r>
                    <w:rPr>
                      <w:rFonts w:hint="eastAsia"/>
                      <w:color w:val="auto"/>
                      <w:highlight w:val="none"/>
                    </w:rPr>
                    <w:t>9165280156051726XQ001P</w:t>
                  </w:r>
                  <w:r>
                    <w:rPr>
                      <w:rFonts w:hint="eastAsia"/>
                      <w:color w:val="auto"/>
                      <w:highlight w:val="none"/>
                      <w:lang w:eastAsia="zh-CN"/>
                    </w:rPr>
                    <w:t>）</w:t>
                  </w:r>
                </w:p>
              </w:tc>
            </w:tr>
          </w:tbl>
          <w:p>
            <w:pPr>
              <w:pStyle w:val="51"/>
              <w:bidi w:val="0"/>
              <w:rPr>
                <w:rFonts w:hint="eastAsia"/>
                <w:color w:val="auto"/>
                <w:highlight w:val="none"/>
              </w:rPr>
            </w:pPr>
            <w:r>
              <w:rPr>
                <w:rFonts w:hint="eastAsia"/>
                <w:color w:val="auto"/>
                <w:highlight w:val="none"/>
                <w:lang w:val="en-US" w:eastAsia="zh-CN"/>
              </w:rPr>
              <w:t>注：巴州敏宇化工有限公司于‌2024年2月27日‌变更为巴州敏宇环保科技有限公司。</w:t>
            </w:r>
          </w:p>
          <w:p>
            <w:pPr>
              <w:pStyle w:val="6"/>
              <w:bidi w:val="0"/>
              <w:rPr>
                <w:rFonts w:hint="eastAsia"/>
                <w:color w:val="auto"/>
                <w:highlight w:val="none"/>
              </w:rPr>
            </w:pPr>
          </w:p>
          <w:p>
            <w:pPr>
              <w:pStyle w:val="4"/>
              <w:bidi w:val="0"/>
              <w:rPr>
                <w:color w:val="auto"/>
                <w:highlight w:val="none"/>
              </w:rPr>
            </w:pPr>
            <w:r>
              <w:rPr>
                <w:rFonts w:hint="eastAsia"/>
                <w:color w:val="auto"/>
                <w:highlight w:val="none"/>
              </w:rPr>
              <w:t xml:space="preserve">2.3.2 </w:t>
            </w:r>
            <w:r>
              <w:rPr>
                <w:rFonts w:hint="eastAsia"/>
                <w:color w:val="auto"/>
                <w:highlight w:val="none"/>
                <w:lang w:eastAsia="zh-CN"/>
              </w:rPr>
              <w:t>现有工程</w:t>
            </w:r>
            <w:r>
              <w:rPr>
                <w:rFonts w:hint="eastAsia"/>
                <w:color w:val="auto"/>
                <w:highlight w:val="none"/>
              </w:rPr>
              <w:t>概况</w:t>
            </w:r>
          </w:p>
          <w:p>
            <w:pPr>
              <w:pStyle w:val="6"/>
              <w:bidi w:val="0"/>
              <w:rPr>
                <w:rFonts w:hint="default"/>
                <w:color w:val="auto"/>
                <w:highlight w:val="none"/>
                <w:lang w:val="en-US" w:eastAsia="zh-CN"/>
              </w:rPr>
            </w:pPr>
            <w:r>
              <w:rPr>
                <w:rFonts w:hint="eastAsia"/>
                <w:color w:val="auto"/>
                <w:highlight w:val="none"/>
                <w:lang w:val="en-US" w:eastAsia="zh-CN"/>
              </w:rPr>
              <w:t>（1）现有工程基本情况</w:t>
            </w:r>
          </w:p>
          <w:p>
            <w:pPr>
              <w:pStyle w:val="6"/>
              <w:bidi w:val="0"/>
              <w:rPr>
                <w:rFonts w:hint="eastAsia" w:eastAsia="宋体"/>
                <w:color w:val="auto"/>
                <w:highlight w:val="none"/>
                <w:lang w:val="en-US" w:eastAsia="zh-CN"/>
              </w:rPr>
            </w:pPr>
            <w:r>
              <w:rPr>
                <w:rFonts w:hint="eastAsia"/>
                <w:color w:val="auto"/>
                <w:highlight w:val="none"/>
                <w:lang w:val="en-US" w:eastAsia="zh-CN"/>
              </w:rPr>
              <w:t>1）</w:t>
            </w:r>
            <w:r>
              <w:rPr>
                <w:rFonts w:hint="eastAsia"/>
                <w:color w:val="auto"/>
                <w:highlight w:val="none"/>
              </w:rPr>
              <w:t>年产30万吨活性石灰项目</w:t>
            </w:r>
          </w:p>
          <w:p>
            <w:pPr>
              <w:pStyle w:val="6"/>
              <w:bidi w:val="0"/>
              <w:rPr>
                <w:rFonts w:hint="eastAsia"/>
                <w:color w:val="auto"/>
                <w:highlight w:val="none"/>
                <w:lang w:val="en-US" w:eastAsia="zh-CN"/>
              </w:rPr>
            </w:pPr>
            <w:r>
              <w:rPr>
                <w:rFonts w:hint="eastAsia"/>
                <w:color w:val="auto"/>
                <w:highlight w:val="none"/>
                <w:lang w:val="en-US" w:eastAsia="zh-CN"/>
              </w:rPr>
              <w:t>项目名称：</w:t>
            </w:r>
            <w:r>
              <w:rPr>
                <w:rFonts w:hint="eastAsia"/>
                <w:color w:val="auto"/>
                <w:highlight w:val="none"/>
              </w:rPr>
              <w:t>新疆巴州敏宇化工有限公司年产30万吨活性石灰项目</w:t>
            </w:r>
          </w:p>
          <w:p>
            <w:pPr>
              <w:pStyle w:val="6"/>
              <w:bidi w:val="0"/>
              <w:rPr>
                <w:rFonts w:hint="default"/>
                <w:color w:val="auto"/>
                <w:highlight w:val="none"/>
                <w:lang w:val="en-US" w:eastAsia="zh-CN"/>
              </w:rPr>
            </w:pPr>
            <w:r>
              <w:rPr>
                <w:rFonts w:hint="eastAsia"/>
                <w:color w:val="auto"/>
                <w:highlight w:val="none"/>
                <w:lang w:val="en-US" w:eastAsia="zh-CN"/>
              </w:rPr>
              <w:t>主体工程：2套节能环保石灰竖窑烧成系统</w:t>
            </w:r>
            <w:r>
              <w:rPr>
                <w:rFonts w:hint="eastAsia"/>
                <w:b w:val="0"/>
                <w:bCs w:val="0"/>
                <w:color w:val="auto"/>
                <w:highlight w:val="none"/>
                <w:lang w:val="en-US" w:eastAsia="zh-CN"/>
              </w:rPr>
              <w:t>（年产30万吨活性石灰）。</w:t>
            </w:r>
          </w:p>
          <w:p>
            <w:pPr>
              <w:pStyle w:val="6"/>
              <w:bidi w:val="0"/>
              <w:rPr>
                <w:rFonts w:hint="default"/>
                <w:color w:val="auto"/>
                <w:highlight w:val="none"/>
                <w:lang w:val="en-US" w:eastAsia="zh-CN"/>
              </w:rPr>
            </w:pPr>
            <w:r>
              <w:rPr>
                <w:rFonts w:hint="eastAsia"/>
                <w:color w:val="auto"/>
                <w:highlight w:val="none"/>
                <w:lang w:val="en-US" w:eastAsia="zh-CN"/>
              </w:rPr>
              <w:t>储运工程：1座500m</w:t>
            </w:r>
            <w:r>
              <w:rPr>
                <w:rFonts w:hint="eastAsia"/>
                <w:color w:val="auto"/>
                <w:highlight w:val="none"/>
                <w:vertAlign w:val="superscript"/>
                <w:lang w:val="en-US" w:eastAsia="zh-CN"/>
              </w:rPr>
              <w:t>2</w:t>
            </w:r>
            <w:r>
              <w:rPr>
                <w:rFonts w:hint="eastAsia"/>
                <w:color w:val="auto"/>
                <w:highlight w:val="none"/>
                <w:lang w:val="en-US" w:eastAsia="zh-CN"/>
              </w:rPr>
              <w:t>焦炭储存间（钢构）；1座原料石灰石堆场，1座1500m</w:t>
            </w:r>
            <w:r>
              <w:rPr>
                <w:rFonts w:hint="eastAsia"/>
                <w:color w:val="auto"/>
                <w:highlight w:val="none"/>
                <w:vertAlign w:val="superscript"/>
                <w:lang w:val="en-US" w:eastAsia="zh-CN"/>
              </w:rPr>
              <w:t>2</w:t>
            </w:r>
            <w:r>
              <w:rPr>
                <w:rFonts w:hint="eastAsia"/>
                <w:color w:val="auto"/>
                <w:highlight w:val="none"/>
                <w:lang w:val="en-US" w:eastAsia="zh-CN"/>
              </w:rPr>
              <w:t>封闭式石灰成品库。</w:t>
            </w:r>
          </w:p>
          <w:p>
            <w:pPr>
              <w:pStyle w:val="6"/>
              <w:bidi w:val="0"/>
              <w:rPr>
                <w:rFonts w:hint="default"/>
                <w:color w:val="auto"/>
                <w:highlight w:val="none"/>
                <w:lang w:val="en-US" w:eastAsia="zh-CN"/>
              </w:rPr>
            </w:pPr>
            <w:r>
              <w:rPr>
                <w:rFonts w:hint="eastAsia"/>
                <w:color w:val="auto"/>
                <w:highlight w:val="none"/>
                <w:lang w:val="en-US" w:eastAsia="zh-CN"/>
              </w:rPr>
              <w:t>公辅工程：办公生活区、停车棚、中控室、警卫室，供水、供电设施。</w:t>
            </w:r>
          </w:p>
          <w:p>
            <w:pPr>
              <w:pStyle w:val="6"/>
              <w:bidi w:val="0"/>
              <w:rPr>
                <w:rFonts w:hint="eastAsia"/>
                <w:color w:val="auto"/>
                <w:highlight w:val="none"/>
                <w:lang w:val="en-US" w:eastAsia="zh-CN"/>
              </w:rPr>
            </w:pPr>
            <w:r>
              <w:rPr>
                <w:rFonts w:hint="eastAsia"/>
                <w:color w:val="auto"/>
                <w:highlight w:val="none"/>
                <w:lang w:val="en-US" w:eastAsia="zh-CN"/>
              </w:rPr>
              <w:t>环保工程：</w:t>
            </w:r>
          </w:p>
          <w:p>
            <w:pPr>
              <w:pStyle w:val="6"/>
              <w:bidi w:val="0"/>
              <w:rPr>
                <w:rFonts w:hint="default"/>
                <w:color w:val="auto"/>
                <w:highlight w:val="none"/>
                <w:lang w:val="en-US" w:eastAsia="zh-CN"/>
              </w:rPr>
            </w:pPr>
            <w:r>
              <w:rPr>
                <w:rFonts w:hint="eastAsia"/>
                <w:color w:val="auto"/>
                <w:highlight w:val="none"/>
                <w:lang w:val="en-US" w:eastAsia="zh-CN"/>
              </w:rPr>
              <w:t>①废气：原料焦炭采用密闭储存间储存；石灰石堆场采用苫布苫盖；成品石灰采用密闭石灰石成品库储存；上料采用封闭式板链提升机；每套竖窑，其煅烧废气经旋风除尘器+布袋除尘器处理后，经15m排气筒排放（DA001和DA002）；</w:t>
            </w:r>
          </w:p>
          <w:p>
            <w:pPr>
              <w:pStyle w:val="6"/>
              <w:bidi w:val="0"/>
              <w:rPr>
                <w:rFonts w:hint="default"/>
                <w:color w:val="auto"/>
                <w:highlight w:val="none"/>
                <w:lang w:val="en-US" w:eastAsia="zh-CN"/>
              </w:rPr>
            </w:pPr>
            <w:r>
              <w:rPr>
                <w:rFonts w:hint="eastAsia"/>
                <w:color w:val="auto"/>
                <w:highlight w:val="none"/>
                <w:lang w:val="en-US" w:eastAsia="zh-CN"/>
              </w:rPr>
              <w:t>②废水：生活污水经化粪池收集后，委托库尔勒龙润处理有限公司定期拉运至库尔勒市南市区污水处理厂处理；</w:t>
            </w:r>
          </w:p>
          <w:p>
            <w:pPr>
              <w:pStyle w:val="6"/>
              <w:bidi w:val="0"/>
              <w:rPr>
                <w:rFonts w:hint="default"/>
                <w:color w:val="auto"/>
                <w:highlight w:val="none"/>
                <w:lang w:val="en-US" w:eastAsia="zh-CN"/>
              </w:rPr>
            </w:pPr>
            <w:r>
              <w:rPr>
                <w:rFonts w:hint="eastAsia"/>
                <w:color w:val="auto"/>
                <w:highlight w:val="none"/>
                <w:lang w:val="en-US" w:eastAsia="zh-CN"/>
              </w:rPr>
              <w:t>③固体废物：生活垃圾分类收集后，交由环卫部门处置；设备检修产生的</w:t>
            </w:r>
            <w:r>
              <w:rPr>
                <w:rFonts w:hint="eastAsia"/>
                <w:color w:val="auto"/>
                <w:highlight w:val="none"/>
                <w:lang w:eastAsia="zh-CN"/>
              </w:rPr>
              <w:t>废润滑油</w:t>
            </w:r>
            <w:r>
              <w:rPr>
                <w:rFonts w:hint="eastAsia"/>
                <w:color w:val="auto"/>
                <w:highlight w:val="none"/>
              </w:rPr>
              <w:t>等危险废物</w:t>
            </w:r>
            <w:r>
              <w:rPr>
                <w:rFonts w:hint="eastAsia"/>
                <w:color w:val="auto"/>
                <w:highlight w:val="none"/>
                <w:lang w:val="en-US" w:eastAsia="zh-CN"/>
              </w:rPr>
              <w:t>收集至</w:t>
            </w:r>
            <w:r>
              <w:rPr>
                <w:rFonts w:hint="eastAsia"/>
                <w:color w:val="auto"/>
                <w:highlight w:val="none"/>
                <w:lang w:eastAsia="zh-CN"/>
              </w:rPr>
              <w:t>危险废物贮存点</w:t>
            </w:r>
            <w:r>
              <w:rPr>
                <w:rFonts w:hint="eastAsia"/>
                <w:color w:val="auto"/>
                <w:highlight w:val="none"/>
              </w:rPr>
              <w:t>（</w:t>
            </w:r>
            <w:r>
              <w:rPr>
                <w:rFonts w:hint="eastAsia"/>
                <w:color w:val="auto"/>
                <w:highlight w:val="none"/>
                <w:lang w:val="en-US" w:eastAsia="zh-CN"/>
              </w:rPr>
              <w:t>1</w:t>
            </w:r>
            <w:r>
              <w:rPr>
                <w:rFonts w:hint="eastAsia"/>
                <w:color w:val="auto"/>
                <w:highlight w:val="none"/>
              </w:rPr>
              <w:t>8m</w:t>
            </w:r>
            <w:r>
              <w:rPr>
                <w:rFonts w:hint="eastAsia"/>
                <w:color w:val="auto"/>
                <w:highlight w:val="none"/>
                <w:vertAlign w:val="superscript"/>
              </w:rPr>
              <w:t>2</w:t>
            </w:r>
            <w:r>
              <w:rPr>
                <w:rFonts w:hint="eastAsia"/>
                <w:color w:val="auto"/>
                <w:highlight w:val="none"/>
              </w:rPr>
              <w:t>）</w:t>
            </w:r>
            <w:r>
              <w:rPr>
                <w:rFonts w:hint="eastAsia"/>
                <w:color w:val="auto"/>
                <w:highlight w:val="none"/>
                <w:lang w:val="en-US" w:eastAsia="zh-CN"/>
              </w:rPr>
              <w:t>暂存</w:t>
            </w:r>
            <w:r>
              <w:rPr>
                <w:rFonts w:hint="eastAsia"/>
                <w:color w:val="auto"/>
                <w:highlight w:val="none"/>
              </w:rPr>
              <w:t>，定期由</w:t>
            </w:r>
            <w:r>
              <w:rPr>
                <w:rFonts w:hint="eastAsia"/>
                <w:color w:val="auto"/>
                <w:highlight w:val="none"/>
                <w:lang w:eastAsia="zh-CN"/>
              </w:rPr>
              <w:t>库尔勒速润再生物资利用回收有限公司</w:t>
            </w:r>
            <w:r>
              <w:rPr>
                <w:rFonts w:hint="eastAsia"/>
                <w:color w:val="auto"/>
                <w:highlight w:val="none"/>
                <w:lang w:val="en-US" w:eastAsia="zh-CN"/>
              </w:rPr>
              <w:t>处置</w:t>
            </w:r>
          </w:p>
          <w:p>
            <w:pPr>
              <w:pStyle w:val="6"/>
              <w:bidi w:val="0"/>
              <w:rPr>
                <w:rFonts w:hint="default"/>
                <w:color w:val="auto"/>
                <w:highlight w:val="none"/>
                <w:lang w:val="en-US" w:eastAsia="zh-CN"/>
              </w:rPr>
            </w:pPr>
            <w:r>
              <w:rPr>
                <w:rFonts w:hint="eastAsia"/>
                <w:color w:val="auto"/>
                <w:highlight w:val="none"/>
                <w:lang w:val="en-US" w:eastAsia="zh-CN"/>
              </w:rPr>
              <w:t>④噪声：泵站采用隔声罩；其他设备采用基础减振等降噪措施。</w:t>
            </w:r>
          </w:p>
          <w:p>
            <w:pPr>
              <w:pStyle w:val="6"/>
              <w:bidi w:val="0"/>
              <w:rPr>
                <w:rFonts w:hint="default"/>
                <w:color w:val="auto"/>
                <w:highlight w:val="none"/>
                <w:lang w:val="en-US" w:eastAsia="zh-CN"/>
              </w:rPr>
            </w:pPr>
            <w:r>
              <w:rPr>
                <w:rFonts w:hint="eastAsia"/>
                <w:color w:val="auto"/>
                <w:highlight w:val="none"/>
                <w:lang w:val="en-US" w:eastAsia="zh-CN"/>
              </w:rPr>
              <w:t>2）</w:t>
            </w:r>
            <w:r>
              <w:rPr>
                <w:rFonts w:hint="eastAsia"/>
                <w:color w:val="auto"/>
                <w:highlight w:val="none"/>
              </w:rPr>
              <w:t>石灰石、生石灰磨粉加工项目</w:t>
            </w:r>
          </w:p>
          <w:p>
            <w:pPr>
              <w:pStyle w:val="6"/>
              <w:bidi w:val="0"/>
              <w:rPr>
                <w:rFonts w:hint="eastAsia"/>
                <w:color w:val="auto"/>
                <w:highlight w:val="none"/>
                <w:lang w:val="en-US" w:eastAsia="zh-CN"/>
              </w:rPr>
            </w:pPr>
            <w:r>
              <w:rPr>
                <w:rFonts w:hint="eastAsia"/>
                <w:color w:val="auto"/>
                <w:highlight w:val="none"/>
                <w:lang w:val="en-US" w:eastAsia="zh-CN"/>
              </w:rPr>
              <w:t>项目名称：巴州敏宇化工有限公司石灰石、生石灰磨粉加工项目</w:t>
            </w:r>
          </w:p>
          <w:p>
            <w:pPr>
              <w:pStyle w:val="6"/>
              <w:bidi w:val="0"/>
              <w:rPr>
                <w:rFonts w:hint="default"/>
                <w:color w:val="auto"/>
                <w:highlight w:val="none"/>
                <w:lang w:val="en-US" w:eastAsia="zh-CN"/>
              </w:rPr>
            </w:pPr>
            <w:r>
              <w:rPr>
                <w:rFonts w:hint="eastAsia"/>
                <w:color w:val="auto"/>
                <w:highlight w:val="none"/>
                <w:lang w:val="en-US" w:eastAsia="zh-CN"/>
              </w:rPr>
              <w:t>主体工程：1#生产车间内设有3条石灰石、生石灰磨粉生产线（年产石粉5万吨）和</w:t>
            </w:r>
            <w:r>
              <w:rPr>
                <w:rFonts w:hint="eastAsia"/>
                <w:b w:val="0"/>
                <w:bCs w:val="0"/>
                <w:color w:val="auto"/>
                <w:highlight w:val="none"/>
                <w:lang w:val="en-US" w:eastAsia="zh-CN"/>
              </w:rPr>
              <w:t>1条熟石灰消化生产线（年产1.5万吨熟石灰）；</w:t>
            </w:r>
            <w:r>
              <w:rPr>
                <w:rFonts w:hint="eastAsia"/>
                <w:color w:val="auto"/>
                <w:highlight w:val="none"/>
                <w:lang w:val="en-US" w:eastAsia="zh-CN"/>
              </w:rPr>
              <w:t>2#生产车间内设有1条</w:t>
            </w:r>
            <w:r>
              <w:rPr>
                <w:rFonts w:hint="eastAsia"/>
                <w:b w:val="0"/>
                <w:bCs w:val="0"/>
                <w:color w:val="auto"/>
                <w:highlight w:val="none"/>
                <w:lang w:val="en-US" w:eastAsia="zh-CN"/>
              </w:rPr>
              <w:t>粉煤灰、石灰石粉风选生产线（年产粉煤灰2万吨，石灰石矿粉4万吨）。</w:t>
            </w:r>
          </w:p>
          <w:p>
            <w:pPr>
              <w:pStyle w:val="6"/>
              <w:bidi w:val="0"/>
              <w:rPr>
                <w:rFonts w:hint="default"/>
                <w:color w:val="auto"/>
                <w:highlight w:val="none"/>
                <w:lang w:val="en-US" w:eastAsia="zh-CN"/>
              </w:rPr>
            </w:pPr>
            <w:r>
              <w:rPr>
                <w:rFonts w:hint="eastAsia"/>
                <w:color w:val="auto"/>
                <w:highlight w:val="none"/>
                <w:lang w:val="en-US" w:eastAsia="zh-CN"/>
              </w:rPr>
              <w:t>储运工程：原料粉煤灰、矿粉采用90×50×10m库房存放、石灰石采用封闭式库房存放。</w:t>
            </w:r>
          </w:p>
          <w:p>
            <w:pPr>
              <w:pStyle w:val="6"/>
              <w:bidi w:val="0"/>
              <w:rPr>
                <w:rFonts w:hint="default"/>
                <w:color w:val="auto"/>
                <w:highlight w:val="none"/>
                <w:lang w:val="en-US" w:eastAsia="zh-CN"/>
              </w:rPr>
            </w:pPr>
            <w:r>
              <w:rPr>
                <w:rFonts w:hint="eastAsia"/>
                <w:color w:val="auto"/>
                <w:highlight w:val="none"/>
                <w:lang w:val="en-US" w:eastAsia="zh-CN"/>
              </w:rPr>
              <w:t>公辅工程：办公生活区、停车棚、中控室、警卫室，供水、供电设施。</w:t>
            </w:r>
          </w:p>
          <w:p>
            <w:pPr>
              <w:pStyle w:val="6"/>
              <w:bidi w:val="0"/>
              <w:rPr>
                <w:rFonts w:hint="default"/>
                <w:color w:val="auto"/>
                <w:highlight w:val="none"/>
                <w:lang w:val="en-US" w:eastAsia="zh-CN"/>
              </w:rPr>
            </w:pPr>
            <w:r>
              <w:rPr>
                <w:rFonts w:hint="eastAsia"/>
                <w:color w:val="auto"/>
                <w:highlight w:val="none"/>
                <w:lang w:val="en-US" w:eastAsia="zh-CN"/>
              </w:rPr>
              <w:t>环保工程：</w:t>
            </w:r>
          </w:p>
          <w:p>
            <w:pPr>
              <w:pStyle w:val="6"/>
              <w:bidi w:val="0"/>
              <w:rPr>
                <w:rFonts w:hint="eastAsia"/>
                <w:color w:val="auto"/>
                <w:highlight w:val="none"/>
                <w:lang w:val="en-US" w:eastAsia="zh-CN"/>
              </w:rPr>
            </w:pPr>
            <w:r>
              <w:rPr>
                <w:rFonts w:hint="eastAsia"/>
                <w:color w:val="auto"/>
                <w:highlight w:val="none"/>
                <w:lang w:val="en-US" w:eastAsia="zh-CN"/>
              </w:rPr>
              <w:t>①废气：</w:t>
            </w:r>
          </w:p>
          <w:p>
            <w:pPr>
              <w:pStyle w:val="6"/>
              <w:bidi w:val="0"/>
              <w:rPr>
                <w:rFonts w:hint="eastAsia"/>
                <w:color w:val="auto"/>
                <w:highlight w:val="none"/>
                <w:lang w:val="en-US" w:eastAsia="zh-CN"/>
              </w:rPr>
            </w:pPr>
            <w:r>
              <w:rPr>
                <w:rFonts w:hint="eastAsia"/>
                <w:color w:val="auto"/>
                <w:highlight w:val="none"/>
                <w:lang w:val="en-US" w:eastAsia="zh-CN"/>
              </w:rPr>
              <w:t>a.原料：粉煤灰、矿粉、石灰石采用全封闭式库房存放；</w:t>
            </w:r>
          </w:p>
          <w:p>
            <w:pPr>
              <w:pStyle w:val="6"/>
              <w:bidi w:val="0"/>
              <w:rPr>
                <w:rFonts w:hint="eastAsia"/>
                <w:color w:val="auto"/>
                <w:highlight w:val="none"/>
                <w:lang w:val="en-US" w:eastAsia="zh-CN"/>
              </w:rPr>
            </w:pPr>
            <w:r>
              <w:rPr>
                <w:rFonts w:hint="eastAsia"/>
                <w:color w:val="auto"/>
                <w:highlight w:val="none"/>
                <w:lang w:val="en-US" w:eastAsia="zh-CN"/>
              </w:rPr>
              <w:t>b.磨粉生产线：上料采取密闭措施，并置于密闭车间内；3条磨粉生产线中的雷蒙磨各配备1台布袋除尘器，磨粉粉尘经布袋除尘器处理后，经15m排气筒排放（DA003、DA004、DA005）；3条磨粉生产线配套4个成品筒仓，每个筒仓设1套布袋除尘器，筒仓呼吸气粉尘经布袋除尘器处理后，经21.5m排气筒排放（DA006、DA007、DA008、DA009）；</w:t>
            </w:r>
          </w:p>
          <w:p>
            <w:pPr>
              <w:pStyle w:val="6"/>
              <w:bidi w:val="0"/>
              <w:rPr>
                <w:rFonts w:hint="eastAsia"/>
                <w:color w:val="auto"/>
                <w:highlight w:val="none"/>
                <w:lang w:val="en-US" w:eastAsia="zh-CN"/>
              </w:rPr>
            </w:pPr>
            <w:r>
              <w:rPr>
                <w:rFonts w:hint="eastAsia"/>
                <w:color w:val="auto"/>
                <w:highlight w:val="none"/>
                <w:lang w:val="en-US" w:eastAsia="zh-CN"/>
              </w:rPr>
              <w:t>c.熟石灰消化生产线：上料口进行半密封，设备全部置于密闭车间内；一级、二级消化粉尘经布袋除尘器处理后，经15m排气筒排放（DA010）；消石灰生产线配套6个成品筒仓，每2个筒仓设1套布袋除尘器，筒仓粉尘经布袋除尘器处理后，由19m排气筒排放（DA011、DA012、DA013）；2个废料筒仓共设1个布袋除尘器，筒仓粉尘经布袋除尘器处理后，由16m排气筒排放（DA014）；1个原料筒仓，筒仓粉尘经布袋除尘器处理后，由15m排气筒排放（DA015）；</w:t>
            </w:r>
          </w:p>
          <w:p>
            <w:pPr>
              <w:pStyle w:val="6"/>
              <w:bidi w:val="0"/>
              <w:rPr>
                <w:rFonts w:hint="default"/>
                <w:color w:val="auto"/>
                <w:highlight w:val="none"/>
                <w:lang w:val="en-US" w:eastAsia="zh-CN"/>
              </w:rPr>
            </w:pPr>
            <w:r>
              <w:rPr>
                <w:rFonts w:hint="eastAsia"/>
                <w:color w:val="auto"/>
                <w:highlight w:val="none"/>
                <w:lang w:val="en-US" w:eastAsia="zh-CN"/>
              </w:rPr>
              <w:t>d.风选生产线：物料输送采用密闭风力管道输送；4个原灰筒仓，每2个共设1套布袋除尘器，筒仓粉尘经布袋处理后经17m、15m排气筒排放（DA016、DA017）；3个细灰筒仓，各设1套布袋除尘器，筒仓粉尘经布袋除尘器处理后，经25m排气筒排放（DA018、DA019、DA020），风选吸灰机废气经布袋除尘器处理后，经15m排放口排放（DA021），风选废料提升机废气经布袋除尘器处理后，经15m排放口排放（DA022）。</w:t>
            </w:r>
          </w:p>
          <w:p>
            <w:pPr>
              <w:pStyle w:val="6"/>
              <w:bidi w:val="0"/>
              <w:rPr>
                <w:rFonts w:hint="default"/>
                <w:color w:val="auto"/>
                <w:highlight w:val="none"/>
                <w:lang w:val="en-US" w:eastAsia="zh-CN"/>
              </w:rPr>
            </w:pPr>
            <w:r>
              <w:rPr>
                <w:rFonts w:hint="eastAsia"/>
                <w:color w:val="auto"/>
                <w:highlight w:val="none"/>
                <w:lang w:val="en-US" w:eastAsia="zh-CN"/>
              </w:rPr>
              <w:t>②废水：生活污水经化粪池收集后，定期委托库尔勒龙润处理有限公司拉运至库尔勒市南市区污水处理厂处理；</w:t>
            </w:r>
          </w:p>
          <w:p>
            <w:pPr>
              <w:pStyle w:val="6"/>
              <w:bidi w:val="0"/>
              <w:rPr>
                <w:rFonts w:hint="default"/>
                <w:color w:val="auto"/>
                <w:highlight w:val="none"/>
                <w:lang w:val="en-US" w:eastAsia="zh-CN"/>
              </w:rPr>
            </w:pPr>
            <w:r>
              <w:rPr>
                <w:rFonts w:hint="eastAsia"/>
                <w:color w:val="auto"/>
                <w:highlight w:val="none"/>
                <w:lang w:val="en-US" w:eastAsia="zh-CN"/>
              </w:rPr>
              <w:t>③固体废物：除尘器收尘回收至各生产线内用作原料；废粉煤灰由货车清运至周边建材厂；熟石灰生产线废料外售处置；生活垃圾交由环卫部门处置；废润滑油、废液压油收集至危险废物贮存点暂存，定期由库尔勒速润再生物资利用回收有限公司处置；</w:t>
            </w:r>
          </w:p>
          <w:p>
            <w:pPr>
              <w:pStyle w:val="6"/>
              <w:bidi w:val="0"/>
              <w:rPr>
                <w:rFonts w:hint="eastAsia"/>
                <w:color w:val="auto"/>
                <w:highlight w:val="none"/>
                <w:lang w:val="en-US" w:eastAsia="zh-CN"/>
              </w:rPr>
            </w:pPr>
            <w:r>
              <w:rPr>
                <w:rFonts w:hint="eastAsia"/>
                <w:color w:val="auto"/>
                <w:highlight w:val="none"/>
                <w:lang w:val="en-US" w:eastAsia="zh-CN"/>
              </w:rPr>
              <w:t>④噪声：采用选用低噪声设备、厂房隔声、基础减振等降噪措施。</w:t>
            </w:r>
          </w:p>
          <w:p>
            <w:pPr>
              <w:pStyle w:val="36"/>
              <w:bidi w:val="0"/>
              <w:rPr>
                <w:rFonts w:hint="eastAsia"/>
                <w:color w:val="auto"/>
                <w:highlight w:val="none"/>
                <w:lang w:val="en-US" w:eastAsia="zh-CN"/>
              </w:rPr>
            </w:pPr>
          </w:p>
          <w:p>
            <w:pPr>
              <w:pStyle w:val="36"/>
              <w:bidi w:val="0"/>
              <w:rPr>
                <w:rFonts w:hint="eastAsia"/>
                <w:color w:val="auto"/>
                <w:highlight w:val="none"/>
                <w:lang w:val="en-US" w:eastAsia="zh-CN"/>
              </w:rPr>
            </w:pPr>
          </w:p>
          <w:p>
            <w:pPr>
              <w:pStyle w:val="36"/>
              <w:bidi w:val="0"/>
              <w:rPr>
                <w:rFonts w:hint="eastAsia"/>
                <w:color w:val="auto"/>
                <w:highlight w:val="none"/>
                <w:lang w:val="en-US" w:eastAsia="zh-CN"/>
              </w:rPr>
            </w:pPr>
          </w:p>
          <w:p>
            <w:pPr>
              <w:pStyle w:val="36"/>
              <w:bidi w:val="0"/>
              <w:rPr>
                <w:rFonts w:hint="default"/>
                <w:color w:val="auto"/>
                <w:highlight w:val="none"/>
                <w:lang w:val="en-US" w:eastAsia="zh-CN"/>
              </w:rPr>
            </w:pPr>
            <w:r>
              <w:rPr>
                <w:rFonts w:hint="eastAsia"/>
                <w:color w:val="auto"/>
                <w:highlight w:val="none"/>
                <w:lang w:val="en-US" w:eastAsia="zh-CN"/>
              </w:rPr>
              <w:t>表2.3-2  现有工程基本情况一览表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6"/>
              <w:gridCol w:w="1135"/>
              <w:gridCol w:w="1924"/>
              <w:gridCol w:w="1377"/>
              <w:gridCol w:w="203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6" w:type="pct"/>
                  <w:noWrap w:val="0"/>
                  <w:vAlign w:val="center"/>
                </w:tcPr>
                <w:p>
                  <w:pPr>
                    <w:pStyle w:val="57"/>
                    <w:bidi w:val="0"/>
                    <w:rPr>
                      <w:rFonts w:hint="eastAsia"/>
                      <w:color w:val="auto"/>
                      <w:highlight w:val="none"/>
                    </w:rPr>
                  </w:pPr>
                  <w:r>
                    <w:rPr>
                      <w:rFonts w:hint="eastAsia"/>
                      <w:color w:val="auto"/>
                      <w:highlight w:val="none"/>
                    </w:rPr>
                    <w:t>序号</w:t>
                  </w:r>
                </w:p>
              </w:tc>
              <w:tc>
                <w:tcPr>
                  <w:tcW w:w="669" w:type="pct"/>
                  <w:noWrap w:val="0"/>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现有工程项目名称</w:t>
                  </w:r>
                </w:p>
              </w:tc>
              <w:tc>
                <w:tcPr>
                  <w:tcW w:w="1134" w:type="pct"/>
                  <w:noWrap w:val="0"/>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所涉及生产线及数量</w:t>
                  </w:r>
                </w:p>
              </w:tc>
              <w:tc>
                <w:tcPr>
                  <w:tcW w:w="811" w:type="pct"/>
                  <w:noWrap w:val="0"/>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主要原材料</w:t>
                  </w:r>
                </w:p>
              </w:tc>
              <w:tc>
                <w:tcPr>
                  <w:tcW w:w="1197"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产能及规模</w:t>
                  </w:r>
                </w:p>
              </w:tc>
              <w:tc>
                <w:tcPr>
                  <w:tcW w:w="1030"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6" w:type="pct"/>
                  <w:noWrap w:val="0"/>
                  <w:vAlign w:val="center"/>
                </w:tcPr>
                <w:p>
                  <w:pPr>
                    <w:pStyle w:val="57"/>
                    <w:bidi w:val="0"/>
                    <w:rPr>
                      <w:rFonts w:hint="eastAsia"/>
                      <w:color w:val="auto"/>
                      <w:highlight w:val="none"/>
                    </w:rPr>
                  </w:pPr>
                  <w:r>
                    <w:rPr>
                      <w:rFonts w:hint="eastAsia"/>
                      <w:color w:val="auto"/>
                      <w:highlight w:val="none"/>
                    </w:rPr>
                    <w:t>1</w:t>
                  </w:r>
                </w:p>
              </w:tc>
              <w:tc>
                <w:tcPr>
                  <w:tcW w:w="669" w:type="pct"/>
                  <w:noWrap w:val="0"/>
                  <w:vAlign w:val="center"/>
                </w:tcPr>
                <w:p>
                  <w:pPr>
                    <w:pStyle w:val="57"/>
                    <w:bidi w:val="0"/>
                    <w:rPr>
                      <w:rFonts w:hint="eastAsia"/>
                      <w:color w:val="auto"/>
                      <w:highlight w:val="none"/>
                    </w:rPr>
                  </w:pPr>
                  <w:r>
                    <w:rPr>
                      <w:rFonts w:hint="eastAsia"/>
                      <w:color w:val="auto"/>
                      <w:highlight w:val="none"/>
                    </w:rPr>
                    <w:t>新疆巴州敏宇化工有限公司年产30万吨活性石灰项目</w:t>
                  </w:r>
                </w:p>
              </w:tc>
              <w:tc>
                <w:tcPr>
                  <w:tcW w:w="1134" w:type="pct"/>
                  <w:noWrap w:val="0"/>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2套节能环保石灰竖窑烧成系统</w:t>
                  </w:r>
                </w:p>
              </w:tc>
              <w:tc>
                <w:tcPr>
                  <w:tcW w:w="811"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外购石灰石和兰炭</w:t>
                  </w:r>
                </w:p>
              </w:tc>
              <w:tc>
                <w:tcPr>
                  <w:tcW w:w="1197"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活性石灰</w:t>
                  </w:r>
                </w:p>
                <w:p>
                  <w:pPr>
                    <w:pStyle w:val="57"/>
                    <w:bidi w:val="0"/>
                    <w:rPr>
                      <w:rFonts w:hint="default"/>
                      <w:color w:val="auto"/>
                      <w:highlight w:val="none"/>
                      <w:lang w:val="en-US" w:eastAsia="zh-CN"/>
                    </w:rPr>
                  </w:pPr>
                  <w:r>
                    <w:rPr>
                      <w:rFonts w:hint="eastAsia"/>
                      <w:color w:val="auto"/>
                      <w:highlight w:val="none"/>
                      <w:lang w:val="en-US" w:eastAsia="zh-CN"/>
                    </w:rPr>
                    <w:t>（30万t/a/）</w:t>
                  </w:r>
                </w:p>
              </w:tc>
              <w:tc>
                <w:tcPr>
                  <w:tcW w:w="1030"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原为原煤，后改为焦炭，2019年已通过验收，现选用低硫低灰的兰炭，并完成竖炉上料系统密闭改造，并于2023年通过验收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6" w:type="pct"/>
                  <w:vMerge w:val="restart"/>
                  <w:noWrap w:val="0"/>
                  <w:vAlign w:val="center"/>
                </w:tcPr>
                <w:p>
                  <w:pPr>
                    <w:pStyle w:val="57"/>
                    <w:bidi w:val="0"/>
                    <w:rPr>
                      <w:rFonts w:hint="eastAsia"/>
                      <w:color w:val="auto"/>
                      <w:highlight w:val="none"/>
                    </w:rPr>
                  </w:pPr>
                  <w:r>
                    <w:rPr>
                      <w:rFonts w:hint="eastAsia"/>
                      <w:color w:val="auto"/>
                      <w:highlight w:val="none"/>
                    </w:rPr>
                    <w:t>2</w:t>
                  </w:r>
                </w:p>
              </w:tc>
              <w:tc>
                <w:tcPr>
                  <w:tcW w:w="669" w:type="pct"/>
                  <w:vMerge w:val="restart"/>
                  <w:noWrap w:val="0"/>
                  <w:vAlign w:val="center"/>
                </w:tcPr>
                <w:p>
                  <w:pPr>
                    <w:pStyle w:val="57"/>
                    <w:bidi w:val="0"/>
                    <w:rPr>
                      <w:rFonts w:hint="eastAsia"/>
                      <w:color w:val="auto"/>
                      <w:highlight w:val="none"/>
                    </w:rPr>
                  </w:pPr>
                  <w:r>
                    <w:rPr>
                      <w:rFonts w:hint="eastAsia"/>
                      <w:color w:val="auto"/>
                      <w:highlight w:val="none"/>
                    </w:rPr>
                    <w:t>巴州敏宇化工有限公司石灰石、生石灰磨粉加工项目</w:t>
                  </w:r>
                </w:p>
              </w:tc>
              <w:tc>
                <w:tcPr>
                  <w:tcW w:w="1134" w:type="pct"/>
                  <w:noWrap w:val="0"/>
                  <w:vAlign w:val="center"/>
                </w:tcPr>
                <w:p>
                  <w:pPr>
                    <w:pStyle w:val="57"/>
                    <w:bidi w:val="0"/>
                    <w:rPr>
                      <w:rFonts w:hint="eastAsia"/>
                      <w:color w:val="auto"/>
                      <w:highlight w:val="none"/>
                    </w:rPr>
                  </w:pPr>
                  <w:r>
                    <w:rPr>
                      <w:rFonts w:hint="eastAsia"/>
                      <w:color w:val="auto"/>
                      <w:highlight w:val="none"/>
                      <w:lang w:val="en-US" w:eastAsia="zh-CN"/>
                    </w:rPr>
                    <w:t>3条石灰石、生石灰磨粉生产线</w:t>
                  </w:r>
                </w:p>
              </w:tc>
              <w:tc>
                <w:tcPr>
                  <w:tcW w:w="811"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外购石灰石和生石灰</w:t>
                  </w:r>
                </w:p>
              </w:tc>
              <w:tc>
                <w:tcPr>
                  <w:tcW w:w="1197"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粉料</w:t>
                  </w:r>
                </w:p>
                <w:p>
                  <w:pPr>
                    <w:pStyle w:val="57"/>
                    <w:bidi w:val="0"/>
                    <w:rPr>
                      <w:rFonts w:hint="default" w:eastAsia="宋体"/>
                      <w:color w:val="auto"/>
                      <w:highlight w:val="none"/>
                      <w:lang w:val="en-US" w:eastAsia="zh-CN"/>
                    </w:rPr>
                  </w:pPr>
                  <w:r>
                    <w:rPr>
                      <w:rFonts w:hint="eastAsia"/>
                      <w:color w:val="auto"/>
                      <w:highlight w:val="none"/>
                      <w:lang w:val="en-US" w:eastAsia="zh-CN"/>
                    </w:rPr>
                    <w:t>（5万t/a）</w:t>
                  </w:r>
                </w:p>
              </w:tc>
              <w:tc>
                <w:tcPr>
                  <w:tcW w:w="1030" w:type="pct"/>
                  <w:vMerge w:val="restart"/>
                  <w:noWrap w:val="0"/>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2023年已通过验收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6" w:type="pct"/>
                  <w:vMerge w:val="continue"/>
                  <w:noWrap w:val="0"/>
                  <w:vAlign w:val="center"/>
                </w:tcPr>
                <w:p>
                  <w:pPr>
                    <w:pStyle w:val="57"/>
                    <w:bidi w:val="0"/>
                    <w:rPr>
                      <w:rFonts w:hint="eastAsia"/>
                      <w:color w:val="auto"/>
                      <w:highlight w:val="none"/>
                    </w:rPr>
                  </w:pPr>
                </w:p>
              </w:tc>
              <w:tc>
                <w:tcPr>
                  <w:tcW w:w="669" w:type="pct"/>
                  <w:vMerge w:val="continue"/>
                  <w:noWrap w:val="0"/>
                  <w:vAlign w:val="center"/>
                </w:tcPr>
                <w:p>
                  <w:pPr>
                    <w:pStyle w:val="57"/>
                    <w:bidi w:val="0"/>
                    <w:rPr>
                      <w:rFonts w:hint="eastAsia"/>
                      <w:color w:val="auto"/>
                      <w:highlight w:val="none"/>
                    </w:rPr>
                  </w:pPr>
                </w:p>
              </w:tc>
              <w:tc>
                <w:tcPr>
                  <w:tcW w:w="1134" w:type="pct"/>
                  <w:noWrap w:val="0"/>
                  <w:vAlign w:val="center"/>
                </w:tcPr>
                <w:p>
                  <w:pPr>
                    <w:pStyle w:val="57"/>
                    <w:bidi w:val="0"/>
                    <w:rPr>
                      <w:rFonts w:hint="eastAsia"/>
                      <w:color w:val="auto"/>
                      <w:highlight w:val="none"/>
                    </w:rPr>
                  </w:pPr>
                  <w:r>
                    <w:rPr>
                      <w:rFonts w:hint="eastAsia"/>
                      <w:b w:val="0"/>
                      <w:bCs w:val="0"/>
                      <w:color w:val="auto"/>
                      <w:highlight w:val="none"/>
                      <w:lang w:val="en-US" w:eastAsia="zh-CN"/>
                    </w:rPr>
                    <w:t>1条熟石灰消化生产线</w:t>
                  </w:r>
                </w:p>
              </w:tc>
              <w:tc>
                <w:tcPr>
                  <w:tcW w:w="811" w:type="pct"/>
                  <w:noWrap w:val="0"/>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自产生石灰粉</w:t>
                  </w:r>
                </w:p>
              </w:tc>
              <w:tc>
                <w:tcPr>
                  <w:tcW w:w="1197"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氢氧化钙</w:t>
                  </w:r>
                </w:p>
                <w:p>
                  <w:pPr>
                    <w:pStyle w:val="57"/>
                    <w:bidi w:val="0"/>
                    <w:rPr>
                      <w:rFonts w:hint="eastAsia" w:eastAsia="宋体"/>
                      <w:color w:val="auto"/>
                      <w:highlight w:val="none"/>
                      <w:lang w:val="en-US" w:eastAsia="zh-CN"/>
                    </w:rPr>
                  </w:pPr>
                  <w:r>
                    <w:rPr>
                      <w:rFonts w:hint="eastAsia"/>
                      <w:color w:val="auto"/>
                      <w:highlight w:val="none"/>
                      <w:lang w:val="en-US" w:eastAsia="zh-CN"/>
                    </w:rPr>
                    <w:t>（1.5万t/a）</w:t>
                  </w:r>
                </w:p>
              </w:tc>
              <w:tc>
                <w:tcPr>
                  <w:tcW w:w="1030" w:type="pct"/>
                  <w:vMerge w:val="continue"/>
                  <w:noWrap w:val="0"/>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6" w:type="pct"/>
                  <w:vMerge w:val="continue"/>
                  <w:noWrap w:val="0"/>
                  <w:vAlign w:val="center"/>
                </w:tcPr>
                <w:p>
                  <w:pPr>
                    <w:pStyle w:val="57"/>
                    <w:bidi w:val="0"/>
                    <w:rPr>
                      <w:rFonts w:hint="eastAsia"/>
                      <w:color w:val="auto"/>
                      <w:highlight w:val="none"/>
                    </w:rPr>
                  </w:pPr>
                </w:p>
              </w:tc>
              <w:tc>
                <w:tcPr>
                  <w:tcW w:w="669" w:type="pct"/>
                  <w:vMerge w:val="continue"/>
                  <w:noWrap w:val="0"/>
                  <w:vAlign w:val="center"/>
                </w:tcPr>
                <w:p>
                  <w:pPr>
                    <w:pStyle w:val="57"/>
                    <w:bidi w:val="0"/>
                    <w:rPr>
                      <w:rFonts w:hint="eastAsia"/>
                      <w:color w:val="auto"/>
                      <w:highlight w:val="none"/>
                    </w:rPr>
                  </w:pPr>
                </w:p>
              </w:tc>
              <w:tc>
                <w:tcPr>
                  <w:tcW w:w="1134" w:type="pct"/>
                  <w:noWrap w:val="0"/>
                  <w:vAlign w:val="center"/>
                </w:tcPr>
                <w:p>
                  <w:pPr>
                    <w:pStyle w:val="57"/>
                    <w:bidi w:val="0"/>
                    <w:rPr>
                      <w:rFonts w:hint="eastAsia"/>
                      <w:color w:val="auto"/>
                      <w:highlight w:val="none"/>
                    </w:rPr>
                  </w:pPr>
                  <w:r>
                    <w:rPr>
                      <w:rFonts w:hint="eastAsia"/>
                      <w:color w:val="auto"/>
                      <w:highlight w:val="none"/>
                      <w:lang w:val="en-US" w:eastAsia="zh-CN"/>
                    </w:rPr>
                    <w:t>1条</w:t>
                  </w:r>
                  <w:r>
                    <w:rPr>
                      <w:rFonts w:hint="eastAsia"/>
                      <w:b w:val="0"/>
                      <w:bCs w:val="0"/>
                      <w:color w:val="auto"/>
                      <w:highlight w:val="none"/>
                      <w:lang w:val="en-US" w:eastAsia="zh-CN"/>
                    </w:rPr>
                    <w:t>粉煤灰、石灰石粉风选生产线</w:t>
                  </w:r>
                </w:p>
              </w:tc>
              <w:tc>
                <w:tcPr>
                  <w:tcW w:w="811"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外购粉煤灰和矿粉</w:t>
                  </w:r>
                </w:p>
              </w:tc>
              <w:tc>
                <w:tcPr>
                  <w:tcW w:w="1197" w:type="pct"/>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粉煤灰（2万t/a）</w:t>
                  </w:r>
                </w:p>
                <w:p>
                  <w:pPr>
                    <w:pStyle w:val="57"/>
                    <w:bidi w:val="0"/>
                    <w:rPr>
                      <w:color w:val="auto"/>
                      <w:highlight w:val="none"/>
                    </w:rPr>
                  </w:pPr>
                  <w:r>
                    <w:rPr>
                      <w:rFonts w:hint="eastAsia"/>
                      <w:color w:val="auto"/>
                      <w:highlight w:val="none"/>
                    </w:rPr>
                    <w:t>石灰石矿粉</w:t>
                  </w:r>
                  <w:r>
                    <w:rPr>
                      <w:rFonts w:hint="eastAsia"/>
                      <w:color w:val="auto"/>
                      <w:highlight w:val="none"/>
                      <w:lang w:val="en-US" w:eastAsia="zh-CN"/>
                    </w:rPr>
                    <w:t>（4万t/a）</w:t>
                  </w:r>
                </w:p>
              </w:tc>
              <w:tc>
                <w:tcPr>
                  <w:tcW w:w="1030" w:type="pct"/>
                  <w:vMerge w:val="continue"/>
                  <w:noWrap w:val="0"/>
                  <w:vAlign w:val="center"/>
                </w:tcPr>
                <w:p>
                  <w:pPr>
                    <w:pStyle w:val="57"/>
                    <w:bidi w:val="0"/>
                    <w:rPr>
                      <w:color w:val="auto"/>
                      <w:highlight w:val="none"/>
                    </w:rPr>
                  </w:pPr>
                </w:p>
              </w:tc>
            </w:tr>
          </w:tbl>
          <w:p>
            <w:pPr>
              <w:pStyle w:val="6"/>
              <w:bidi w:val="0"/>
              <w:rPr>
                <w:rFonts w:hint="default"/>
                <w:color w:val="auto"/>
                <w:highlight w:val="none"/>
                <w:lang w:val="en-US" w:eastAsia="zh-CN"/>
              </w:rPr>
            </w:pPr>
            <w:r>
              <w:rPr>
                <w:rFonts w:hint="eastAsia"/>
                <w:color w:val="auto"/>
                <w:highlight w:val="none"/>
                <w:lang w:val="en-US" w:eastAsia="zh-CN"/>
              </w:rPr>
              <w:t>（2）现有工程各生产线工艺流程简介</w:t>
            </w:r>
          </w:p>
          <w:p>
            <w:pPr>
              <w:pStyle w:val="6"/>
              <w:bidi w:val="0"/>
              <w:rPr>
                <w:rFonts w:hint="eastAsia"/>
                <w:color w:val="auto"/>
                <w:highlight w:val="none"/>
                <w:lang w:val="en-US" w:eastAsia="zh-CN"/>
              </w:rPr>
            </w:pPr>
            <w:r>
              <w:rPr>
                <w:rFonts w:hint="eastAsia"/>
                <w:color w:val="auto"/>
                <w:highlight w:val="none"/>
                <w:lang w:val="en-US" w:eastAsia="zh-CN"/>
              </w:rPr>
              <w:t>1）节能环保石灰竖窑烧成系统</w:t>
            </w:r>
          </w:p>
          <w:p>
            <w:pPr>
              <w:pStyle w:val="6"/>
              <w:bidi w:val="0"/>
              <w:rPr>
                <w:rFonts w:hint="default"/>
                <w:color w:val="auto"/>
                <w:highlight w:val="none"/>
                <w:lang w:val="en-US" w:eastAsia="zh-CN"/>
              </w:rPr>
            </w:pPr>
            <w:r>
              <w:rPr>
                <w:rFonts w:hint="eastAsia"/>
                <w:color w:val="auto"/>
                <w:highlight w:val="none"/>
                <w:lang w:val="en-US" w:eastAsia="zh-CN"/>
              </w:rPr>
              <w:t>主要通过2套节能环保石灰竖窑将石灰石煅烧成活性石灰，燃料目前为兰炭（低硫低灰）。</w:t>
            </w:r>
          </w:p>
          <w:p>
            <w:pPr>
              <w:pStyle w:val="6"/>
              <w:bidi w:val="0"/>
              <w:rPr>
                <w:rFonts w:hint="default"/>
                <w:color w:val="auto"/>
                <w:highlight w:val="none"/>
                <w:lang w:val="en-US" w:eastAsia="zh-CN"/>
              </w:rPr>
            </w:pPr>
            <w:r>
              <w:rPr>
                <w:rFonts w:hint="eastAsia"/>
                <w:color w:val="auto"/>
                <w:highlight w:val="none"/>
                <w:lang w:val="en-US" w:eastAsia="zh-CN"/>
              </w:rPr>
              <w:t>2）石灰石、生石灰磨粉生产线</w:t>
            </w:r>
          </w:p>
          <w:p>
            <w:pPr>
              <w:pStyle w:val="6"/>
              <w:bidi w:val="0"/>
              <w:rPr>
                <w:rFonts w:hint="eastAsia"/>
                <w:color w:val="auto"/>
                <w:highlight w:val="none"/>
                <w:lang w:val="en-US" w:eastAsia="zh-CN"/>
              </w:rPr>
            </w:pPr>
            <w:r>
              <w:rPr>
                <w:rFonts w:hint="eastAsia"/>
                <w:color w:val="auto"/>
                <w:highlight w:val="none"/>
                <w:lang w:val="en-US" w:eastAsia="zh-CN"/>
              </w:rPr>
              <w:t>石灰石、生石灰等原料经铲车上料至上料斗，物料经输送带输送至雷蒙磨进行研磨，物料经分级机内循环风对物料研磨后的物料进行分离，符合规格的物料沉降后收集，经提升机进入筒仓，不符合规格的物料，由重力自由落回磨机内进行再研磨加工，直至磨到符合规格为止。</w:t>
            </w:r>
          </w:p>
          <w:p>
            <w:pPr>
              <w:pStyle w:val="6"/>
              <w:bidi w:val="0"/>
              <w:rPr>
                <w:rFonts w:hint="default"/>
                <w:color w:val="auto"/>
                <w:highlight w:val="none"/>
                <w:lang w:val="en-US" w:eastAsia="zh-CN"/>
              </w:rPr>
            </w:pPr>
            <w:r>
              <w:rPr>
                <w:rFonts w:hint="eastAsia"/>
                <w:color w:val="auto"/>
                <w:highlight w:val="none"/>
                <w:lang w:val="en-US" w:eastAsia="zh-CN"/>
              </w:rPr>
              <w:t>3）</w:t>
            </w:r>
            <w:r>
              <w:rPr>
                <w:rFonts w:hint="eastAsia"/>
                <w:b w:val="0"/>
                <w:bCs w:val="0"/>
                <w:color w:val="auto"/>
                <w:highlight w:val="none"/>
                <w:lang w:val="en-US" w:eastAsia="zh-CN"/>
              </w:rPr>
              <w:t>熟石灰消化生产线</w:t>
            </w:r>
          </w:p>
          <w:p>
            <w:pPr>
              <w:pStyle w:val="6"/>
              <w:bidi w:val="0"/>
              <w:rPr>
                <w:rFonts w:hint="eastAsia"/>
                <w:color w:val="auto"/>
                <w:highlight w:val="none"/>
                <w:lang w:val="en-US" w:eastAsia="zh-CN"/>
              </w:rPr>
            </w:pPr>
            <w:r>
              <w:rPr>
                <w:rFonts w:hint="eastAsia"/>
                <w:color w:val="auto"/>
                <w:highlight w:val="none"/>
                <w:lang w:val="en-US" w:eastAsia="zh-CN"/>
              </w:rPr>
              <w:t>项目生产的熟石灰经铲车上料至料斗内，经破碎机破碎后，提升至原料筒仓，再经管道打入消化机内进行消化，该消化过程分为二级，逐级进行消化，消化后的熟石灰进入选粉机内进行二次筛选，筛选出不同目数下的熟石灰进行存储，筛上物经管道输送至冲击磨内进行磨粉加工，加工后提升至废料筒仓内，作为建材原料外售处置。</w:t>
            </w:r>
          </w:p>
          <w:p>
            <w:pPr>
              <w:pStyle w:val="6"/>
              <w:bidi w:val="0"/>
              <w:rPr>
                <w:rFonts w:hint="eastAsia"/>
                <w:color w:val="auto"/>
                <w:highlight w:val="none"/>
                <w:lang w:val="en-US" w:eastAsia="zh-CN"/>
              </w:rPr>
            </w:pPr>
            <w:r>
              <w:rPr>
                <w:rFonts w:hint="eastAsia"/>
                <w:b w:val="0"/>
                <w:bCs w:val="0"/>
                <w:color w:val="auto"/>
                <w:highlight w:val="none"/>
                <w:lang w:val="en-US" w:eastAsia="zh-CN"/>
              </w:rPr>
              <w:t>4）粉煤灰、石灰石粉风选生产线</w:t>
            </w:r>
          </w:p>
          <w:p>
            <w:pPr>
              <w:pStyle w:val="6"/>
              <w:bidi w:val="0"/>
              <w:rPr>
                <w:rFonts w:hint="eastAsia"/>
                <w:color w:val="auto"/>
                <w:highlight w:val="none"/>
                <w:lang w:val="en-US" w:eastAsia="zh-CN"/>
              </w:rPr>
            </w:pPr>
            <w:r>
              <w:rPr>
                <w:rFonts w:hint="eastAsia"/>
                <w:color w:val="auto"/>
                <w:highlight w:val="none"/>
                <w:lang w:val="en-US" w:eastAsia="zh-CN"/>
              </w:rPr>
              <w:t>项目利用周边收购的粉煤灰、矿粉等原料存放于原料库，物料经负压上料至分离器，经管道输送至原灰库内，经选粉机筛选后，符合规格的经收集后经提升机提升至细灰库内；粉煤灰在选粉机筛选过程中会产生不符合规格的大颗粒物，经选粉机管道输送至封闭湿式搅拌机内进行湿式搅拌，出料含水率10％左右，每天由货车清运至周边建材厂作为建材处置，有余量时堆放于原料库内暂存。</w:t>
            </w:r>
          </w:p>
          <w:p>
            <w:pPr>
              <w:pStyle w:val="6"/>
              <w:bidi w:val="0"/>
              <w:rPr>
                <w:rFonts w:hint="default"/>
                <w:color w:val="auto"/>
                <w:highlight w:val="none"/>
                <w:lang w:val="en-US" w:eastAsia="zh-CN"/>
              </w:rPr>
            </w:pPr>
            <w:r>
              <w:rPr>
                <w:rFonts w:hint="eastAsia"/>
                <w:color w:val="auto"/>
                <w:highlight w:val="none"/>
                <w:lang w:val="en-US" w:eastAsia="zh-CN"/>
              </w:rPr>
              <w:t>（3）现有工程原辅材料及产品</w:t>
            </w:r>
          </w:p>
          <w:p>
            <w:pPr>
              <w:pStyle w:val="36"/>
              <w:bidi w:val="0"/>
              <w:rPr>
                <w:rFonts w:hint="default"/>
                <w:color w:val="auto"/>
                <w:highlight w:val="none"/>
                <w:lang w:val="en-US" w:eastAsia="zh-CN"/>
              </w:rPr>
            </w:pPr>
            <w:r>
              <w:rPr>
                <w:rFonts w:hint="eastAsia"/>
                <w:color w:val="auto"/>
                <w:highlight w:val="none"/>
                <w:lang w:val="en-US" w:eastAsia="zh-CN"/>
              </w:rPr>
              <w:t>表2.3-3 现有工程原辅材料一览表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718"/>
              <w:gridCol w:w="1173"/>
              <w:gridCol w:w="1187"/>
              <w:gridCol w:w="3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序号</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名称</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单位</w:t>
                  </w:r>
                </w:p>
              </w:tc>
              <w:tc>
                <w:tcPr>
                  <w:tcW w:w="118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消耗量</w:t>
                  </w:r>
                </w:p>
              </w:tc>
              <w:tc>
                <w:tcPr>
                  <w:tcW w:w="371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1</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石灰石</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万t/a</w:t>
                  </w:r>
                </w:p>
              </w:tc>
              <w:tc>
                <w:tcPr>
                  <w:tcW w:w="118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23</w:t>
                  </w:r>
                </w:p>
              </w:tc>
              <w:tc>
                <w:tcPr>
                  <w:tcW w:w="371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外购，粒径2-4cm，其中石灰竖窑用量18万t/a，磨粉工序用量5万t/a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2</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生石灰</w:t>
                  </w:r>
                </w:p>
              </w:tc>
              <w:tc>
                <w:tcPr>
                  <w:tcW w:w="1173" w:type="dxa"/>
                  <w:vAlign w:val="center"/>
                </w:tcPr>
                <w:p>
                  <w:pPr>
                    <w:pStyle w:val="58"/>
                    <w:bidi w:val="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万t/a</w:t>
                  </w:r>
                </w:p>
              </w:tc>
              <w:tc>
                <w:tcPr>
                  <w:tcW w:w="118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1.5</w:t>
                  </w:r>
                </w:p>
              </w:tc>
              <w:tc>
                <w:tcPr>
                  <w:tcW w:w="371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竖炉产品，粒径2-5cm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3</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矿粉（石灰石）</w:t>
                  </w:r>
                </w:p>
              </w:tc>
              <w:tc>
                <w:tcPr>
                  <w:tcW w:w="1173" w:type="dxa"/>
                  <w:vAlign w:val="center"/>
                </w:tcPr>
                <w:p>
                  <w:pPr>
                    <w:pStyle w:val="58"/>
                    <w:bidi w:val="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万t/a</w:t>
                  </w:r>
                </w:p>
              </w:tc>
              <w:tc>
                <w:tcPr>
                  <w:tcW w:w="118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4</w:t>
                  </w:r>
                </w:p>
              </w:tc>
              <w:tc>
                <w:tcPr>
                  <w:tcW w:w="371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4</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粉煤灰</w:t>
                  </w:r>
                </w:p>
              </w:tc>
              <w:tc>
                <w:tcPr>
                  <w:tcW w:w="1173" w:type="dxa"/>
                  <w:vAlign w:val="center"/>
                </w:tcPr>
                <w:p>
                  <w:pPr>
                    <w:pStyle w:val="58"/>
                    <w:bidi w:val="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万t/a</w:t>
                  </w:r>
                </w:p>
              </w:tc>
              <w:tc>
                <w:tcPr>
                  <w:tcW w:w="118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2</w:t>
                  </w:r>
                </w:p>
              </w:tc>
              <w:tc>
                <w:tcPr>
                  <w:tcW w:w="3713" w:type="dxa"/>
                  <w:vAlign w:val="center"/>
                </w:tcPr>
                <w:p>
                  <w:pPr>
                    <w:pStyle w:val="58"/>
                    <w:bidi w:val="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5</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兰炭</w:t>
                  </w:r>
                </w:p>
              </w:tc>
              <w:tc>
                <w:tcPr>
                  <w:tcW w:w="1173" w:type="dxa"/>
                  <w:vAlign w:val="center"/>
                </w:tcPr>
                <w:p>
                  <w:pPr>
                    <w:pStyle w:val="58"/>
                    <w:bidi w:val="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万t/a</w:t>
                  </w:r>
                </w:p>
              </w:tc>
              <w:tc>
                <w:tcPr>
                  <w:tcW w:w="118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0.2</w:t>
                  </w:r>
                </w:p>
              </w:tc>
              <w:tc>
                <w:tcPr>
                  <w:tcW w:w="371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竖炉燃料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6</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电</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万kW·h</w:t>
                  </w:r>
                </w:p>
              </w:tc>
              <w:tc>
                <w:tcPr>
                  <w:tcW w:w="118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200</w:t>
                  </w:r>
                </w:p>
              </w:tc>
              <w:tc>
                <w:tcPr>
                  <w:tcW w:w="371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7</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水</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/a</w:t>
                  </w:r>
                </w:p>
              </w:tc>
              <w:tc>
                <w:tcPr>
                  <w:tcW w:w="118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5036.8</w:t>
                  </w:r>
                </w:p>
              </w:tc>
              <w:tc>
                <w:tcPr>
                  <w:tcW w:w="371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供水管网网</w:t>
                  </w:r>
                </w:p>
              </w:tc>
            </w:tr>
          </w:tbl>
          <w:p>
            <w:pPr>
              <w:pStyle w:val="36"/>
              <w:bidi w:val="0"/>
              <w:rPr>
                <w:rFonts w:hint="default"/>
                <w:color w:val="auto"/>
                <w:highlight w:val="none"/>
                <w:lang w:val="en-US" w:eastAsia="zh-CN"/>
              </w:rPr>
            </w:pPr>
            <w:r>
              <w:rPr>
                <w:rFonts w:hint="eastAsia"/>
                <w:color w:val="auto"/>
                <w:highlight w:val="none"/>
                <w:lang w:val="en-US" w:eastAsia="zh-CN"/>
              </w:rPr>
              <w:t>表2.3-4 现有工程产品一览表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718"/>
              <w:gridCol w:w="1173"/>
              <w:gridCol w:w="1173"/>
              <w:gridCol w:w="3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序号</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名称</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单位</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产量</w:t>
                  </w:r>
                </w:p>
              </w:tc>
              <w:tc>
                <w:tcPr>
                  <w:tcW w:w="372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1</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活性石灰</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万t/a</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10</w:t>
                  </w:r>
                </w:p>
              </w:tc>
              <w:tc>
                <w:tcPr>
                  <w:tcW w:w="3727" w:type="dxa"/>
                  <w:vAlign w:val="center"/>
                </w:tcPr>
                <w:p>
                  <w:pPr>
                    <w:pStyle w:val="58"/>
                    <w:bidi w:val="0"/>
                    <w:ind w:left="0" w:leftChars="0" w:right="0" w:rightChars="0" w:firstLine="0" w:firstLineChars="0"/>
                    <w:jc w:val="center"/>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2</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石粉</w:t>
                  </w:r>
                </w:p>
              </w:tc>
              <w:tc>
                <w:tcPr>
                  <w:tcW w:w="1173" w:type="dxa"/>
                  <w:vAlign w:val="center"/>
                </w:tcPr>
                <w:p>
                  <w:pPr>
                    <w:pStyle w:val="58"/>
                    <w:bidi w:val="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万t/a</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5</w:t>
                  </w:r>
                </w:p>
              </w:tc>
              <w:tc>
                <w:tcPr>
                  <w:tcW w:w="372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产品（100目、150目、200目、325目）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3</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矿粉（石灰石）</w:t>
                  </w:r>
                </w:p>
              </w:tc>
              <w:tc>
                <w:tcPr>
                  <w:tcW w:w="1173" w:type="dxa"/>
                  <w:vAlign w:val="center"/>
                </w:tcPr>
                <w:p>
                  <w:pPr>
                    <w:pStyle w:val="58"/>
                    <w:bidi w:val="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万t/a</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4</w:t>
                  </w:r>
                </w:p>
              </w:tc>
              <w:tc>
                <w:tcPr>
                  <w:tcW w:w="372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产品（200目、325目）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4</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粉煤灰</w:t>
                  </w:r>
                </w:p>
              </w:tc>
              <w:tc>
                <w:tcPr>
                  <w:tcW w:w="1173" w:type="dxa"/>
                  <w:vAlign w:val="center"/>
                </w:tcPr>
                <w:p>
                  <w:pPr>
                    <w:pStyle w:val="58"/>
                    <w:bidi w:val="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万t/a</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2</w:t>
                  </w:r>
                </w:p>
              </w:tc>
              <w:tc>
                <w:tcPr>
                  <w:tcW w:w="3727" w:type="dxa"/>
                  <w:vAlign w:val="center"/>
                </w:tcPr>
                <w:p>
                  <w:pPr>
                    <w:pStyle w:val="58"/>
                    <w:bidi w:val="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产品（200目、325目）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5</w:t>
                  </w:r>
                </w:p>
              </w:tc>
              <w:tc>
                <w:tcPr>
                  <w:tcW w:w="1718"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熟石灰</w:t>
                  </w:r>
                </w:p>
              </w:tc>
              <w:tc>
                <w:tcPr>
                  <w:tcW w:w="1173" w:type="dxa"/>
                  <w:vAlign w:val="center"/>
                </w:tcPr>
                <w:p>
                  <w:pPr>
                    <w:pStyle w:val="58"/>
                    <w:bidi w:val="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万t/a</w:t>
                  </w:r>
                </w:p>
              </w:tc>
              <w:tc>
                <w:tcPr>
                  <w:tcW w:w="1173"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1.5</w:t>
                  </w:r>
                </w:p>
              </w:tc>
              <w:tc>
                <w:tcPr>
                  <w:tcW w:w="3727" w:type="dxa"/>
                  <w:vAlign w:val="center"/>
                </w:tcPr>
                <w:p>
                  <w:pPr>
                    <w:pStyle w:val="58"/>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产品（200目、325目）</w:t>
                  </w:r>
                </w:p>
              </w:tc>
            </w:tr>
          </w:tbl>
          <w:p>
            <w:pPr>
              <w:pStyle w:val="4"/>
              <w:bidi w:val="0"/>
              <w:rPr>
                <w:color w:val="auto"/>
                <w:highlight w:val="none"/>
              </w:rPr>
            </w:pPr>
            <w:r>
              <w:rPr>
                <w:rFonts w:hint="eastAsia"/>
                <w:color w:val="auto"/>
                <w:highlight w:val="none"/>
              </w:rPr>
              <w:t>2.3.</w:t>
            </w:r>
            <w:r>
              <w:rPr>
                <w:rFonts w:hint="eastAsia"/>
                <w:color w:val="auto"/>
                <w:highlight w:val="none"/>
                <w:lang w:val="en-US" w:eastAsia="zh-CN"/>
              </w:rPr>
              <w:t>3</w:t>
            </w:r>
            <w:r>
              <w:rPr>
                <w:rFonts w:hint="eastAsia"/>
                <w:color w:val="auto"/>
                <w:highlight w:val="none"/>
              </w:rPr>
              <w:t xml:space="preserve"> </w:t>
            </w:r>
            <w:r>
              <w:rPr>
                <w:rFonts w:hint="eastAsia"/>
                <w:color w:val="auto"/>
                <w:highlight w:val="none"/>
                <w:lang w:eastAsia="zh-CN"/>
              </w:rPr>
              <w:t>现有工程</w:t>
            </w:r>
            <w:r>
              <w:rPr>
                <w:rFonts w:hint="eastAsia"/>
                <w:color w:val="auto"/>
                <w:highlight w:val="none"/>
              </w:rPr>
              <w:t>污染物排放情况</w:t>
            </w:r>
          </w:p>
          <w:p>
            <w:pPr>
              <w:pStyle w:val="5"/>
              <w:bidi w:val="0"/>
              <w:rPr>
                <w:rFonts w:hint="default"/>
                <w:color w:val="auto"/>
                <w:highlight w:val="none"/>
                <w:lang w:val="en-US" w:eastAsia="zh-CN"/>
              </w:rPr>
            </w:pPr>
            <w:r>
              <w:rPr>
                <w:rFonts w:hint="eastAsia"/>
                <w:color w:val="auto"/>
                <w:highlight w:val="none"/>
                <w:lang w:val="en-US" w:eastAsia="zh-CN"/>
              </w:rPr>
              <w:t>2.3.3.1 废气</w:t>
            </w:r>
          </w:p>
          <w:p>
            <w:pPr>
              <w:pStyle w:val="6"/>
              <w:bidi w:val="0"/>
              <w:rPr>
                <w:rFonts w:hint="default"/>
                <w:color w:val="auto"/>
                <w:highlight w:val="none"/>
                <w:lang w:val="en-US" w:eastAsia="zh-CN"/>
              </w:rPr>
            </w:pPr>
            <w:r>
              <w:rPr>
                <w:rFonts w:hint="eastAsia"/>
                <w:color w:val="auto"/>
                <w:highlight w:val="none"/>
                <w:lang w:val="en-US" w:eastAsia="zh-CN"/>
              </w:rPr>
              <w:t>根据排污许可自行监测计划，仅对现有工程1#竖炉排放口、2#竖炉排放口、厂界无组织废气（颗粒物）和厂界噪声进行定期手工监测，对补充登记信息中的其他排放口未提出手工监测要求，故本次评价采用验收期间全厂有组织废气监测结果对现有工程有组织废气达标情况进行说明，厂界无组织废气采用就近例行监测数据进行达标情况说明。</w:t>
            </w:r>
          </w:p>
          <w:p>
            <w:pPr>
              <w:pStyle w:val="6"/>
              <w:bidi w:val="0"/>
              <w:rPr>
                <w:rFonts w:hint="default"/>
                <w:color w:val="auto"/>
                <w:highlight w:val="none"/>
                <w:lang w:val="en-US" w:eastAsia="zh-CN"/>
              </w:rPr>
            </w:pPr>
            <w:r>
              <w:rPr>
                <w:rFonts w:hint="eastAsia"/>
                <w:color w:val="auto"/>
                <w:highlight w:val="none"/>
                <w:lang w:val="en-US" w:eastAsia="zh-CN"/>
              </w:rPr>
              <w:t>（1）现有工程有组织废气</w:t>
            </w:r>
          </w:p>
          <w:p>
            <w:pPr>
              <w:pStyle w:val="6"/>
              <w:bidi w:val="0"/>
              <w:rPr>
                <w:rFonts w:hint="default" w:eastAsia="宋体"/>
                <w:color w:val="auto"/>
                <w:highlight w:val="none"/>
                <w:lang w:val="en-US" w:eastAsia="zh-CN"/>
              </w:rPr>
            </w:pPr>
            <w:r>
              <w:rPr>
                <w:rFonts w:hint="eastAsia"/>
                <w:color w:val="auto"/>
                <w:highlight w:val="none"/>
                <w:lang w:val="en-US" w:eastAsia="zh-CN"/>
              </w:rPr>
              <w:t>根据收集的2023年6月14日至19日验收监测报告，污染物排放量核算如下：</w:t>
            </w:r>
          </w:p>
          <w:p>
            <w:pPr>
              <w:pStyle w:val="36"/>
              <w:bidi w:val="0"/>
              <w:rPr>
                <w:rFonts w:hint="default"/>
                <w:color w:val="auto"/>
                <w:highlight w:val="none"/>
                <w:lang w:val="en-US" w:eastAsia="zh-CN"/>
              </w:rPr>
            </w:pPr>
            <w:r>
              <w:rPr>
                <w:rFonts w:hint="eastAsia"/>
                <w:color w:val="auto"/>
                <w:highlight w:val="none"/>
                <w:lang w:val="en-US" w:eastAsia="zh-CN"/>
              </w:rPr>
              <w:t>表2.3-2  现有工程有组织废气排放情况一览表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5"/>
              <w:gridCol w:w="2002"/>
              <w:gridCol w:w="1102"/>
              <w:gridCol w:w="1087"/>
              <w:gridCol w:w="1010"/>
              <w:gridCol w:w="741"/>
              <w:gridCol w:w="846"/>
              <w:gridCol w:w="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eastAsia"/>
                      <w:color w:val="auto"/>
                      <w:highlight w:val="none"/>
                      <w:lang w:val="en-US" w:eastAsia="zh-CN"/>
                    </w:rPr>
                  </w:pPr>
                  <w:r>
                    <w:rPr>
                      <w:rFonts w:hint="eastAsia"/>
                      <w:color w:val="auto"/>
                      <w:highlight w:val="none"/>
                      <w:lang w:val="en-US" w:eastAsia="zh-CN"/>
                    </w:rPr>
                    <w:t>序号</w:t>
                  </w:r>
                </w:p>
              </w:tc>
              <w:tc>
                <w:tcPr>
                  <w:tcW w:w="835" w:type="dxa"/>
                  <w:vAlign w:val="center"/>
                </w:tcPr>
                <w:p>
                  <w:pPr>
                    <w:pStyle w:val="57"/>
                    <w:bidi w:val="0"/>
                    <w:rPr>
                      <w:rFonts w:hint="default"/>
                      <w:color w:val="auto"/>
                      <w:highlight w:val="none"/>
                      <w:lang w:val="en-US" w:eastAsia="zh-CN"/>
                    </w:rPr>
                  </w:pPr>
                  <w:r>
                    <w:rPr>
                      <w:rFonts w:hint="eastAsia"/>
                      <w:color w:val="auto"/>
                      <w:highlight w:val="none"/>
                      <w:lang w:val="en-US" w:eastAsia="zh-CN"/>
                    </w:rPr>
                    <w:t>排污口编号</w:t>
                  </w:r>
                </w:p>
              </w:tc>
              <w:tc>
                <w:tcPr>
                  <w:tcW w:w="2002" w:type="dxa"/>
                  <w:vAlign w:val="center"/>
                </w:tcPr>
                <w:p>
                  <w:pPr>
                    <w:pStyle w:val="57"/>
                    <w:bidi w:val="0"/>
                    <w:rPr>
                      <w:rFonts w:hint="default"/>
                      <w:color w:val="auto"/>
                      <w:highlight w:val="none"/>
                      <w:lang w:val="en-US" w:eastAsia="zh-CN"/>
                    </w:rPr>
                  </w:pPr>
                  <w:r>
                    <w:rPr>
                      <w:rFonts w:hint="eastAsia"/>
                      <w:color w:val="auto"/>
                      <w:highlight w:val="none"/>
                      <w:lang w:val="en-US" w:eastAsia="zh-CN"/>
                    </w:rPr>
                    <w:t>排放口名称</w:t>
                  </w:r>
                </w:p>
              </w:tc>
              <w:tc>
                <w:tcPr>
                  <w:tcW w:w="1102" w:type="dxa"/>
                  <w:vAlign w:val="center"/>
                </w:tcPr>
                <w:p>
                  <w:pPr>
                    <w:pStyle w:val="57"/>
                    <w:bidi w:val="0"/>
                    <w:rPr>
                      <w:rFonts w:hint="eastAsia"/>
                      <w:color w:val="auto"/>
                      <w:highlight w:val="none"/>
                      <w:lang w:val="en-US" w:eastAsia="zh-CN"/>
                    </w:rPr>
                  </w:pPr>
                  <w:r>
                    <w:rPr>
                      <w:rFonts w:hint="eastAsia"/>
                      <w:color w:val="auto"/>
                      <w:highlight w:val="none"/>
                      <w:lang w:val="en-US" w:eastAsia="zh-CN"/>
                    </w:rPr>
                    <w:t>污染物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排放浓度(mg/m</w:t>
                  </w:r>
                  <w:r>
                    <w:rPr>
                      <w:rFonts w:hint="eastAsia"/>
                      <w:color w:val="auto"/>
                      <w:highlight w:val="none"/>
                      <w:vertAlign w:val="superscript"/>
                      <w:lang w:val="en-US" w:eastAsia="zh-CN"/>
                    </w:rPr>
                    <w:t>3</w:t>
                  </w:r>
                  <w:r>
                    <w:rPr>
                      <w:rFonts w:hint="eastAsia"/>
                      <w:color w:val="auto"/>
                      <w:highlight w:val="none"/>
                      <w:lang w:val="en-US" w:eastAsia="zh-CN"/>
                    </w:rPr>
                    <w:t>)</w:t>
                  </w:r>
                </w:p>
              </w:tc>
              <w:tc>
                <w:tcPr>
                  <w:tcW w:w="1010" w:type="dxa"/>
                  <w:vAlign w:val="center"/>
                </w:tcPr>
                <w:p>
                  <w:pPr>
                    <w:pStyle w:val="57"/>
                    <w:bidi w:val="0"/>
                    <w:rPr>
                      <w:rFonts w:hint="default"/>
                      <w:color w:val="auto"/>
                      <w:highlight w:val="none"/>
                      <w:lang w:val="en-US" w:eastAsia="zh-CN"/>
                    </w:rPr>
                  </w:pPr>
                  <w:r>
                    <w:rPr>
                      <w:rFonts w:hint="eastAsia"/>
                      <w:color w:val="auto"/>
                      <w:highlight w:val="none"/>
                      <w:lang w:val="en-US" w:eastAsia="zh-CN"/>
                    </w:rPr>
                    <w:t>排放速率（</w:t>
                  </w:r>
                  <w:r>
                    <w:rPr>
                      <w:color w:val="auto"/>
                      <w:highlight w:val="none"/>
                      <w:lang w:val="en-US" w:eastAsia="zh-CN"/>
                    </w:rPr>
                    <w:t>kg/h）</w:t>
                  </w:r>
                </w:p>
              </w:tc>
              <w:tc>
                <w:tcPr>
                  <w:tcW w:w="741" w:type="dxa"/>
                  <w:vAlign w:val="center"/>
                </w:tcPr>
                <w:p>
                  <w:pPr>
                    <w:pStyle w:val="57"/>
                    <w:bidi w:val="0"/>
                    <w:rPr>
                      <w:rFonts w:hint="default"/>
                      <w:color w:val="auto"/>
                      <w:highlight w:val="none"/>
                      <w:lang w:val="en-US" w:eastAsia="zh-CN"/>
                    </w:rPr>
                  </w:pPr>
                  <w:r>
                    <w:rPr>
                      <w:rFonts w:hint="eastAsia"/>
                      <w:color w:val="auto"/>
                      <w:highlight w:val="none"/>
                      <w:lang w:val="en-US" w:eastAsia="zh-CN"/>
                    </w:rPr>
                    <w:t>运行时间（</w:t>
                  </w:r>
                  <w:r>
                    <w:rPr>
                      <w:color w:val="auto"/>
                      <w:highlight w:val="none"/>
                      <w:lang w:val="en-US" w:eastAsia="zh-CN"/>
                    </w:rPr>
                    <w:t>h）</w:t>
                  </w:r>
                </w:p>
              </w:tc>
              <w:tc>
                <w:tcPr>
                  <w:tcW w:w="846" w:type="dxa"/>
                  <w:vAlign w:val="center"/>
                </w:tcPr>
                <w:p>
                  <w:pPr>
                    <w:pStyle w:val="57"/>
                    <w:bidi w:val="0"/>
                    <w:rPr>
                      <w:rFonts w:hint="eastAsia"/>
                      <w:color w:val="auto"/>
                      <w:highlight w:val="none"/>
                      <w:lang w:val="en-US" w:eastAsia="zh-CN"/>
                    </w:rPr>
                  </w:pPr>
                  <w:r>
                    <w:rPr>
                      <w:rFonts w:hint="eastAsia"/>
                      <w:color w:val="auto"/>
                      <w:highlight w:val="none"/>
                      <w:lang w:val="en-US" w:eastAsia="zh-CN"/>
                    </w:rPr>
                    <w:t>实际排放量（</w:t>
                  </w:r>
                  <w:r>
                    <w:rPr>
                      <w:color w:val="auto"/>
                      <w:highlight w:val="none"/>
                      <w:lang w:val="en-US" w:eastAsia="zh-CN"/>
                    </w:rPr>
                    <w:t>t/a）</w:t>
                  </w:r>
                </w:p>
              </w:tc>
              <w:tc>
                <w:tcPr>
                  <w:tcW w:w="431" w:type="dxa"/>
                  <w:vAlign w:val="center"/>
                </w:tcPr>
                <w:p>
                  <w:pPr>
                    <w:pStyle w:val="57"/>
                    <w:bidi w:val="0"/>
                    <w:rPr>
                      <w:rFonts w:hint="eastAsia"/>
                      <w:color w:val="auto"/>
                      <w:highlight w:val="none"/>
                      <w:lang w:val="en-US" w:eastAsia="zh-CN"/>
                    </w:rPr>
                  </w:pPr>
                  <w:r>
                    <w:rPr>
                      <w:rFonts w:hint="eastAsia"/>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vAlign w:val="center"/>
                </w:tcPr>
                <w:p>
                  <w:pPr>
                    <w:pStyle w:val="57"/>
                    <w:bidi w:val="0"/>
                    <w:rPr>
                      <w:rFonts w:hint="eastAsia"/>
                      <w:color w:val="auto"/>
                      <w:highlight w:val="none"/>
                      <w:lang w:val="en-US" w:eastAsia="zh-CN"/>
                    </w:rPr>
                  </w:pPr>
                  <w:r>
                    <w:rPr>
                      <w:rFonts w:hint="default"/>
                      <w:color w:val="auto"/>
                      <w:highlight w:val="none"/>
                      <w:lang w:val="en-US" w:eastAsia="zh-CN"/>
                    </w:rPr>
                    <w:t>1</w:t>
                  </w:r>
                </w:p>
              </w:tc>
              <w:tc>
                <w:tcPr>
                  <w:tcW w:w="835" w:type="dxa"/>
                  <w:vMerge w:val="restart"/>
                  <w:vAlign w:val="center"/>
                </w:tcPr>
                <w:p>
                  <w:pPr>
                    <w:pStyle w:val="57"/>
                    <w:bidi w:val="0"/>
                    <w:rPr>
                      <w:rFonts w:hint="default"/>
                      <w:color w:val="auto"/>
                      <w:highlight w:val="none"/>
                      <w:lang w:val="en-US" w:eastAsia="zh-CN"/>
                    </w:rPr>
                  </w:pPr>
                  <w:r>
                    <w:rPr>
                      <w:rFonts w:hint="default"/>
                      <w:color w:val="auto"/>
                      <w:highlight w:val="none"/>
                      <w:lang w:val="en-US" w:eastAsia="zh-CN"/>
                    </w:rPr>
                    <w:t>DA001</w:t>
                  </w:r>
                </w:p>
              </w:tc>
              <w:tc>
                <w:tcPr>
                  <w:tcW w:w="2002" w:type="dxa"/>
                  <w:vMerge w:val="restart"/>
                  <w:vAlign w:val="center"/>
                </w:tcPr>
                <w:p>
                  <w:pPr>
                    <w:pStyle w:val="57"/>
                    <w:bidi w:val="0"/>
                    <w:rPr>
                      <w:rFonts w:hint="default"/>
                      <w:color w:val="auto"/>
                      <w:highlight w:val="none"/>
                      <w:lang w:val="en-US" w:eastAsia="zh-CN"/>
                    </w:rPr>
                  </w:pPr>
                  <w:r>
                    <w:rPr>
                      <w:rFonts w:hint="default"/>
                      <w:color w:val="auto"/>
                      <w:highlight w:val="none"/>
                      <w:lang w:val="en-US" w:eastAsia="zh-CN"/>
                    </w:rPr>
                    <w:t>1#</w:t>
                  </w:r>
                  <w:r>
                    <w:rPr>
                      <w:color w:val="auto"/>
                      <w:highlight w:val="none"/>
                      <w:lang w:val="en-US" w:eastAsia="zh-CN"/>
                    </w:rPr>
                    <w:t>竖炉排放口</w:t>
                  </w:r>
                </w:p>
              </w:tc>
              <w:tc>
                <w:tcPr>
                  <w:tcW w:w="1102" w:type="dxa"/>
                  <w:vAlign w:val="center"/>
                </w:tcPr>
                <w:p>
                  <w:pPr>
                    <w:pStyle w:val="57"/>
                    <w:bidi w:val="0"/>
                    <w:rPr>
                      <w:rFonts w:hint="eastAsia"/>
                      <w:color w:val="auto"/>
                      <w:highlight w:val="none"/>
                      <w:lang w:val="en-US" w:eastAsia="zh-CN"/>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13.8～15.4</w:t>
                  </w:r>
                </w:p>
              </w:tc>
              <w:tc>
                <w:tcPr>
                  <w:tcW w:w="1010" w:type="dxa"/>
                  <w:vAlign w:val="center"/>
                </w:tcPr>
                <w:p>
                  <w:pPr>
                    <w:pStyle w:val="57"/>
                    <w:bidi w:val="0"/>
                    <w:rPr>
                      <w:rFonts w:hint="default"/>
                      <w:color w:val="auto"/>
                      <w:highlight w:val="none"/>
                      <w:lang w:val="en-US" w:eastAsia="zh-CN"/>
                    </w:rPr>
                  </w:pPr>
                  <w:r>
                    <w:rPr>
                      <w:rFonts w:hint="default"/>
                      <w:color w:val="auto"/>
                      <w:highlight w:val="none"/>
                      <w:lang w:val="en-US" w:eastAsia="zh-CN"/>
                    </w:rPr>
                    <w:t>0.164</w:t>
                  </w:r>
                </w:p>
              </w:tc>
              <w:tc>
                <w:tcPr>
                  <w:tcW w:w="741" w:type="dxa"/>
                  <w:vMerge w:val="restart"/>
                  <w:vAlign w:val="center"/>
                </w:tcPr>
                <w:p>
                  <w:pPr>
                    <w:pStyle w:val="57"/>
                    <w:bidi w:val="0"/>
                    <w:rPr>
                      <w:rFonts w:hint="default"/>
                      <w:color w:val="auto"/>
                      <w:highlight w:val="none"/>
                      <w:lang w:val="en-US" w:eastAsia="zh-CN"/>
                    </w:rPr>
                  </w:pPr>
                  <w:r>
                    <w:rPr>
                      <w:rFonts w:hint="default"/>
                      <w:color w:val="auto"/>
                      <w:highlight w:val="none"/>
                      <w:lang w:val="en-US" w:eastAsia="zh-CN"/>
                    </w:rPr>
                    <w:t>1440</w:t>
                  </w:r>
                </w:p>
              </w:tc>
              <w:tc>
                <w:tcPr>
                  <w:tcW w:w="846" w:type="dxa"/>
                  <w:vAlign w:val="center"/>
                </w:tcPr>
                <w:p>
                  <w:pPr>
                    <w:pStyle w:val="57"/>
                    <w:bidi w:val="0"/>
                    <w:rPr>
                      <w:rFonts w:hint="default"/>
                      <w:color w:val="auto"/>
                      <w:highlight w:val="none"/>
                      <w:lang w:val="en-US" w:eastAsia="zh-CN"/>
                    </w:rPr>
                  </w:pPr>
                  <w:r>
                    <w:rPr>
                      <w:rFonts w:hint="default"/>
                      <w:color w:val="auto"/>
                      <w:highlight w:val="none"/>
                      <w:lang w:val="en-US" w:eastAsia="zh-CN"/>
                    </w:rPr>
                    <w:t>0.236</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Merge w:val="continue"/>
                  <w:vAlign w:val="center"/>
                </w:tcPr>
                <w:p>
                  <w:pPr>
                    <w:pStyle w:val="57"/>
                    <w:bidi w:val="0"/>
                    <w:rPr>
                      <w:rFonts w:hint="eastAsia"/>
                      <w:color w:val="auto"/>
                      <w:highlight w:val="none"/>
                    </w:rPr>
                  </w:pPr>
                </w:p>
              </w:tc>
              <w:tc>
                <w:tcPr>
                  <w:tcW w:w="835" w:type="dxa"/>
                  <w:vMerge w:val="continue"/>
                  <w:vAlign w:val="center"/>
                </w:tcPr>
                <w:p>
                  <w:pPr>
                    <w:pStyle w:val="57"/>
                    <w:bidi w:val="0"/>
                    <w:rPr>
                      <w:rFonts w:hint="eastAsia"/>
                      <w:color w:val="auto"/>
                      <w:highlight w:val="none"/>
                    </w:rPr>
                  </w:pPr>
                </w:p>
              </w:tc>
              <w:tc>
                <w:tcPr>
                  <w:tcW w:w="2002" w:type="dxa"/>
                  <w:vMerge w:val="continue"/>
                  <w:vAlign w:val="center"/>
                </w:tcPr>
                <w:p>
                  <w:pPr>
                    <w:pStyle w:val="57"/>
                    <w:bidi w:val="0"/>
                    <w:rPr>
                      <w:rFonts w:hint="eastAsia"/>
                      <w:color w:val="auto"/>
                      <w:highlight w:val="none"/>
                    </w:rPr>
                  </w:pPr>
                </w:p>
              </w:tc>
              <w:tc>
                <w:tcPr>
                  <w:tcW w:w="1102" w:type="dxa"/>
                  <w:vAlign w:val="center"/>
                </w:tcPr>
                <w:p>
                  <w:pPr>
                    <w:pStyle w:val="57"/>
                    <w:bidi w:val="0"/>
                    <w:rPr>
                      <w:rFonts w:hint="eastAsia"/>
                      <w:color w:val="auto"/>
                      <w:highlight w:val="none"/>
                      <w:lang w:val="en-US" w:eastAsia="zh-CN"/>
                    </w:rPr>
                  </w:pPr>
                  <w:r>
                    <w:rPr>
                      <w:rFonts w:hint="eastAsia"/>
                      <w:color w:val="auto"/>
                      <w:highlight w:val="none"/>
                      <w:lang w:val="en-US" w:eastAsia="zh-CN"/>
                    </w:rPr>
                    <w:t>二氧化硫</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6.3～8.1</w:t>
                  </w:r>
                </w:p>
              </w:tc>
              <w:tc>
                <w:tcPr>
                  <w:tcW w:w="1010" w:type="dxa"/>
                  <w:vAlign w:val="center"/>
                </w:tcPr>
                <w:p>
                  <w:pPr>
                    <w:pStyle w:val="57"/>
                    <w:bidi w:val="0"/>
                    <w:rPr>
                      <w:rFonts w:hint="default"/>
                      <w:color w:val="auto"/>
                      <w:highlight w:val="none"/>
                      <w:lang w:val="en-US" w:eastAsia="zh-CN"/>
                    </w:rPr>
                  </w:pPr>
                  <w:r>
                    <w:rPr>
                      <w:rFonts w:hint="default"/>
                      <w:color w:val="auto"/>
                      <w:highlight w:val="none"/>
                      <w:lang w:val="en-US" w:eastAsia="zh-CN"/>
                    </w:rPr>
                    <w:t>0.0861</w:t>
                  </w:r>
                </w:p>
              </w:tc>
              <w:tc>
                <w:tcPr>
                  <w:tcW w:w="741" w:type="dxa"/>
                  <w:vMerge w:val="continue"/>
                  <w:vAlign w:val="center"/>
                </w:tcPr>
                <w:p>
                  <w:pPr>
                    <w:pStyle w:val="57"/>
                    <w:bidi w:val="0"/>
                    <w:rPr>
                      <w:rFonts w:hint="eastAsia"/>
                      <w:color w:val="auto"/>
                      <w:highlight w:val="none"/>
                      <w:lang w:val="en-US" w:eastAsia="zh-CN"/>
                    </w:rPr>
                  </w:pPr>
                </w:p>
              </w:tc>
              <w:tc>
                <w:tcPr>
                  <w:tcW w:w="846" w:type="dxa"/>
                  <w:vAlign w:val="center"/>
                </w:tcPr>
                <w:p>
                  <w:pPr>
                    <w:pStyle w:val="57"/>
                    <w:bidi w:val="0"/>
                    <w:rPr>
                      <w:rFonts w:hint="default"/>
                      <w:color w:val="auto"/>
                      <w:highlight w:val="none"/>
                      <w:lang w:val="en-US" w:eastAsia="zh-CN"/>
                    </w:rPr>
                  </w:pPr>
                  <w:r>
                    <w:rPr>
                      <w:rFonts w:hint="default"/>
                      <w:color w:val="auto"/>
                      <w:highlight w:val="none"/>
                      <w:lang w:val="en-US" w:eastAsia="zh-CN"/>
                    </w:rPr>
                    <w:t>0.124</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Merge w:val="continue"/>
                  <w:vAlign w:val="center"/>
                </w:tcPr>
                <w:p>
                  <w:pPr>
                    <w:pStyle w:val="57"/>
                    <w:bidi w:val="0"/>
                    <w:rPr>
                      <w:rFonts w:hint="eastAsia"/>
                      <w:color w:val="auto"/>
                      <w:highlight w:val="none"/>
                    </w:rPr>
                  </w:pPr>
                </w:p>
              </w:tc>
              <w:tc>
                <w:tcPr>
                  <w:tcW w:w="835" w:type="dxa"/>
                  <w:vMerge w:val="continue"/>
                  <w:vAlign w:val="center"/>
                </w:tcPr>
                <w:p>
                  <w:pPr>
                    <w:pStyle w:val="57"/>
                    <w:bidi w:val="0"/>
                    <w:rPr>
                      <w:rFonts w:hint="eastAsia"/>
                      <w:color w:val="auto"/>
                      <w:highlight w:val="none"/>
                    </w:rPr>
                  </w:pPr>
                </w:p>
              </w:tc>
              <w:tc>
                <w:tcPr>
                  <w:tcW w:w="2002" w:type="dxa"/>
                  <w:vMerge w:val="continue"/>
                  <w:vAlign w:val="center"/>
                </w:tcPr>
                <w:p>
                  <w:pPr>
                    <w:pStyle w:val="57"/>
                    <w:bidi w:val="0"/>
                    <w:rPr>
                      <w:rFonts w:hint="eastAsia"/>
                      <w:color w:val="auto"/>
                      <w:highlight w:val="none"/>
                    </w:rPr>
                  </w:pPr>
                </w:p>
              </w:tc>
              <w:tc>
                <w:tcPr>
                  <w:tcW w:w="1102" w:type="dxa"/>
                  <w:vAlign w:val="center"/>
                </w:tcPr>
                <w:p>
                  <w:pPr>
                    <w:pStyle w:val="57"/>
                    <w:bidi w:val="0"/>
                    <w:rPr>
                      <w:rFonts w:hint="eastAsia"/>
                      <w:color w:val="auto"/>
                      <w:highlight w:val="none"/>
                      <w:lang w:val="en-US" w:eastAsia="zh-CN"/>
                    </w:rPr>
                  </w:pPr>
                  <w:r>
                    <w:rPr>
                      <w:rFonts w:hint="eastAsia"/>
                      <w:color w:val="auto"/>
                      <w:highlight w:val="none"/>
                      <w:lang w:val="en-US" w:eastAsia="zh-CN"/>
                    </w:rPr>
                    <w:t>氮氧化物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14.9～17.8</w:t>
                  </w:r>
                </w:p>
              </w:tc>
              <w:tc>
                <w:tcPr>
                  <w:tcW w:w="1010" w:type="dxa"/>
                  <w:vAlign w:val="center"/>
                </w:tcPr>
                <w:p>
                  <w:pPr>
                    <w:pStyle w:val="57"/>
                    <w:bidi w:val="0"/>
                    <w:rPr>
                      <w:rFonts w:hint="default"/>
                      <w:color w:val="auto"/>
                      <w:highlight w:val="none"/>
                      <w:lang w:val="en-US" w:eastAsia="zh-CN"/>
                    </w:rPr>
                  </w:pPr>
                  <w:r>
                    <w:rPr>
                      <w:rFonts w:hint="default"/>
                      <w:color w:val="auto"/>
                      <w:highlight w:val="none"/>
                      <w:lang w:val="en-US" w:eastAsia="zh-CN"/>
                    </w:rPr>
                    <w:t>0.189</w:t>
                  </w:r>
                </w:p>
              </w:tc>
              <w:tc>
                <w:tcPr>
                  <w:tcW w:w="741" w:type="dxa"/>
                  <w:vMerge w:val="continue"/>
                  <w:vAlign w:val="center"/>
                </w:tcPr>
                <w:p>
                  <w:pPr>
                    <w:pStyle w:val="57"/>
                    <w:bidi w:val="0"/>
                    <w:rPr>
                      <w:rFonts w:hint="eastAsia"/>
                      <w:color w:val="auto"/>
                      <w:highlight w:val="none"/>
                      <w:lang w:val="en-US" w:eastAsia="zh-CN"/>
                    </w:rPr>
                  </w:pPr>
                </w:p>
              </w:tc>
              <w:tc>
                <w:tcPr>
                  <w:tcW w:w="846" w:type="dxa"/>
                  <w:vAlign w:val="center"/>
                </w:tcPr>
                <w:p>
                  <w:pPr>
                    <w:pStyle w:val="57"/>
                    <w:bidi w:val="0"/>
                    <w:rPr>
                      <w:rFonts w:hint="default"/>
                      <w:color w:val="auto"/>
                      <w:highlight w:val="none"/>
                      <w:lang w:val="en-US" w:eastAsia="zh-CN"/>
                    </w:rPr>
                  </w:pPr>
                  <w:r>
                    <w:rPr>
                      <w:rFonts w:hint="default"/>
                      <w:color w:val="auto"/>
                      <w:highlight w:val="none"/>
                      <w:lang w:val="en-US" w:eastAsia="zh-CN"/>
                    </w:rPr>
                    <w:t>0.272</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Merge w:val="continue"/>
                  <w:vAlign w:val="center"/>
                </w:tcPr>
                <w:p>
                  <w:pPr>
                    <w:pStyle w:val="57"/>
                    <w:bidi w:val="0"/>
                    <w:rPr>
                      <w:rFonts w:hint="eastAsia"/>
                      <w:color w:val="auto"/>
                      <w:highlight w:val="none"/>
                    </w:rPr>
                  </w:pPr>
                </w:p>
              </w:tc>
              <w:tc>
                <w:tcPr>
                  <w:tcW w:w="835" w:type="dxa"/>
                  <w:vMerge w:val="continue"/>
                  <w:vAlign w:val="center"/>
                </w:tcPr>
                <w:p>
                  <w:pPr>
                    <w:pStyle w:val="57"/>
                    <w:bidi w:val="0"/>
                    <w:rPr>
                      <w:rFonts w:hint="eastAsia"/>
                      <w:color w:val="auto"/>
                      <w:highlight w:val="none"/>
                    </w:rPr>
                  </w:pPr>
                </w:p>
              </w:tc>
              <w:tc>
                <w:tcPr>
                  <w:tcW w:w="2002" w:type="dxa"/>
                  <w:vMerge w:val="continue"/>
                  <w:vAlign w:val="center"/>
                </w:tcPr>
                <w:p>
                  <w:pPr>
                    <w:pStyle w:val="57"/>
                    <w:bidi w:val="0"/>
                    <w:rPr>
                      <w:rFonts w:hint="eastAsia"/>
                      <w:color w:val="auto"/>
                      <w:highlight w:val="none"/>
                    </w:rPr>
                  </w:pPr>
                </w:p>
              </w:tc>
              <w:tc>
                <w:tcPr>
                  <w:tcW w:w="1102" w:type="dxa"/>
                  <w:vAlign w:val="center"/>
                </w:tcPr>
                <w:p>
                  <w:pPr>
                    <w:pStyle w:val="57"/>
                    <w:bidi w:val="0"/>
                    <w:rPr>
                      <w:rFonts w:hint="default"/>
                      <w:color w:val="auto"/>
                      <w:highlight w:val="none"/>
                      <w:lang w:val="en-US" w:eastAsia="zh-CN"/>
                    </w:rPr>
                  </w:pPr>
                  <w:r>
                    <w:rPr>
                      <w:rFonts w:hint="eastAsia"/>
                      <w:color w:val="auto"/>
                      <w:highlight w:val="none"/>
                      <w:lang w:val="en-US" w:eastAsia="zh-CN"/>
                    </w:rPr>
                    <w:t>汞及其化合物</w:t>
                  </w:r>
                </w:p>
              </w:tc>
              <w:tc>
                <w:tcPr>
                  <w:tcW w:w="1087" w:type="dxa"/>
                  <w:vAlign w:val="center"/>
                </w:tcPr>
                <w:p>
                  <w:pPr>
                    <w:pStyle w:val="57"/>
                    <w:bidi w:val="0"/>
                    <w:rPr>
                      <w:rFonts w:hint="eastAsia"/>
                      <w:color w:val="auto"/>
                      <w:highlight w:val="none"/>
                      <w:lang w:val="en-US" w:eastAsia="zh-CN"/>
                    </w:rPr>
                  </w:pPr>
                  <w:r>
                    <w:rPr>
                      <w:rFonts w:hint="eastAsia"/>
                      <w:color w:val="auto"/>
                      <w:highlight w:val="none"/>
                      <w:lang w:val="en-US" w:eastAsia="zh-CN"/>
                    </w:rPr>
                    <w:t>未检出</w:t>
                  </w:r>
                </w:p>
              </w:tc>
              <w:tc>
                <w:tcPr>
                  <w:tcW w:w="1010" w:type="dxa"/>
                  <w:vAlign w:val="center"/>
                </w:tcPr>
                <w:p>
                  <w:pPr>
                    <w:pStyle w:val="57"/>
                    <w:bidi w:val="0"/>
                    <w:rPr>
                      <w:rFonts w:hint="default"/>
                      <w:color w:val="auto"/>
                      <w:highlight w:val="none"/>
                      <w:lang w:val="en-US" w:eastAsia="zh-CN"/>
                    </w:rPr>
                  </w:pPr>
                  <w:r>
                    <w:rPr>
                      <w:rFonts w:hint="eastAsia"/>
                      <w:color w:val="auto"/>
                      <w:highlight w:val="none"/>
                      <w:lang w:val="en-US" w:eastAsia="zh-CN"/>
                    </w:rPr>
                    <w:t>未检出</w:t>
                  </w:r>
                </w:p>
              </w:tc>
              <w:tc>
                <w:tcPr>
                  <w:tcW w:w="741" w:type="dxa"/>
                  <w:vMerge w:val="continue"/>
                  <w:vAlign w:val="center"/>
                </w:tcPr>
                <w:p>
                  <w:pPr>
                    <w:pStyle w:val="57"/>
                    <w:bidi w:val="0"/>
                    <w:rPr>
                      <w:rFonts w:hint="eastAsia"/>
                      <w:color w:val="auto"/>
                      <w:highlight w:val="none"/>
                      <w:lang w:val="en-US" w:eastAsia="zh-CN"/>
                    </w:rPr>
                  </w:pPr>
                </w:p>
              </w:tc>
              <w:tc>
                <w:tcPr>
                  <w:tcW w:w="846" w:type="dxa"/>
                  <w:vAlign w:val="center"/>
                </w:tcPr>
                <w:p>
                  <w:pPr>
                    <w:pStyle w:val="57"/>
                    <w:bidi w:val="0"/>
                    <w:rPr>
                      <w:rFonts w:hint="default"/>
                      <w:color w:val="auto"/>
                      <w:highlight w:val="none"/>
                      <w:lang w:val="en-US" w:eastAsia="zh-CN"/>
                    </w:rPr>
                  </w:pPr>
                  <w:r>
                    <w:rPr>
                      <w:rFonts w:hint="default"/>
                      <w:color w:val="auto"/>
                      <w:highlight w:val="none"/>
                      <w:lang w:val="en-US" w:eastAsia="zh-CN"/>
                    </w:rPr>
                    <w:t>/</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Merge w:val="restart"/>
                  <w:vAlign w:val="center"/>
                </w:tcPr>
                <w:p>
                  <w:pPr>
                    <w:pStyle w:val="57"/>
                    <w:bidi w:val="0"/>
                    <w:rPr>
                      <w:rFonts w:hint="eastAsia"/>
                      <w:color w:val="auto"/>
                      <w:highlight w:val="none"/>
                      <w:lang w:val="en-US" w:eastAsia="zh-CN"/>
                    </w:rPr>
                  </w:pPr>
                  <w:r>
                    <w:rPr>
                      <w:rFonts w:hint="default"/>
                      <w:color w:val="auto"/>
                      <w:highlight w:val="none"/>
                      <w:lang w:val="en-US" w:eastAsia="zh-CN"/>
                    </w:rPr>
                    <w:t>2</w:t>
                  </w:r>
                </w:p>
              </w:tc>
              <w:tc>
                <w:tcPr>
                  <w:tcW w:w="835" w:type="dxa"/>
                  <w:vMerge w:val="restart"/>
                  <w:vAlign w:val="center"/>
                </w:tcPr>
                <w:p>
                  <w:pPr>
                    <w:pStyle w:val="57"/>
                    <w:bidi w:val="0"/>
                    <w:rPr>
                      <w:rFonts w:hint="default"/>
                      <w:color w:val="auto"/>
                      <w:highlight w:val="none"/>
                      <w:lang w:val="en-US"/>
                    </w:rPr>
                  </w:pPr>
                  <w:r>
                    <w:rPr>
                      <w:rFonts w:hint="default"/>
                      <w:color w:val="auto"/>
                      <w:highlight w:val="none"/>
                      <w:lang w:val="en-US" w:eastAsia="zh-CN"/>
                    </w:rPr>
                    <w:t>DA002</w:t>
                  </w:r>
                </w:p>
              </w:tc>
              <w:tc>
                <w:tcPr>
                  <w:tcW w:w="2002" w:type="dxa"/>
                  <w:vMerge w:val="restart"/>
                  <w:vAlign w:val="center"/>
                </w:tcPr>
                <w:p>
                  <w:pPr>
                    <w:pStyle w:val="57"/>
                    <w:bidi w:val="0"/>
                    <w:rPr>
                      <w:rFonts w:hint="eastAsia"/>
                      <w:color w:val="auto"/>
                      <w:highlight w:val="none"/>
                    </w:rPr>
                  </w:pPr>
                  <w:r>
                    <w:rPr>
                      <w:rFonts w:hint="default"/>
                      <w:color w:val="auto"/>
                      <w:highlight w:val="none"/>
                      <w:lang w:val="en-US" w:eastAsia="zh-CN"/>
                    </w:rPr>
                    <w:t>2#</w:t>
                  </w:r>
                  <w:r>
                    <w:rPr>
                      <w:color w:val="auto"/>
                      <w:highlight w:val="none"/>
                      <w:lang w:val="en-US" w:eastAsia="zh-CN"/>
                    </w:rPr>
                    <w:t>竖炉排放口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13.3～14.7</w:t>
                  </w:r>
                </w:p>
              </w:tc>
              <w:tc>
                <w:tcPr>
                  <w:tcW w:w="1010" w:type="dxa"/>
                  <w:vAlign w:val="center"/>
                </w:tcPr>
                <w:p>
                  <w:pPr>
                    <w:pStyle w:val="57"/>
                    <w:bidi w:val="0"/>
                    <w:rPr>
                      <w:rFonts w:hint="default"/>
                      <w:color w:val="auto"/>
                      <w:highlight w:val="none"/>
                      <w:lang w:val="en-US" w:eastAsia="zh-CN"/>
                    </w:rPr>
                  </w:pPr>
                  <w:r>
                    <w:rPr>
                      <w:rFonts w:hint="default"/>
                      <w:color w:val="auto"/>
                      <w:highlight w:val="none"/>
                      <w:lang w:val="en-US" w:eastAsia="zh-CN"/>
                    </w:rPr>
                    <w:t>0.13</w:t>
                  </w:r>
                </w:p>
              </w:tc>
              <w:tc>
                <w:tcPr>
                  <w:tcW w:w="741" w:type="dxa"/>
                  <w:vMerge w:val="restart"/>
                  <w:vAlign w:val="center"/>
                </w:tcPr>
                <w:p>
                  <w:pPr>
                    <w:pStyle w:val="57"/>
                    <w:bidi w:val="0"/>
                    <w:rPr>
                      <w:rFonts w:hint="default"/>
                      <w:color w:val="auto"/>
                      <w:highlight w:val="none"/>
                      <w:lang w:val="en-US" w:eastAsia="zh-CN"/>
                    </w:rPr>
                  </w:pPr>
                  <w:r>
                    <w:rPr>
                      <w:rFonts w:hint="default"/>
                      <w:color w:val="auto"/>
                      <w:highlight w:val="none"/>
                      <w:lang w:val="en-US" w:eastAsia="zh-CN"/>
                    </w:rPr>
                    <w:t>1440</w:t>
                  </w:r>
                </w:p>
              </w:tc>
              <w:tc>
                <w:tcPr>
                  <w:tcW w:w="846" w:type="dxa"/>
                  <w:vAlign w:val="center"/>
                </w:tcPr>
                <w:p>
                  <w:pPr>
                    <w:pStyle w:val="57"/>
                    <w:bidi w:val="0"/>
                    <w:rPr>
                      <w:rFonts w:hint="default"/>
                      <w:color w:val="auto"/>
                      <w:highlight w:val="none"/>
                      <w:lang w:val="en-US" w:eastAsia="zh-CN"/>
                    </w:rPr>
                  </w:pPr>
                  <w:r>
                    <w:rPr>
                      <w:rFonts w:hint="default"/>
                      <w:color w:val="auto"/>
                      <w:highlight w:val="none"/>
                      <w:lang w:val="en-US" w:eastAsia="zh-CN"/>
                    </w:rPr>
                    <w:t>0.187</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Merge w:val="continue"/>
                  <w:vAlign w:val="center"/>
                </w:tcPr>
                <w:p>
                  <w:pPr>
                    <w:pStyle w:val="57"/>
                    <w:bidi w:val="0"/>
                    <w:rPr>
                      <w:rFonts w:hint="eastAsia"/>
                      <w:color w:val="auto"/>
                      <w:highlight w:val="none"/>
                    </w:rPr>
                  </w:pPr>
                </w:p>
              </w:tc>
              <w:tc>
                <w:tcPr>
                  <w:tcW w:w="835" w:type="dxa"/>
                  <w:vMerge w:val="continue"/>
                  <w:vAlign w:val="center"/>
                </w:tcPr>
                <w:p>
                  <w:pPr>
                    <w:pStyle w:val="57"/>
                    <w:bidi w:val="0"/>
                    <w:rPr>
                      <w:rFonts w:hint="eastAsia"/>
                      <w:color w:val="auto"/>
                      <w:highlight w:val="none"/>
                    </w:rPr>
                  </w:pPr>
                </w:p>
              </w:tc>
              <w:tc>
                <w:tcPr>
                  <w:tcW w:w="2002" w:type="dxa"/>
                  <w:vMerge w:val="continue"/>
                  <w:vAlign w:val="center"/>
                </w:tcPr>
                <w:p>
                  <w:pPr>
                    <w:pStyle w:val="57"/>
                    <w:bidi w:val="0"/>
                    <w:rPr>
                      <w:rFonts w:hint="eastAsia"/>
                      <w:color w:val="auto"/>
                      <w:highlight w:val="none"/>
                    </w:rPr>
                  </w:pPr>
                </w:p>
              </w:tc>
              <w:tc>
                <w:tcPr>
                  <w:tcW w:w="1102" w:type="dxa"/>
                  <w:vAlign w:val="center"/>
                </w:tcPr>
                <w:p>
                  <w:pPr>
                    <w:pStyle w:val="57"/>
                    <w:bidi w:val="0"/>
                    <w:rPr>
                      <w:rFonts w:hint="eastAsia"/>
                      <w:color w:val="auto"/>
                      <w:highlight w:val="none"/>
                    </w:rPr>
                  </w:pPr>
                  <w:r>
                    <w:rPr>
                      <w:rFonts w:hint="eastAsia"/>
                      <w:color w:val="auto"/>
                      <w:highlight w:val="none"/>
                      <w:lang w:val="en-US" w:eastAsia="zh-CN"/>
                    </w:rPr>
                    <w:t>二氧化硫</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5.9～7.1</w:t>
                  </w:r>
                </w:p>
              </w:tc>
              <w:tc>
                <w:tcPr>
                  <w:tcW w:w="1010" w:type="dxa"/>
                  <w:vAlign w:val="center"/>
                </w:tcPr>
                <w:p>
                  <w:pPr>
                    <w:pStyle w:val="57"/>
                    <w:bidi w:val="0"/>
                    <w:rPr>
                      <w:rFonts w:hint="default"/>
                      <w:color w:val="auto"/>
                      <w:highlight w:val="none"/>
                      <w:lang w:val="en-US" w:eastAsia="zh-CN"/>
                    </w:rPr>
                  </w:pPr>
                  <w:r>
                    <w:rPr>
                      <w:rFonts w:hint="default"/>
                      <w:color w:val="auto"/>
                      <w:highlight w:val="none"/>
                      <w:lang w:val="en-US" w:eastAsia="zh-CN"/>
                    </w:rPr>
                    <w:t>0.0628</w:t>
                  </w:r>
                </w:p>
              </w:tc>
              <w:tc>
                <w:tcPr>
                  <w:tcW w:w="741" w:type="dxa"/>
                  <w:vMerge w:val="continue"/>
                  <w:vAlign w:val="center"/>
                </w:tcPr>
                <w:p>
                  <w:pPr>
                    <w:pStyle w:val="57"/>
                    <w:bidi w:val="0"/>
                    <w:rPr>
                      <w:rFonts w:hint="eastAsia"/>
                      <w:color w:val="auto"/>
                      <w:highlight w:val="none"/>
                      <w:lang w:val="en-US" w:eastAsia="zh-CN"/>
                    </w:rPr>
                  </w:pPr>
                </w:p>
              </w:tc>
              <w:tc>
                <w:tcPr>
                  <w:tcW w:w="846" w:type="dxa"/>
                  <w:vAlign w:val="center"/>
                </w:tcPr>
                <w:p>
                  <w:pPr>
                    <w:pStyle w:val="57"/>
                    <w:bidi w:val="0"/>
                    <w:rPr>
                      <w:rFonts w:hint="default"/>
                      <w:color w:val="auto"/>
                      <w:highlight w:val="none"/>
                      <w:lang w:val="en-US" w:eastAsia="zh-CN"/>
                    </w:rPr>
                  </w:pPr>
                  <w:r>
                    <w:rPr>
                      <w:rFonts w:hint="default"/>
                      <w:color w:val="auto"/>
                      <w:highlight w:val="none"/>
                      <w:lang w:val="en-US" w:eastAsia="zh-CN"/>
                    </w:rPr>
                    <w:t>0.09</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Merge w:val="continue"/>
                  <w:vAlign w:val="center"/>
                </w:tcPr>
                <w:p>
                  <w:pPr>
                    <w:pStyle w:val="57"/>
                    <w:bidi w:val="0"/>
                    <w:rPr>
                      <w:rFonts w:hint="eastAsia"/>
                      <w:color w:val="auto"/>
                      <w:highlight w:val="none"/>
                    </w:rPr>
                  </w:pPr>
                </w:p>
              </w:tc>
              <w:tc>
                <w:tcPr>
                  <w:tcW w:w="835" w:type="dxa"/>
                  <w:vMerge w:val="continue"/>
                  <w:vAlign w:val="center"/>
                </w:tcPr>
                <w:p>
                  <w:pPr>
                    <w:pStyle w:val="57"/>
                    <w:bidi w:val="0"/>
                    <w:rPr>
                      <w:rFonts w:hint="eastAsia"/>
                      <w:color w:val="auto"/>
                      <w:highlight w:val="none"/>
                    </w:rPr>
                  </w:pPr>
                </w:p>
              </w:tc>
              <w:tc>
                <w:tcPr>
                  <w:tcW w:w="2002" w:type="dxa"/>
                  <w:vMerge w:val="continue"/>
                  <w:vAlign w:val="center"/>
                </w:tcPr>
                <w:p>
                  <w:pPr>
                    <w:pStyle w:val="57"/>
                    <w:bidi w:val="0"/>
                    <w:rPr>
                      <w:rFonts w:hint="eastAsia"/>
                      <w:color w:val="auto"/>
                      <w:highlight w:val="none"/>
                    </w:rPr>
                  </w:pPr>
                </w:p>
              </w:tc>
              <w:tc>
                <w:tcPr>
                  <w:tcW w:w="1102" w:type="dxa"/>
                  <w:vAlign w:val="center"/>
                </w:tcPr>
                <w:p>
                  <w:pPr>
                    <w:pStyle w:val="57"/>
                    <w:bidi w:val="0"/>
                    <w:rPr>
                      <w:rFonts w:hint="eastAsia"/>
                      <w:color w:val="auto"/>
                      <w:highlight w:val="none"/>
                    </w:rPr>
                  </w:pPr>
                  <w:r>
                    <w:rPr>
                      <w:rFonts w:hint="eastAsia"/>
                      <w:color w:val="auto"/>
                      <w:highlight w:val="none"/>
                      <w:lang w:val="en-US" w:eastAsia="zh-CN"/>
                    </w:rPr>
                    <w:t>氮氧化物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14.2～17</w:t>
                  </w:r>
                </w:p>
              </w:tc>
              <w:tc>
                <w:tcPr>
                  <w:tcW w:w="1010" w:type="dxa"/>
                  <w:vAlign w:val="center"/>
                </w:tcPr>
                <w:p>
                  <w:pPr>
                    <w:pStyle w:val="57"/>
                    <w:bidi w:val="0"/>
                    <w:rPr>
                      <w:rFonts w:hint="default"/>
                      <w:color w:val="auto"/>
                      <w:highlight w:val="none"/>
                      <w:lang w:val="en-US" w:eastAsia="zh-CN"/>
                    </w:rPr>
                  </w:pPr>
                  <w:r>
                    <w:rPr>
                      <w:rFonts w:hint="default"/>
                      <w:color w:val="auto"/>
                      <w:highlight w:val="none"/>
                      <w:lang w:val="en-US" w:eastAsia="zh-CN"/>
                    </w:rPr>
                    <w:t>0.147</w:t>
                  </w:r>
                </w:p>
              </w:tc>
              <w:tc>
                <w:tcPr>
                  <w:tcW w:w="741" w:type="dxa"/>
                  <w:vMerge w:val="continue"/>
                  <w:vAlign w:val="center"/>
                </w:tcPr>
                <w:p>
                  <w:pPr>
                    <w:pStyle w:val="57"/>
                    <w:bidi w:val="0"/>
                    <w:rPr>
                      <w:rFonts w:hint="eastAsia"/>
                      <w:color w:val="auto"/>
                      <w:highlight w:val="none"/>
                      <w:lang w:val="en-US" w:eastAsia="zh-CN"/>
                    </w:rPr>
                  </w:pPr>
                </w:p>
              </w:tc>
              <w:tc>
                <w:tcPr>
                  <w:tcW w:w="846" w:type="dxa"/>
                  <w:vAlign w:val="center"/>
                </w:tcPr>
                <w:p>
                  <w:pPr>
                    <w:pStyle w:val="57"/>
                    <w:bidi w:val="0"/>
                    <w:rPr>
                      <w:rFonts w:hint="default"/>
                      <w:color w:val="auto"/>
                      <w:highlight w:val="none"/>
                      <w:lang w:val="en-US" w:eastAsia="zh-CN"/>
                    </w:rPr>
                  </w:pPr>
                  <w:r>
                    <w:rPr>
                      <w:rFonts w:hint="default"/>
                      <w:color w:val="auto"/>
                      <w:highlight w:val="none"/>
                      <w:lang w:val="en-US" w:eastAsia="zh-CN"/>
                    </w:rPr>
                    <w:t>0.212</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Merge w:val="continue"/>
                  <w:vAlign w:val="center"/>
                </w:tcPr>
                <w:p>
                  <w:pPr>
                    <w:pStyle w:val="57"/>
                    <w:bidi w:val="0"/>
                    <w:rPr>
                      <w:rFonts w:hint="eastAsia"/>
                      <w:color w:val="auto"/>
                      <w:highlight w:val="none"/>
                    </w:rPr>
                  </w:pPr>
                </w:p>
              </w:tc>
              <w:tc>
                <w:tcPr>
                  <w:tcW w:w="835" w:type="dxa"/>
                  <w:vMerge w:val="continue"/>
                  <w:vAlign w:val="center"/>
                </w:tcPr>
                <w:p>
                  <w:pPr>
                    <w:pStyle w:val="57"/>
                    <w:bidi w:val="0"/>
                    <w:rPr>
                      <w:rFonts w:hint="eastAsia"/>
                      <w:color w:val="auto"/>
                      <w:highlight w:val="none"/>
                    </w:rPr>
                  </w:pPr>
                </w:p>
              </w:tc>
              <w:tc>
                <w:tcPr>
                  <w:tcW w:w="2002" w:type="dxa"/>
                  <w:vMerge w:val="continue"/>
                  <w:vAlign w:val="center"/>
                </w:tcPr>
                <w:p>
                  <w:pPr>
                    <w:pStyle w:val="57"/>
                    <w:bidi w:val="0"/>
                    <w:rPr>
                      <w:rFonts w:hint="eastAsia"/>
                      <w:color w:val="auto"/>
                      <w:highlight w:val="none"/>
                    </w:rPr>
                  </w:pPr>
                </w:p>
              </w:tc>
              <w:tc>
                <w:tcPr>
                  <w:tcW w:w="1102" w:type="dxa"/>
                  <w:vAlign w:val="center"/>
                </w:tcPr>
                <w:p>
                  <w:pPr>
                    <w:pStyle w:val="57"/>
                    <w:bidi w:val="0"/>
                    <w:rPr>
                      <w:rFonts w:hint="eastAsia"/>
                      <w:color w:val="auto"/>
                      <w:highlight w:val="none"/>
                      <w:lang w:val="en-US" w:eastAsia="zh-CN"/>
                    </w:rPr>
                  </w:pPr>
                  <w:r>
                    <w:rPr>
                      <w:rFonts w:hint="eastAsia"/>
                      <w:color w:val="auto"/>
                      <w:highlight w:val="none"/>
                      <w:lang w:val="en-US" w:eastAsia="zh-CN"/>
                    </w:rPr>
                    <w:t>汞及其化合物</w:t>
                  </w:r>
                </w:p>
              </w:tc>
              <w:tc>
                <w:tcPr>
                  <w:tcW w:w="1087" w:type="dxa"/>
                  <w:vAlign w:val="center"/>
                </w:tcPr>
                <w:p>
                  <w:pPr>
                    <w:pStyle w:val="57"/>
                    <w:bidi w:val="0"/>
                    <w:rPr>
                      <w:rFonts w:hint="eastAsia"/>
                      <w:color w:val="auto"/>
                      <w:highlight w:val="none"/>
                      <w:lang w:val="en-US" w:eastAsia="zh-CN"/>
                    </w:rPr>
                  </w:pPr>
                  <w:r>
                    <w:rPr>
                      <w:rFonts w:hint="eastAsia"/>
                      <w:color w:val="auto"/>
                      <w:highlight w:val="none"/>
                      <w:lang w:val="en-US" w:eastAsia="zh-CN"/>
                    </w:rPr>
                    <w:t>未检出</w:t>
                  </w:r>
                </w:p>
              </w:tc>
              <w:tc>
                <w:tcPr>
                  <w:tcW w:w="1010" w:type="dxa"/>
                  <w:vAlign w:val="center"/>
                </w:tcPr>
                <w:p>
                  <w:pPr>
                    <w:pStyle w:val="57"/>
                    <w:bidi w:val="0"/>
                    <w:rPr>
                      <w:rFonts w:hint="eastAsia"/>
                      <w:color w:val="auto"/>
                      <w:highlight w:val="none"/>
                      <w:lang w:val="en-US" w:eastAsia="zh-CN"/>
                    </w:rPr>
                  </w:pPr>
                  <w:r>
                    <w:rPr>
                      <w:rFonts w:hint="eastAsia"/>
                      <w:color w:val="auto"/>
                      <w:highlight w:val="none"/>
                      <w:lang w:val="en-US" w:eastAsia="zh-CN"/>
                    </w:rPr>
                    <w:t>未检出</w:t>
                  </w:r>
                </w:p>
              </w:tc>
              <w:tc>
                <w:tcPr>
                  <w:tcW w:w="741" w:type="dxa"/>
                  <w:vMerge w:val="continue"/>
                  <w:vAlign w:val="center"/>
                </w:tcPr>
                <w:p>
                  <w:pPr>
                    <w:pStyle w:val="57"/>
                    <w:bidi w:val="0"/>
                    <w:rPr>
                      <w:rFonts w:hint="eastAsia"/>
                      <w:color w:val="auto"/>
                      <w:highlight w:val="none"/>
                      <w:lang w:val="en-US" w:eastAsia="zh-CN"/>
                    </w:rPr>
                  </w:pPr>
                </w:p>
              </w:tc>
              <w:tc>
                <w:tcPr>
                  <w:tcW w:w="846" w:type="dxa"/>
                  <w:vAlign w:val="center"/>
                </w:tcPr>
                <w:p>
                  <w:pPr>
                    <w:pStyle w:val="57"/>
                    <w:bidi w:val="0"/>
                    <w:rPr>
                      <w:rFonts w:hint="eastAsia"/>
                      <w:color w:val="auto"/>
                      <w:highlight w:val="none"/>
                      <w:lang w:val="en-US" w:eastAsia="zh-CN"/>
                    </w:rPr>
                  </w:pPr>
                  <w:r>
                    <w:rPr>
                      <w:rFonts w:hint="default"/>
                      <w:color w:val="auto"/>
                      <w:highlight w:val="none"/>
                      <w:lang w:val="en-US" w:eastAsia="zh-CN"/>
                    </w:rPr>
                    <w:t>/</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eastAsia"/>
                      <w:color w:val="auto"/>
                      <w:highlight w:val="none"/>
                      <w:lang w:val="en-US" w:eastAsia="zh-CN"/>
                    </w:rPr>
                  </w:pPr>
                  <w:r>
                    <w:rPr>
                      <w:rFonts w:hint="default"/>
                      <w:color w:val="auto"/>
                      <w:highlight w:val="none"/>
                      <w:lang w:val="en-US" w:eastAsia="zh-CN"/>
                    </w:rPr>
                    <w:t>3</w:t>
                  </w:r>
                </w:p>
              </w:tc>
              <w:tc>
                <w:tcPr>
                  <w:tcW w:w="835" w:type="dxa"/>
                  <w:vAlign w:val="center"/>
                </w:tcPr>
                <w:p>
                  <w:pPr>
                    <w:pStyle w:val="57"/>
                    <w:bidi w:val="0"/>
                    <w:rPr>
                      <w:rFonts w:hint="eastAsia"/>
                      <w:color w:val="auto"/>
                      <w:highlight w:val="none"/>
                    </w:rPr>
                  </w:pPr>
                  <w:r>
                    <w:rPr>
                      <w:rFonts w:hint="default"/>
                      <w:color w:val="auto"/>
                      <w:highlight w:val="none"/>
                      <w:lang w:val="en-US" w:eastAsia="zh-CN"/>
                    </w:rPr>
                    <w:t>DA003</w:t>
                  </w:r>
                </w:p>
              </w:tc>
              <w:tc>
                <w:tcPr>
                  <w:tcW w:w="2002" w:type="dxa"/>
                  <w:vAlign w:val="center"/>
                </w:tcPr>
                <w:p>
                  <w:pPr>
                    <w:pStyle w:val="57"/>
                    <w:bidi w:val="0"/>
                    <w:rPr>
                      <w:rFonts w:hint="eastAsia"/>
                      <w:color w:val="auto"/>
                      <w:highlight w:val="none"/>
                    </w:rPr>
                  </w:pPr>
                  <w:r>
                    <w:rPr>
                      <w:rFonts w:hint="default"/>
                      <w:color w:val="auto"/>
                      <w:highlight w:val="none"/>
                      <w:lang w:val="en-US" w:eastAsia="zh-CN"/>
                    </w:rPr>
                    <w:t>1#</w:t>
                  </w:r>
                  <w:r>
                    <w:rPr>
                      <w:color w:val="auto"/>
                      <w:highlight w:val="none"/>
                      <w:lang w:val="en-US" w:eastAsia="zh-CN"/>
                    </w:rPr>
                    <w:t>磨粉生产线废气排放口(1#雷蒙磨)</w:t>
                  </w:r>
                </w:p>
              </w:tc>
              <w:tc>
                <w:tcPr>
                  <w:tcW w:w="1102" w:type="dxa"/>
                  <w:vAlign w:val="center"/>
                </w:tcPr>
                <w:p>
                  <w:pPr>
                    <w:pStyle w:val="57"/>
                    <w:bidi w:val="0"/>
                    <w:rPr>
                      <w:rFonts w:hint="eastAsia"/>
                      <w:color w:val="auto"/>
                      <w:highlight w:val="none"/>
                      <w:lang w:val="en-US" w:eastAsia="zh-CN"/>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45～48</w:t>
                  </w:r>
                </w:p>
              </w:tc>
              <w:tc>
                <w:tcPr>
                  <w:tcW w:w="1010" w:type="dxa"/>
                  <w:vAlign w:val="center"/>
                </w:tcPr>
                <w:p>
                  <w:pPr>
                    <w:pStyle w:val="57"/>
                    <w:bidi w:val="0"/>
                    <w:rPr>
                      <w:rFonts w:hint="default"/>
                      <w:color w:val="auto"/>
                      <w:highlight w:val="none"/>
                      <w:lang w:val="en-US" w:eastAsia="zh-CN"/>
                    </w:rPr>
                  </w:pPr>
                  <w:r>
                    <w:rPr>
                      <w:rFonts w:hint="default"/>
                      <w:color w:val="auto"/>
                      <w:highlight w:val="none"/>
                      <w:lang w:val="en-US" w:eastAsia="zh-CN"/>
                    </w:rPr>
                    <w:t>0.189</w:t>
                  </w:r>
                </w:p>
              </w:tc>
              <w:tc>
                <w:tcPr>
                  <w:tcW w:w="741" w:type="dxa"/>
                  <w:vAlign w:val="center"/>
                </w:tcPr>
                <w:p>
                  <w:pPr>
                    <w:pStyle w:val="57"/>
                    <w:bidi w:val="0"/>
                    <w:rPr>
                      <w:rFonts w:hint="eastAsia"/>
                      <w:color w:val="auto"/>
                      <w:highlight w:val="none"/>
                    </w:rPr>
                  </w:pPr>
                  <w:r>
                    <w:rPr>
                      <w:rFonts w:hint="eastAsia"/>
                      <w:color w:val="auto"/>
                      <w:highlight w:val="none"/>
                      <w:lang w:val="en-US" w:eastAsia="zh-CN"/>
                    </w:rPr>
                    <w:t>1500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0.283</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eastAsia"/>
                      <w:color w:val="auto"/>
                      <w:highlight w:val="none"/>
                      <w:lang w:val="en-US" w:eastAsia="zh-CN"/>
                    </w:rPr>
                  </w:pPr>
                  <w:r>
                    <w:rPr>
                      <w:rFonts w:hint="default"/>
                      <w:color w:val="auto"/>
                      <w:highlight w:val="none"/>
                      <w:lang w:val="en-US" w:eastAsia="zh-CN"/>
                    </w:rPr>
                    <w:t>4</w:t>
                  </w:r>
                </w:p>
              </w:tc>
              <w:tc>
                <w:tcPr>
                  <w:tcW w:w="835" w:type="dxa"/>
                  <w:vAlign w:val="center"/>
                </w:tcPr>
                <w:p>
                  <w:pPr>
                    <w:pStyle w:val="57"/>
                    <w:bidi w:val="0"/>
                    <w:rPr>
                      <w:rFonts w:hint="eastAsia"/>
                      <w:color w:val="auto"/>
                      <w:highlight w:val="none"/>
                    </w:rPr>
                  </w:pPr>
                  <w:r>
                    <w:rPr>
                      <w:rFonts w:hint="default"/>
                      <w:color w:val="auto"/>
                      <w:highlight w:val="none"/>
                      <w:lang w:val="en-US" w:eastAsia="zh-CN"/>
                    </w:rPr>
                    <w:t>DA004</w:t>
                  </w:r>
                </w:p>
              </w:tc>
              <w:tc>
                <w:tcPr>
                  <w:tcW w:w="2002" w:type="dxa"/>
                  <w:vAlign w:val="center"/>
                </w:tcPr>
                <w:p>
                  <w:pPr>
                    <w:pStyle w:val="57"/>
                    <w:bidi w:val="0"/>
                    <w:rPr>
                      <w:rFonts w:hint="eastAsia"/>
                      <w:color w:val="auto"/>
                      <w:highlight w:val="none"/>
                    </w:rPr>
                  </w:pPr>
                  <w:r>
                    <w:rPr>
                      <w:rFonts w:hint="default"/>
                      <w:color w:val="auto"/>
                      <w:highlight w:val="none"/>
                      <w:lang w:val="en-US" w:eastAsia="zh-CN"/>
                    </w:rPr>
                    <w:t>2#</w:t>
                  </w:r>
                  <w:r>
                    <w:rPr>
                      <w:color w:val="auto"/>
                      <w:highlight w:val="none"/>
                      <w:lang w:val="en-US" w:eastAsia="zh-CN"/>
                    </w:rPr>
                    <w:t>磨粉生产线废气排放口(2#雷蒙磨)</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eastAsia"/>
                      <w:color w:val="auto"/>
                      <w:highlight w:val="none"/>
                      <w:lang w:val="en-US" w:eastAsia="zh-CN"/>
                    </w:rPr>
                  </w:pPr>
                  <w:r>
                    <w:rPr>
                      <w:rFonts w:hint="eastAsia"/>
                      <w:color w:val="auto"/>
                      <w:highlight w:val="none"/>
                      <w:lang w:val="en-US" w:eastAsia="zh-CN"/>
                    </w:rPr>
                    <w:t>45～48</w:t>
                  </w:r>
                </w:p>
              </w:tc>
              <w:tc>
                <w:tcPr>
                  <w:tcW w:w="1010" w:type="dxa"/>
                  <w:vAlign w:val="center"/>
                </w:tcPr>
                <w:p>
                  <w:pPr>
                    <w:pStyle w:val="57"/>
                    <w:bidi w:val="0"/>
                    <w:rPr>
                      <w:rFonts w:hint="eastAsia"/>
                      <w:color w:val="auto"/>
                      <w:highlight w:val="none"/>
                    </w:rPr>
                  </w:pPr>
                  <w:r>
                    <w:rPr>
                      <w:rFonts w:hint="default"/>
                      <w:color w:val="auto"/>
                      <w:highlight w:val="none"/>
                      <w:lang w:val="en-US" w:eastAsia="zh-CN"/>
                    </w:rPr>
                    <w:t>0.101</w:t>
                  </w:r>
                </w:p>
              </w:tc>
              <w:tc>
                <w:tcPr>
                  <w:tcW w:w="741" w:type="dxa"/>
                  <w:vAlign w:val="center"/>
                </w:tcPr>
                <w:p>
                  <w:pPr>
                    <w:pStyle w:val="57"/>
                    <w:bidi w:val="0"/>
                    <w:rPr>
                      <w:rFonts w:hint="eastAsia"/>
                      <w:color w:val="auto"/>
                      <w:highlight w:val="none"/>
                    </w:rPr>
                  </w:pPr>
                  <w:r>
                    <w:rPr>
                      <w:rFonts w:hint="eastAsia"/>
                      <w:color w:val="auto"/>
                      <w:highlight w:val="none"/>
                      <w:lang w:val="en-US" w:eastAsia="zh-CN"/>
                    </w:rPr>
                    <w:t>1500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0.152</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eastAsia"/>
                      <w:color w:val="auto"/>
                      <w:highlight w:val="none"/>
                      <w:lang w:val="en-US" w:eastAsia="zh-CN"/>
                    </w:rPr>
                  </w:pPr>
                  <w:r>
                    <w:rPr>
                      <w:rFonts w:hint="default"/>
                      <w:color w:val="auto"/>
                      <w:highlight w:val="none"/>
                      <w:lang w:val="en-US" w:eastAsia="zh-CN"/>
                    </w:rPr>
                    <w:t>5</w:t>
                  </w:r>
                </w:p>
              </w:tc>
              <w:tc>
                <w:tcPr>
                  <w:tcW w:w="835" w:type="dxa"/>
                  <w:vAlign w:val="center"/>
                </w:tcPr>
                <w:p>
                  <w:pPr>
                    <w:pStyle w:val="57"/>
                    <w:bidi w:val="0"/>
                    <w:rPr>
                      <w:rFonts w:hint="eastAsia"/>
                      <w:color w:val="auto"/>
                      <w:highlight w:val="none"/>
                    </w:rPr>
                  </w:pPr>
                  <w:r>
                    <w:rPr>
                      <w:rFonts w:hint="default"/>
                      <w:color w:val="auto"/>
                      <w:highlight w:val="none"/>
                      <w:lang w:val="en-US" w:eastAsia="zh-CN"/>
                    </w:rPr>
                    <w:t>DA005</w:t>
                  </w:r>
                </w:p>
              </w:tc>
              <w:tc>
                <w:tcPr>
                  <w:tcW w:w="2002" w:type="dxa"/>
                  <w:vAlign w:val="center"/>
                </w:tcPr>
                <w:p>
                  <w:pPr>
                    <w:pStyle w:val="57"/>
                    <w:bidi w:val="0"/>
                    <w:rPr>
                      <w:rFonts w:hint="eastAsia"/>
                      <w:color w:val="auto"/>
                      <w:highlight w:val="none"/>
                    </w:rPr>
                  </w:pPr>
                  <w:r>
                    <w:rPr>
                      <w:rFonts w:hint="default"/>
                      <w:color w:val="auto"/>
                      <w:highlight w:val="none"/>
                      <w:lang w:val="en-US" w:eastAsia="zh-CN"/>
                    </w:rPr>
                    <w:t>3#</w:t>
                  </w:r>
                  <w:r>
                    <w:rPr>
                      <w:color w:val="auto"/>
                      <w:highlight w:val="none"/>
                      <w:lang w:val="en-US" w:eastAsia="zh-CN"/>
                    </w:rPr>
                    <w:t>磨粉生产线废气排放口(3#雷蒙磨)</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eastAsia"/>
                      <w:color w:val="auto"/>
                      <w:highlight w:val="none"/>
                      <w:lang w:val="en-US" w:eastAsia="zh-CN"/>
                    </w:rPr>
                  </w:pPr>
                  <w:r>
                    <w:rPr>
                      <w:rFonts w:hint="eastAsia"/>
                      <w:color w:val="auto"/>
                      <w:highlight w:val="none"/>
                      <w:lang w:val="en-US" w:eastAsia="zh-CN"/>
                    </w:rPr>
                    <w:t>45～47</w:t>
                  </w:r>
                </w:p>
              </w:tc>
              <w:tc>
                <w:tcPr>
                  <w:tcW w:w="1010" w:type="dxa"/>
                  <w:vAlign w:val="center"/>
                </w:tcPr>
                <w:p>
                  <w:pPr>
                    <w:pStyle w:val="57"/>
                    <w:bidi w:val="0"/>
                    <w:rPr>
                      <w:rFonts w:hint="eastAsia"/>
                      <w:color w:val="auto"/>
                      <w:highlight w:val="none"/>
                    </w:rPr>
                  </w:pPr>
                  <w:r>
                    <w:rPr>
                      <w:rFonts w:hint="default"/>
                      <w:color w:val="auto"/>
                      <w:highlight w:val="none"/>
                      <w:lang w:val="en-US" w:eastAsia="zh-CN"/>
                    </w:rPr>
                    <w:t>0.122</w:t>
                  </w:r>
                </w:p>
              </w:tc>
              <w:tc>
                <w:tcPr>
                  <w:tcW w:w="741" w:type="dxa"/>
                  <w:vAlign w:val="center"/>
                </w:tcPr>
                <w:p>
                  <w:pPr>
                    <w:pStyle w:val="57"/>
                    <w:bidi w:val="0"/>
                    <w:rPr>
                      <w:rFonts w:hint="eastAsia"/>
                      <w:color w:val="auto"/>
                      <w:highlight w:val="none"/>
                    </w:rPr>
                  </w:pPr>
                  <w:r>
                    <w:rPr>
                      <w:rFonts w:hint="eastAsia"/>
                      <w:color w:val="auto"/>
                      <w:highlight w:val="none"/>
                      <w:lang w:val="en-US" w:eastAsia="zh-CN"/>
                    </w:rPr>
                    <w:t>1500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0.183</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eastAsia"/>
                      <w:color w:val="auto"/>
                      <w:highlight w:val="none"/>
                      <w:lang w:val="en-US" w:eastAsia="zh-CN"/>
                    </w:rPr>
                  </w:pPr>
                  <w:r>
                    <w:rPr>
                      <w:rFonts w:hint="default"/>
                      <w:color w:val="auto"/>
                      <w:highlight w:val="none"/>
                      <w:lang w:val="en-US" w:eastAsia="zh-CN"/>
                    </w:rPr>
                    <w:t>6</w:t>
                  </w:r>
                </w:p>
              </w:tc>
              <w:tc>
                <w:tcPr>
                  <w:tcW w:w="835" w:type="dxa"/>
                  <w:vAlign w:val="center"/>
                </w:tcPr>
                <w:p>
                  <w:pPr>
                    <w:pStyle w:val="57"/>
                    <w:bidi w:val="0"/>
                    <w:rPr>
                      <w:rFonts w:hint="eastAsia"/>
                      <w:color w:val="auto"/>
                      <w:highlight w:val="none"/>
                    </w:rPr>
                  </w:pPr>
                  <w:r>
                    <w:rPr>
                      <w:rFonts w:hint="default"/>
                      <w:color w:val="auto"/>
                      <w:highlight w:val="none"/>
                      <w:lang w:val="en-US" w:eastAsia="zh-CN"/>
                    </w:rPr>
                    <w:t>DA006</w:t>
                  </w:r>
                </w:p>
              </w:tc>
              <w:tc>
                <w:tcPr>
                  <w:tcW w:w="2002" w:type="dxa"/>
                  <w:vAlign w:val="center"/>
                </w:tcPr>
                <w:p>
                  <w:pPr>
                    <w:pStyle w:val="57"/>
                    <w:bidi w:val="0"/>
                    <w:rPr>
                      <w:rFonts w:hint="eastAsia"/>
                      <w:color w:val="auto"/>
                      <w:highlight w:val="none"/>
                    </w:rPr>
                  </w:pPr>
                  <w:r>
                    <w:rPr>
                      <w:rFonts w:hint="eastAsia"/>
                      <w:color w:val="auto"/>
                      <w:highlight w:val="none"/>
                      <w:lang w:val="en-US" w:eastAsia="zh-CN"/>
                    </w:rPr>
                    <w:t>1#磨粉工艺成品筒仓废气排放口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42～44</w:t>
                  </w:r>
                </w:p>
              </w:tc>
              <w:tc>
                <w:tcPr>
                  <w:tcW w:w="1010" w:type="dxa"/>
                  <w:vAlign w:val="center"/>
                </w:tcPr>
                <w:p>
                  <w:pPr>
                    <w:pStyle w:val="57"/>
                    <w:bidi w:val="0"/>
                    <w:rPr>
                      <w:rFonts w:hint="eastAsia"/>
                      <w:color w:val="auto"/>
                      <w:highlight w:val="none"/>
                    </w:rPr>
                  </w:pPr>
                  <w:r>
                    <w:rPr>
                      <w:rFonts w:hint="default"/>
                      <w:color w:val="auto"/>
                      <w:highlight w:val="none"/>
                      <w:lang w:val="en-US" w:eastAsia="zh-CN"/>
                    </w:rPr>
                    <w:t>0.124</w:t>
                  </w:r>
                </w:p>
              </w:tc>
              <w:tc>
                <w:tcPr>
                  <w:tcW w:w="741" w:type="dxa"/>
                  <w:vAlign w:val="center"/>
                </w:tcPr>
                <w:p>
                  <w:pPr>
                    <w:pStyle w:val="57"/>
                    <w:bidi w:val="0"/>
                    <w:rPr>
                      <w:rFonts w:hint="eastAsia"/>
                      <w:color w:val="auto"/>
                      <w:highlight w:val="none"/>
                    </w:rPr>
                  </w:pPr>
                  <w:r>
                    <w:rPr>
                      <w:rFonts w:hint="eastAsia"/>
                      <w:color w:val="auto"/>
                      <w:highlight w:val="none"/>
                      <w:lang w:val="en-US" w:eastAsia="zh-CN"/>
                    </w:rPr>
                    <w:t>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0.050</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eastAsia"/>
                      <w:color w:val="auto"/>
                      <w:highlight w:val="none"/>
                      <w:lang w:val="en-US" w:eastAsia="zh-CN"/>
                    </w:rPr>
                  </w:pPr>
                  <w:r>
                    <w:rPr>
                      <w:rFonts w:hint="default"/>
                      <w:color w:val="auto"/>
                      <w:highlight w:val="none"/>
                      <w:lang w:val="en-US" w:eastAsia="zh-CN"/>
                    </w:rPr>
                    <w:t>7</w:t>
                  </w:r>
                </w:p>
              </w:tc>
              <w:tc>
                <w:tcPr>
                  <w:tcW w:w="835" w:type="dxa"/>
                  <w:vAlign w:val="center"/>
                </w:tcPr>
                <w:p>
                  <w:pPr>
                    <w:pStyle w:val="57"/>
                    <w:bidi w:val="0"/>
                    <w:rPr>
                      <w:rFonts w:hint="eastAsia"/>
                      <w:color w:val="auto"/>
                      <w:highlight w:val="none"/>
                    </w:rPr>
                  </w:pPr>
                  <w:r>
                    <w:rPr>
                      <w:rFonts w:hint="default"/>
                      <w:color w:val="auto"/>
                      <w:highlight w:val="none"/>
                      <w:lang w:val="en-US" w:eastAsia="zh-CN"/>
                    </w:rPr>
                    <w:t>DA007</w:t>
                  </w:r>
                </w:p>
              </w:tc>
              <w:tc>
                <w:tcPr>
                  <w:tcW w:w="2002" w:type="dxa"/>
                  <w:vAlign w:val="center"/>
                </w:tcPr>
                <w:p>
                  <w:pPr>
                    <w:pStyle w:val="57"/>
                    <w:bidi w:val="0"/>
                    <w:rPr>
                      <w:rFonts w:hint="eastAsia"/>
                      <w:color w:val="auto"/>
                      <w:highlight w:val="none"/>
                    </w:rPr>
                  </w:pPr>
                  <w:r>
                    <w:rPr>
                      <w:rFonts w:hint="eastAsia"/>
                      <w:color w:val="auto"/>
                      <w:highlight w:val="none"/>
                      <w:lang w:val="en-US" w:eastAsia="zh-CN"/>
                    </w:rPr>
                    <w:t>2#磨粉工艺成品筒仓废气排放口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43～45</w:t>
                  </w:r>
                </w:p>
              </w:tc>
              <w:tc>
                <w:tcPr>
                  <w:tcW w:w="1010" w:type="dxa"/>
                  <w:vAlign w:val="center"/>
                </w:tcPr>
                <w:p>
                  <w:pPr>
                    <w:pStyle w:val="57"/>
                    <w:bidi w:val="0"/>
                    <w:rPr>
                      <w:rFonts w:hint="eastAsia"/>
                      <w:color w:val="auto"/>
                      <w:highlight w:val="none"/>
                    </w:rPr>
                  </w:pPr>
                  <w:r>
                    <w:rPr>
                      <w:rFonts w:hint="default"/>
                      <w:color w:val="auto"/>
                      <w:highlight w:val="none"/>
                      <w:lang w:val="en-US" w:eastAsia="zh-CN"/>
                    </w:rPr>
                    <w:t>0.160</w:t>
                  </w:r>
                </w:p>
              </w:tc>
              <w:tc>
                <w:tcPr>
                  <w:tcW w:w="741" w:type="dxa"/>
                  <w:vAlign w:val="center"/>
                </w:tcPr>
                <w:p>
                  <w:pPr>
                    <w:pStyle w:val="57"/>
                    <w:bidi w:val="0"/>
                    <w:rPr>
                      <w:rFonts w:hint="eastAsia"/>
                      <w:color w:val="auto"/>
                      <w:highlight w:val="none"/>
                    </w:rPr>
                  </w:pPr>
                  <w:r>
                    <w:rPr>
                      <w:rFonts w:hint="eastAsia"/>
                      <w:color w:val="auto"/>
                      <w:highlight w:val="none"/>
                      <w:lang w:val="en-US" w:eastAsia="zh-CN"/>
                    </w:rPr>
                    <w:t>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0.064</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eastAsia"/>
                      <w:color w:val="auto"/>
                      <w:highlight w:val="none"/>
                      <w:lang w:val="en-US" w:eastAsia="zh-CN"/>
                    </w:rPr>
                  </w:pPr>
                  <w:r>
                    <w:rPr>
                      <w:rFonts w:hint="default"/>
                      <w:color w:val="auto"/>
                      <w:highlight w:val="none"/>
                      <w:lang w:val="en-US" w:eastAsia="zh-CN"/>
                    </w:rPr>
                    <w:t>8</w:t>
                  </w:r>
                </w:p>
              </w:tc>
              <w:tc>
                <w:tcPr>
                  <w:tcW w:w="835" w:type="dxa"/>
                  <w:vAlign w:val="center"/>
                </w:tcPr>
                <w:p>
                  <w:pPr>
                    <w:pStyle w:val="57"/>
                    <w:bidi w:val="0"/>
                    <w:rPr>
                      <w:rFonts w:hint="eastAsia"/>
                      <w:color w:val="auto"/>
                      <w:highlight w:val="none"/>
                    </w:rPr>
                  </w:pPr>
                  <w:r>
                    <w:rPr>
                      <w:rFonts w:hint="default"/>
                      <w:color w:val="auto"/>
                      <w:highlight w:val="none"/>
                      <w:lang w:val="en-US" w:eastAsia="zh-CN"/>
                    </w:rPr>
                    <w:t>DA008</w:t>
                  </w:r>
                </w:p>
              </w:tc>
              <w:tc>
                <w:tcPr>
                  <w:tcW w:w="2002" w:type="dxa"/>
                  <w:vAlign w:val="center"/>
                </w:tcPr>
                <w:p>
                  <w:pPr>
                    <w:pStyle w:val="57"/>
                    <w:bidi w:val="0"/>
                    <w:rPr>
                      <w:rFonts w:hint="eastAsia"/>
                      <w:color w:val="auto"/>
                      <w:highlight w:val="none"/>
                    </w:rPr>
                  </w:pPr>
                  <w:r>
                    <w:rPr>
                      <w:rFonts w:hint="eastAsia"/>
                      <w:color w:val="auto"/>
                      <w:highlight w:val="none"/>
                      <w:lang w:val="en-US" w:eastAsia="zh-CN"/>
                    </w:rPr>
                    <w:t>3#磨粉工艺成品筒仓废气排放口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38～42</w:t>
                  </w:r>
                </w:p>
              </w:tc>
              <w:tc>
                <w:tcPr>
                  <w:tcW w:w="1010" w:type="dxa"/>
                  <w:vAlign w:val="center"/>
                </w:tcPr>
                <w:p>
                  <w:pPr>
                    <w:pStyle w:val="57"/>
                    <w:bidi w:val="0"/>
                    <w:rPr>
                      <w:rFonts w:hint="eastAsia"/>
                      <w:color w:val="auto"/>
                      <w:highlight w:val="none"/>
                    </w:rPr>
                  </w:pPr>
                  <w:r>
                    <w:rPr>
                      <w:rFonts w:hint="default"/>
                      <w:color w:val="auto"/>
                      <w:highlight w:val="none"/>
                      <w:lang w:val="en-US" w:eastAsia="zh-CN"/>
                    </w:rPr>
                    <w:t>0.044</w:t>
                  </w:r>
                </w:p>
              </w:tc>
              <w:tc>
                <w:tcPr>
                  <w:tcW w:w="741" w:type="dxa"/>
                  <w:vAlign w:val="center"/>
                </w:tcPr>
                <w:p>
                  <w:pPr>
                    <w:pStyle w:val="57"/>
                    <w:bidi w:val="0"/>
                    <w:rPr>
                      <w:rFonts w:hint="eastAsia"/>
                      <w:color w:val="auto"/>
                      <w:highlight w:val="none"/>
                    </w:rPr>
                  </w:pPr>
                  <w:r>
                    <w:rPr>
                      <w:rFonts w:hint="eastAsia"/>
                      <w:color w:val="auto"/>
                      <w:highlight w:val="none"/>
                      <w:lang w:val="en-US" w:eastAsia="zh-CN"/>
                    </w:rPr>
                    <w:t>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0.018</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eastAsia"/>
                      <w:color w:val="auto"/>
                      <w:highlight w:val="none"/>
                      <w:lang w:val="en-US" w:eastAsia="zh-CN"/>
                    </w:rPr>
                  </w:pPr>
                  <w:r>
                    <w:rPr>
                      <w:rFonts w:hint="default"/>
                      <w:color w:val="auto"/>
                      <w:highlight w:val="none"/>
                      <w:lang w:val="en-US" w:eastAsia="zh-CN"/>
                    </w:rPr>
                    <w:t>9</w:t>
                  </w:r>
                </w:p>
              </w:tc>
              <w:tc>
                <w:tcPr>
                  <w:tcW w:w="835" w:type="dxa"/>
                  <w:vAlign w:val="center"/>
                </w:tcPr>
                <w:p>
                  <w:pPr>
                    <w:pStyle w:val="57"/>
                    <w:bidi w:val="0"/>
                    <w:rPr>
                      <w:rFonts w:hint="eastAsia"/>
                      <w:color w:val="auto"/>
                      <w:highlight w:val="none"/>
                    </w:rPr>
                  </w:pPr>
                  <w:r>
                    <w:rPr>
                      <w:rFonts w:hint="default"/>
                      <w:color w:val="auto"/>
                      <w:highlight w:val="none"/>
                      <w:lang w:val="en-US" w:eastAsia="zh-CN"/>
                    </w:rPr>
                    <w:t>DA009</w:t>
                  </w:r>
                </w:p>
              </w:tc>
              <w:tc>
                <w:tcPr>
                  <w:tcW w:w="2002" w:type="dxa"/>
                  <w:vAlign w:val="center"/>
                </w:tcPr>
                <w:p>
                  <w:pPr>
                    <w:pStyle w:val="57"/>
                    <w:bidi w:val="0"/>
                    <w:rPr>
                      <w:rFonts w:hint="eastAsia"/>
                      <w:color w:val="auto"/>
                      <w:highlight w:val="none"/>
                    </w:rPr>
                  </w:pPr>
                  <w:r>
                    <w:rPr>
                      <w:rFonts w:hint="eastAsia"/>
                      <w:color w:val="auto"/>
                      <w:highlight w:val="none"/>
                      <w:lang w:val="en-US" w:eastAsia="zh-CN"/>
                    </w:rPr>
                    <w:t>4#磨粉工艺成品筒仓废气排放口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39～41</w:t>
                  </w:r>
                </w:p>
              </w:tc>
              <w:tc>
                <w:tcPr>
                  <w:tcW w:w="1010" w:type="dxa"/>
                  <w:vAlign w:val="center"/>
                </w:tcPr>
                <w:p>
                  <w:pPr>
                    <w:pStyle w:val="57"/>
                    <w:bidi w:val="0"/>
                    <w:rPr>
                      <w:rFonts w:hint="eastAsia"/>
                      <w:color w:val="auto"/>
                      <w:highlight w:val="none"/>
                    </w:rPr>
                  </w:pPr>
                  <w:r>
                    <w:rPr>
                      <w:rFonts w:hint="default"/>
                      <w:color w:val="auto"/>
                      <w:highlight w:val="none"/>
                      <w:lang w:val="en-US" w:eastAsia="zh-CN"/>
                    </w:rPr>
                    <w:t>0.151</w:t>
                  </w:r>
                </w:p>
              </w:tc>
              <w:tc>
                <w:tcPr>
                  <w:tcW w:w="741" w:type="dxa"/>
                  <w:vAlign w:val="center"/>
                </w:tcPr>
                <w:p>
                  <w:pPr>
                    <w:pStyle w:val="57"/>
                    <w:bidi w:val="0"/>
                    <w:rPr>
                      <w:rFonts w:hint="eastAsia"/>
                      <w:color w:val="auto"/>
                      <w:highlight w:val="none"/>
                    </w:rPr>
                  </w:pPr>
                  <w:r>
                    <w:rPr>
                      <w:rFonts w:hint="eastAsia"/>
                      <w:color w:val="auto"/>
                      <w:highlight w:val="none"/>
                      <w:lang w:val="en-US" w:eastAsia="zh-CN"/>
                    </w:rPr>
                    <w:t>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0.060</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10</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DA010</w:t>
                  </w:r>
                </w:p>
              </w:tc>
              <w:tc>
                <w:tcPr>
                  <w:tcW w:w="2002" w:type="dxa"/>
                  <w:vAlign w:val="center"/>
                </w:tcPr>
                <w:p>
                  <w:pPr>
                    <w:pStyle w:val="57"/>
                    <w:bidi w:val="0"/>
                    <w:rPr>
                      <w:rFonts w:hint="eastAsia"/>
                      <w:color w:val="auto"/>
                      <w:highlight w:val="none"/>
                    </w:rPr>
                  </w:pPr>
                  <w:r>
                    <w:rPr>
                      <w:rFonts w:hint="eastAsia"/>
                      <w:color w:val="auto"/>
                      <w:highlight w:val="none"/>
                      <w:lang w:val="en-US" w:eastAsia="zh-CN"/>
                    </w:rPr>
                    <w:t>一级、二级消化排放口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22～26</w:t>
                  </w:r>
                </w:p>
              </w:tc>
              <w:tc>
                <w:tcPr>
                  <w:tcW w:w="1010" w:type="dxa"/>
                  <w:vAlign w:val="center"/>
                </w:tcPr>
                <w:p>
                  <w:pPr>
                    <w:pStyle w:val="57"/>
                    <w:bidi w:val="0"/>
                    <w:rPr>
                      <w:rFonts w:hint="eastAsia"/>
                      <w:color w:val="auto"/>
                      <w:highlight w:val="none"/>
                    </w:rPr>
                  </w:pPr>
                  <w:r>
                    <w:rPr>
                      <w:rFonts w:hint="default"/>
                      <w:color w:val="auto"/>
                      <w:highlight w:val="none"/>
                      <w:lang w:val="en-US" w:eastAsia="zh-CN"/>
                    </w:rPr>
                    <w:t>0.167</w:t>
                  </w:r>
                </w:p>
              </w:tc>
              <w:tc>
                <w:tcPr>
                  <w:tcW w:w="741" w:type="dxa"/>
                  <w:vAlign w:val="center"/>
                </w:tcPr>
                <w:p>
                  <w:pPr>
                    <w:pStyle w:val="57"/>
                    <w:bidi w:val="0"/>
                    <w:rPr>
                      <w:rFonts w:hint="eastAsia"/>
                      <w:color w:val="auto"/>
                      <w:highlight w:val="none"/>
                    </w:rPr>
                  </w:pPr>
                  <w:r>
                    <w:rPr>
                      <w:rFonts w:hint="eastAsia"/>
                      <w:color w:val="auto"/>
                      <w:highlight w:val="none"/>
                      <w:lang w:val="en-US" w:eastAsia="zh-CN"/>
                    </w:rPr>
                    <w:t>1000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0.167</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11</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DA011</w:t>
                  </w:r>
                </w:p>
              </w:tc>
              <w:tc>
                <w:tcPr>
                  <w:tcW w:w="2002" w:type="dxa"/>
                  <w:vAlign w:val="center"/>
                </w:tcPr>
                <w:p>
                  <w:pPr>
                    <w:pStyle w:val="57"/>
                    <w:bidi w:val="0"/>
                    <w:rPr>
                      <w:rFonts w:hint="eastAsia"/>
                      <w:color w:val="auto"/>
                      <w:highlight w:val="none"/>
                    </w:rPr>
                  </w:pPr>
                  <w:r>
                    <w:rPr>
                      <w:rFonts w:hint="eastAsia"/>
                      <w:color w:val="auto"/>
                      <w:highlight w:val="none"/>
                      <w:lang w:val="en-US" w:eastAsia="zh-CN"/>
                    </w:rPr>
                    <w:t>消化1#2#成品筒仓废气排放口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32～38</w:t>
                  </w:r>
                </w:p>
              </w:tc>
              <w:tc>
                <w:tcPr>
                  <w:tcW w:w="1010" w:type="dxa"/>
                  <w:vAlign w:val="center"/>
                </w:tcPr>
                <w:p>
                  <w:pPr>
                    <w:pStyle w:val="57"/>
                    <w:bidi w:val="0"/>
                    <w:rPr>
                      <w:rFonts w:hint="eastAsia"/>
                      <w:color w:val="auto"/>
                      <w:highlight w:val="none"/>
                    </w:rPr>
                  </w:pPr>
                  <w:r>
                    <w:rPr>
                      <w:rFonts w:hint="default"/>
                      <w:color w:val="auto"/>
                      <w:highlight w:val="none"/>
                      <w:lang w:val="en-US" w:eastAsia="zh-CN"/>
                    </w:rPr>
                    <w:t>0.074</w:t>
                  </w:r>
                </w:p>
              </w:tc>
              <w:tc>
                <w:tcPr>
                  <w:tcW w:w="741" w:type="dxa"/>
                  <w:vAlign w:val="center"/>
                </w:tcPr>
                <w:p>
                  <w:pPr>
                    <w:pStyle w:val="57"/>
                    <w:bidi w:val="0"/>
                    <w:rPr>
                      <w:rFonts w:hint="eastAsia"/>
                      <w:color w:val="auto"/>
                      <w:highlight w:val="none"/>
                    </w:rPr>
                  </w:pPr>
                  <w:r>
                    <w:rPr>
                      <w:rFonts w:hint="eastAsia"/>
                      <w:color w:val="auto"/>
                      <w:highlight w:val="none"/>
                      <w:lang w:val="en-US" w:eastAsia="zh-CN"/>
                    </w:rPr>
                    <w:t>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0.030</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12</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DA012</w:t>
                  </w:r>
                </w:p>
              </w:tc>
              <w:tc>
                <w:tcPr>
                  <w:tcW w:w="2002" w:type="dxa"/>
                  <w:vAlign w:val="center"/>
                </w:tcPr>
                <w:p>
                  <w:pPr>
                    <w:pStyle w:val="57"/>
                    <w:bidi w:val="0"/>
                    <w:rPr>
                      <w:rFonts w:hint="eastAsia"/>
                      <w:color w:val="auto"/>
                      <w:highlight w:val="none"/>
                    </w:rPr>
                  </w:pPr>
                  <w:r>
                    <w:rPr>
                      <w:rFonts w:hint="eastAsia"/>
                      <w:color w:val="auto"/>
                      <w:highlight w:val="none"/>
                      <w:lang w:val="en-US" w:eastAsia="zh-CN"/>
                    </w:rPr>
                    <w:t>消化3#4#成品筒仓废气排放口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32～36</w:t>
                  </w:r>
                </w:p>
              </w:tc>
              <w:tc>
                <w:tcPr>
                  <w:tcW w:w="1010" w:type="dxa"/>
                  <w:vAlign w:val="center"/>
                </w:tcPr>
                <w:p>
                  <w:pPr>
                    <w:pStyle w:val="57"/>
                    <w:bidi w:val="0"/>
                    <w:rPr>
                      <w:rFonts w:hint="eastAsia"/>
                      <w:color w:val="auto"/>
                      <w:highlight w:val="none"/>
                    </w:rPr>
                  </w:pPr>
                  <w:r>
                    <w:rPr>
                      <w:rFonts w:hint="default"/>
                      <w:color w:val="auto"/>
                      <w:highlight w:val="none"/>
                      <w:lang w:val="en-US" w:eastAsia="zh-CN"/>
                    </w:rPr>
                    <w:t>0.073</w:t>
                  </w:r>
                </w:p>
              </w:tc>
              <w:tc>
                <w:tcPr>
                  <w:tcW w:w="741" w:type="dxa"/>
                  <w:vAlign w:val="center"/>
                </w:tcPr>
                <w:p>
                  <w:pPr>
                    <w:pStyle w:val="57"/>
                    <w:bidi w:val="0"/>
                    <w:rPr>
                      <w:rFonts w:hint="eastAsia"/>
                      <w:color w:val="auto"/>
                      <w:highlight w:val="none"/>
                    </w:rPr>
                  </w:pPr>
                  <w:r>
                    <w:rPr>
                      <w:rFonts w:hint="eastAsia"/>
                      <w:color w:val="auto"/>
                      <w:highlight w:val="none"/>
                      <w:lang w:val="en-US" w:eastAsia="zh-CN"/>
                    </w:rPr>
                    <w:t>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0.029</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13</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DA013</w:t>
                  </w:r>
                </w:p>
              </w:tc>
              <w:tc>
                <w:tcPr>
                  <w:tcW w:w="2002" w:type="dxa"/>
                  <w:vAlign w:val="center"/>
                </w:tcPr>
                <w:p>
                  <w:pPr>
                    <w:pStyle w:val="57"/>
                    <w:bidi w:val="0"/>
                    <w:rPr>
                      <w:rFonts w:hint="eastAsia"/>
                      <w:color w:val="auto"/>
                      <w:highlight w:val="none"/>
                    </w:rPr>
                  </w:pPr>
                  <w:r>
                    <w:rPr>
                      <w:rFonts w:hint="eastAsia"/>
                      <w:color w:val="auto"/>
                      <w:highlight w:val="none"/>
                      <w:lang w:val="en-US" w:eastAsia="zh-CN"/>
                    </w:rPr>
                    <w:t>消化5#6#成品筒仓废气排放口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31～37</w:t>
                  </w:r>
                </w:p>
              </w:tc>
              <w:tc>
                <w:tcPr>
                  <w:tcW w:w="1010" w:type="dxa"/>
                  <w:vAlign w:val="center"/>
                </w:tcPr>
                <w:p>
                  <w:pPr>
                    <w:pStyle w:val="57"/>
                    <w:bidi w:val="0"/>
                    <w:rPr>
                      <w:rFonts w:hint="eastAsia"/>
                      <w:color w:val="auto"/>
                      <w:highlight w:val="none"/>
                    </w:rPr>
                  </w:pPr>
                  <w:r>
                    <w:rPr>
                      <w:rFonts w:hint="default"/>
                      <w:color w:val="auto"/>
                      <w:highlight w:val="none"/>
                      <w:lang w:val="en-US" w:eastAsia="zh-CN"/>
                    </w:rPr>
                    <w:t>0.115</w:t>
                  </w:r>
                </w:p>
              </w:tc>
              <w:tc>
                <w:tcPr>
                  <w:tcW w:w="741" w:type="dxa"/>
                  <w:vAlign w:val="center"/>
                </w:tcPr>
                <w:p>
                  <w:pPr>
                    <w:pStyle w:val="57"/>
                    <w:bidi w:val="0"/>
                    <w:rPr>
                      <w:rFonts w:hint="eastAsia"/>
                      <w:color w:val="auto"/>
                      <w:highlight w:val="none"/>
                    </w:rPr>
                  </w:pPr>
                  <w:r>
                    <w:rPr>
                      <w:rFonts w:hint="eastAsia"/>
                      <w:color w:val="auto"/>
                      <w:highlight w:val="none"/>
                      <w:lang w:val="en-US" w:eastAsia="zh-CN"/>
                    </w:rPr>
                    <w:t>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0.046</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14</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DA014</w:t>
                  </w:r>
                </w:p>
              </w:tc>
              <w:tc>
                <w:tcPr>
                  <w:tcW w:w="2002" w:type="dxa"/>
                  <w:vAlign w:val="center"/>
                </w:tcPr>
                <w:p>
                  <w:pPr>
                    <w:pStyle w:val="57"/>
                    <w:bidi w:val="0"/>
                    <w:rPr>
                      <w:rFonts w:hint="eastAsia"/>
                      <w:color w:val="auto"/>
                      <w:highlight w:val="none"/>
                    </w:rPr>
                  </w:pPr>
                  <w:r>
                    <w:rPr>
                      <w:rFonts w:hint="eastAsia"/>
                      <w:color w:val="auto"/>
                      <w:highlight w:val="none"/>
                      <w:lang w:val="en-US" w:eastAsia="zh-CN"/>
                    </w:rPr>
                    <w:t>消化1#2#废料仓废气排放口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33～38</w:t>
                  </w:r>
                </w:p>
              </w:tc>
              <w:tc>
                <w:tcPr>
                  <w:tcW w:w="1010" w:type="dxa"/>
                  <w:vAlign w:val="center"/>
                </w:tcPr>
                <w:p>
                  <w:pPr>
                    <w:pStyle w:val="57"/>
                    <w:bidi w:val="0"/>
                    <w:rPr>
                      <w:rFonts w:hint="eastAsia"/>
                      <w:color w:val="auto"/>
                      <w:highlight w:val="none"/>
                    </w:rPr>
                  </w:pPr>
                  <w:r>
                    <w:rPr>
                      <w:rFonts w:hint="default"/>
                      <w:color w:val="auto"/>
                      <w:highlight w:val="none"/>
                      <w:lang w:val="en-US" w:eastAsia="zh-CN"/>
                    </w:rPr>
                    <w:t>0.082</w:t>
                  </w:r>
                </w:p>
              </w:tc>
              <w:tc>
                <w:tcPr>
                  <w:tcW w:w="741" w:type="dxa"/>
                  <w:vAlign w:val="center"/>
                </w:tcPr>
                <w:p>
                  <w:pPr>
                    <w:pStyle w:val="57"/>
                    <w:bidi w:val="0"/>
                    <w:rPr>
                      <w:rFonts w:hint="eastAsia"/>
                      <w:color w:val="auto"/>
                      <w:highlight w:val="none"/>
                    </w:rPr>
                  </w:pPr>
                  <w:r>
                    <w:rPr>
                      <w:rFonts w:hint="eastAsia"/>
                      <w:color w:val="auto"/>
                      <w:highlight w:val="none"/>
                      <w:lang w:val="en-US" w:eastAsia="zh-CN"/>
                    </w:rPr>
                    <w:t>1000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0.082</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15</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DA015</w:t>
                  </w:r>
                </w:p>
              </w:tc>
              <w:tc>
                <w:tcPr>
                  <w:tcW w:w="2002" w:type="dxa"/>
                  <w:vAlign w:val="center"/>
                </w:tcPr>
                <w:p>
                  <w:pPr>
                    <w:pStyle w:val="57"/>
                    <w:bidi w:val="0"/>
                    <w:rPr>
                      <w:rFonts w:hint="eastAsia"/>
                      <w:color w:val="auto"/>
                      <w:highlight w:val="none"/>
                    </w:rPr>
                  </w:pPr>
                  <w:r>
                    <w:rPr>
                      <w:rFonts w:hint="eastAsia"/>
                      <w:color w:val="auto"/>
                      <w:highlight w:val="none"/>
                      <w:lang w:val="en-US" w:eastAsia="zh-CN"/>
                    </w:rPr>
                    <w:t>消化原料筒仓废气排放口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33～36</w:t>
                  </w:r>
                </w:p>
              </w:tc>
              <w:tc>
                <w:tcPr>
                  <w:tcW w:w="1010" w:type="dxa"/>
                  <w:vAlign w:val="center"/>
                </w:tcPr>
                <w:p>
                  <w:pPr>
                    <w:pStyle w:val="57"/>
                    <w:bidi w:val="0"/>
                    <w:rPr>
                      <w:rFonts w:hint="eastAsia"/>
                      <w:color w:val="auto"/>
                      <w:highlight w:val="none"/>
                    </w:rPr>
                  </w:pPr>
                  <w:r>
                    <w:rPr>
                      <w:rFonts w:hint="default"/>
                      <w:color w:val="auto"/>
                      <w:highlight w:val="none"/>
                      <w:lang w:val="en-US" w:eastAsia="zh-CN"/>
                    </w:rPr>
                    <w:t>0.308</w:t>
                  </w:r>
                </w:p>
              </w:tc>
              <w:tc>
                <w:tcPr>
                  <w:tcW w:w="741" w:type="dxa"/>
                  <w:vAlign w:val="center"/>
                </w:tcPr>
                <w:p>
                  <w:pPr>
                    <w:pStyle w:val="57"/>
                    <w:bidi w:val="0"/>
                    <w:rPr>
                      <w:rFonts w:hint="eastAsia"/>
                      <w:color w:val="auto"/>
                      <w:highlight w:val="none"/>
                    </w:rPr>
                  </w:pPr>
                  <w:r>
                    <w:rPr>
                      <w:rFonts w:hint="eastAsia"/>
                      <w:color w:val="auto"/>
                      <w:highlight w:val="none"/>
                      <w:lang w:val="en-US" w:eastAsia="zh-CN"/>
                    </w:rPr>
                    <w:t>1000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0.308</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16</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DA016</w:t>
                  </w:r>
                </w:p>
              </w:tc>
              <w:tc>
                <w:tcPr>
                  <w:tcW w:w="2002" w:type="dxa"/>
                  <w:vAlign w:val="center"/>
                </w:tcPr>
                <w:p>
                  <w:pPr>
                    <w:pStyle w:val="57"/>
                    <w:bidi w:val="0"/>
                    <w:rPr>
                      <w:rFonts w:hint="eastAsia"/>
                      <w:color w:val="auto"/>
                      <w:highlight w:val="none"/>
                    </w:rPr>
                  </w:pPr>
                  <w:r>
                    <w:rPr>
                      <w:rFonts w:hint="eastAsia"/>
                      <w:color w:val="auto"/>
                      <w:highlight w:val="none"/>
                      <w:lang w:val="en-US" w:eastAsia="zh-CN"/>
                    </w:rPr>
                    <w:t>风选1#2#原灰筒仓排放口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35～38</w:t>
                  </w:r>
                </w:p>
              </w:tc>
              <w:tc>
                <w:tcPr>
                  <w:tcW w:w="1010" w:type="dxa"/>
                  <w:vAlign w:val="center"/>
                </w:tcPr>
                <w:p>
                  <w:pPr>
                    <w:pStyle w:val="57"/>
                    <w:bidi w:val="0"/>
                    <w:rPr>
                      <w:rFonts w:hint="eastAsia"/>
                      <w:color w:val="auto"/>
                      <w:highlight w:val="none"/>
                    </w:rPr>
                  </w:pPr>
                  <w:r>
                    <w:rPr>
                      <w:rFonts w:hint="default"/>
                      <w:color w:val="auto"/>
                      <w:highlight w:val="none"/>
                      <w:lang w:val="en-US" w:eastAsia="zh-CN"/>
                    </w:rPr>
                    <w:t>0.047</w:t>
                  </w:r>
                </w:p>
              </w:tc>
              <w:tc>
                <w:tcPr>
                  <w:tcW w:w="741" w:type="dxa"/>
                  <w:vAlign w:val="center"/>
                </w:tcPr>
                <w:p>
                  <w:pPr>
                    <w:pStyle w:val="57"/>
                    <w:bidi w:val="0"/>
                    <w:rPr>
                      <w:rFonts w:hint="eastAsia"/>
                      <w:color w:val="auto"/>
                      <w:highlight w:val="none"/>
                    </w:rPr>
                  </w:pPr>
                  <w:r>
                    <w:rPr>
                      <w:rFonts w:hint="eastAsia"/>
                      <w:color w:val="auto"/>
                      <w:highlight w:val="none"/>
                      <w:lang w:val="en-US" w:eastAsia="zh-CN"/>
                    </w:rPr>
                    <w:t>1400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0.066</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17</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DA017</w:t>
                  </w:r>
                </w:p>
              </w:tc>
              <w:tc>
                <w:tcPr>
                  <w:tcW w:w="2002" w:type="dxa"/>
                  <w:vAlign w:val="center"/>
                </w:tcPr>
                <w:p>
                  <w:pPr>
                    <w:pStyle w:val="57"/>
                    <w:bidi w:val="0"/>
                    <w:rPr>
                      <w:rFonts w:hint="eastAsia"/>
                      <w:color w:val="auto"/>
                      <w:highlight w:val="none"/>
                    </w:rPr>
                  </w:pPr>
                  <w:r>
                    <w:rPr>
                      <w:rFonts w:hint="eastAsia"/>
                      <w:color w:val="auto"/>
                      <w:highlight w:val="none"/>
                      <w:lang w:val="en-US" w:eastAsia="zh-CN"/>
                    </w:rPr>
                    <w:t>风选3#4#原灰筒仓排放口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35～36</w:t>
                  </w:r>
                </w:p>
              </w:tc>
              <w:tc>
                <w:tcPr>
                  <w:tcW w:w="1010" w:type="dxa"/>
                  <w:vAlign w:val="center"/>
                </w:tcPr>
                <w:p>
                  <w:pPr>
                    <w:pStyle w:val="57"/>
                    <w:bidi w:val="0"/>
                    <w:rPr>
                      <w:rFonts w:hint="eastAsia"/>
                      <w:color w:val="auto"/>
                      <w:highlight w:val="none"/>
                    </w:rPr>
                  </w:pPr>
                  <w:r>
                    <w:rPr>
                      <w:rFonts w:hint="default"/>
                      <w:color w:val="auto"/>
                      <w:highlight w:val="none"/>
                      <w:lang w:val="en-US" w:eastAsia="zh-CN"/>
                    </w:rPr>
                    <w:t>0.045</w:t>
                  </w:r>
                </w:p>
              </w:tc>
              <w:tc>
                <w:tcPr>
                  <w:tcW w:w="741" w:type="dxa"/>
                  <w:vAlign w:val="center"/>
                </w:tcPr>
                <w:p>
                  <w:pPr>
                    <w:pStyle w:val="57"/>
                    <w:bidi w:val="0"/>
                    <w:rPr>
                      <w:rFonts w:hint="eastAsia"/>
                      <w:color w:val="auto"/>
                      <w:highlight w:val="none"/>
                    </w:rPr>
                  </w:pPr>
                  <w:r>
                    <w:rPr>
                      <w:rFonts w:hint="eastAsia"/>
                      <w:color w:val="auto"/>
                      <w:highlight w:val="none"/>
                      <w:lang w:val="en-US" w:eastAsia="zh-CN"/>
                    </w:rPr>
                    <w:t>1400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0.063</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18</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DA018</w:t>
                  </w:r>
                </w:p>
              </w:tc>
              <w:tc>
                <w:tcPr>
                  <w:tcW w:w="2002" w:type="dxa"/>
                  <w:vAlign w:val="center"/>
                </w:tcPr>
                <w:p>
                  <w:pPr>
                    <w:pStyle w:val="57"/>
                    <w:bidi w:val="0"/>
                    <w:rPr>
                      <w:rFonts w:hint="eastAsia"/>
                      <w:color w:val="auto"/>
                      <w:highlight w:val="none"/>
                    </w:rPr>
                  </w:pPr>
                  <w:r>
                    <w:rPr>
                      <w:rFonts w:hint="eastAsia"/>
                      <w:color w:val="auto"/>
                      <w:highlight w:val="none"/>
                      <w:lang w:val="en-US" w:eastAsia="zh-CN"/>
                    </w:rPr>
                    <w:t>风选1#细灰仓排放口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32～35</w:t>
                  </w:r>
                </w:p>
              </w:tc>
              <w:tc>
                <w:tcPr>
                  <w:tcW w:w="1010" w:type="dxa"/>
                  <w:vAlign w:val="center"/>
                </w:tcPr>
                <w:p>
                  <w:pPr>
                    <w:pStyle w:val="57"/>
                    <w:bidi w:val="0"/>
                    <w:rPr>
                      <w:rFonts w:hint="eastAsia"/>
                      <w:color w:val="auto"/>
                      <w:highlight w:val="none"/>
                    </w:rPr>
                  </w:pPr>
                  <w:r>
                    <w:rPr>
                      <w:rFonts w:hint="default"/>
                      <w:color w:val="auto"/>
                      <w:highlight w:val="none"/>
                      <w:lang w:val="en-US" w:eastAsia="zh-CN"/>
                    </w:rPr>
                    <w:t>0.095</w:t>
                  </w:r>
                </w:p>
              </w:tc>
              <w:tc>
                <w:tcPr>
                  <w:tcW w:w="741" w:type="dxa"/>
                  <w:vAlign w:val="center"/>
                </w:tcPr>
                <w:p>
                  <w:pPr>
                    <w:pStyle w:val="57"/>
                    <w:bidi w:val="0"/>
                    <w:rPr>
                      <w:rFonts w:hint="eastAsia"/>
                      <w:color w:val="auto"/>
                      <w:highlight w:val="none"/>
                    </w:rPr>
                  </w:pPr>
                  <w:r>
                    <w:rPr>
                      <w:rFonts w:hint="eastAsia"/>
                      <w:color w:val="auto"/>
                      <w:highlight w:val="none"/>
                      <w:lang w:val="en-US" w:eastAsia="zh-CN"/>
                    </w:rPr>
                    <w:t>1400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0.133</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19</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DA019</w:t>
                  </w:r>
                </w:p>
              </w:tc>
              <w:tc>
                <w:tcPr>
                  <w:tcW w:w="2002" w:type="dxa"/>
                  <w:vAlign w:val="center"/>
                </w:tcPr>
                <w:p>
                  <w:pPr>
                    <w:pStyle w:val="57"/>
                    <w:bidi w:val="0"/>
                    <w:rPr>
                      <w:rFonts w:hint="eastAsia"/>
                      <w:color w:val="auto"/>
                      <w:highlight w:val="none"/>
                    </w:rPr>
                  </w:pPr>
                  <w:r>
                    <w:rPr>
                      <w:rFonts w:hint="eastAsia"/>
                      <w:color w:val="auto"/>
                      <w:highlight w:val="none"/>
                      <w:lang w:val="en-US" w:eastAsia="zh-CN"/>
                    </w:rPr>
                    <w:t>风选2#细灰仓排放口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30～33</w:t>
                  </w:r>
                </w:p>
              </w:tc>
              <w:tc>
                <w:tcPr>
                  <w:tcW w:w="1010" w:type="dxa"/>
                  <w:vAlign w:val="center"/>
                </w:tcPr>
                <w:p>
                  <w:pPr>
                    <w:pStyle w:val="57"/>
                    <w:bidi w:val="0"/>
                    <w:rPr>
                      <w:rFonts w:hint="eastAsia"/>
                      <w:color w:val="auto"/>
                      <w:highlight w:val="none"/>
                    </w:rPr>
                  </w:pPr>
                  <w:r>
                    <w:rPr>
                      <w:rFonts w:hint="default"/>
                      <w:color w:val="auto"/>
                      <w:highlight w:val="none"/>
                      <w:lang w:val="en-US" w:eastAsia="zh-CN"/>
                    </w:rPr>
                    <w:t>0.093</w:t>
                  </w:r>
                </w:p>
              </w:tc>
              <w:tc>
                <w:tcPr>
                  <w:tcW w:w="741" w:type="dxa"/>
                  <w:vAlign w:val="center"/>
                </w:tcPr>
                <w:p>
                  <w:pPr>
                    <w:pStyle w:val="57"/>
                    <w:bidi w:val="0"/>
                    <w:rPr>
                      <w:rFonts w:hint="eastAsia"/>
                      <w:color w:val="auto"/>
                      <w:highlight w:val="none"/>
                    </w:rPr>
                  </w:pPr>
                  <w:r>
                    <w:rPr>
                      <w:rFonts w:hint="eastAsia"/>
                      <w:color w:val="auto"/>
                      <w:highlight w:val="none"/>
                      <w:lang w:val="en-US" w:eastAsia="zh-CN"/>
                    </w:rPr>
                    <w:t>1400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0.130</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20</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DA020</w:t>
                  </w:r>
                </w:p>
              </w:tc>
              <w:tc>
                <w:tcPr>
                  <w:tcW w:w="2002" w:type="dxa"/>
                  <w:vAlign w:val="center"/>
                </w:tcPr>
                <w:p>
                  <w:pPr>
                    <w:pStyle w:val="57"/>
                    <w:bidi w:val="0"/>
                    <w:rPr>
                      <w:rFonts w:hint="eastAsia"/>
                      <w:color w:val="auto"/>
                      <w:highlight w:val="none"/>
                    </w:rPr>
                  </w:pPr>
                  <w:r>
                    <w:rPr>
                      <w:rFonts w:hint="eastAsia"/>
                      <w:color w:val="auto"/>
                      <w:highlight w:val="none"/>
                      <w:lang w:val="en-US" w:eastAsia="zh-CN"/>
                    </w:rPr>
                    <w:t>风选3#细灰仓排放口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32～34</w:t>
                  </w:r>
                </w:p>
              </w:tc>
              <w:tc>
                <w:tcPr>
                  <w:tcW w:w="1010" w:type="dxa"/>
                  <w:vAlign w:val="center"/>
                </w:tcPr>
                <w:p>
                  <w:pPr>
                    <w:pStyle w:val="57"/>
                    <w:bidi w:val="0"/>
                    <w:rPr>
                      <w:rFonts w:hint="eastAsia"/>
                      <w:color w:val="auto"/>
                      <w:highlight w:val="none"/>
                    </w:rPr>
                  </w:pPr>
                  <w:r>
                    <w:rPr>
                      <w:rFonts w:hint="default"/>
                      <w:color w:val="auto"/>
                      <w:highlight w:val="none"/>
                      <w:lang w:val="en-US" w:eastAsia="zh-CN"/>
                    </w:rPr>
                    <w:t>0.097</w:t>
                  </w:r>
                </w:p>
              </w:tc>
              <w:tc>
                <w:tcPr>
                  <w:tcW w:w="741" w:type="dxa"/>
                  <w:vAlign w:val="center"/>
                </w:tcPr>
                <w:p>
                  <w:pPr>
                    <w:pStyle w:val="57"/>
                    <w:bidi w:val="0"/>
                    <w:rPr>
                      <w:rFonts w:hint="eastAsia"/>
                      <w:color w:val="auto"/>
                      <w:highlight w:val="none"/>
                    </w:rPr>
                  </w:pPr>
                  <w:r>
                    <w:rPr>
                      <w:rFonts w:hint="eastAsia"/>
                      <w:color w:val="auto"/>
                      <w:highlight w:val="none"/>
                      <w:lang w:val="en-US" w:eastAsia="zh-CN"/>
                    </w:rPr>
                    <w:t>1400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0.136</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21</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DA021</w:t>
                  </w:r>
                </w:p>
              </w:tc>
              <w:tc>
                <w:tcPr>
                  <w:tcW w:w="2002" w:type="dxa"/>
                  <w:vAlign w:val="center"/>
                </w:tcPr>
                <w:p>
                  <w:pPr>
                    <w:pStyle w:val="57"/>
                    <w:bidi w:val="0"/>
                    <w:rPr>
                      <w:rFonts w:hint="eastAsia"/>
                      <w:color w:val="auto"/>
                      <w:highlight w:val="none"/>
                    </w:rPr>
                  </w:pPr>
                  <w:r>
                    <w:rPr>
                      <w:rFonts w:hint="eastAsia"/>
                      <w:color w:val="auto"/>
                      <w:highlight w:val="none"/>
                      <w:lang w:val="en-US" w:eastAsia="zh-CN"/>
                    </w:rPr>
                    <w:t>风选吸灰机废气排放口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22～26</w:t>
                  </w:r>
                </w:p>
              </w:tc>
              <w:tc>
                <w:tcPr>
                  <w:tcW w:w="1010" w:type="dxa"/>
                  <w:vAlign w:val="center"/>
                </w:tcPr>
                <w:p>
                  <w:pPr>
                    <w:pStyle w:val="57"/>
                    <w:bidi w:val="0"/>
                    <w:rPr>
                      <w:rFonts w:hint="eastAsia"/>
                      <w:color w:val="auto"/>
                      <w:highlight w:val="none"/>
                    </w:rPr>
                  </w:pPr>
                  <w:r>
                    <w:rPr>
                      <w:rFonts w:hint="default"/>
                      <w:color w:val="auto"/>
                      <w:highlight w:val="none"/>
                      <w:lang w:val="en-US" w:eastAsia="zh-CN"/>
                    </w:rPr>
                    <w:t>0.081</w:t>
                  </w:r>
                </w:p>
              </w:tc>
              <w:tc>
                <w:tcPr>
                  <w:tcW w:w="741" w:type="dxa"/>
                  <w:vAlign w:val="center"/>
                </w:tcPr>
                <w:p>
                  <w:pPr>
                    <w:pStyle w:val="57"/>
                    <w:bidi w:val="0"/>
                    <w:rPr>
                      <w:rFonts w:hint="eastAsia"/>
                      <w:color w:val="auto"/>
                      <w:highlight w:val="none"/>
                    </w:rPr>
                  </w:pPr>
                  <w:r>
                    <w:rPr>
                      <w:rFonts w:hint="eastAsia"/>
                      <w:color w:val="auto"/>
                      <w:highlight w:val="none"/>
                      <w:lang w:val="en-US" w:eastAsia="zh-CN"/>
                    </w:rPr>
                    <w:t>1400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0.113</w:t>
                  </w:r>
                </w:p>
              </w:tc>
              <w:tc>
                <w:tcPr>
                  <w:tcW w:w="431" w:type="dxa"/>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6" w:type="dxa"/>
                  <w:vAlign w:val="center"/>
                </w:tcPr>
                <w:p>
                  <w:pPr>
                    <w:pStyle w:val="57"/>
                    <w:bidi w:val="0"/>
                    <w:rPr>
                      <w:rFonts w:hint="default"/>
                      <w:color w:val="auto"/>
                      <w:highlight w:val="none"/>
                      <w:lang w:val="en-US" w:eastAsia="zh-CN"/>
                    </w:rPr>
                  </w:pPr>
                  <w:r>
                    <w:rPr>
                      <w:rFonts w:hint="default"/>
                      <w:color w:val="auto"/>
                      <w:highlight w:val="none"/>
                      <w:lang w:val="en-US" w:eastAsia="zh-CN"/>
                    </w:rPr>
                    <w:t>22</w:t>
                  </w:r>
                </w:p>
              </w:tc>
              <w:tc>
                <w:tcPr>
                  <w:tcW w:w="835" w:type="dxa"/>
                  <w:vAlign w:val="center"/>
                </w:tcPr>
                <w:p>
                  <w:pPr>
                    <w:pStyle w:val="57"/>
                    <w:bidi w:val="0"/>
                    <w:rPr>
                      <w:rFonts w:hint="default"/>
                      <w:color w:val="auto"/>
                      <w:highlight w:val="none"/>
                      <w:lang w:val="en-US"/>
                    </w:rPr>
                  </w:pPr>
                  <w:r>
                    <w:rPr>
                      <w:rFonts w:hint="default"/>
                      <w:color w:val="auto"/>
                      <w:highlight w:val="none"/>
                      <w:lang w:val="en-US" w:eastAsia="zh-CN"/>
                    </w:rPr>
                    <w:t>DA022</w:t>
                  </w:r>
                </w:p>
              </w:tc>
              <w:tc>
                <w:tcPr>
                  <w:tcW w:w="2002" w:type="dxa"/>
                  <w:vAlign w:val="center"/>
                </w:tcPr>
                <w:p>
                  <w:pPr>
                    <w:pStyle w:val="57"/>
                    <w:bidi w:val="0"/>
                    <w:rPr>
                      <w:rFonts w:hint="eastAsia"/>
                      <w:color w:val="auto"/>
                      <w:highlight w:val="none"/>
                    </w:rPr>
                  </w:pPr>
                  <w:r>
                    <w:rPr>
                      <w:rFonts w:hint="eastAsia"/>
                      <w:color w:val="auto"/>
                      <w:highlight w:val="none"/>
                      <w:lang w:val="en-US" w:eastAsia="zh-CN"/>
                    </w:rPr>
                    <w:t>风选废料提升机废气排放口</w:t>
                  </w:r>
                </w:p>
              </w:tc>
              <w:tc>
                <w:tcPr>
                  <w:tcW w:w="1102" w:type="dxa"/>
                  <w:vAlign w:val="center"/>
                </w:tcPr>
                <w:p>
                  <w:pPr>
                    <w:pStyle w:val="57"/>
                    <w:bidi w:val="0"/>
                    <w:rPr>
                      <w:rFonts w:hint="eastAsia"/>
                      <w:color w:val="auto"/>
                      <w:highlight w:val="none"/>
                    </w:rPr>
                  </w:pPr>
                  <w:r>
                    <w:rPr>
                      <w:rFonts w:hint="eastAsia"/>
                      <w:color w:val="auto"/>
                      <w:highlight w:val="none"/>
                      <w:lang w:val="en-US" w:eastAsia="zh-CN"/>
                    </w:rPr>
                    <w:t>颗粒物</w:t>
                  </w:r>
                </w:p>
              </w:tc>
              <w:tc>
                <w:tcPr>
                  <w:tcW w:w="1087" w:type="dxa"/>
                  <w:vAlign w:val="center"/>
                </w:tcPr>
                <w:p>
                  <w:pPr>
                    <w:pStyle w:val="57"/>
                    <w:bidi w:val="0"/>
                    <w:rPr>
                      <w:rFonts w:hint="default"/>
                      <w:color w:val="auto"/>
                      <w:highlight w:val="none"/>
                      <w:lang w:val="en-US" w:eastAsia="zh-CN"/>
                    </w:rPr>
                  </w:pPr>
                  <w:r>
                    <w:rPr>
                      <w:rFonts w:hint="eastAsia"/>
                      <w:color w:val="auto"/>
                      <w:highlight w:val="none"/>
                      <w:lang w:val="en-US" w:eastAsia="zh-CN"/>
                    </w:rPr>
                    <w:t>29～36</w:t>
                  </w:r>
                </w:p>
              </w:tc>
              <w:tc>
                <w:tcPr>
                  <w:tcW w:w="1010" w:type="dxa"/>
                  <w:vAlign w:val="center"/>
                </w:tcPr>
                <w:p>
                  <w:pPr>
                    <w:pStyle w:val="57"/>
                    <w:bidi w:val="0"/>
                    <w:rPr>
                      <w:rFonts w:hint="eastAsia"/>
                      <w:color w:val="auto"/>
                      <w:highlight w:val="none"/>
                    </w:rPr>
                  </w:pPr>
                  <w:r>
                    <w:rPr>
                      <w:rFonts w:hint="default"/>
                      <w:color w:val="auto"/>
                      <w:highlight w:val="none"/>
                      <w:lang w:val="en-US" w:eastAsia="zh-CN"/>
                    </w:rPr>
                    <w:t>0.108</w:t>
                  </w:r>
                </w:p>
              </w:tc>
              <w:tc>
                <w:tcPr>
                  <w:tcW w:w="741" w:type="dxa"/>
                  <w:vAlign w:val="center"/>
                </w:tcPr>
                <w:p>
                  <w:pPr>
                    <w:pStyle w:val="57"/>
                    <w:bidi w:val="0"/>
                    <w:rPr>
                      <w:rFonts w:hint="eastAsia"/>
                      <w:color w:val="auto"/>
                      <w:highlight w:val="none"/>
                    </w:rPr>
                  </w:pPr>
                  <w:r>
                    <w:rPr>
                      <w:rFonts w:hint="eastAsia"/>
                      <w:color w:val="auto"/>
                      <w:highlight w:val="none"/>
                      <w:lang w:val="en-US" w:eastAsia="zh-CN"/>
                    </w:rPr>
                    <w:t>1400</w:t>
                  </w:r>
                </w:p>
              </w:tc>
              <w:tc>
                <w:tcPr>
                  <w:tcW w:w="846" w:type="dxa"/>
                  <w:vAlign w:val="center"/>
                </w:tcPr>
                <w:p>
                  <w:pPr>
                    <w:pStyle w:val="57"/>
                    <w:bidi w:val="0"/>
                    <w:rPr>
                      <w:rFonts w:hint="eastAsia"/>
                      <w:color w:val="auto"/>
                      <w:highlight w:val="none"/>
                    </w:rPr>
                  </w:pPr>
                  <w:r>
                    <w:rPr>
                      <w:rFonts w:hint="eastAsia"/>
                      <w:color w:val="auto"/>
                      <w:highlight w:val="none"/>
                      <w:lang w:val="en-US" w:eastAsia="zh-CN"/>
                    </w:rPr>
                    <w:t>0.151</w:t>
                  </w:r>
                </w:p>
              </w:tc>
              <w:tc>
                <w:tcPr>
                  <w:tcW w:w="431" w:type="dxa"/>
                  <w:vAlign w:val="center"/>
                </w:tcPr>
                <w:p>
                  <w:pPr>
                    <w:pStyle w:val="57"/>
                    <w:bidi w:val="0"/>
                    <w:rPr>
                      <w:rFonts w:hint="eastAsia"/>
                      <w:color w:val="auto"/>
                      <w:highlight w:val="none"/>
                    </w:rPr>
                  </w:pPr>
                </w:p>
              </w:tc>
            </w:tr>
          </w:tbl>
          <w:p>
            <w:pPr>
              <w:pStyle w:val="51"/>
              <w:bidi w:val="0"/>
              <w:rPr>
                <w:rFonts w:hint="default"/>
                <w:color w:val="auto"/>
                <w:highlight w:val="none"/>
                <w:lang w:val="en-US" w:eastAsia="zh-CN"/>
              </w:rPr>
            </w:pPr>
            <w:r>
              <w:rPr>
                <w:rFonts w:hint="eastAsia"/>
                <w:color w:val="auto"/>
                <w:highlight w:val="none"/>
                <w:lang w:val="en-US" w:eastAsia="zh-CN"/>
              </w:rPr>
              <w:t>注：各排污口污染物排放量均按照设计运行时间进行核算年排放量。</w:t>
            </w:r>
          </w:p>
          <w:p>
            <w:pPr>
              <w:pStyle w:val="6"/>
              <w:bidi w:val="0"/>
              <w:rPr>
                <w:rFonts w:hint="default"/>
                <w:color w:val="auto"/>
                <w:highlight w:val="none"/>
                <w:lang w:val="en-US" w:eastAsia="zh-CN"/>
              </w:rPr>
            </w:pPr>
            <w:r>
              <w:rPr>
                <w:rFonts w:hint="eastAsia"/>
                <w:color w:val="auto"/>
                <w:highlight w:val="none"/>
                <w:lang w:val="en-US" w:eastAsia="zh-CN"/>
              </w:rPr>
              <w:t>根据上表可知，竖炉废气满足《关于印发&lt;自治州工业炉窑大气污染综合治理实施方案&gt;的通知》（巴环发〔2019〕170号）中要求（颗粒物：30mg/m</w:t>
            </w:r>
            <w:r>
              <w:rPr>
                <w:rFonts w:hint="eastAsia"/>
                <w:color w:val="auto"/>
                <w:highlight w:val="none"/>
                <w:vertAlign w:val="superscript"/>
                <w:lang w:val="en-US" w:eastAsia="zh-CN"/>
              </w:rPr>
              <w:t>3</w:t>
            </w:r>
            <w:r>
              <w:rPr>
                <w:rFonts w:hint="eastAsia"/>
                <w:color w:val="auto"/>
                <w:highlight w:val="none"/>
                <w:lang w:val="en-US" w:eastAsia="zh-CN"/>
              </w:rPr>
              <w:t>；二氧化硫：200mg/m</w:t>
            </w:r>
            <w:r>
              <w:rPr>
                <w:rFonts w:hint="eastAsia"/>
                <w:color w:val="auto"/>
                <w:highlight w:val="none"/>
                <w:vertAlign w:val="superscript"/>
                <w:lang w:val="en-US" w:eastAsia="zh-CN"/>
              </w:rPr>
              <w:t>3</w:t>
            </w:r>
            <w:r>
              <w:rPr>
                <w:rFonts w:hint="eastAsia"/>
                <w:color w:val="auto"/>
                <w:highlight w:val="none"/>
                <w:lang w:val="en-US" w:eastAsia="zh-CN"/>
              </w:rPr>
              <w:t>；氮氧化物：300mg/m</w:t>
            </w:r>
            <w:r>
              <w:rPr>
                <w:rFonts w:hint="eastAsia"/>
                <w:color w:val="auto"/>
                <w:highlight w:val="none"/>
                <w:vertAlign w:val="superscript"/>
                <w:lang w:val="en-US" w:eastAsia="zh-CN"/>
              </w:rPr>
              <w:t>3</w:t>
            </w:r>
            <w:r>
              <w:rPr>
                <w:rFonts w:hint="eastAsia"/>
                <w:color w:val="auto"/>
                <w:highlight w:val="none"/>
                <w:vertAlign w:val="baseline"/>
                <w:lang w:val="en-US" w:eastAsia="zh-CN"/>
              </w:rPr>
              <w:t>）和</w:t>
            </w:r>
            <w:r>
              <w:rPr>
                <w:rFonts w:hint="eastAsia"/>
                <w:color w:val="auto"/>
                <w:highlight w:val="none"/>
                <w:lang w:val="en-US" w:eastAsia="zh-CN"/>
              </w:rPr>
              <w:t>《工业炉窑大气污染物排放标准》（GB 9078-1996）要求</w:t>
            </w:r>
            <w:r>
              <w:rPr>
                <w:rFonts w:hint="eastAsia"/>
                <w:color w:val="auto"/>
                <w:highlight w:val="none"/>
                <w:vertAlign w:val="baseline"/>
                <w:lang w:val="en-US" w:eastAsia="zh-CN"/>
              </w:rPr>
              <w:t>，其他</w:t>
            </w:r>
            <w:r>
              <w:rPr>
                <w:rFonts w:hint="eastAsia"/>
                <w:color w:val="auto"/>
                <w:highlight w:val="none"/>
                <w:lang w:val="en-US" w:eastAsia="zh-CN"/>
              </w:rPr>
              <w:t>有组织废气均满足《大气污染物综合排放标准》标准要求。</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无组织废气</w:t>
            </w:r>
          </w:p>
          <w:p>
            <w:pPr>
              <w:pStyle w:val="6"/>
              <w:bidi w:val="0"/>
              <w:rPr>
                <w:rFonts w:hint="eastAsia"/>
                <w:color w:val="auto"/>
                <w:highlight w:val="none"/>
                <w:lang w:val="en-US" w:eastAsia="zh-CN"/>
              </w:rPr>
            </w:pPr>
            <w:r>
              <w:rPr>
                <w:rFonts w:hint="eastAsia"/>
                <w:color w:val="auto"/>
                <w:highlight w:val="none"/>
                <w:lang w:val="en-US" w:eastAsia="zh-CN"/>
              </w:rPr>
              <w:t>根据收集2025年6月18日厂界无组织废气颗粒物例行监测数据，现有工程厂界无组织废气颗粒物排放满足《大气污染物综合排放标准》（GB16297-1996）表2</w:t>
            </w:r>
            <w:r>
              <w:rPr>
                <w:rFonts w:hint="eastAsia"/>
                <w:color w:val="auto"/>
                <w:highlight w:val="none"/>
              </w:rPr>
              <w:t>无组织排放监控浓度限值</w:t>
            </w:r>
            <w:r>
              <w:rPr>
                <w:rFonts w:hint="eastAsia"/>
                <w:color w:val="auto"/>
                <w:highlight w:val="none"/>
                <w:lang w:eastAsia="zh-CN"/>
              </w:rPr>
              <w:t>，</w:t>
            </w:r>
            <w:r>
              <w:rPr>
                <w:rFonts w:hint="eastAsia"/>
                <w:color w:val="auto"/>
                <w:highlight w:val="none"/>
                <w:lang w:val="en-US" w:eastAsia="zh-CN"/>
              </w:rPr>
              <w:t>详情如下：</w:t>
            </w:r>
          </w:p>
          <w:p>
            <w:pPr>
              <w:pStyle w:val="36"/>
              <w:bidi w:val="0"/>
              <w:rPr>
                <w:color w:val="auto"/>
                <w:highlight w:val="none"/>
              </w:rPr>
            </w:pPr>
            <w:r>
              <w:rPr>
                <w:rFonts w:hint="eastAsia"/>
                <w:color w:val="auto"/>
                <w:highlight w:val="none"/>
              </w:rPr>
              <w:t>表</w:t>
            </w:r>
            <w:r>
              <w:rPr>
                <w:rFonts w:hint="eastAsia"/>
                <w:color w:val="auto"/>
                <w:highlight w:val="none"/>
                <w:lang w:val="en-US" w:eastAsia="zh-CN"/>
              </w:rPr>
              <w:t xml:space="preserve">2.3-3 </w:t>
            </w:r>
            <w:r>
              <w:rPr>
                <w:rFonts w:hint="eastAsia"/>
                <w:color w:val="auto"/>
                <w:highlight w:val="none"/>
              </w:rPr>
              <w:t>无组织废气监测结果一览表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0"/>
              <w:gridCol w:w="559"/>
              <w:gridCol w:w="956"/>
              <w:gridCol w:w="463"/>
              <w:gridCol w:w="1185"/>
              <w:gridCol w:w="1365"/>
              <w:gridCol w:w="1737"/>
              <w:gridCol w:w="930"/>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Align w:val="center"/>
                </w:tcPr>
                <w:p>
                  <w:pPr>
                    <w:pStyle w:val="57"/>
                    <w:bidi w:val="0"/>
                    <w:rPr>
                      <w:color w:val="auto"/>
                      <w:highlight w:val="none"/>
                    </w:rPr>
                  </w:pPr>
                  <w:r>
                    <w:rPr>
                      <w:color w:val="auto"/>
                      <w:highlight w:val="none"/>
                    </w:rPr>
                    <w:t>污染源</w:t>
                  </w:r>
                </w:p>
              </w:tc>
              <w:tc>
                <w:tcPr>
                  <w:tcW w:w="329" w:type="pct"/>
                  <w:vAlign w:val="center"/>
                </w:tcPr>
                <w:p>
                  <w:pPr>
                    <w:pStyle w:val="57"/>
                    <w:bidi w:val="0"/>
                    <w:rPr>
                      <w:color w:val="auto"/>
                      <w:highlight w:val="none"/>
                    </w:rPr>
                  </w:pPr>
                  <w:r>
                    <w:rPr>
                      <w:color w:val="auto"/>
                      <w:highlight w:val="none"/>
                    </w:rPr>
                    <w:t>监测项目</w:t>
                  </w:r>
                </w:p>
              </w:tc>
              <w:tc>
                <w:tcPr>
                  <w:tcW w:w="836" w:type="pct"/>
                  <w:gridSpan w:val="2"/>
                  <w:vAlign w:val="center"/>
                </w:tcPr>
                <w:p>
                  <w:pPr>
                    <w:pStyle w:val="57"/>
                    <w:bidi w:val="0"/>
                    <w:rPr>
                      <w:color w:val="auto"/>
                      <w:highlight w:val="none"/>
                    </w:rPr>
                  </w:pPr>
                  <w:r>
                    <w:rPr>
                      <w:color w:val="auto"/>
                      <w:highlight w:val="none"/>
                    </w:rPr>
                    <w:t>监测点位</w:t>
                  </w:r>
                </w:p>
              </w:tc>
              <w:tc>
                <w:tcPr>
                  <w:tcW w:w="698" w:type="pct"/>
                  <w:vAlign w:val="center"/>
                </w:tcPr>
                <w:p>
                  <w:pPr>
                    <w:pStyle w:val="57"/>
                    <w:bidi w:val="0"/>
                    <w:rPr>
                      <w:rFonts w:hint="eastAsia"/>
                      <w:color w:val="auto"/>
                      <w:highlight w:val="none"/>
                      <w:lang w:eastAsia="zh-CN"/>
                    </w:rPr>
                  </w:pPr>
                  <w:r>
                    <w:rPr>
                      <w:color w:val="auto"/>
                      <w:highlight w:val="none"/>
                    </w:rPr>
                    <w:t>监测结果</w:t>
                  </w:r>
                  <w:r>
                    <w:rPr>
                      <w:rFonts w:hint="eastAsia"/>
                      <w:color w:val="auto"/>
                      <w:highlight w:val="none"/>
                      <w:lang w:eastAsia="zh-CN"/>
                    </w:rPr>
                    <w:t>（</w:t>
                  </w:r>
                  <w:r>
                    <w:rPr>
                      <w:rFonts w:hint="eastAsia"/>
                      <w:color w:val="auto"/>
                      <w:highlight w:val="none"/>
                      <w:lang w:val="en-US" w:eastAsia="zh-CN"/>
                    </w:rPr>
                    <w:t>u</w:t>
                  </w:r>
                  <w:r>
                    <w:rPr>
                      <w:color w:val="auto"/>
                      <w:highlight w:val="none"/>
                    </w:rPr>
                    <w:t>g/m</w:t>
                  </w:r>
                  <w:r>
                    <w:rPr>
                      <w:color w:val="auto"/>
                      <w:highlight w:val="none"/>
                      <w:vertAlign w:val="superscript"/>
                    </w:rPr>
                    <w:t>3</w:t>
                  </w:r>
                  <w:r>
                    <w:rPr>
                      <w:rFonts w:hint="eastAsia"/>
                      <w:color w:val="auto"/>
                      <w:highlight w:val="none"/>
                      <w:lang w:eastAsia="zh-CN"/>
                    </w:rPr>
                    <w:t>）</w:t>
                  </w:r>
                </w:p>
              </w:tc>
              <w:tc>
                <w:tcPr>
                  <w:tcW w:w="804" w:type="pct"/>
                  <w:vAlign w:val="center"/>
                </w:tcPr>
                <w:p>
                  <w:pPr>
                    <w:pStyle w:val="57"/>
                    <w:bidi w:val="0"/>
                    <w:rPr>
                      <w:rFonts w:hint="eastAsia"/>
                      <w:color w:val="auto"/>
                      <w:highlight w:val="none"/>
                      <w:lang w:eastAsia="zh-CN"/>
                    </w:rPr>
                  </w:pPr>
                  <w:r>
                    <w:rPr>
                      <w:color w:val="auto"/>
                      <w:highlight w:val="none"/>
                    </w:rPr>
                    <w:t>周界外浓度最高点</w:t>
                  </w:r>
                  <w:r>
                    <w:rPr>
                      <w:rFonts w:hint="eastAsia"/>
                      <w:color w:val="auto"/>
                      <w:highlight w:val="none"/>
                      <w:lang w:eastAsia="zh-CN"/>
                    </w:rPr>
                    <w:t>（</w:t>
                  </w:r>
                  <w:r>
                    <w:rPr>
                      <w:rFonts w:hint="eastAsia"/>
                      <w:color w:val="auto"/>
                      <w:highlight w:val="none"/>
                      <w:lang w:val="en-US" w:eastAsia="zh-CN"/>
                    </w:rPr>
                    <w:t>u</w:t>
                  </w:r>
                  <w:r>
                    <w:rPr>
                      <w:color w:val="auto"/>
                      <w:highlight w:val="none"/>
                    </w:rPr>
                    <w:t>g/m</w:t>
                  </w:r>
                  <w:r>
                    <w:rPr>
                      <w:color w:val="auto"/>
                      <w:highlight w:val="none"/>
                      <w:vertAlign w:val="superscript"/>
                    </w:rPr>
                    <w:t>3</w:t>
                  </w:r>
                  <w:r>
                    <w:rPr>
                      <w:rFonts w:hint="eastAsia"/>
                      <w:color w:val="auto"/>
                      <w:highlight w:val="none"/>
                      <w:lang w:eastAsia="zh-CN"/>
                    </w:rPr>
                    <w:t>）</w:t>
                  </w:r>
                </w:p>
              </w:tc>
              <w:tc>
                <w:tcPr>
                  <w:tcW w:w="1023" w:type="pct"/>
                  <w:vAlign w:val="center"/>
                </w:tcPr>
                <w:p>
                  <w:pPr>
                    <w:pStyle w:val="57"/>
                    <w:bidi w:val="0"/>
                    <w:rPr>
                      <w:color w:val="auto"/>
                      <w:highlight w:val="none"/>
                    </w:rPr>
                  </w:pPr>
                  <w:r>
                    <w:rPr>
                      <w:color w:val="auto"/>
                      <w:highlight w:val="none"/>
                    </w:rPr>
                    <w:t>执行标准</w:t>
                  </w:r>
                </w:p>
              </w:tc>
              <w:tc>
                <w:tcPr>
                  <w:tcW w:w="548" w:type="pct"/>
                  <w:vAlign w:val="center"/>
                </w:tcPr>
                <w:p>
                  <w:pPr>
                    <w:pStyle w:val="57"/>
                    <w:bidi w:val="0"/>
                    <w:rPr>
                      <w:color w:val="auto"/>
                      <w:highlight w:val="none"/>
                    </w:rPr>
                  </w:pPr>
                  <w:r>
                    <w:rPr>
                      <w:color w:val="auto"/>
                      <w:highlight w:val="none"/>
                    </w:rPr>
                    <w:t>标准限值</w:t>
                  </w:r>
                  <w:r>
                    <w:rPr>
                      <w:rFonts w:hint="eastAsia"/>
                      <w:color w:val="auto"/>
                      <w:highlight w:val="none"/>
                      <w:lang w:eastAsia="zh-CN"/>
                    </w:rPr>
                    <w:t>（</w:t>
                  </w:r>
                  <w:r>
                    <w:rPr>
                      <w:rFonts w:hint="eastAsia"/>
                      <w:color w:val="auto"/>
                      <w:highlight w:val="none"/>
                      <w:lang w:val="en-US" w:eastAsia="zh-CN"/>
                    </w:rPr>
                    <w:t>u</w:t>
                  </w:r>
                  <w:r>
                    <w:rPr>
                      <w:color w:val="auto"/>
                      <w:highlight w:val="none"/>
                    </w:rPr>
                    <w:t>g/m</w:t>
                  </w:r>
                  <w:r>
                    <w:rPr>
                      <w:color w:val="auto"/>
                      <w:highlight w:val="none"/>
                      <w:vertAlign w:val="superscript"/>
                    </w:rPr>
                    <w:t>3</w:t>
                  </w:r>
                  <w:r>
                    <w:rPr>
                      <w:rFonts w:hint="eastAsia"/>
                      <w:color w:val="auto"/>
                      <w:highlight w:val="none"/>
                      <w:lang w:eastAsia="zh-CN"/>
                    </w:rPr>
                    <w:t>）</w:t>
                  </w:r>
                </w:p>
              </w:tc>
              <w:tc>
                <w:tcPr>
                  <w:tcW w:w="334" w:type="pct"/>
                  <w:vAlign w:val="center"/>
                </w:tcPr>
                <w:p>
                  <w:pPr>
                    <w:pStyle w:val="57"/>
                    <w:bidi w:val="0"/>
                    <w:rPr>
                      <w:color w:val="auto"/>
                      <w:highlight w:val="none"/>
                    </w:rPr>
                  </w:pPr>
                  <w:r>
                    <w:rPr>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4" w:type="pct"/>
                  <w:vMerge w:val="restart"/>
                  <w:vAlign w:val="center"/>
                </w:tcPr>
                <w:p>
                  <w:pPr>
                    <w:pStyle w:val="57"/>
                    <w:bidi w:val="0"/>
                    <w:rPr>
                      <w:color w:val="auto"/>
                      <w:highlight w:val="none"/>
                    </w:rPr>
                  </w:pPr>
                  <w:r>
                    <w:rPr>
                      <w:rFonts w:hint="eastAsia"/>
                      <w:color w:val="auto"/>
                      <w:highlight w:val="none"/>
                    </w:rPr>
                    <w:t>厂界</w:t>
                  </w:r>
                  <w:r>
                    <w:rPr>
                      <w:color w:val="auto"/>
                      <w:highlight w:val="none"/>
                    </w:rPr>
                    <w:t>无组织废气</w:t>
                  </w:r>
                </w:p>
              </w:tc>
              <w:tc>
                <w:tcPr>
                  <w:tcW w:w="329" w:type="pct"/>
                  <w:vMerge w:val="restart"/>
                  <w:vAlign w:val="center"/>
                </w:tcPr>
                <w:p>
                  <w:pPr>
                    <w:pStyle w:val="57"/>
                    <w:bidi w:val="0"/>
                    <w:rPr>
                      <w:rFonts w:hint="eastAsia"/>
                      <w:color w:val="auto"/>
                      <w:highlight w:val="none"/>
                      <w:lang w:eastAsia="zh-CN"/>
                    </w:rPr>
                  </w:pPr>
                  <w:r>
                    <w:rPr>
                      <w:rFonts w:hint="eastAsia"/>
                      <w:color w:val="auto"/>
                      <w:highlight w:val="none"/>
                      <w:lang w:val="en-US" w:eastAsia="zh-CN"/>
                    </w:rPr>
                    <w:t>颗粒物</w:t>
                  </w:r>
                </w:p>
              </w:tc>
              <w:tc>
                <w:tcPr>
                  <w:tcW w:w="563" w:type="pct"/>
                  <w:vMerge w:val="restart"/>
                  <w:vAlign w:val="center"/>
                </w:tcPr>
                <w:p>
                  <w:pPr>
                    <w:pStyle w:val="57"/>
                    <w:bidi w:val="0"/>
                    <w:rPr>
                      <w:color w:val="auto"/>
                      <w:highlight w:val="none"/>
                    </w:rPr>
                  </w:pPr>
                  <w:r>
                    <w:rPr>
                      <w:color w:val="auto"/>
                      <w:highlight w:val="none"/>
                    </w:rPr>
                    <w:t>上风向1#</w:t>
                  </w:r>
                </w:p>
              </w:tc>
              <w:tc>
                <w:tcPr>
                  <w:tcW w:w="272" w:type="pct"/>
                  <w:vAlign w:val="center"/>
                </w:tcPr>
                <w:p>
                  <w:pPr>
                    <w:pStyle w:val="57"/>
                    <w:bidi w:val="0"/>
                    <w:rPr>
                      <w:color w:val="auto"/>
                      <w:highlight w:val="none"/>
                    </w:rPr>
                  </w:pPr>
                  <w:r>
                    <w:rPr>
                      <w:color w:val="auto"/>
                      <w:highlight w:val="none"/>
                    </w:rPr>
                    <w:t>1</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203</w:t>
                  </w:r>
                </w:p>
              </w:tc>
              <w:tc>
                <w:tcPr>
                  <w:tcW w:w="804" w:type="pct"/>
                  <w:vMerge w:val="restart"/>
                  <w:vAlign w:val="center"/>
                </w:tcPr>
                <w:p>
                  <w:pPr>
                    <w:pStyle w:val="57"/>
                    <w:bidi w:val="0"/>
                    <w:rPr>
                      <w:rFonts w:hint="default"/>
                      <w:color w:val="auto"/>
                      <w:highlight w:val="none"/>
                      <w:lang w:val="en-US" w:eastAsia="zh-CN"/>
                    </w:rPr>
                  </w:pPr>
                  <w:r>
                    <w:rPr>
                      <w:rFonts w:hint="eastAsia"/>
                      <w:color w:val="auto"/>
                      <w:highlight w:val="none"/>
                      <w:lang w:val="en-US" w:eastAsia="zh-CN"/>
                    </w:rPr>
                    <w:t>213</w:t>
                  </w:r>
                </w:p>
              </w:tc>
              <w:tc>
                <w:tcPr>
                  <w:tcW w:w="1023" w:type="pct"/>
                  <w:vMerge w:val="restart"/>
                  <w:vAlign w:val="center"/>
                </w:tcPr>
                <w:p>
                  <w:pPr>
                    <w:pStyle w:val="57"/>
                    <w:bidi w:val="0"/>
                    <w:rPr>
                      <w:color w:val="auto"/>
                      <w:highlight w:val="none"/>
                    </w:rPr>
                  </w:pPr>
                  <w:r>
                    <w:rPr>
                      <w:rFonts w:hint="eastAsia"/>
                      <w:color w:val="auto"/>
                      <w:highlight w:val="none"/>
                      <w:lang w:val="en-US" w:eastAsia="zh-CN"/>
                    </w:rPr>
                    <w:t>《大气污染物综合排放标准》（GB16297-1996）表2</w:t>
                  </w:r>
                  <w:r>
                    <w:rPr>
                      <w:rFonts w:hint="eastAsia"/>
                      <w:color w:val="auto"/>
                      <w:highlight w:val="none"/>
                    </w:rPr>
                    <w:t>无组织排放监控浓度限值</w:t>
                  </w:r>
                </w:p>
              </w:tc>
              <w:tc>
                <w:tcPr>
                  <w:tcW w:w="548" w:type="pct"/>
                  <w:vMerge w:val="restart"/>
                  <w:vAlign w:val="center"/>
                </w:tcPr>
                <w:p>
                  <w:pPr>
                    <w:pStyle w:val="57"/>
                    <w:bidi w:val="0"/>
                    <w:rPr>
                      <w:rFonts w:hint="default"/>
                      <w:color w:val="auto"/>
                      <w:highlight w:val="none"/>
                      <w:lang w:val="en-US"/>
                    </w:rPr>
                  </w:pPr>
                  <w:r>
                    <w:rPr>
                      <w:rFonts w:hint="eastAsia"/>
                      <w:color w:val="auto"/>
                      <w:highlight w:val="none"/>
                      <w:lang w:val="en-US" w:eastAsia="zh-CN"/>
                    </w:rPr>
                    <w:t>1000</w:t>
                  </w:r>
                </w:p>
              </w:tc>
              <w:tc>
                <w:tcPr>
                  <w:tcW w:w="334" w:type="pct"/>
                  <w:vMerge w:val="restart"/>
                  <w:vAlign w:val="center"/>
                </w:tcPr>
                <w:p>
                  <w:pPr>
                    <w:pStyle w:val="57"/>
                    <w:bidi w:val="0"/>
                    <w:rPr>
                      <w:color w:val="auto"/>
                      <w:highlight w:val="none"/>
                    </w:rPr>
                  </w:pPr>
                  <w:r>
                    <w:rPr>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Merge w:val="continue"/>
                  <w:vAlign w:val="center"/>
                </w:tcPr>
                <w:p>
                  <w:pPr>
                    <w:pStyle w:val="57"/>
                    <w:bidi w:val="0"/>
                    <w:rPr>
                      <w:color w:val="auto"/>
                      <w:highlight w:val="none"/>
                    </w:rPr>
                  </w:pPr>
                </w:p>
              </w:tc>
              <w:tc>
                <w:tcPr>
                  <w:tcW w:w="329" w:type="pct"/>
                  <w:vMerge w:val="continue"/>
                  <w:vAlign w:val="center"/>
                </w:tcPr>
                <w:p>
                  <w:pPr>
                    <w:pStyle w:val="57"/>
                    <w:bidi w:val="0"/>
                    <w:rPr>
                      <w:color w:val="auto"/>
                      <w:highlight w:val="none"/>
                    </w:rPr>
                  </w:pPr>
                </w:p>
              </w:tc>
              <w:tc>
                <w:tcPr>
                  <w:tcW w:w="563" w:type="pct"/>
                  <w:vMerge w:val="continue"/>
                  <w:vAlign w:val="center"/>
                </w:tcPr>
                <w:p>
                  <w:pPr>
                    <w:pStyle w:val="57"/>
                    <w:bidi w:val="0"/>
                    <w:rPr>
                      <w:color w:val="auto"/>
                      <w:highlight w:val="none"/>
                    </w:rPr>
                  </w:pPr>
                </w:p>
              </w:tc>
              <w:tc>
                <w:tcPr>
                  <w:tcW w:w="272" w:type="pct"/>
                  <w:vAlign w:val="center"/>
                </w:tcPr>
                <w:p>
                  <w:pPr>
                    <w:pStyle w:val="57"/>
                    <w:bidi w:val="0"/>
                    <w:rPr>
                      <w:color w:val="auto"/>
                      <w:highlight w:val="none"/>
                    </w:rPr>
                  </w:pPr>
                  <w:r>
                    <w:rPr>
                      <w:color w:val="auto"/>
                      <w:highlight w:val="none"/>
                    </w:rPr>
                    <w:t>2</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206</w:t>
                  </w:r>
                </w:p>
              </w:tc>
              <w:tc>
                <w:tcPr>
                  <w:tcW w:w="804" w:type="pct"/>
                  <w:vMerge w:val="continue"/>
                  <w:vAlign w:val="center"/>
                </w:tcPr>
                <w:p>
                  <w:pPr>
                    <w:pStyle w:val="57"/>
                    <w:bidi w:val="0"/>
                    <w:rPr>
                      <w:color w:val="auto"/>
                      <w:highlight w:val="none"/>
                    </w:rPr>
                  </w:pPr>
                </w:p>
              </w:tc>
              <w:tc>
                <w:tcPr>
                  <w:tcW w:w="1023" w:type="pct"/>
                  <w:vMerge w:val="continue"/>
                  <w:vAlign w:val="center"/>
                </w:tcPr>
                <w:p>
                  <w:pPr>
                    <w:pStyle w:val="57"/>
                    <w:bidi w:val="0"/>
                    <w:rPr>
                      <w:color w:val="auto"/>
                      <w:highlight w:val="none"/>
                    </w:rPr>
                  </w:pPr>
                </w:p>
              </w:tc>
              <w:tc>
                <w:tcPr>
                  <w:tcW w:w="548" w:type="pct"/>
                  <w:vMerge w:val="continue"/>
                  <w:vAlign w:val="center"/>
                </w:tcPr>
                <w:p>
                  <w:pPr>
                    <w:pStyle w:val="57"/>
                    <w:bidi w:val="0"/>
                    <w:rPr>
                      <w:color w:val="auto"/>
                      <w:highlight w:val="none"/>
                    </w:rPr>
                  </w:pPr>
                </w:p>
              </w:tc>
              <w:tc>
                <w:tcPr>
                  <w:tcW w:w="334" w:type="pct"/>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Merge w:val="continue"/>
                  <w:vAlign w:val="center"/>
                </w:tcPr>
                <w:p>
                  <w:pPr>
                    <w:pStyle w:val="57"/>
                    <w:bidi w:val="0"/>
                    <w:rPr>
                      <w:color w:val="auto"/>
                      <w:highlight w:val="none"/>
                    </w:rPr>
                  </w:pPr>
                </w:p>
              </w:tc>
              <w:tc>
                <w:tcPr>
                  <w:tcW w:w="329" w:type="pct"/>
                  <w:vMerge w:val="continue"/>
                  <w:vAlign w:val="center"/>
                </w:tcPr>
                <w:p>
                  <w:pPr>
                    <w:pStyle w:val="57"/>
                    <w:bidi w:val="0"/>
                    <w:rPr>
                      <w:color w:val="auto"/>
                      <w:highlight w:val="none"/>
                    </w:rPr>
                  </w:pPr>
                </w:p>
              </w:tc>
              <w:tc>
                <w:tcPr>
                  <w:tcW w:w="563" w:type="pct"/>
                  <w:vMerge w:val="continue"/>
                  <w:vAlign w:val="center"/>
                </w:tcPr>
                <w:p>
                  <w:pPr>
                    <w:pStyle w:val="57"/>
                    <w:bidi w:val="0"/>
                    <w:rPr>
                      <w:color w:val="auto"/>
                      <w:highlight w:val="none"/>
                    </w:rPr>
                  </w:pPr>
                </w:p>
              </w:tc>
              <w:tc>
                <w:tcPr>
                  <w:tcW w:w="272" w:type="pct"/>
                  <w:vAlign w:val="center"/>
                </w:tcPr>
                <w:p>
                  <w:pPr>
                    <w:pStyle w:val="57"/>
                    <w:bidi w:val="0"/>
                    <w:rPr>
                      <w:color w:val="auto"/>
                      <w:highlight w:val="none"/>
                    </w:rPr>
                  </w:pPr>
                  <w:r>
                    <w:rPr>
                      <w:color w:val="auto"/>
                      <w:highlight w:val="none"/>
                    </w:rPr>
                    <w:t>3</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213</w:t>
                  </w:r>
                </w:p>
              </w:tc>
              <w:tc>
                <w:tcPr>
                  <w:tcW w:w="804" w:type="pct"/>
                  <w:vMerge w:val="continue"/>
                  <w:vAlign w:val="center"/>
                </w:tcPr>
                <w:p>
                  <w:pPr>
                    <w:pStyle w:val="57"/>
                    <w:bidi w:val="0"/>
                    <w:rPr>
                      <w:color w:val="auto"/>
                      <w:highlight w:val="none"/>
                    </w:rPr>
                  </w:pPr>
                </w:p>
              </w:tc>
              <w:tc>
                <w:tcPr>
                  <w:tcW w:w="1023" w:type="pct"/>
                  <w:vMerge w:val="continue"/>
                  <w:vAlign w:val="center"/>
                </w:tcPr>
                <w:p>
                  <w:pPr>
                    <w:pStyle w:val="57"/>
                    <w:bidi w:val="0"/>
                    <w:rPr>
                      <w:color w:val="auto"/>
                      <w:highlight w:val="none"/>
                    </w:rPr>
                  </w:pPr>
                </w:p>
              </w:tc>
              <w:tc>
                <w:tcPr>
                  <w:tcW w:w="548" w:type="pct"/>
                  <w:vMerge w:val="continue"/>
                  <w:vAlign w:val="center"/>
                </w:tcPr>
                <w:p>
                  <w:pPr>
                    <w:pStyle w:val="57"/>
                    <w:bidi w:val="0"/>
                    <w:rPr>
                      <w:color w:val="auto"/>
                      <w:highlight w:val="none"/>
                    </w:rPr>
                  </w:pPr>
                </w:p>
              </w:tc>
              <w:tc>
                <w:tcPr>
                  <w:tcW w:w="334" w:type="pct"/>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Merge w:val="continue"/>
                  <w:vAlign w:val="center"/>
                </w:tcPr>
                <w:p>
                  <w:pPr>
                    <w:pStyle w:val="57"/>
                    <w:bidi w:val="0"/>
                    <w:rPr>
                      <w:color w:val="auto"/>
                      <w:highlight w:val="none"/>
                    </w:rPr>
                  </w:pPr>
                </w:p>
              </w:tc>
              <w:tc>
                <w:tcPr>
                  <w:tcW w:w="329" w:type="pct"/>
                  <w:vMerge w:val="continue"/>
                  <w:vAlign w:val="center"/>
                </w:tcPr>
                <w:p>
                  <w:pPr>
                    <w:pStyle w:val="57"/>
                    <w:bidi w:val="0"/>
                    <w:rPr>
                      <w:color w:val="auto"/>
                      <w:highlight w:val="none"/>
                    </w:rPr>
                  </w:pPr>
                </w:p>
              </w:tc>
              <w:tc>
                <w:tcPr>
                  <w:tcW w:w="563" w:type="pct"/>
                  <w:vMerge w:val="restart"/>
                  <w:vAlign w:val="center"/>
                </w:tcPr>
                <w:p>
                  <w:pPr>
                    <w:pStyle w:val="57"/>
                    <w:bidi w:val="0"/>
                    <w:rPr>
                      <w:color w:val="auto"/>
                      <w:highlight w:val="none"/>
                    </w:rPr>
                  </w:pPr>
                  <w:r>
                    <w:rPr>
                      <w:color w:val="auto"/>
                      <w:highlight w:val="none"/>
                    </w:rPr>
                    <w:t>下风向2#</w:t>
                  </w:r>
                </w:p>
              </w:tc>
              <w:tc>
                <w:tcPr>
                  <w:tcW w:w="272" w:type="pct"/>
                  <w:vAlign w:val="center"/>
                </w:tcPr>
                <w:p>
                  <w:pPr>
                    <w:pStyle w:val="57"/>
                    <w:bidi w:val="0"/>
                    <w:rPr>
                      <w:color w:val="auto"/>
                      <w:highlight w:val="none"/>
                    </w:rPr>
                  </w:pPr>
                  <w:r>
                    <w:rPr>
                      <w:color w:val="auto"/>
                      <w:highlight w:val="none"/>
                    </w:rPr>
                    <w:t>1</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251</w:t>
                  </w:r>
                </w:p>
              </w:tc>
              <w:tc>
                <w:tcPr>
                  <w:tcW w:w="804" w:type="pct"/>
                  <w:vMerge w:val="restart"/>
                  <w:vAlign w:val="center"/>
                </w:tcPr>
                <w:p>
                  <w:pPr>
                    <w:pStyle w:val="57"/>
                    <w:bidi w:val="0"/>
                    <w:rPr>
                      <w:rFonts w:hint="default"/>
                      <w:color w:val="auto"/>
                      <w:highlight w:val="none"/>
                      <w:lang w:val="en-US" w:eastAsia="zh-CN"/>
                    </w:rPr>
                  </w:pPr>
                  <w:r>
                    <w:rPr>
                      <w:rFonts w:hint="eastAsia"/>
                      <w:color w:val="auto"/>
                      <w:highlight w:val="none"/>
                      <w:lang w:val="en-US" w:eastAsia="zh-CN"/>
                    </w:rPr>
                    <w:t>292</w:t>
                  </w:r>
                </w:p>
              </w:tc>
              <w:tc>
                <w:tcPr>
                  <w:tcW w:w="1023" w:type="pct"/>
                  <w:vMerge w:val="continue"/>
                  <w:vAlign w:val="center"/>
                </w:tcPr>
                <w:p>
                  <w:pPr>
                    <w:pStyle w:val="57"/>
                    <w:bidi w:val="0"/>
                    <w:rPr>
                      <w:color w:val="auto"/>
                      <w:highlight w:val="none"/>
                    </w:rPr>
                  </w:pPr>
                </w:p>
              </w:tc>
              <w:tc>
                <w:tcPr>
                  <w:tcW w:w="548" w:type="pct"/>
                  <w:vMerge w:val="continue"/>
                  <w:vAlign w:val="center"/>
                </w:tcPr>
                <w:p>
                  <w:pPr>
                    <w:pStyle w:val="57"/>
                    <w:bidi w:val="0"/>
                    <w:rPr>
                      <w:color w:val="auto"/>
                      <w:highlight w:val="none"/>
                    </w:rPr>
                  </w:pPr>
                </w:p>
              </w:tc>
              <w:tc>
                <w:tcPr>
                  <w:tcW w:w="334" w:type="pct"/>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Merge w:val="continue"/>
                  <w:vAlign w:val="center"/>
                </w:tcPr>
                <w:p>
                  <w:pPr>
                    <w:pStyle w:val="57"/>
                    <w:bidi w:val="0"/>
                    <w:rPr>
                      <w:color w:val="auto"/>
                      <w:highlight w:val="none"/>
                    </w:rPr>
                  </w:pPr>
                </w:p>
              </w:tc>
              <w:tc>
                <w:tcPr>
                  <w:tcW w:w="329" w:type="pct"/>
                  <w:vMerge w:val="continue"/>
                  <w:vAlign w:val="center"/>
                </w:tcPr>
                <w:p>
                  <w:pPr>
                    <w:pStyle w:val="57"/>
                    <w:bidi w:val="0"/>
                    <w:rPr>
                      <w:color w:val="auto"/>
                      <w:highlight w:val="none"/>
                    </w:rPr>
                  </w:pPr>
                </w:p>
              </w:tc>
              <w:tc>
                <w:tcPr>
                  <w:tcW w:w="563" w:type="pct"/>
                  <w:vMerge w:val="continue"/>
                  <w:vAlign w:val="center"/>
                </w:tcPr>
                <w:p>
                  <w:pPr>
                    <w:pStyle w:val="57"/>
                    <w:bidi w:val="0"/>
                    <w:rPr>
                      <w:color w:val="auto"/>
                      <w:highlight w:val="none"/>
                    </w:rPr>
                  </w:pPr>
                </w:p>
              </w:tc>
              <w:tc>
                <w:tcPr>
                  <w:tcW w:w="272" w:type="pct"/>
                  <w:vAlign w:val="center"/>
                </w:tcPr>
                <w:p>
                  <w:pPr>
                    <w:pStyle w:val="57"/>
                    <w:bidi w:val="0"/>
                    <w:rPr>
                      <w:color w:val="auto"/>
                      <w:highlight w:val="none"/>
                    </w:rPr>
                  </w:pPr>
                  <w:r>
                    <w:rPr>
                      <w:color w:val="auto"/>
                      <w:highlight w:val="none"/>
                    </w:rPr>
                    <w:t>2</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292</w:t>
                  </w:r>
                </w:p>
              </w:tc>
              <w:tc>
                <w:tcPr>
                  <w:tcW w:w="804" w:type="pct"/>
                  <w:vMerge w:val="continue"/>
                  <w:vAlign w:val="center"/>
                </w:tcPr>
                <w:p>
                  <w:pPr>
                    <w:pStyle w:val="57"/>
                    <w:bidi w:val="0"/>
                    <w:rPr>
                      <w:color w:val="auto"/>
                      <w:highlight w:val="none"/>
                    </w:rPr>
                  </w:pPr>
                </w:p>
              </w:tc>
              <w:tc>
                <w:tcPr>
                  <w:tcW w:w="1023" w:type="pct"/>
                  <w:vMerge w:val="continue"/>
                  <w:vAlign w:val="center"/>
                </w:tcPr>
                <w:p>
                  <w:pPr>
                    <w:pStyle w:val="57"/>
                    <w:bidi w:val="0"/>
                    <w:rPr>
                      <w:color w:val="auto"/>
                      <w:highlight w:val="none"/>
                    </w:rPr>
                  </w:pPr>
                </w:p>
              </w:tc>
              <w:tc>
                <w:tcPr>
                  <w:tcW w:w="548" w:type="pct"/>
                  <w:vMerge w:val="continue"/>
                  <w:vAlign w:val="center"/>
                </w:tcPr>
                <w:p>
                  <w:pPr>
                    <w:pStyle w:val="57"/>
                    <w:bidi w:val="0"/>
                    <w:rPr>
                      <w:color w:val="auto"/>
                      <w:highlight w:val="none"/>
                    </w:rPr>
                  </w:pPr>
                </w:p>
              </w:tc>
              <w:tc>
                <w:tcPr>
                  <w:tcW w:w="334" w:type="pct"/>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Merge w:val="continue"/>
                  <w:vAlign w:val="center"/>
                </w:tcPr>
                <w:p>
                  <w:pPr>
                    <w:pStyle w:val="57"/>
                    <w:bidi w:val="0"/>
                    <w:rPr>
                      <w:color w:val="auto"/>
                      <w:highlight w:val="none"/>
                    </w:rPr>
                  </w:pPr>
                </w:p>
              </w:tc>
              <w:tc>
                <w:tcPr>
                  <w:tcW w:w="329" w:type="pct"/>
                  <w:vMerge w:val="continue"/>
                  <w:vAlign w:val="center"/>
                </w:tcPr>
                <w:p>
                  <w:pPr>
                    <w:pStyle w:val="57"/>
                    <w:bidi w:val="0"/>
                    <w:rPr>
                      <w:color w:val="auto"/>
                      <w:highlight w:val="none"/>
                    </w:rPr>
                  </w:pPr>
                </w:p>
              </w:tc>
              <w:tc>
                <w:tcPr>
                  <w:tcW w:w="563" w:type="pct"/>
                  <w:vMerge w:val="continue"/>
                  <w:vAlign w:val="center"/>
                </w:tcPr>
                <w:p>
                  <w:pPr>
                    <w:pStyle w:val="57"/>
                    <w:bidi w:val="0"/>
                    <w:rPr>
                      <w:color w:val="auto"/>
                      <w:highlight w:val="none"/>
                    </w:rPr>
                  </w:pPr>
                </w:p>
              </w:tc>
              <w:tc>
                <w:tcPr>
                  <w:tcW w:w="272" w:type="pct"/>
                  <w:vAlign w:val="center"/>
                </w:tcPr>
                <w:p>
                  <w:pPr>
                    <w:pStyle w:val="57"/>
                    <w:bidi w:val="0"/>
                    <w:rPr>
                      <w:color w:val="auto"/>
                      <w:highlight w:val="none"/>
                    </w:rPr>
                  </w:pPr>
                  <w:r>
                    <w:rPr>
                      <w:color w:val="auto"/>
                      <w:highlight w:val="none"/>
                    </w:rPr>
                    <w:t>3</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268</w:t>
                  </w:r>
                </w:p>
              </w:tc>
              <w:tc>
                <w:tcPr>
                  <w:tcW w:w="804" w:type="pct"/>
                  <w:vMerge w:val="continue"/>
                  <w:vAlign w:val="center"/>
                </w:tcPr>
                <w:p>
                  <w:pPr>
                    <w:pStyle w:val="57"/>
                    <w:bidi w:val="0"/>
                    <w:rPr>
                      <w:color w:val="auto"/>
                      <w:highlight w:val="none"/>
                    </w:rPr>
                  </w:pPr>
                </w:p>
              </w:tc>
              <w:tc>
                <w:tcPr>
                  <w:tcW w:w="1023" w:type="pct"/>
                  <w:vMerge w:val="continue"/>
                  <w:vAlign w:val="center"/>
                </w:tcPr>
                <w:p>
                  <w:pPr>
                    <w:pStyle w:val="57"/>
                    <w:bidi w:val="0"/>
                    <w:rPr>
                      <w:color w:val="auto"/>
                      <w:highlight w:val="none"/>
                    </w:rPr>
                  </w:pPr>
                </w:p>
              </w:tc>
              <w:tc>
                <w:tcPr>
                  <w:tcW w:w="548" w:type="pct"/>
                  <w:vMerge w:val="continue"/>
                  <w:vAlign w:val="center"/>
                </w:tcPr>
                <w:p>
                  <w:pPr>
                    <w:pStyle w:val="57"/>
                    <w:bidi w:val="0"/>
                    <w:rPr>
                      <w:color w:val="auto"/>
                      <w:highlight w:val="none"/>
                    </w:rPr>
                  </w:pPr>
                </w:p>
              </w:tc>
              <w:tc>
                <w:tcPr>
                  <w:tcW w:w="334" w:type="pct"/>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Merge w:val="continue"/>
                  <w:vAlign w:val="center"/>
                </w:tcPr>
                <w:p>
                  <w:pPr>
                    <w:pStyle w:val="57"/>
                    <w:bidi w:val="0"/>
                    <w:rPr>
                      <w:color w:val="auto"/>
                      <w:highlight w:val="none"/>
                    </w:rPr>
                  </w:pPr>
                </w:p>
              </w:tc>
              <w:tc>
                <w:tcPr>
                  <w:tcW w:w="329" w:type="pct"/>
                  <w:vMerge w:val="continue"/>
                  <w:vAlign w:val="center"/>
                </w:tcPr>
                <w:p>
                  <w:pPr>
                    <w:pStyle w:val="57"/>
                    <w:bidi w:val="0"/>
                    <w:rPr>
                      <w:color w:val="auto"/>
                      <w:highlight w:val="none"/>
                    </w:rPr>
                  </w:pPr>
                </w:p>
              </w:tc>
              <w:tc>
                <w:tcPr>
                  <w:tcW w:w="563" w:type="pct"/>
                  <w:vMerge w:val="restart"/>
                  <w:vAlign w:val="center"/>
                </w:tcPr>
                <w:p>
                  <w:pPr>
                    <w:pStyle w:val="57"/>
                    <w:bidi w:val="0"/>
                    <w:rPr>
                      <w:color w:val="auto"/>
                      <w:highlight w:val="none"/>
                    </w:rPr>
                  </w:pPr>
                  <w:r>
                    <w:rPr>
                      <w:color w:val="auto"/>
                      <w:highlight w:val="none"/>
                    </w:rPr>
                    <w:t>下风向3#</w:t>
                  </w:r>
                </w:p>
              </w:tc>
              <w:tc>
                <w:tcPr>
                  <w:tcW w:w="272" w:type="pct"/>
                  <w:vAlign w:val="center"/>
                </w:tcPr>
                <w:p>
                  <w:pPr>
                    <w:pStyle w:val="57"/>
                    <w:bidi w:val="0"/>
                    <w:rPr>
                      <w:color w:val="auto"/>
                      <w:highlight w:val="none"/>
                    </w:rPr>
                  </w:pPr>
                  <w:r>
                    <w:rPr>
                      <w:color w:val="auto"/>
                      <w:highlight w:val="none"/>
                    </w:rPr>
                    <w:t>1</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233</w:t>
                  </w:r>
                </w:p>
              </w:tc>
              <w:tc>
                <w:tcPr>
                  <w:tcW w:w="804" w:type="pct"/>
                  <w:vMerge w:val="restart"/>
                  <w:vAlign w:val="center"/>
                </w:tcPr>
                <w:p>
                  <w:pPr>
                    <w:pStyle w:val="57"/>
                    <w:bidi w:val="0"/>
                    <w:rPr>
                      <w:rFonts w:hint="default"/>
                      <w:color w:val="auto"/>
                      <w:highlight w:val="none"/>
                      <w:lang w:val="en-US" w:eastAsia="zh-CN"/>
                    </w:rPr>
                  </w:pPr>
                  <w:r>
                    <w:rPr>
                      <w:rFonts w:hint="eastAsia"/>
                      <w:color w:val="auto"/>
                      <w:highlight w:val="none"/>
                      <w:lang w:val="en-US" w:eastAsia="zh-CN"/>
                    </w:rPr>
                    <w:t>295</w:t>
                  </w:r>
                </w:p>
              </w:tc>
              <w:tc>
                <w:tcPr>
                  <w:tcW w:w="1023" w:type="pct"/>
                  <w:vMerge w:val="continue"/>
                  <w:vAlign w:val="center"/>
                </w:tcPr>
                <w:p>
                  <w:pPr>
                    <w:pStyle w:val="57"/>
                    <w:bidi w:val="0"/>
                    <w:rPr>
                      <w:color w:val="auto"/>
                      <w:highlight w:val="none"/>
                    </w:rPr>
                  </w:pPr>
                </w:p>
              </w:tc>
              <w:tc>
                <w:tcPr>
                  <w:tcW w:w="548" w:type="pct"/>
                  <w:vMerge w:val="continue"/>
                  <w:vAlign w:val="center"/>
                </w:tcPr>
                <w:p>
                  <w:pPr>
                    <w:pStyle w:val="57"/>
                    <w:bidi w:val="0"/>
                    <w:rPr>
                      <w:color w:val="auto"/>
                      <w:highlight w:val="none"/>
                    </w:rPr>
                  </w:pPr>
                </w:p>
              </w:tc>
              <w:tc>
                <w:tcPr>
                  <w:tcW w:w="334" w:type="pct"/>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Merge w:val="continue"/>
                  <w:vAlign w:val="center"/>
                </w:tcPr>
                <w:p>
                  <w:pPr>
                    <w:pStyle w:val="57"/>
                    <w:bidi w:val="0"/>
                    <w:rPr>
                      <w:color w:val="auto"/>
                      <w:highlight w:val="none"/>
                    </w:rPr>
                  </w:pPr>
                </w:p>
              </w:tc>
              <w:tc>
                <w:tcPr>
                  <w:tcW w:w="329" w:type="pct"/>
                  <w:vMerge w:val="continue"/>
                  <w:vAlign w:val="center"/>
                </w:tcPr>
                <w:p>
                  <w:pPr>
                    <w:pStyle w:val="57"/>
                    <w:bidi w:val="0"/>
                    <w:rPr>
                      <w:color w:val="auto"/>
                      <w:highlight w:val="none"/>
                    </w:rPr>
                  </w:pPr>
                </w:p>
              </w:tc>
              <w:tc>
                <w:tcPr>
                  <w:tcW w:w="563" w:type="pct"/>
                  <w:vMerge w:val="continue"/>
                  <w:vAlign w:val="center"/>
                </w:tcPr>
                <w:p>
                  <w:pPr>
                    <w:pStyle w:val="57"/>
                    <w:bidi w:val="0"/>
                    <w:rPr>
                      <w:color w:val="auto"/>
                      <w:highlight w:val="none"/>
                    </w:rPr>
                  </w:pPr>
                </w:p>
              </w:tc>
              <w:tc>
                <w:tcPr>
                  <w:tcW w:w="272" w:type="pct"/>
                  <w:vAlign w:val="center"/>
                </w:tcPr>
                <w:p>
                  <w:pPr>
                    <w:pStyle w:val="57"/>
                    <w:bidi w:val="0"/>
                    <w:rPr>
                      <w:color w:val="auto"/>
                      <w:highlight w:val="none"/>
                    </w:rPr>
                  </w:pPr>
                  <w:r>
                    <w:rPr>
                      <w:color w:val="auto"/>
                      <w:highlight w:val="none"/>
                    </w:rPr>
                    <w:t>2</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283</w:t>
                  </w:r>
                </w:p>
              </w:tc>
              <w:tc>
                <w:tcPr>
                  <w:tcW w:w="804" w:type="pct"/>
                  <w:vMerge w:val="continue"/>
                  <w:vAlign w:val="center"/>
                </w:tcPr>
                <w:p>
                  <w:pPr>
                    <w:pStyle w:val="57"/>
                    <w:bidi w:val="0"/>
                    <w:rPr>
                      <w:color w:val="auto"/>
                      <w:highlight w:val="none"/>
                    </w:rPr>
                  </w:pPr>
                </w:p>
              </w:tc>
              <w:tc>
                <w:tcPr>
                  <w:tcW w:w="1023" w:type="pct"/>
                  <w:vMerge w:val="continue"/>
                  <w:vAlign w:val="center"/>
                </w:tcPr>
                <w:p>
                  <w:pPr>
                    <w:pStyle w:val="57"/>
                    <w:bidi w:val="0"/>
                    <w:rPr>
                      <w:color w:val="auto"/>
                      <w:highlight w:val="none"/>
                    </w:rPr>
                  </w:pPr>
                </w:p>
              </w:tc>
              <w:tc>
                <w:tcPr>
                  <w:tcW w:w="548" w:type="pct"/>
                  <w:vMerge w:val="continue"/>
                  <w:vAlign w:val="center"/>
                </w:tcPr>
                <w:p>
                  <w:pPr>
                    <w:pStyle w:val="57"/>
                    <w:bidi w:val="0"/>
                    <w:rPr>
                      <w:color w:val="auto"/>
                      <w:highlight w:val="none"/>
                    </w:rPr>
                  </w:pPr>
                </w:p>
              </w:tc>
              <w:tc>
                <w:tcPr>
                  <w:tcW w:w="334" w:type="pct"/>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Merge w:val="continue"/>
                  <w:vAlign w:val="center"/>
                </w:tcPr>
                <w:p>
                  <w:pPr>
                    <w:pStyle w:val="57"/>
                    <w:bidi w:val="0"/>
                    <w:rPr>
                      <w:color w:val="auto"/>
                      <w:highlight w:val="none"/>
                    </w:rPr>
                  </w:pPr>
                </w:p>
              </w:tc>
              <w:tc>
                <w:tcPr>
                  <w:tcW w:w="329" w:type="pct"/>
                  <w:vMerge w:val="continue"/>
                  <w:vAlign w:val="center"/>
                </w:tcPr>
                <w:p>
                  <w:pPr>
                    <w:pStyle w:val="57"/>
                    <w:bidi w:val="0"/>
                    <w:rPr>
                      <w:color w:val="auto"/>
                      <w:highlight w:val="none"/>
                    </w:rPr>
                  </w:pPr>
                </w:p>
              </w:tc>
              <w:tc>
                <w:tcPr>
                  <w:tcW w:w="563" w:type="pct"/>
                  <w:vMerge w:val="continue"/>
                  <w:vAlign w:val="center"/>
                </w:tcPr>
                <w:p>
                  <w:pPr>
                    <w:pStyle w:val="57"/>
                    <w:bidi w:val="0"/>
                    <w:rPr>
                      <w:color w:val="auto"/>
                      <w:highlight w:val="none"/>
                    </w:rPr>
                  </w:pPr>
                </w:p>
              </w:tc>
              <w:tc>
                <w:tcPr>
                  <w:tcW w:w="272" w:type="pct"/>
                  <w:vAlign w:val="center"/>
                </w:tcPr>
                <w:p>
                  <w:pPr>
                    <w:pStyle w:val="57"/>
                    <w:bidi w:val="0"/>
                    <w:rPr>
                      <w:color w:val="auto"/>
                      <w:highlight w:val="none"/>
                    </w:rPr>
                  </w:pPr>
                  <w:r>
                    <w:rPr>
                      <w:color w:val="auto"/>
                      <w:highlight w:val="none"/>
                    </w:rPr>
                    <w:t>3</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295</w:t>
                  </w:r>
                </w:p>
              </w:tc>
              <w:tc>
                <w:tcPr>
                  <w:tcW w:w="804" w:type="pct"/>
                  <w:vMerge w:val="continue"/>
                  <w:vAlign w:val="center"/>
                </w:tcPr>
                <w:p>
                  <w:pPr>
                    <w:pStyle w:val="57"/>
                    <w:bidi w:val="0"/>
                    <w:rPr>
                      <w:color w:val="auto"/>
                      <w:highlight w:val="none"/>
                    </w:rPr>
                  </w:pPr>
                </w:p>
              </w:tc>
              <w:tc>
                <w:tcPr>
                  <w:tcW w:w="1023" w:type="pct"/>
                  <w:vMerge w:val="continue"/>
                  <w:vAlign w:val="center"/>
                </w:tcPr>
                <w:p>
                  <w:pPr>
                    <w:pStyle w:val="57"/>
                    <w:bidi w:val="0"/>
                    <w:rPr>
                      <w:color w:val="auto"/>
                      <w:highlight w:val="none"/>
                    </w:rPr>
                  </w:pPr>
                </w:p>
              </w:tc>
              <w:tc>
                <w:tcPr>
                  <w:tcW w:w="548" w:type="pct"/>
                  <w:vMerge w:val="continue"/>
                  <w:vAlign w:val="center"/>
                </w:tcPr>
                <w:p>
                  <w:pPr>
                    <w:pStyle w:val="57"/>
                    <w:bidi w:val="0"/>
                    <w:rPr>
                      <w:color w:val="auto"/>
                      <w:highlight w:val="none"/>
                    </w:rPr>
                  </w:pPr>
                </w:p>
              </w:tc>
              <w:tc>
                <w:tcPr>
                  <w:tcW w:w="334" w:type="pct"/>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Merge w:val="continue"/>
                  <w:vAlign w:val="center"/>
                </w:tcPr>
                <w:p>
                  <w:pPr>
                    <w:pStyle w:val="57"/>
                    <w:bidi w:val="0"/>
                    <w:rPr>
                      <w:color w:val="auto"/>
                      <w:highlight w:val="none"/>
                    </w:rPr>
                  </w:pPr>
                </w:p>
              </w:tc>
              <w:tc>
                <w:tcPr>
                  <w:tcW w:w="329" w:type="pct"/>
                  <w:vMerge w:val="continue"/>
                  <w:vAlign w:val="center"/>
                </w:tcPr>
                <w:p>
                  <w:pPr>
                    <w:pStyle w:val="57"/>
                    <w:bidi w:val="0"/>
                    <w:rPr>
                      <w:color w:val="auto"/>
                      <w:highlight w:val="none"/>
                    </w:rPr>
                  </w:pPr>
                </w:p>
              </w:tc>
              <w:tc>
                <w:tcPr>
                  <w:tcW w:w="563" w:type="pct"/>
                  <w:vMerge w:val="restart"/>
                  <w:vAlign w:val="center"/>
                </w:tcPr>
                <w:p>
                  <w:pPr>
                    <w:pStyle w:val="57"/>
                    <w:bidi w:val="0"/>
                    <w:rPr>
                      <w:color w:val="auto"/>
                      <w:highlight w:val="none"/>
                    </w:rPr>
                  </w:pPr>
                  <w:r>
                    <w:rPr>
                      <w:color w:val="auto"/>
                      <w:highlight w:val="none"/>
                    </w:rPr>
                    <w:t>下风向4#</w:t>
                  </w:r>
                </w:p>
              </w:tc>
              <w:tc>
                <w:tcPr>
                  <w:tcW w:w="272" w:type="pct"/>
                  <w:vAlign w:val="center"/>
                </w:tcPr>
                <w:p>
                  <w:pPr>
                    <w:pStyle w:val="57"/>
                    <w:bidi w:val="0"/>
                    <w:rPr>
                      <w:color w:val="auto"/>
                      <w:highlight w:val="none"/>
                    </w:rPr>
                  </w:pPr>
                  <w:r>
                    <w:rPr>
                      <w:color w:val="auto"/>
                      <w:highlight w:val="none"/>
                    </w:rPr>
                    <w:t>1</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236</w:t>
                  </w:r>
                </w:p>
              </w:tc>
              <w:tc>
                <w:tcPr>
                  <w:tcW w:w="804" w:type="pct"/>
                  <w:vMerge w:val="restart"/>
                  <w:vAlign w:val="center"/>
                </w:tcPr>
                <w:p>
                  <w:pPr>
                    <w:pStyle w:val="57"/>
                    <w:bidi w:val="0"/>
                    <w:rPr>
                      <w:rFonts w:hint="default"/>
                      <w:color w:val="auto"/>
                      <w:highlight w:val="none"/>
                      <w:lang w:val="en-US" w:eastAsia="zh-CN"/>
                    </w:rPr>
                  </w:pPr>
                  <w:r>
                    <w:rPr>
                      <w:rFonts w:hint="eastAsia"/>
                      <w:color w:val="auto"/>
                      <w:highlight w:val="none"/>
                      <w:lang w:val="en-US" w:eastAsia="zh-CN"/>
                    </w:rPr>
                    <w:t>293</w:t>
                  </w:r>
                </w:p>
              </w:tc>
              <w:tc>
                <w:tcPr>
                  <w:tcW w:w="1023" w:type="pct"/>
                  <w:vMerge w:val="continue"/>
                  <w:vAlign w:val="center"/>
                </w:tcPr>
                <w:p>
                  <w:pPr>
                    <w:pStyle w:val="57"/>
                    <w:bidi w:val="0"/>
                    <w:rPr>
                      <w:color w:val="auto"/>
                      <w:highlight w:val="none"/>
                    </w:rPr>
                  </w:pPr>
                </w:p>
              </w:tc>
              <w:tc>
                <w:tcPr>
                  <w:tcW w:w="548" w:type="pct"/>
                  <w:vMerge w:val="continue"/>
                  <w:vAlign w:val="center"/>
                </w:tcPr>
                <w:p>
                  <w:pPr>
                    <w:pStyle w:val="57"/>
                    <w:bidi w:val="0"/>
                    <w:rPr>
                      <w:color w:val="auto"/>
                      <w:highlight w:val="none"/>
                    </w:rPr>
                  </w:pPr>
                </w:p>
              </w:tc>
              <w:tc>
                <w:tcPr>
                  <w:tcW w:w="334" w:type="pct"/>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Merge w:val="continue"/>
                  <w:vAlign w:val="center"/>
                </w:tcPr>
                <w:p>
                  <w:pPr>
                    <w:pStyle w:val="57"/>
                    <w:bidi w:val="0"/>
                    <w:rPr>
                      <w:color w:val="auto"/>
                      <w:highlight w:val="none"/>
                    </w:rPr>
                  </w:pPr>
                </w:p>
              </w:tc>
              <w:tc>
                <w:tcPr>
                  <w:tcW w:w="329" w:type="pct"/>
                  <w:vMerge w:val="continue"/>
                  <w:vAlign w:val="center"/>
                </w:tcPr>
                <w:p>
                  <w:pPr>
                    <w:pStyle w:val="57"/>
                    <w:bidi w:val="0"/>
                    <w:rPr>
                      <w:color w:val="auto"/>
                      <w:highlight w:val="none"/>
                    </w:rPr>
                  </w:pPr>
                </w:p>
              </w:tc>
              <w:tc>
                <w:tcPr>
                  <w:tcW w:w="563" w:type="pct"/>
                  <w:vMerge w:val="continue"/>
                  <w:vAlign w:val="center"/>
                </w:tcPr>
                <w:p>
                  <w:pPr>
                    <w:pStyle w:val="57"/>
                    <w:bidi w:val="0"/>
                    <w:rPr>
                      <w:color w:val="auto"/>
                      <w:highlight w:val="none"/>
                    </w:rPr>
                  </w:pPr>
                </w:p>
              </w:tc>
              <w:tc>
                <w:tcPr>
                  <w:tcW w:w="272" w:type="pct"/>
                  <w:vAlign w:val="center"/>
                </w:tcPr>
                <w:p>
                  <w:pPr>
                    <w:pStyle w:val="57"/>
                    <w:bidi w:val="0"/>
                    <w:rPr>
                      <w:color w:val="auto"/>
                      <w:highlight w:val="none"/>
                    </w:rPr>
                  </w:pPr>
                  <w:r>
                    <w:rPr>
                      <w:color w:val="auto"/>
                      <w:highlight w:val="none"/>
                    </w:rPr>
                    <w:t>2</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293</w:t>
                  </w:r>
                </w:p>
              </w:tc>
              <w:tc>
                <w:tcPr>
                  <w:tcW w:w="804" w:type="pct"/>
                  <w:vMerge w:val="continue"/>
                  <w:vAlign w:val="center"/>
                </w:tcPr>
                <w:p>
                  <w:pPr>
                    <w:pStyle w:val="57"/>
                    <w:bidi w:val="0"/>
                    <w:rPr>
                      <w:color w:val="auto"/>
                      <w:highlight w:val="none"/>
                    </w:rPr>
                  </w:pPr>
                </w:p>
              </w:tc>
              <w:tc>
                <w:tcPr>
                  <w:tcW w:w="1023" w:type="pct"/>
                  <w:vMerge w:val="continue"/>
                  <w:vAlign w:val="center"/>
                </w:tcPr>
                <w:p>
                  <w:pPr>
                    <w:pStyle w:val="57"/>
                    <w:bidi w:val="0"/>
                    <w:rPr>
                      <w:color w:val="auto"/>
                      <w:highlight w:val="none"/>
                    </w:rPr>
                  </w:pPr>
                </w:p>
              </w:tc>
              <w:tc>
                <w:tcPr>
                  <w:tcW w:w="548" w:type="pct"/>
                  <w:vMerge w:val="continue"/>
                  <w:vAlign w:val="center"/>
                </w:tcPr>
                <w:p>
                  <w:pPr>
                    <w:pStyle w:val="57"/>
                    <w:bidi w:val="0"/>
                    <w:rPr>
                      <w:color w:val="auto"/>
                      <w:highlight w:val="none"/>
                    </w:rPr>
                  </w:pPr>
                </w:p>
              </w:tc>
              <w:tc>
                <w:tcPr>
                  <w:tcW w:w="334" w:type="pct"/>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Merge w:val="continue"/>
                  <w:vAlign w:val="center"/>
                </w:tcPr>
                <w:p>
                  <w:pPr>
                    <w:pStyle w:val="57"/>
                    <w:bidi w:val="0"/>
                    <w:rPr>
                      <w:color w:val="auto"/>
                      <w:highlight w:val="none"/>
                    </w:rPr>
                  </w:pPr>
                </w:p>
              </w:tc>
              <w:tc>
                <w:tcPr>
                  <w:tcW w:w="329" w:type="pct"/>
                  <w:vMerge w:val="continue"/>
                  <w:vAlign w:val="center"/>
                </w:tcPr>
                <w:p>
                  <w:pPr>
                    <w:pStyle w:val="57"/>
                    <w:bidi w:val="0"/>
                    <w:rPr>
                      <w:color w:val="auto"/>
                      <w:highlight w:val="none"/>
                    </w:rPr>
                  </w:pPr>
                </w:p>
              </w:tc>
              <w:tc>
                <w:tcPr>
                  <w:tcW w:w="563" w:type="pct"/>
                  <w:vMerge w:val="continue"/>
                  <w:vAlign w:val="center"/>
                </w:tcPr>
                <w:p>
                  <w:pPr>
                    <w:pStyle w:val="57"/>
                    <w:bidi w:val="0"/>
                    <w:rPr>
                      <w:color w:val="auto"/>
                      <w:highlight w:val="none"/>
                    </w:rPr>
                  </w:pPr>
                </w:p>
              </w:tc>
              <w:tc>
                <w:tcPr>
                  <w:tcW w:w="272" w:type="pct"/>
                  <w:vAlign w:val="center"/>
                </w:tcPr>
                <w:p>
                  <w:pPr>
                    <w:pStyle w:val="57"/>
                    <w:bidi w:val="0"/>
                    <w:rPr>
                      <w:color w:val="auto"/>
                      <w:highlight w:val="none"/>
                    </w:rPr>
                  </w:pPr>
                  <w:r>
                    <w:rPr>
                      <w:color w:val="auto"/>
                      <w:highlight w:val="none"/>
                    </w:rPr>
                    <w:t>3</w:t>
                  </w:r>
                </w:p>
              </w:tc>
              <w:tc>
                <w:tcPr>
                  <w:tcW w:w="698" w:type="pct"/>
                  <w:vAlign w:val="center"/>
                </w:tcPr>
                <w:p>
                  <w:pPr>
                    <w:pStyle w:val="57"/>
                    <w:bidi w:val="0"/>
                    <w:rPr>
                      <w:rFonts w:hint="default"/>
                      <w:color w:val="auto"/>
                      <w:highlight w:val="none"/>
                      <w:lang w:val="en-US" w:eastAsia="zh-CN"/>
                    </w:rPr>
                  </w:pPr>
                  <w:r>
                    <w:rPr>
                      <w:rFonts w:hint="eastAsia"/>
                      <w:color w:val="auto"/>
                      <w:highlight w:val="none"/>
                      <w:lang w:val="en-US" w:eastAsia="zh-CN"/>
                    </w:rPr>
                    <w:t>265</w:t>
                  </w:r>
                </w:p>
              </w:tc>
              <w:tc>
                <w:tcPr>
                  <w:tcW w:w="804" w:type="pct"/>
                  <w:vMerge w:val="continue"/>
                  <w:vAlign w:val="center"/>
                </w:tcPr>
                <w:p>
                  <w:pPr>
                    <w:pStyle w:val="57"/>
                    <w:bidi w:val="0"/>
                    <w:rPr>
                      <w:color w:val="auto"/>
                      <w:highlight w:val="none"/>
                    </w:rPr>
                  </w:pPr>
                </w:p>
              </w:tc>
              <w:tc>
                <w:tcPr>
                  <w:tcW w:w="1023" w:type="pct"/>
                  <w:vMerge w:val="continue"/>
                  <w:vAlign w:val="center"/>
                </w:tcPr>
                <w:p>
                  <w:pPr>
                    <w:pStyle w:val="57"/>
                    <w:bidi w:val="0"/>
                    <w:rPr>
                      <w:color w:val="auto"/>
                      <w:highlight w:val="none"/>
                    </w:rPr>
                  </w:pPr>
                </w:p>
              </w:tc>
              <w:tc>
                <w:tcPr>
                  <w:tcW w:w="548" w:type="pct"/>
                  <w:vMerge w:val="continue"/>
                  <w:vAlign w:val="center"/>
                </w:tcPr>
                <w:p>
                  <w:pPr>
                    <w:pStyle w:val="57"/>
                    <w:bidi w:val="0"/>
                    <w:rPr>
                      <w:color w:val="auto"/>
                      <w:highlight w:val="none"/>
                    </w:rPr>
                  </w:pPr>
                </w:p>
              </w:tc>
              <w:tc>
                <w:tcPr>
                  <w:tcW w:w="334" w:type="pct"/>
                  <w:vMerge w:val="continue"/>
                  <w:vAlign w:val="center"/>
                </w:tcPr>
                <w:p>
                  <w:pPr>
                    <w:pStyle w:val="57"/>
                    <w:bidi w:val="0"/>
                    <w:rPr>
                      <w:color w:val="auto"/>
                      <w:highlight w:val="none"/>
                    </w:rPr>
                  </w:pPr>
                </w:p>
              </w:tc>
            </w:tr>
          </w:tbl>
          <w:p>
            <w:pPr>
              <w:pStyle w:val="6"/>
              <w:bidi w:val="0"/>
              <w:rPr>
                <w:rFonts w:hint="default"/>
                <w:color w:val="auto"/>
                <w:highlight w:val="none"/>
                <w:lang w:val="en-US" w:eastAsia="zh-CN"/>
              </w:rPr>
            </w:pPr>
            <w:r>
              <w:rPr>
                <w:rFonts w:hint="eastAsia"/>
                <w:color w:val="auto"/>
                <w:highlight w:val="none"/>
                <w:lang w:val="en-US" w:eastAsia="zh-CN"/>
              </w:rPr>
              <w:t>（3）污染物总量控制</w:t>
            </w:r>
          </w:p>
          <w:p>
            <w:pPr>
              <w:pStyle w:val="6"/>
              <w:bidi w:val="0"/>
              <w:rPr>
                <w:rFonts w:hint="default"/>
                <w:color w:val="auto"/>
                <w:highlight w:val="none"/>
                <w:lang w:val="en-US" w:eastAsia="zh-CN"/>
              </w:rPr>
            </w:pPr>
            <w:r>
              <w:rPr>
                <w:rFonts w:hint="eastAsia"/>
                <w:color w:val="auto"/>
                <w:highlight w:val="none"/>
                <w:lang w:val="en-US" w:eastAsia="zh-CN"/>
              </w:rPr>
              <w:t>根据《巴州敏宇化工有限公司石灰石、生石灰磨粉加工项目环境影响报告表》，企业建设1套煤粉制备系统，竖炉燃料采用燃料为自制煤粉，核定的污染物排放竖窑总量指标为二氧化硫15.82t/a，氮氧化物47.45t/a。</w:t>
            </w:r>
          </w:p>
          <w:p>
            <w:pPr>
              <w:pStyle w:val="6"/>
              <w:bidi w:val="0"/>
              <w:rPr>
                <w:rFonts w:hint="eastAsia"/>
                <w:color w:val="auto"/>
                <w:highlight w:val="none"/>
                <w:lang w:val="en-US" w:eastAsia="zh-CN"/>
              </w:rPr>
            </w:pPr>
            <w:r>
              <w:rPr>
                <w:rFonts w:hint="eastAsia"/>
                <w:color w:val="auto"/>
                <w:highlight w:val="none"/>
                <w:lang w:val="en-US" w:eastAsia="zh-CN"/>
              </w:rPr>
              <w:t>根据环保验收及现状，企业未建设煤粉制备系统，燃料由自制煤粉改为焦炭。根据2023年6月14日和6月15日验收监测数据，对竖窑废气排放口监测结果核算，二氧化硫0.214t/a（＜15.82t/a），氮氧化物0.484t/a（＜47.45t/a）。</w:t>
            </w:r>
          </w:p>
          <w:p>
            <w:pPr>
              <w:pStyle w:val="5"/>
              <w:bidi w:val="0"/>
              <w:rPr>
                <w:rFonts w:hint="default"/>
                <w:color w:val="auto"/>
                <w:highlight w:val="none"/>
                <w:lang w:val="en-US" w:eastAsia="zh-CN"/>
              </w:rPr>
            </w:pPr>
            <w:r>
              <w:rPr>
                <w:rFonts w:hint="eastAsia"/>
                <w:color w:val="auto"/>
                <w:highlight w:val="none"/>
                <w:lang w:val="en-US" w:eastAsia="zh-CN"/>
              </w:rPr>
              <w:t>2.3.3.2 废水</w:t>
            </w:r>
          </w:p>
          <w:p>
            <w:pPr>
              <w:pStyle w:val="6"/>
              <w:bidi w:val="0"/>
              <w:rPr>
                <w:rFonts w:hint="default"/>
                <w:color w:val="auto"/>
                <w:highlight w:val="none"/>
                <w:lang w:val="en-US" w:eastAsia="zh-CN"/>
              </w:rPr>
            </w:pPr>
            <w:r>
              <w:rPr>
                <w:rFonts w:hint="eastAsia"/>
                <w:color w:val="auto"/>
                <w:highlight w:val="none"/>
                <w:lang w:val="en-US" w:eastAsia="zh-CN"/>
              </w:rPr>
              <w:t>现有工程无生产废水；生活污水排入化粪池，定期委托库尔勒龙润处理有限公司定期拉运至库尔勒市南市区污水处理厂处理。</w:t>
            </w:r>
          </w:p>
          <w:p>
            <w:pPr>
              <w:pStyle w:val="5"/>
              <w:bidi w:val="0"/>
              <w:rPr>
                <w:rFonts w:hint="default"/>
                <w:color w:val="auto"/>
                <w:highlight w:val="none"/>
                <w:lang w:val="en-US" w:eastAsia="zh-CN"/>
              </w:rPr>
            </w:pPr>
            <w:r>
              <w:rPr>
                <w:rFonts w:hint="eastAsia"/>
                <w:color w:val="auto"/>
                <w:highlight w:val="none"/>
                <w:lang w:val="en-US" w:eastAsia="zh-CN"/>
              </w:rPr>
              <w:t>2.3.3.3 固体废物</w:t>
            </w:r>
          </w:p>
          <w:p>
            <w:pPr>
              <w:pStyle w:val="6"/>
              <w:bidi w:val="0"/>
              <w:rPr>
                <w:rFonts w:hint="default"/>
                <w:color w:val="auto"/>
                <w:highlight w:val="none"/>
                <w:lang w:val="en-US" w:eastAsia="zh-CN"/>
              </w:rPr>
            </w:pPr>
            <w:r>
              <w:rPr>
                <w:rFonts w:hint="eastAsia"/>
                <w:color w:val="auto"/>
                <w:highlight w:val="none"/>
                <w:lang w:val="en-US" w:eastAsia="zh-CN"/>
              </w:rPr>
              <w:t>（1）一般工业固体废物</w:t>
            </w:r>
          </w:p>
          <w:p>
            <w:pPr>
              <w:pStyle w:val="6"/>
              <w:bidi w:val="0"/>
              <w:rPr>
                <w:rFonts w:hint="eastAsia"/>
                <w:color w:val="auto"/>
                <w:highlight w:val="none"/>
                <w:lang w:val="en-US" w:eastAsia="zh-CN"/>
              </w:rPr>
            </w:pPr>
            <w:r>
              <w:rPr>
                <w:rFonts w:hint="eastAsia"/>
                <w:color w:val="auto"/>
                <w:highlight w:val="none"/>
                <w:lang w:val="en-US" w:eastAsia="zh-CN"/>
              </w:rPr>
              <w:t>除尘器收尘回用至各生产线内，作为原料回用于项目生产；废粉煤灰经管道进入封闭加湿搅拌机内，每天由货车清运至周边建材厂处置；熟石灰生产线废料经冲击磨磨粉，暂存于废料仓，外售处置；废含油抹布、废棉纱手套收集后与生活垃圾一同处置。</w:t>
            </w:r>
          </w:p>
          <w:p>
            <w:pPr>
              <w:pStyle w:val="6"/>
              <w:bidi w:val="0"/>
              <w:rPr>
                <w:rFonts w:hint="eastAsia"/>
                <w:color w:val="auto"/>
                <w:highlight w:val="none"/>
                <w:lang w:val="en-US" w:eastAsia="zh-CN"/>
              </w:rPr>
            </w:pPr>
            <w:r>
              <w:rPr>
                <w:rFonts w:hint="eastAsia"/>
                <w:color w:val="auto"/>
                <w:highlight w:val="none"/>
                <w:lang w:val="en-US" w:eastAsia="zh-CN"/>
              </w:rPr>
              <w:t>（2）生活垃圾</w:t>
            </w:r>
          </w:p>
          <w:p>
            <w:pPr>
              <w:pStyle w:val="6"/>
              <w:bidi w:val="0"/>
              <w:rPr>
                <w:rFonts w:hint="eastAsia"/>
                <w:color w:val="auto"/>
                <w:highlight w:val="none"/>
                <w:lang w:val="en-US" w:eastAsia="zh-CN"/>
              </w:rPr>
            </w:pPr>
            <w:r>
              <w:rPr>
                <w:rFonts w:hint="eastAsia"/>
                <w:color w:val="auto"/>
                <w:highlight w:val="none"/>
                <w:lang w:val="en-US" w:eastAsia="zh-CN"/>
              </w:rPr>
              <w:t>生活垃圾分类收集后，交由环卫部门处置。</w:t>
            </w:r>
          </w:p>
          <w:p>
            <w:pPr>
              <w:pStyle w:val="6"/>
              <w:bidi w:val="0"/>
              <w:rPr>
                <w:rFonts w:hint="eastAsia"/>
                <w:color w:val="auto"/>
                <w:highlight w:val="none"/>
                <w:lang w:val="en-US" w:eastAsia="zh-CN"/>
              </w:rPr>
            </w:pPr>
            <w:r>
              <w:rPr>
                <w:rFonts w:hint="eastAsia"/>
                <w:color w:val="auto"/>
                <w:highlight w:val="none"/>
                <w:lang w:val="en-US" w:eastAsia="zh-CN"/>
              </w:rPr>
              <w:t>（3）危险废物</w:t>
            </w:r>
          </w:p>
          <w:p>
            <w:pPr>
              <w:pStyle w:val="6"/>
              <w:bidi w:val="0"/>
              <w:rPr>
                <w:rFonts w:hint="default"/>
                <w:color w:val="auto"/>
                <w:highlight w:val="none"/>
                <w:lang w:val="en-US" w:eastAsia="zh-CN"/>
              </w:rPr>
            </w:pPr>
            <w:r>
              <w:rPr>
                <w:rFonts w:hint="eastAsia"/>
                <w:color w:val="auto"/>
                <w:highlight w:val="none"/>
                <w:lang w:val="en-US" w:eastAsia="zh-CN"/>
              </w:rPr>
              <w:t>废润滑油、废液压油收集暂存至危险废物贮存点，</w:t>
            </w:r>
            <w:r>
              <w:rPr>
                <w:rFonts w:hint="eastAsia"/>
                <w:color w:val="auto"/>
                <w:highlight w:val="none"/>
              </w:rPr>
              <w:t>定期由</w:t>
            </w:r>
            <w:r>
              <w:rPr>
                <w:rFonts w:hint="eastAsia"/>
                <w:color w:val="auto"/>
                <w:highlight w:val="none"/>
                <w:lang w:eastAsia="zh-CN"/>
              </w:rPr>
              <w:t>库尔勒速润再生物资利用回收有限公司</w:t>
            </w:r>
            <w:r>
              <w:rPr>
                <w:rFonts w:hint="eastAsia"/>
                <w:color w:val="auto"/>
                <w:highlight w:val="none"/>
                <w:lang w:val="en-US" w:eastAsia="zh-CN"/>
              </w:rPr>
              <w:t>处置。</w:t>
            </w:r>
          </w:p>
          <w:p>
            <w:pPr>
              <w:pStyle w:val="4"/>
              <w:bidi w:val="0"/>
              <w:rPr>
                <w:rFonts w:hint="default" w:eastAsia="宋体"/>
                <w:color w:val="auto"/>
                <w:highlight w:val="none"/>
                <w:lang w:val="en-US" w:eastAsia="zh-CN"/>
              </w:rPr>
            </w:pPr>
            <w:r>
              <w:rPr>
                <w:rFonts w:hint="eastAsia"/>
                <w:color w:val="auto"/>
                <w:highlight w:val="none"/>
              </w:rPr>
              <w:t>2.3.</w:t>
            </w:r>
            <w:r>
              <w:rPr>
                <w:rFonts w:hint="eastAsia"/>
                <w:color w:val="auto"/>
                <w:highlight w:val="none"/>
                <w:lang w:val="en-US" w:eastAsia="zh-CN"/>
              </w:rPr>
              <w:t>4</w:t>
            </w:r>
            <w:r>
              <w:rPr>
                <w:rFonts w:hint="eastAsia"/>
                <w:color w:val="auto"/>
                <w:highlight w:val="none"/>
              </w:rPr>
              <w:t xml:space="preserve"> 项目有关的主要环境问题</w:t>
            </w:r>
            <w:r>
              <w:rPr>
                <w:rFonts w:hint="eastAsia"/>
                <w:color w:val="auto"/>
                <w:highlight w:val="none"/>
                <w:lang w:val="en-US" w:eastAsia="zh-CN"/>
              </w:rPr>
              <w:t>及整改措施</w:t>
            </w:r>
          </w:p>
          <w:p>
            <w:pPr>
              <w:pStyle w:val="6"/>
              <w:bidi w:val="0"/>
              <w:rPr>
                <w:rFonts w:hint="default" w:eastAsia="宋体"/>
                <w:color w:val="auto"/>
                <w:highlight w:val="none"/>
                <w:lang w:val="en-US" w:eastAsia="zh-CN"/>
              </w:rPr>
            </w:pPr>
            <w:r>
              <w:rPr>
                <w:rFonts w:hint="eastAsia"/>
                <w:color w:val="auto"/>
                <w:highlight w:val="none"/>
                <w:lang w:eastAsia="zh-CN"/>
              </w:rPr>
              <w:t>现有工程</w:t>
            </w:r>
            <w:r>
              <w:rPr>
                <w:rFonts w:hint="eastAsia"/>
                <w:color w:val="auto"/>
                <w:highlight w:val="none"/>
                <w:lang w:val="en-US" w:eastAsia="zh-CN"/>
              </w:rPr>
              <w:t>均已通过环境保护验收，并已申请排污许可证（</w:t>
            </w:r>
            <w:r>
              <w:rPr>
                <w:rFonts w:hint="eastAsia"/>
                <w:color w:val="auto"/>
                <w:highlight w:val="none"/>
                <w:vertAlign w:val="baseline"/>
                <w:lang w:val="en-US" w:eastAsia="zh-CN"/>
              </w:rPr>
              <w:t>编号91652801MA77CJFF18001W</w:t>
            </w:r>
            <w:r>
              <w:rPr>
                <w:rFonts w:hint="eastAsia"/>
                <w:color w:val="auto"/>
                <w:highlight w:val="none"/>
                <w:lang w:val="en-US" w:eastAsia="zh-CN"/>
              </w:rPr>
              <w:t>），已编制</w:t>
            </w:r>
            <w:r>
              <w:rPr>
                <w:color w:val="auto"/>
                <w:highlight w:val="none"/>
              </w:rPr>
              <w:t>《</w:t>
            </w:r>
            <w:r>
              <w:rPr>
                <w:rFonts w:hint="eastAsia"/>
                <w:color w:val="auto"/>
                <w:highlight w:val="none"/>
              </w:rPr>
              <w:t>巴州敏宇化工有限公司突发环境</w:t>
            </w:r>
            <w:r>
              <w:rPr>
                <w:color w:val="auto"/>
                <w:highlight w:val="none"/>
              </w:rPr>
              <w:t>事件应急预案》（备案编号</w:t>
            </w:r>
            <w:r>
              <w:rPr>
                <w:rFonts w:hint="eastAsia"/>
                <w:color w:val="auto"/>
                <w:highlight w:val="none"/>
              </w:rPr>
              <w:t>6</w:t>
            </w:r>
            <w:r>
              <w:rPr>
                <w:rFonts w:hint="eastAsia"/>
                <w:color w:val="auto"/>
                <w:highlight w:val="none"/>
                <w:lang w:val="en-US" w:eastAsia="zh-CN"/>
              </w:rPr>
              <w:t>5</w:t>
            </w:r>
            <w:r>
              <w:rPr>
                <w:rFonts w:hint="eastAsia"/>
                <w:color w:val="auto"/>
                <w:highlight w:val="none"/>
              </w:rPr>
              <w:t>2801</w:t>
            </w:r>
            <w:r>
              <w:rPr>
                <w:rFonts w:hint="eastAsia"/>
                <w:color w:val="auto"/>
                <w:highlight w:val="none"/>
                <w:lang w:val="en-US" w:eastAsia="zh-CN"/>
              </w:rPr>
              <w:t>-2</w:t>
            </w:r>
            <w:r>
              <w:rPr>
                <w:rFonts w:hint="eastAsia"/>
                <w:color w:val="auto"/>
                <w:highlight w:val="none"/>
              </w:rPr>
              <w:t>022-l-006</w:t>
            </w:r>
            <w:r>
              <w:rPr>
                <w:rFonts w:hint="eastAsia"/>
                <w:color w:val="auto"/>
                <w:highlight w:val="none"/>
                <w:lang w:val="en-US" w:eastAsia="zh-CN"/>
              </w:rPr>
              <w:t>-</w:t>
            </w:r>
            <w:r>
              <w:rPr>
                <w:rFonts w:hint="eastAsia"/>
                <w:color w:val="auto"/>
                <w:highlight w:val="none"/>
              </w:rPr>
              <w:t>L</w:t>
            </w:r>
            <w:r>
              <w:rPr>
                <w:color w:val="auto"/>
                <w:highlight w:val="none"/>
              </w:rPr>
              <w:t>）</w:t>
            </w:r>
            <w:r>
              <w:rPr>
                <w:rFonts w:hint="eastAsia"/>
                <w:color w:val="auto"/>
                <w:highlight w:val="none"/>
                <w:lang w:eastAsia="zh-CN"/>
              </w:rPr>
              <w:t>，</w:t>
            </w:r>
            <w:r>
              <w:rPr>
                <w:rFonts w:hint="eastAsia"/>
                <w:color w:val="auto"/>
                <w:highlight w:val="none"/>
                <w:lang w:val="en-US" w:eastAsia="zh-CN"/>
              </w:rPr>
              <w:t>环保手续完善。</w:t>
            </w:r>
          </w:p>
          <w:p>
            <w:pPr>
              <w:pStyle w:val="6"/>
              <w:bidi w:val="0"/>
              <w:rPr>
                <w:rFonts w:hint="eastAsia"/>
                <w:color w:val="auto"/>
                <w:highlight w:val="none"/>
                <w:lang w:eastAsia="zh-CN"/>
              </w:rPr>
            </w:pPr>
            <w:r>
              <w:rPr>
                <w:rFonts w:hint="eastAsia"/>
                <w:color w:val="auto"/>
                <w:highlight w:val="none"/>
                <w:lang w:val="en-US" w:eastAsia="zh-CN"/>
              </w:rPr>
              <w:t>根据</w:t>
            </w:r>
            <w:r>
              <w:rPr>
                <w:rFonts w:hint="eastAsia"/>
                <w:color w:val="auto"/>
                <w:highlight w:val="none"/>
              </w:rPr>
              <w:t>《关于印发〈企业事业单位突发环境事件应急预案备案管理办法（试行）〉的通知》（环发﹝</w:t>
            </w:r>
            <w:r>
              <w:rPr>
                <w:color w:val="auto"/>
                <w:highlight w:val="none"/>
              </w:rPr>
              <w:t>2015﹞4号），企业结合环境应急预案实施情况，至少每三年对环境应急预案进行一次回顾性评估</w:t>
            </w:r>
            <w:r>
              <w:rPr>
                <w:rFonts w:hint="eastAsia"/>
                <w:color w:val="auto"/>
                <w:highlight w:val="none"/>
                <w:lang w:eastAsia="zh-CN"/>
              </w:rPr>
              <w:t>，</w:t>
            </w:r>
            <w:r>
              <w:rPr>
                <w:rFonts w:hint="eastAsia"/>
                <w:color w:val="auto"/>
                <w:highlight w:val="none"/>
                <w:lang w:val="en-US" w:eastAsia="zh-CN"/>
              </w:rPr>
              <w:t>应对现有</w:t>
            </w:r>
            <w:r>
              <w:rPr>
                <w:color w:val="auto"/>
                <w:highlight w:val="none"/>
              </w:rPr>
              <w:t>应急预案进行</w:t>
            </w:r>
            <w:r>
              <w:rPr>
                <w:rFonts w:hint="eastAsia"/>
                <w:color w:val="auto"/>
                <w:highlight w:val="none"/>
                <w:lang w:val="en-US" w:eastAsia="zh-CN"/>
              </w:rPr>
              <w:t>回顾和</w:t>
            </w:r>
            <w:r>
              <w:rPr>
                <w:color w:val="auto"/>
                <w:highlight w:val="none"/>
              </w:rPr>
              <w:t>修订</w:t>
            </w:r>
            <w:r>
              <w:rPr>
                <w:rFonts w:hint="eastAsia"/>
                <w:color w:val="auto"/>
                <w:highlight w:val="none"/>
                <w:lang w:eastAsia="zh-CN"/>
              </w:rPr>
              <w:t>。</w:t>
            </w:r>
          </w:p>
          <w:p>
            <w:pPr>
              <w:pStyle w:val="6"/>
              <w:bidi w:val="0"/>
              <w:rPr>
                <w:rFonts w:hint="default"/>
                <w:color w:val="auto"/>
                <w:highlight w:val="none"/>
                <w:lang w:val="en-US" w:eastAsia="zh-CN"/>
              </w:rPr>
            </w:pPr>
            <w:r>
              <w:rPr>
                <w:rFonts w:hint="eastAsia"/>
                <w:color w:val="auto"/>
                <w:highlight w:val="none"/>
                <w:lang w:val="en-US" w:eastAsia="zh-CN"/>
              </w:rPr>
              <w:t>本项目实施后，应根据排污许可证申请与核发技术规范，对现有排污许可证进行重新申请，并将本项目纳入排污许可管理范围。</w:t>
            </w:r>
          </w:p>
        </w:tc>
      </w:tr>
    </w:tbl>
    <w:p>
      <w:pPr>
        <w:pStyle w:val="53"/>
        <w:rPr>
          <w:color w:val="auto"/>
          <w:highlight w:val="none"/>
        </w:rPr>
      </w:pPr>
    </w:p>
    <w:p>
      <w:pPr>
        <w:pStyle w:val="50"/>
        <w:rPr>
          <w:color w:val="auto"/>
          <w:highlight w:val="none"/>
        </w:rPr>
        <w:sectPr>
          <w:headerReference r:id="rId11" w:type="default"/>
          <w:footerReference r:id="rId12" w:type="default"/>
          <w:pgSz w:w="11907" w:h="16840"/>
          <w:pgMar w:top="1417" w:right="1417" w:bottom="1417" w:left="1417" w:header="794"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
        <w:bidi w:val="0"/>
        <w:rPr>
          <w:color w:val="auto"/>
          <w:highlight w:val="none"/>
        </w:rPr>
      </w:pPr>
      <w:bookmarkStart w:id="6" w:name="_Toc32204"/>
      <w:r>
        <w:rPr>
          <w:rFonts w:hint="eastAsia"/>
          <w:color w:val="auto"/>
          <w:highlight w:val="none"/>
        </w:rPr>
        <w:t>三、区域环境质量现状、环境保护目标及评价标准</w:t>
      </w:r>
      <w:bookmarkEnd w:id="6"/>
    </w:p>
    <w:tbl>
      <w:tblPr>
        <w:tblStyle w:val="22"/>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4" w:hRule="atLeast"/>
          <w:jc w:val="center"/>
        </w:trPr>
        <w:tc>
          <w:tcPr>
            <w:tcW w:w="525" w:type="dxa"/>
            <w:vAlign w:val="center"/>
          </w:tcPr>
          <w:p>
            <w:pPr>
              <w:pStyle w:val="28"/>
              <w:bidi w:val="0"/>
              <w:rPr>
                <w:color w:val="auto"/>
                <w:kern w:val="0"/>
                <w:highlight w:val="none"/>
              </w:rPr>
            </w:pPr>
            <w:r>
              <w:rPr>
                <w:rFonts w:hint="eastAsia"/>
                <w:color w:val="auto"/>
                <w:highlight w:val="none"/>
              </w:rPr>
              <w:t>区域环境质量现状</w:t>
            </w:r>
          </w:p>
        </w:tc>
        <w:tc>
          <w:tcPr>
            <w:tcW w:w="8547" w:type="dxa"/>
            <w:vAlign w:val="center"/>
          </w:tcPr>
          <w:p>
            <w:pPr>
              <w:pStyle w:val="3"/>
              <w:bidi w:val="0"/>
              <w:rPr>
                <w:color w:val="auto"/>
                <w:highlight w:val="none"/>
              </w:rPr>
            </w:pPr>
            <w:r>
              <w:rPr>
                <w:rFonts w:hint="eastAsia"/>
                <w:color w:val="auto"/>
                <w:highlight w:val="none"/>
              </w:rPr>
              <w:t>3.1 区域环境质量现状</w:t>
            </w:r>
          </w:p>
          <w:p>
            <w:pPr>
              <w:pStyle w:val="4"/>
              <w:bidi w:val="0"/>
              <w:rPr>
                <w:color w:val="auto"/>
                <w:highlight w:val="none"/>
              </w:rPr>
            </w:pPr>
            <w:r>
              <w:rPr>
                <w:rFonts w:hint="eastAsia"/>
                <w:color w:val="auto"/>
                <w:highlight w:val="none"/>
              </w:rPr>
              <w:t>3.</w:t>
            </w:r>
            <w:r>
              <w:rPr>
                <w:color w:val="auto"/>
                <w:highlight w:val="none"/>
              </w:rPr>
              <w:t>1</w:t>
            </w:r>
            <w:r>
              <w:rPr>
                <w:rFonts w:hint="eastAsia"/>
                <w:color w:val="auto"/>
                <w:highlight w:val="none"/>
              </w:rPr>
              <w:t xml:space="preserve">.1 </w:t>
            </w:r>
            <w:r>
              <w:rPr>
                <w:color w:val="auto"/>
                <w:highlight w:val="none"/>
              </w:rPr>
              <w:t>环境空气质量现状调查与评价</w:t>
            </w:r>
          </w:p>
          <w:p>
            <w:pPr>
              <w:pStyle w:val="5"/>
              <w:bidi w:val="0"/>
              <w:rPr>
                <w:color w:val="auto"/>
                <w:highlight w:val="none"/>
              </w:rPr>
            </w:pPr>
            <w:r>
              <w:rPr>
                <w:rFonts w:hint="eastAsia"/>
                <w:color w:val="auto"/>
                <w:highlight w:val="none"/>
              </w:rPr>
              <w:t>3.1.1.1 常规污染物</w:t>
            </w:r>
            <w:r>
              <w:rPr>
                <w:color w:val="auto"/>
                <w:highlight w:val="none"/>
              </w:rPr>
              <w:t>环境空气质量现状调查与评价</w:t>
            </w:r>
          </w:p>
          <w:p>
            <w:pPr>
              <w:pStyle w:val="6"/>
              <w:bidi w:val="0"/>
              <w:rPr>
                <w:color w:val="auto"/>
                <w:highlight w:val="none"/>
              </w:rPr>
            </w:pPr>
            <w:r>
              <w:rPr>
                <w:rFonts w:hint="eastAsia"/>
                <w:color w:val="auto"/>
                <w:highlight w:val="none"/>
              </w:rPr>
              <w:t>项目位于</w:t>
            </w:r>
            <w:r>
              <w:rPr>
                <w:rFonts w:hint="eastAsia"/>
                <w:color w:val="auto"/>
                <w:highlight w:val="none"/>
                <w:lang w:val="en-US" w:eastAsia="zh-CN"/>
              </w:rPr>
              <w:t>库尔勒市</w:t>
            </w:r>
            <w:r>
              <w:rPr>
                <w:rFonts w:hint="eastAsia"/>
                <w:color w:val="auto"/>
                <w:highlight w:val="none"/>
              </w:rPr>
              <w:t>，区域达标判定</w:t>
            </w:r>
            <w:r>
              <w:rPr>
                <w:rFonts w:hint="eastAsia"/>
                <w:color w:val="auto"/>
                <w:highlight w:val="none"/>
                <w:lang w:val="en-US" w:eastAsia="zh-CN"/>
              </w:rPr>
              <w:t>使用</w:t>
            </w:r>
            <w:r>
              <w:rPr>
                <w:rFonts w:hint="eastAsia"/>
                <w:color w:val="auto"/>
                <w:highlight w:val="none"/>
              </w:rPr>
              <w:t>生态环境部环境工程评估中心公布的全国环境空气质量达标区判定的数据，作为基本污染物环境空气质量现状数据。</w:t>
            </w:r>
          </w:p>
          <w:p>
            <w:pPr>
              <w:pStyle w:val="6"/>
              <w:bidi w:val="0"/>
              <w:rPr>
                <w:rFonts w:hint="eastAsia" w:eastAsia="宋体"/>
                <w:color w:val="auto"/>
                <w:highlight w:val="none"/>
                <w:vertAlign w:val="baseline"/>
                <w:lang w:eastAsia="zh-CN"/>
              </w:rPr>
            </w:pPr>
            <w:bookmarkStart w:id="7" w:name="_Toc311744203"/>
            <w:r>
              <w:rPr>
                <w:rFonts w:hint="eastAsia"/>
                <w:color w:val="auto"/>
                <w:highlight w:val="none"/>
              </w:rPr>
              <w:t>巴音郭楞蒙古自治州2024年SO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10</w:t>
            </w:r>
            <w:r>
              <w:rPr>
                <w:rFonts w:hint="eastAsia"/>
                <w:color w:val="auto"/>
                <w:highlight w:val="none"/>
              </w:rPr>
              <w:t>、PM</w:t>
            </w:r>
            <w:r>
              <w:rPr>
                <w:rFonts w:hint="eastAsia"/>
                <w:color w:val="auto"/>
                <w:highlight w:val="none"/>
                <w:vertAlign w:val="subscript"/>
              </w:rPr>
              <w:t>2.5</w:t>
            </w:r>
            <w:r>
              <w:rPr>
                <w:rFonts w:hint="eastAsia"/>
                <w:color w:val="auto"/>
                <w:highlight w:val="none"/>
              </w:rPr>
              <w:t>年均浓度分别为5ug/m</w:t>
            </w:r>
            <w:r>
              <w:rPr>
                <w:rFonts w:hint="eastAsia"/>
                <w:color w:val="auto"/>
                <w:highlight w:val="none"/>
                <w:vertAlign w:val="superscript"/>
              </w:rPr>
              <w:t>3</w:t>
            </w:r>
            <w:r>
              <w:rPr>
                <w:rFonts w:hint="eastAsia"/>
                <w:color w:val="auto"/>
                <w:highlight w:val="none"/>
              </w:rPr>
              <w:t>、23ug/m</w:t>
            </w:r>
            <w:r>
              <w:rPr>
                <w:rFonts w:hint="eastAsia"/>
                <w:color w:val="auto"/>
                <w:highlight w:val="none"/>
                <w:vertAlign w:val="superscript"/>
              </w:rPr>
              <w:t>3</w:t>
            </w:r>
            <w:r>
              <w:rPr>
                <w:rFonts w:hint="eastAsia"/>
                <w:color w:val="auto"/>
                <w:highlight w:val="none"/>
              </w:rPr>
              <w:t>、74ug/m</w:t>
            </w:r>
            <w:r>
              <w:rPr>
                <w:rFonts w:hint="eastAsia"/>
                <w:color w:val="auto"/>
                <w:highlight w:val="none"/>
                <w:vertAlign w:val="superscript"/>
              </w:rPr>
              <w:t>3</w:t>
            </w:r>
            <w:r>
              <w:rPr>
                <w:rFonts w:hint="eastAsia"/>
                <w:color w:val="auto"/>
                <w:highlight w:val="none"/>
              </w:rPr>
              <w:t>、26ug/m</w:t>
            </w:r>
            <w:r>
              <w:rPr>
                <w:rFonts w:hint="eastAsia"/>
                <w:color w:val="auto"/>
                <w:highlight w:val="none"/>
                <w:vertAlign w:val="superscript"/>
              </w:rPr>
              <w:t>3</w:t>
            </w:r>
            <w:r>
              <w:rPr>
                <w:rFonts w:hint="eastAsia"/>
                <w:color w:val="auto"/>
                <w:highlight w:val="none"/>
              </w:rPr>
              <w:t>；CO</w:t>
            </w:r>
            <w:r>
              <w:rPr>
                <w:rFonts w:hint="eastAsia"/>
                <w:color w:val="auto"/>
                <w:highlight w:val="none"/>
                <w:lang w:eastAsia="zh-CN"/>
              </w:rPr>
              <w:t>日平均</w:t>
            </w:r>
            <w:r>
              <w:rPr>
                <w:rFonts w:hint="eastAsia"/>
                <w:color w:val="auto"/>
                <w:highlight w:val="none"/>
              </w:rPr>
              <w:t>第95百分位数为0.9mg/m</w:t>
            </w:r>
            <w:r>
              <w:rPr>
                <w:rFonts w:hint="eastAsia"/>
                <w:color w:val="auto"/>
                <w:highlight w:val="none"/>
                <w:vertAlign w:val="superscript"/>
              </w:rPr>
              <w:t>3</w:t>
            </w:r>
            <w:r>
              <w:rPr>
                <w:rFonts w:hint="eastAsia"/>
                <w:color w:val="auto"/>
                <w:highlight w:val="none"/>
              </w:rPr>
              <w:t>，O</w:t>
            </w:r>
            <w:r>
              <w:rPr>
                <w:rFonts w:hint="eastAsia"/>
                <w:color w:val="auto"/>
                <w:highlight w:val="none"/>
                <w:vertAlign w:val="subscript"/>
              </w:rPr>
              <w:t>3</w:t>
            </w:r>
            <w:r>
              <w:rPr>
                <w:rFonts w:hint="eastAsia"/>
                <w:color w:val="auto"/>
                <w:highlight w:val="none"/>
              </w:rPr>
              <w:t>日最大8小时平均第90百分位数为121ug/m</w:t>
            </w:r>
            <w:r>
              <w:rPr>
                <w:rFonts w:hint="eastAsia"/>
                <w:color w:val="auto"/>
                <w:highlight w:val="none"/>
                <w:vertAlign w:val="superscript"/>
              </w:rPr>
              <w:t>3</w:t>
            </w:r>
            <w:r>
              <w:rPr>
                <w:rFonts w:hint="eastAsia"/>
                <w:color w:val="auto"/>
                <w:highlight w:val="none"/>
              </w:rPr>
              <w:t>；超过《环境空气质量标准》（GB3095-20</w:t>
            </w:r>
            <w:r>
              <w:rPr>
                <w:rFonts w:hint="eastAsia"/>
                <w:color w:val="auto"/>
                <w:highlight w:val="none"/>
                <w:lang w:val="en-US" w:eastAsia="zh-CN"/>
              </w:rPr>
              <w:t>26</w:t>
            </w:r>
            <w:r>
              <w:rPr>
                <w:rFonts w:hint="eastAsia"/>
                <w:color w:val="auto"/>
                <w:highlight w:val="none"/>
              </w:rPr>
              <w:t>）中</w:t>
            </w:r>
            <w:r>
              <w:rPr>
                <w:rFonts w:hint="eastAsia"/>
                <w:color w:val="auto"/>
                <w:highlight w:val="none"/>
                <w:lang w:val="en-US" w:eastAsia="zh-CN"/>
              </w:rPr>
              <w:t>过渡阶段浓度限值</w:t>
            </w:r>
            <w:r>
              <w:rPr>
                <w:rFonts w:hint="eastAsia"/>
                <w:color w:val="auto"/>
                <w:highlight w:val="none"/>
              </w:rPr>
              <w:t>二级标准的污染物为PM</w:t>
            </w:r>
            <w:r>
              <w:rPr>
                <w:rFonts w:hint="eastAsia"/>
                <w:color w:val="auto"/>
                <w:highlight w:val="none"/>
                <w:vertAlign w:val="subscript"/>
              </w:rPr>
              <w:t>10</w:t>
            </w:r>
            <w:r>
              <w:rPr>
                <w:rFonts w:hint="eastAsia"/>
                <w:color w:val="auto"/>
                <w:highlight w:val="none"/>
                <w:lang w:eastAsia="zh-CN"/>
              </w:rPr>
              <w:t>。</w:t>
            </w:r>
          </w:p>
          <w:p>
            <w:pPr>
              <w:pStyle w:val="36"/>
              <w:bidi w:val="0"/>
              <w:rPr>
                <w:color w:val="auto"/>
                <w:highlight w:val="none"/>
              </w:rPr>
            </w:pPr>
            <w:r>
              <w:rPr>
                <w:rFonts w:hint="eastAsia"/>
                <w:color w:val="auto"/>
                <w:highlight w:val="none"/>
              </w:rPr>
              <w:t>表3.1-1     区域环境空气质量现状评价一览表</w:t>
            </w:r>
          </w:p>
          <w:tbl>
            <w:tblPr>
              <w:tblStyle w:val="2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2690"/>
              <w:gridCol w:w="1072"/>
              <w:gridCol w:w="1175"/>
              <w:gridCol w:w="975"/>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58" w:type="dxa"/>
                  <w:vAlign w:val="center"/>
                </w:tcPr>
                <w:p>
                  <w:pPr>
                    <w:pStyle w:val="57"/>
                    <w:bidi w:val="0"/>
                    <w:rPr>
                      <w:color w:val="auto"/>
                      <w:highlight w:val="none"/>
                    </w:rPr>
                  </w:pPr>
                  <w:r>
                    <w:rPr>
                      <w:rFonts w:hint="eastAsia"/>
                      <w:color w:val="auto"/>
                      <w:highlight w:val="none"/>
                    </w:rPr>
                    <w:t>污染物</w:t>
                  </w:r>
                </w:p>
              </w:tc>
              <w:tc>
                <w:tcPr>
                  <w:tcW w:w="2690" w:type="dxa"/>
                  <w:vAlign w:val="center"/>
                </w:tcPr>
                <w:p>
                  <w:pPr>
                    <w:pStyle w:val="57"/>
                    <w:bidi w:val="0"/>
                    <w:rPr>
                      <w:color w:val="auto"/>
                      <w:highlight w:val="none"/>
                    </w:rPr>
                  </w:pPr>
                  <w:r>
                    <w:rPr>
                      <w:rFonts w:hint="eastAsia"/>
                      <w:color w:val="auto"/>
                      <w:highlight w:val="none"/>
                    </w:rPr>
                    <w:t>评价项目</w:t>
                  </w:r>
                </w:p>
              </w:tc>
              <w:tc>
                <w:tcPr>
                  <w:tcW w:w="1072" w:type="dxa"/>
                  <w:vAlign w:val="center"/>
                </w:tcPr>
                <w:p>
                  <w:pPr>
                    <w:pStyle w:val="57"/>
                    <w:bidi w:val="0"/>
                    <w:rPr>
                      <w:color w:val="auto"/>
                      <w:highlight w:val="none"/>
                    </w:rPr>
                  </w:pPr>
                  <w:r>
                    <w:rPr>
                      <w:rFonts w:hint="eastAsia"/>
                      <w:color w:val="auto"/>
                      <w:highlight w:val="none"/>
                    </w:rPr>
                    <w:t>浓度（</w:t>
                  </w:r>
                  <w:r>
                    <w:rPr>
                      <w:color w:val="auto"/>
                      <w:highlight w:val="none"/>
                    </w:rPr>
                    <w:t>μ</w:t>
                  </w:r>
                  <w:r>
                    <w:rPr>
                      <w:rFonts w:hint="eastAsia"/>
                      <w:color w:val="auto"/>
                      <w:highlight w:val="none"/>
                    </w:rPr>
                    <w:t>g</w:t>
                  </w:r>
                  <w:r>
                    <w:rPr>
                      <w:color w:val="auto"/>
                      <w:highlight w:val="none"/>
                    </w:rPr>
                    <w:t>/m</w:t>
                  </w:r>
                  <w:r>
                    <w:rPr>
                      <w:color w:val="auto"/>
                      <w:highlight w:val="none"/>
                      <w:vertAlign w:val="superscript"/>
                    </w:rPr>
                    <w:t>3</w:t>
                  </w:r>
                  <w:r>
                    <w:rPr>
                      <w:rFonts w:hint="eastAsia"/>
                      <w:color w:val="auto"/>
                      <w:highlight w:val="none"/>
                    </w:rPr>
                    <w:t>）</w:t>
                  </w:r>
                </w:p>
              </w:tc>
              <w:tc>
                <w:tcPr>
                  <w:tcW w:w="1175" w:type="dxa"/>
                  <w:vAlign w:val="center"/>
                </w:tcPr>
                <w:p>
                  <w:pPr>
                    <w:pStyle w:val="57"/>
                    <w:bidi w:val="0"/>
                    <w:rPr>
                      <w:color w:val="auto"/>
                      <w:highlight w:val="none"/>
                    </w:rPr>
                  </w:pPr>
                  <w:r>
                    <w:rPr>
                      <w:rFonts w:hint="eastAsia"/>
                      <w:color w:val="auto"/>
                      <w:highlight w:val="none"/>
                    </w:rPr>
                    <w:t>标准（</w:t>
                  </w:r>
                  <w:r>
                    <w:rPr>
                      <w:color w:val="auto"/>
                      <w:highlight w:val="none"/>
                    </w:rPr>
                    <w:t>μ</w:t>
                  </w:r>
                  <w:r>
                    <w:rPr>
                      <w:rFonts w:hint="eastAsia"/>
                      <w:color w:val="auto"/>
                      <w:highlight w:val="none"/>
                    </w:rPr>
                    <w:t>g</w:t>
                  </w:r>
                  <w:r>
                    <w:rPr>
                      <w:color w:val="auto"/>
                      <w:highlight w:val="none"/>
                    </w:rPr>
                    <w:t>/m</w:t>
                  </w:r>
                  <w:r>
                    <w:rPr>
                      <w:color w:val="auto"/>
                      <w:highlight w:val="none"/>
                      <w:vertAlign w:val="superscript"/>
                    </w:rPr>
                    <w:t>3</w:t>
                  </w:r>
                  <w:r>
                    <w:rPr>
                      <w:rFonts w:hint="eastAsia"/>
                      <w:color w:val="auto"/>
                      <w:highlight w:val="none"/>
                    </w:rPr>
                    <w:t>）</w:t>
                  </w:r>
                </w:p>
              </w:tc>
              <w:tc>
                <w:tcPr>
                  <w:tcW w:w="975" w:type="dxa"/>
                  <w:vAlign w:val="center"/>
                </w:tcPr>
                <w:p>
                  <w:pPr>
                    <w:pStyle w:val="57"/>
                    <w:bidi w:val="0"/>
                    <w:rPr>
                      <w:color w:val="auto"/>
                      <w:highlight w:val="none"/>
                    </w:rPr>
                  </w:pPr>
                  <w:r>
                    <w:rPr>
                      <w:rFonts w:hint="eastAsia"/>
                      <w:color w:val="auto"/>
                      <w:highlight w:val="none"/>
                    </w:rPr>
                    <w:t>占标率%</w:t>
                  </w:r>
                </w:p>
              </w:tc>
              <w:tc>
                <w:tcPr>
                  <w:tcW w:w="667" w:type="dxa"/>
                  <w:vAlign w:val="center"/>
                </w:tcPr>
                <w:p>
                  <w:pPr>
                    <w:pStyle w:val="57"/>
                    <w:bidi w:val="0"/>
                    <w:rPr>
                      <w:rFonts w:hint="eastAsia"/>
                      <w:color w:val="auto"/>
                      <w:highlight w:val="none"/>
                    </w:rPr>
                  </w:pPr>
                  <w:r>
                    <w:rPr>
                      <w:rFonts w:hint="eastAsia"/>
                      <w:color w:val="auto"/>
                      <w:highlight w:val="none"/>
                    </w:rPr>
                    <w:t>达标</w:t>
                  </w:r>
                </w:p>
                <w:p>
                  <w:pPr>
                    <w:pStyle w:val="57"/>
                    <w:bidi w:val="0"/>
                    <w:rPr>
                      <w:color w:val="auto"/>
                      <w:highlight w:val="none"/>
                    </w:rPr>
                  </w:pPr>
                  <w:r>
                    <w:rPr>
                      <w:rFonts w:hint="eastAsia"/>
                      <w:color w:val="auto"/>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8" w:type="dxa"/>
                  <w:vAlign w:val="center"/>
                </w:tcPr>
                <w:p>
                  <w:pPr>
                    <w:pStyle w:val="57"/>
                    <w:bidi w:val="0"/>
                    <w:rPr>
                      <w:color w:val="auto"/>
                      <w:highlight w:val="none"/>
                    </w:rPr>
                  </w:pPr>
                  <w:r>
                    <w:rPr>
                      <w:rFonts w:hint="eastAsia"/>
                      <w:color w:val="auto"/>
                      <w:highlight w:val="none"/>
                    </w:rPr>
                    <w:t>SO</w:t>
                  </w:r>
                  <w:r>
                    <w:rPr>
                      <w:rFonts w:hint="eastAsia"/>
                      <w:color w:val="auto"/>
                      <w:highlight w:val="none"/>
                      <w:vertAlign w:val="subscript"/>
                    </w:rPr>
                    <w:t>2</w:t>
                  </w:r>
                </w:p>
              </w:tc>
              <w:tc>
                <w:tcPr>
                  <w:tcW w:w="2690" w:type="dxa"/>
                  <w:vAlign w:val="center"/>
                </w:tcPr>
                <w:p>
                  <w:pPr>
                    <w:pStyle w:val="57"/>
                    <w:bidi w:val="0"/>
                    <w:rPr>
                      <w:color w:val="auto"/>
                      <w:highlight w:val="none"/>
                    </w:rPr>
                  </w:pPr>
                  <w:r>
                    <w:rPr>
                      <w:rFonts w:hint="eastAsia"/>
                      <w:color w:val="auto"/>
                      <w:highlight w:val="none"/>
                    </w:rPr>
                    <w:t>年平均</w:t>
                  </w:r>
                </w:p>
              </w:tc>
              <w:tc>
                <w:tcPr>
                  <w:tcW w:w="1072" w:type="dxa"/>
                  <w:vAlign w:val="center"/>
                </w:tcPr>
                <w:p>
                  <w:pPr>
                    <w:pStyle w:val="57"/>
                    <w:bidi w:val="0"/>
                    <w:rPr>
                      <w:color w:val="auto"/>
                      <w:highlight w:val="none"/>
                    </w:rPr>
                  </w:pPr>
                  <w:r>
                    <w:rPr>
                      <w:rFonts w:hint="eastAsia"/>
                      <w:color w:val="auto"/>
                      <w:highlight w:val="none"/>
                    </w:rPr>
                    <w:t>5</w:t>
                  </w:r>
                </w:p>
              </w:tc>
              <w:tc>
                <w:tcPr>
                  <w:tcW w:w="1175" w:type="dxa"/>
                  <w:vAlign w:val="center"/>
                </w:tcPr>
                <w:p>
                  <w:pPr>
                    <w:pStyle w:val="57"/>
                    <w:bidi w:val="0"/>
                    <w:rPr>
                      <w:color w:val="auto"/>
                      <w:highlight w:val="none"/>
                    </w:rPr>
                  </w:pPr>
                  <w:r>
                    <w:rPr>
                      <w:rFonts w:hint="eastAsia"/>
                      <w:color w:val="auto"/>
                      <w:highlight w:val="none"/>
                    </w:rPr>
                    <w:t>60</w:t>
                  </w:r>
                </w:p>
              </w:tc>
              <w:tc>
                <w:tcPr>
                  <w:tcW w:w="975" w:type="dxa"/>
                  <w:vAlign w:val="center"/>
                </w:tcPr>
                <w:p>
                  <w:pPr>
                    <w:pStyle w:val="57"/>
                    <w:bidi w:val="0"/>
                    <w:rPr>
                      <w:rFonts w:hint="default"/>
                      <w:color w:val="auto"/>
                      <w:highlight w:val="none"/>
                      <w:lang w:val="en-US" w:eastAsia="zh-CN"/>
                    </w:rPr>
                  </w:pPr>
                  <w:r>
                    <w:rPr>
                      <w:rFonts w:hint="eastAsia"/>
                      <w:color w:val="auto"/>
                      <w:highlight w:val="none"/>
                      <w:lang w:val="en-US" w:eastAsia="zh-CN"/>
                    </w:rPr>
                    <w:t>8.3</w:t>
                  </w:r>
                </w:p>
              </w:tc>
              <w:tc>
                <w:tcPr>
                  <w:tcW w:w="667" w:type="dxa"/>
                  <w:vAlign w:val="center"/>
                </w:tcPr>
                <w:p>
                  <w:pPr>
                    <w:pStyle w:val="57"/>
                    <w:bidi w:val="0"/>
                    <w:rPr>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58" w:type="dxa"/>
                  <w:vAlign w:val="center"/>
                </w:tcPr>
                <w:p>
                  <w:pPr>
                    <w:pStyle w:val="57"/>
                    <w:bidi w:val="0"/>
                    <w:rPr>
                      <w:color w:val="auto"/>
                      <w:highlight w:val="none"/>
                    </w:rPr>
                  </w:pPr>
                  <w:r>
                    <w:rPr>
                      <w:rFonts w:hint="eastAsia"/>
                      <w:color w:val="auto"/>
                      <w:highlight w:val="none"/>
                    </w:rPr>
                    <w:t>NO</w:t>
                  </w:r>
                  <w:r>
                    <w:rPr>
                      <w:rFonts w:hint="eastAsia"/>
                      <w:color w:val="auto"/>
                      <w:highlight w:val="none"/>
                      <w:vertAlign w:val="subscript"/>
                    </w:rPr>
                    <w:t>2</w:t>
                  </w:r>
                </w:p>
              </w:tc>
              <w:tc>
                <w:tcPr>
                  <w:tcW w:w="2690" w:type="dxa"/>
                  <w:vAlign w:val="center"/>
                </w:tcPr>
                <w:p>
                  <w:pPr>
                    <w:pStyle w:val="57"/>
                    <w:bidi w:val="0"/>
                    <w:rPr>
                      <w:color w:val="auto"/>
                      <w:highlight w:val="none"/>
                    </w:rPr>
                  </w:pPr>
                  <w:r>
                    <w:rPr>
                      <w:rFonts w:hint="eastAsia"/>
                      <w:color w:val="auto"/>
                      <w:highlight w:val="none"/>
                    </w:rPr>
                    <w:t>年平均</w:t>
                  </w:r>
                </w:p>
              </w:tc>
              <w:tc>
                <w:tcPr>
                  <w:tcW w:w="1072" w:type="dxa"/>
                  <w:vAlign w:val="center"/>
                </w:tcPr>
                <w:p>
                  <w:pPr>
                    <w:pStyle w:val="57"/>
                    <w:bidi w:val="0"/>
                    <w:rPr>
                      <w:rFonts w:hint="default"/>
                      <w:color w:val="auto"/>
                      <w:highlight w:val="none"/>
                      <w:lang w:val="en-US" w:eastAsia="zh-CN"/>
                    </w:rPr>
                  </w:pPr>
                  <w:r>
                    <w:rPr>
                      <w:rFonts w:hint="eastAsia"/>
                      <w:color w:val="auto"/>
                      <w:highlight w:val="none"/>
                      <w:lang w:val="en-US" w:eastAsia="zh-CN"/>
                    </w:rPr>
                    <w:t>23</w:t>
                  </w:r>
                </w:p>
              </w:tc>
              <w:tc>
                <w:tcPr>
                  <w:tcW w:w="1175" w:type="dxa"/>
                  <w:vAlign w:val="center"/>
                </w:tcPr>
                <w:p>
                  <w:pPr>
                    <w:pStyle w:val="57"/>
                    <w:bidi w:val="0"/>
                    <w:rPr>
                      <w:color w:val="auto"/>
                      <w:highlight w:val="none"/>
                    </w:rPr>
                  </w:pPr>
                  <w:r>
                    <w:rPr>
                      <w:rFonts w:hint="eastAsia"/>
                      <w:color w:val="auto"/>
                      <w:highlight w:val="none"/>
                    </w:rPr>
                    <w:t>40</w:t>
                  </w:r>
                </w:p>
              </w:tc>
              <w:tc>
                <w:tcPr>
                  <w:tcW w:w="975" w:type="dxa"/>
                  <w:vAlign w:val="center"/>
                </w:tcPr>
                <w:p>
                  <w:pPr>
                    <w:pStyle w:val="57"/>
                    <w:bidi w:val="0"/>
                    <w:rPr>
                      <w:rFonts w:hint="default"/>
                      <w:color w:val="auto"/>
                      <w:highlight w:val="none"/>
                      <w:lang w:val="en-US" w:eastAsia="zh-CN"/>
                    </w:rPr>
                  </w:pPr>
                  <w:r>
                    <w:rPr>
                      <w:rFonts w:hint="eastAsia"/>
                      <w:color w:val="auto"/>
                      <w:highlight w:val="none"/>
                      <w:lang w:val="en-US" w:eastAsia="zh-CN"/>
                    </w:rPr>
                    <w:t>57.5</w:t>
                  </w:r>
                </w:p>
              </w:tc>
              <w:tc>
                <w:tcPr>
                  <w:tcW w:w="667" w:type="dxa"/>
                  <w:vAlign w:val="center"/>
                </w:tcPr>
                <w:p>
                  <w:pPr>
                    <w:pStyle w:val="57"/>
                    <w:bidi w:val="0"/>
                    <w:rPr>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58" w:type="dxa"/>
                  <w:vAlign w:val="center"/>
                </w:tcPr>
                <w:p>
                  <w:pPr>
                    <w:pStyle w:val="57"/>
                    <w:bidi w:val="0"/>
                    <w:rPr>
                      <w:color w:val="auto"/>
                      <w:highlight w:val="none"/>
                    </w:rPr>
                  </w:pPr>
                  <w:r>
                    <w:rPr>
                      <w:rFonts w:hint="eastAsia"/>
                      <w:color w:val="auto"/>
                      <w:highlight w:val="none"/>
                    </w:rPr>
                    <w:t>CO（mg/m</w:t>
                  </w:r>
                  <w:r>
                    <w:rPr>
                      <w:rFonts w:hint="eastAsia"/>
                      <w:color w:val="auto"/>
                      <w:highlight w:val="none"/>
                      <w:vertAlign w:val="superscript"/>
                    </w:rPr>
                    <w:t>3</w:t>
                  </w:r>
                  <w:r>
                    <w:rPr>
                      <w:rFonts w:hint="eastAsia"/>
                      <w:color w:val="auto"/>
                      <w:highlight w:val="none"/>
                    </w:rPr>
                    <w:t>）</w:t>
                  </w:r>
                </w:p>
              </w:tc>
              <w:tc>
                <w:tcPr>
                  <w:tcW w:w="2690" w:type="dxa"/>
                  <w:vAlign w:val="center"/>
                </w:tcPr>
                <w:p>
                  <w:pPr>
                    <w:pStyle w:val="57"/>
                    <w:bidi w:val="0"/>
                    <w:rPr>
                      <w:color w:val="auto"/>
                      <w:highlight w:val="none"/>
                    </w:rPr>
                  </w:pPr>
                  <w:r>
                    <w:rPr>
                      <w:rFonts w:hint="eastAsia"/>
                      <w:color w:val="auto"/>
                      <w:highlight w:val="none"/>
                      <w:lang w:eastAsia="zh-CN"/>
                    </w:rPr>
                    <w:t>日平均</w:t>
                  </w:r>
                  <w:r>
                    <w:rPr>
                      <w:rFonts w:hint="eastAsia"/>
                      <w:color w:val="auto"/>
                      <w:highlight w:val="none"/>
                    </w:rPr>
                    <w:t>第95百分位数</w:t>
                  </w:r>
                </w:p>
              </w:tc>
              <w:tc>
                <w:tcPr>
                  <w:tcW w:w="1072" w:type="dxa"/>
                  <w:vAlign w:val="center"/>
                </w:tcPr>
                <w:p>
                  <w:pPr>
                    <w:pStyle w:val="57"/>
                    <w:bidi w:val="0"/>
                    <w:rPr>
                      <w:rFonts w:hint="default"/>
                      <w:color w:val="auto"/>
                      <w:highlight w:val="none"/>
                      <w:lang w:val="en-US" w:eastAsia="zh-CN"/>
                    </w:rPr>
                  </w:pPr>
                  <w:r>
                    <w:rPr>
                      <w:rFonts w:hint="eastAsia"/>
                      <w:color w:val="auto"/>
                      <w:highlight w:val="none"/>
                      <w:lang w:val="en-US" w:eastAsia="zh-CN"/>
                    </w:rPr>
                    <w:t>0.9</w:t>
                  </w:r>
                </w:p>
              </w:tc>
              <w:tc>
                <w:tcPr>
                  <w:tcW w:w="1175" w:type="dxa"/>
                  <w:vAlign w:val="center"/>
                </w:tcPr>
                <w:p>
                  <w:pPr>
                    <w:pStyle w:val="57"/>
                    <w:bidi w:val="0"/>
                    <w:rPr>
                      <w:color w:val="auto"/>
                      <w:highlight w:val="none"/>
                    </w:rPr>
                  </w:pPr>
                  <w:r>
                    <w:rPr>
                      <w:rFonts w:hint="eastAsia"/>
                      <w:color w:val="auto"/>
                      <w:highlight w:val="none"/>
                    </w:rPr>
                    <w:t>4</w:t>
                  </w:r>
                </w:p>
              </w:tc>
              <w:tc>
                <w:tcPr>
                  <w:tcW w:w="975" w:type="dxa"/>
                  <w:vAlign w:val="center"/>
                </w:tcPr>
                <w:p>
                  <w:pPr>
                    <w:pStyle w:val="57"/>
                    <w:bidi w:val="0"/>
                    <w:rPr>
                      <w:rFonts w:hint="default"/>
                      <w:color w:val="auto"/>
                      <w:highlight w:val="none"/>
                      <w:lang w:val="en-US" w:eastAsia="zh-CN"/>
                    </w:rPr>
                  </w:pPr>
                  <w:r>
                    <w:rPr>
                      <w:rFonts w:hint="eastAsia"/>
                      <w:color w:val="auto"/>
                      <w:highlight w:val="none"/>
                      <w:lang w:val="en-US" w:eastAsia="zh-CN"/>
                    </w:rPr>
                    <w:t>22.5</w:t>
                  </w:r>
                </w:p>
              </w:tc>
              <w:tc>
                <w:tcPr>
                  <w:tcW w:w="667" w:type="dxa"/>
                  <w:vAlign w:val="center"/>
                </w:tcPr>
                <w:p>
                  <w:pPr>
                    <w:pStyle w:val="57"/>
                    <w:bidi w:val="0"/>
                    <w:rPr>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58" w:type="dxa"/>
                  <w:vAlign w:val="center"/>
                </w:tcPr>
                <w:p>
                  <w:pPr>
                    <w:pStyle w:val="57"/>
                    <w:bidi w:val="0"/>
                    <w:rPr>
                      <w:color w:val="auto"/>
                      <w:highlight w:val="none"/>
                    </w:rPr>
                  </w:pPr>
                  <w:r>
                    <w:rPr>
                      <w:rFonts w:hint="eastAsia"/>
                      <w:color w:val="auto"/>
                      <w:highlight w:val="none"/>
                    </w:rPr>
                    <w:t>O</w:t>
                  </w:r>
                  <w:r>
                    <w:rPr>
                      <w:rFonts w:hint="eastAsia"/>
                      <w:color w:val="auto"/>
                      <w:highlight w:val="none"/>
                      <w:vertAlign w:val="subscript"/>
                    </w:rPr>
                    <w:t>3</w:t>
                  </w:r>
                </w:p>
              </w:tc>
              <w:tc>
                <w:tcPr>
                  <w:tcW w:w="2690" w:type="dxa"/>
                  <w:vAlign w:val="center"/>
                </w:tcPr>
                <w:p>
                  <w:pPr>
                    <w:pStyle w:val="57"/>
                    <w:bidi w:val="0"/>
                    <w:rPr>
                      <w:color w:val="auto"/>
                      <w:highlight w:val="none"/>
                    </w:rPr>
                  </w:pPr>
                  <w:r>
                    <w:rPr>
                      <w:rFonts w:hint="eastAsia"/>
                      <w:color w:val="auto"/>
                      <w:highlight w:val="none"/>
                    </w:rPr>
                    <w:t>日最大8小时平均第</w:t>
                  </w:r>
                  <w:r>
                    <w:rPr>
                      <w:color w:val="auto"/>
                      <w:highlight w:val="none"/>
                    </w:rPr>
                    <w:t>90</w:t>
                  </w:r>
                  <w:r>
                    <w:rPr>
                      <w:rFonts w:hint="eastAsia"/>
                      <w:color w:val="auto"/>
                      <w:highlight w:val="none"/>
                    </w:rPr>
                    <w:t>百分位数</w:t>
                  </w:r>
                </w:p>
              </w:tc>
              <w:tc>
                <w:tcPr>
                  <w:tcW w:w="1072" w:type="dxa"/>
                  <w:vAlign w:val="center"/>
                </w:tcPr>
                <w:p>
                  <w:pPr>
                    <w:pStyle w:val="57"/>
                    <w:bidi w:val="0"/>
                    <w:rPr>
                      <w:rFonts w:hint="default"/>
                      <w:color w:val="auto"/>
                      <w:highlight w:val="none"/>
                      <w:lang w:val="en-US" w:eastAsia="zh-CN"/>
                    </w:rPr>
                  </w:pPr>
                  <w:r>
                    <w:rPr>
                      <w:rFonts w:hint="eastAsia"/>
                      <w:color w:val="auto"/>
                      <w:highlight w:val="none"/>
                      <w:lang w:val="en-US" w:eastAsia="zh-CN"/>
                    </w:rPr>
                    <w:t>121</w:t>
                  </w:r>
                </w:p>
              </w:tc>
              <w:tc>
                <w:tcPr>
                  <w:tcW w:w="1175" w:type="dxa"/>
                  <w:vAlign w:val="center"/>
                </w:tcPr>
                <w:p>
                  <w:pPr>
                    <w:pStyle w:val="57"/>
                    <w:bidi w:val="0"/>
                    <w:rPr>
                      <w:color w:val="auto"/>
                      <w:highlight w:val="none"/>
                    </w:rPr>
                  </w:pPr>
                  <w:r>
                    <w:rPr>
                      <w:rFonts w:hint="eastAsia"/>
                      <w:color w:val="auto"/>
                      <w:highlight w:val="none"/>
                    </w:rPr>
                    <w:t>160</w:t>
                  </w:r>
                </w:p>
              </w:tc>
              <w:tc>
                <w:tcPr>
                  <w:tcW w:w="975" w:type="dxa"/>
                  <w:vAlign w:val="center"/>
                </w:tcPr>
                <w:p>
                  <w:pPr>
                    <w:pStyle w:val="57"/>
                    <w:bidi w:val="0"/>
                    <w:rPr>
                      <w:rFonts w:hint="default"/>
                      <w:color w:val="auto"/>
                      <w:highlight w:val="none"/>
                      <w:lang w:val="en-US" w:eastAsia="zh-CN"/>
                    </w:rPr>
                  </w:pPr>
                  <w:r>
                    <w:rPr>
                      <w:rFonts w:hint="eastAsia"/>
                      <w:color w:val="auto"/>
                      <w:highlight w:val="none"/>
                      <w:lang w:val="en-US" w:eastAsia="zh-CN"/>
                    </w:rPr>
                    <w:t>75.6</w:t>
                  </w:r>
                </w:p>
              </w:tc>
              <w:tc>
                <w:tcPr>
                  <w:tcW w:w="667" w:type="dxa"/>
                  <w:vAlign w:val="center"/>
                </w:tcPr>
                <w:p>
                  <w:pPr>
                    <w:pStyle w:val="57"/>
                    <w:bidi w:val="0"/>
                    <w:rPr>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58" w:type="dxa"/>
                  <w:vAlign w:val="center"/>
                </w:tcPr>
                <w:p>
                  <w:pPr>
                    <w:pStyle w:val="57"/>
                    <w:bidi w:val="0"/>
                    <w:rPr>
                      <w:color w:val="auto"/>
                      <w:highlight w:val="none"/>
                    </w:rPr>
                  </w:pPr>
                  <w:r>
                    <w:rPr>
                      <w:rFonts w:hint="eastAsia"/>
                      <w:color w:val="auto"/>
                      <w:highlight w:val="none"/>
                    </w:rPr>
                    <w:t>PM</w:t>
                  </w:r>
                  <w:r>
                    <w:rPr>
                      <w:rFonts w:hint="eastAsia"/>
                      <w:color w:val="auto"/>
                      <w:highlight w:val="none"/>
                      <w:vertAlign w:val="subscript"/>
                    </w:rPr>
                    <w:t>10</w:t>
                  </w:r>
                </w:p>
              </w:tc>
              <w:tc>
                <w:tcPr>
                  <w:tcW w:w="2690" w:type="dxa"/>
                  <w:vAlign w:val="center"/>
                </w:tcPr>
                <w:p>
                  <w:pPr>
                    <w:pStyle w:val="57"/>
                    <w:bidi w:val="0"/>
                    <w:rPr>
                      <w:color w:val="auto"/>
                      <w:highlight w:val="none"/>
                    </w:rPr>
                  </w:pPr>
                  <w:r>
                    <w:rPr>
                      <w:rFonts w:hint="eastAsia"/>
                      <w:color w:val="auto"/>
                      <w:highlight w:val="none"/>
                    </w:rPr>
                    <w:t>年平均</w:t>
                  </w:r>
                </w:p>
              </w:tc>
              <w:tc>
                <w:tcPr>
                  <w:tcW w:w="1072" w:type="dxa"/>
                  <w:vAlign w:val="center"/>
                </w:tcPr>
                <w:p>
                  <w:pPr>
                    <w:pStyle w:val="57"/>
                    <w:bidi w:val="0"/>
                    <w:rPr>
                      <w:rFonts w:hint="default"/>
                      <w:color w:val="auto"/>
                      <w:highlight w:val="none"/>
                      <w:lang w:val="en-US" w:eastAsia="zh-CN"/>
                    </w:rPr>
                  </w:pPr>
                  <w:r>
                    <w:rPr>
                      <w:rFonts w:hint="eastAsia"/>
                      <w:color w:val="auto"/>
                      <w:highlight w:val="none"/>
                      <w:lang w:val="en-US" w:eastAsia="zh-CN"/>
                    </w:rPr>
                    <w:t>74</w:t>
                  </w:r>
                </w:p>
              </w:tc>
              <w:tc>
                <w:tcPr>
                  <w:tcW w:w="1175"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60</w:t>
                  </w:r>
                </w:p>
              </w:tc>
              <w:tc>
                <w:tcPr>
                  <w:tcW w:w="975" w:type="dxa"/>
                  <w:vAlign w:val="center"/>
                </w:tcPr>
                <w:p>
                  <w:pPr>
                    <w:pStyle w:val="57"/>
                    <w:bidi w:val="0"/>
                    <w:rPr>
                      <w:rFonts w:hint="default"/>
                      <w:color w:val="auto"/>
                      <w:highlight w:val="none"/>
                      <w:lang w:val="en-US" w:eastAsia="zh-CN"/>
                    </w:rPr>
                  </w:pPr>
                  <w:r>
                    <w:rPr>
                      <w:rFonts w:hint="eastAsia"/>
                      <w:color w:val="auto"/>
                      <w:highlight w:val="none"/>
                      <w:lang w:val="en-US" w:eastAsia="zh-CN"/>
                    </w:rPr>
                    <w:t>123.3</w:t>
                  </w:r>
                </w:p>
              </w:tc>
              <w:tc>
                <w:tcPr>
                  <w:tcW w:w="667" w:type="dxa"/>
                  <w:vAlign w:val="center"/>
                </w:tcPr>
                <w:p>
                  <w:pPr>
                    <w:pStyle w:val="57"/>
                    <w:bidi w:val="0"/>
                    <w:rPr>
                      <w:color w:val="auto"/>
                      <w:highlight w:val="none"/>
                    </w:rPr>
                  </w:pPr>
                  <w:r>
                    <w:rPr>
                      <w:rFonts w:hint="eastAsia"/>
                      <w:color w:val="auto"/>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58" w:type="dxa"/>
                  <w:vAlign w:val="center"/>
                </w:tcPr>
                <w:p>
                  <w:pPr>
                    <w:pStyle w:val="57"/>
                    <w:bidi w:val="0"/>
                    <w:rPr>
                      <w:color w:val="auto"/>
                      <w:highlight w:val="none"/>
                    </w:rPr>
                  </w:pPr>
                  <w:r>
                    <w:rPr>
                      <w:rFonts w:hint="eastAsia"/>
                      <w:color w:val="auto"/>
                      <w:highlight w:val="none"/>
                    </w:rPr>
                    <w:t>PM</w:t>
                  </w:r>
                  <w:r>
                    <w:rPr>
                      <w:rFonts w:hint="eastAsia"/>
                      <w:color w:val="auto"/>
                      <w:highlight w:val="none"/>
                      <w:vertAlign w:val="subscript"/>
                    </w:rPr>
                    <w:t>2.5</w:t>
                  </w:r>
                </w:p>
              </w:tc>
              <w:tc>
                <w:tcPr>
                  <w:tcW w:w="2690" w:type="dxa"/>
                  <w:vAlign w:val="center"/>
                </w:tcPr>
                <w:p>
                  <w:pPr>
                    <w:pStyle w:val="57"/>
                    <w:bidi w:val="0"/>
                    <w:rPr>
                      <w:color w:val="auto"/>
                      <w:highlight w:val="none"/>
                    </w:rPr>
                  </w:pPr>
                  <w:r>
                    <w:rPr>
                      <w:rFonts w:hint="eastAsia"/>
                      <w:color w:val="auto"/>
                      <w:highlight w:val="none"/>
                    </w:rPr>
                    <w:t>年平均</w:t>
                  </w:r>
                </w:p>
              </w:tc>
              <w:tc>
                <w:tcPr>
                  <w:tcW w:w="1072" w:type="dxa"/>
                  <w:vAlign w:val="center"/>
                </w:tcPr>
                <w:p>
                  <w:pPr>
                    <w:pStyle w:val="57"/>
                    <w:bidi w:val="0"/>
                    <w:rPr>
                      <w:rFonts w:hint="default"/>
                      <w:color w:val="auto"/>
                      <w:highlight w:val="none"/>
                      <w:lang w:val="en-US" w:eastAsia="zh-CN"/>
                    </w:rPr>
                  </w:pPr>
                  <w:r>
                    <w:rPr>
                      <w:rFonts w:hint="eastAsia"/>
                      <w:color w:val="auto"/>
                      <w:highlight w:val="none"/>
                      <w:lang w:val="en-US" w:eastAsia="zh-CN"/>
                    </w:rPr>
                    <w:t>26</w:t>
                  </w:r>
                </w:p>
              </w:tc>
              <w:tc>
                <w:tcPr>
                  <w:tcW w:w="1175"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30</w:t>
                  </w:r>
                </w:p>
              </w:tc>
              <w:tc>
                <w:tcPr>
                  <w:tcW w:w="975" w:type="dxa"/>
                  <w:vAlign w:val="center"/>
                </w:tcPr>
                <w:p>
                  <w:pPr>
                    <w:pStyle w:val="57"/>
                    <w:bidi w:val="0"/>
                    <w:rPr>
                      <w:rFonts w:hint="default"/>
                      <w:color w:val="auto"/>
                      <w:highlight w:val="none"/>
                      <w:lang w:val="en-US" w:eastAsia="zh-CN"/>
                    </w:rPr>
                  </w:pPr>
                  <w:r>
                    <w:rPr>
                      <w:rFonts w:hint="eastAsia"/>
                      <w:color w:val="auto"/>
                      <w:highlight w:val="none"/>
                      <w:lang w:val="en-US" w:eastAsia="zh-CN"/>
                    </w:rPr>
                    <w:t>86.7</w:t>
                  </w:r>
                </w:p>
              </w:tc>
              <w:tc>
                <w:tcPr>
                  <w:tcW w:w="667" w:type="dxa"/>
                  <w:vAlign w:val="center"/>
                </w:tcPr>
                <w:p>
                  <w:pPr>
                    <w:pStyle w:val="57"/>
                    <w:bidi w:val="0"/>
                    <w:rPr>
                      <w:color w:val="auto"/>
                      <w:highlight w:val="none"/>
                    </w:rPr>
                  </w:pPr>
                  <w:r>
                    <w:rPr>
                      <w:rFonts w:hint="eastAsia"/>
                      <w:color w:val="auto"/>
                      <w:highlight w:val="none"/>
                    </w:rPr>
                    <w:t>达标</w:t>
                  </w:r>
                </w:p>
              </w:tc>
            </w:tr>
          </w:tbl>
          <w:p>
            <w:pPr>
              <w:pStyle w:val="6"/>
              <w:bidi w:val="0"/>
              <w:rPr>
                <w:color w:val="auto"/>
                <w:highlight w:val="none"/>
              </w:rPr>
            </w:pPr>
            <w:r>
              <w:rPr>
                <w:rFonts w:hint="eastAsia"/>
                <w:color w:val="auto"/>
                <w:highlight w:val="none"/>
              </w:rPr>
              <w:t>由表3.1-1可以看出：</w:t>
            </w:r>
            <w:r>
              <w:rPr>
                <w:rFonts w:hint="eastAsia"/>
                <w:color w:val="auto"/>
                <w:highlight w:val="none"/>
                <w:lang w:val="en-US" w:eastAsia="zh-CN"/>
              </w:rPr>
              <w:t>年</w:t>
            </w:r>
            <w:r>
              <w:rPr>
                <w:rFonts w:hint="eastAsia"/>
                <w:color w:val="auto"/>
                <w:highlight w:val="none"/>
              </w:rPr>
              <w:t>评价指标中SO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2.5</w:t>
            </w:r>
            <w:r>
              <w:rPr>
                <w:rFonts w:hint="eastAsia"/>
                <w:color w:val="auto"/>
                <w:highlight w:val="none"/>
              </w:rPr>
              <w:t>年均值、CO</w:t>
            </w:r>
            <w:r>
              <w:rPr>
                <w:rFonts w:hint="eastAsia"/>
                <w:color w:val="auto"/>
                <w:highlight w:val="none"/>
                <w:lang w:eastAsia="zh-CN"/>
              </w:rPr>
              <w:t>日平均</w:t>
            </w:r>
            <w:r>
              <w:rPr>
                <w:rFonts w:hint="eastAsia"/>
                <w:color w:val="auto"/>
                <w:highlight w:val="none"/>
              </w:rPr>
              <w:t>第95百分位数值、O</w:t>
            </w:r>
            <w:r>
              <w:rPr>
                <w:rFonts w:hint="eastAsia"/>
                <w:color w:val="auto"/>
                <w:highlight w:val="none"/>
                <w:vertAlign w:val="subscript"/>
              </w:rPr>
              <w:t>3</w:t>
            </w:r>
            <w:r>
              <w:rPr>
                <w:rFonts w:hint="eastAsia"/>
                <w:color w:val="auto"/>
                <w:highlight w:val="none"/>
              </w:rPr>
              <w:t>日最大8小时平均值的第90百分位数值均满足《环境空气质量标准》（GB3095-20</w:t>
            </w:r>
            <w:r>
              <w:rPr>
                <w:rFonts w:hint="eastAsia"/>
                <w:color w:val="auto"/>
                <w:highlight w:val="none"/>
                <w:lang w:val="en-US" w:eastAsia="zh-CN"/>
              </w:rPr>
              <w:t>26</w:t>
            </w:r>
            <w:r>
              <w:rPr>
                <w:rFonts w:hint="eastAsia"/>
                <w:color w:val="auto"/>
                <w:highlight w:val="none"/>
              </w:rPr>
              <w:t>）中</w:t>
            </w:r>
            <w:r>
              <w:rPr>
                <w:rFonts w:hint="eastAsia"/>
                <w:color w:val="auto"/>
                <w:highlight w:val="none"/>
                <w:lang w:val="en-US" w:eastAsia="zh-CN"/>
              </w:rPr>
              <w:t>过渡阶段浓度限值</w:t>
            </w:r>
            <w:r>
              <w:rPr>
                <w:rFonts w:hint="eastAsia"/>
                <w:color w:val="auto"/>
                <w:highlight w:val="none"/>
              </w:rPr>
              <w:t>二级标准，PM</w:t>
            </w:r>
            <w:r>
              <w:rPr>
                <w:rFonts w:hint="eastAsia"/>
                <w:color w:val="auto"/>
                <w:highlight w:val="none"/>
                <w:vertAlign w:val="subscript"/>
              </w:rPr>
              <w:t>10</w:t>
            </w:r>
            <w:r>
              <w:rPr>
                <w:rFonts w:hint="eastAsia"/>
                <w:color w:val="auto"/>
                <w:highlight w:val="none"/>
              </w:rPr>
              <w:t>年平均超过《环境空气质量标准》（GB3095-20</w:t>
            </w:r>
            <w:r>
              <w:rPr>
                <w:rFonts w:hint="eastAsia"/>
                <w:color w:val="auto"/>
                <w:highlight w:val="none"/>
                <w:lang w:val="en-US" w:eastAsia="zh-CN"/>
              </w:rPr>
              <w:t>26</w:t>
            </w:r>
            <w:r>
              <w:rPr>
                <w:rFonts w:hint="eastAsia"/>
                <w:color w:val="auto"/>
                <w:highlight w:val="none"/>
              </w:rPr>
              <w:t>）中</w:t>
            </w:r>
            <w:r>
              <w:rPr>
                <w:rFonts w:hint="eastAsia"/>
                <w:color w:val="auto"/>
                <w:highlight w:val="none"/>
                <w:lang w:val="en-US" w:eastAsia="zh-CN"/>
              </w:rPr>
              <w:t>过渡阶段浓度限值</w:t>
            </w:r>
            <w:r>
              <w:rPr>
                <w:rFonts w:hint="eastAsia"/>
                <w:color w:val="auto"/>
                <w:highlight w:val="none"/>
              </w:rPr>
              <w:t>二级标准要求，占标率为</w:t>
            </w:r>
            <w:r>
              <w:rPr>
                <w:rFonts w:hint="eastAsia"/>
                <w:color w:val="auto"/>
                <w:highlight w:val="none"/>
                <w:lang w:val="en-US" w:eastAsia="zh-CN"/>
              </w:rPr>
              <w:t>123.3</w:t>
            </w:r>
            <w:r>
              <w:rPr>
                <w:rFonts w:hint="eastAsia"/>
                <w:color w:val="auto"/>
                <w:highlight w:val="none"/>
              </w:rPr>
              <w:t>%</w:t>
            </w:r>
            <w:r>
              <w:rPr>
                <w:rFonts w:hint="eastAsia"/>
                <w:color w:val="auto"/>
                <w:highlight w:val="none"/>
                <w:lang w:eastAsia="zh-CN"/>
              </w:rPr>
              <w:t>。</w:t>
            </w:r>
            <w:r>
              <w:rPr>
                <w:rFonts w:hint="eastAsia"/>
                <w:color w:val="auto"/>
                <w:highlight w:val="none"/>
              </w:rPr>
              <w:t>区域为不达标区，超标原因与当地降水量较少、气候较干燥，并受季节性风沙影响易产生扬尘有密切关系</w:t>
            </w:r>
            <w:r>
              <w:rPr>
                <w:color w:val="auto"/>
                <w:highlight w:val="none"/>
              </w:rPr>
              <w:t>。</w:t>
            </w:r>
            <w:bookmarkStart w:id="8" w:name="_Toc25325"/>
          </w:p>
          <w:bookmarkEnd w:id="7"/>
          <w:bookmarkEnd w:id="8"/>
          <w:p>
            <w:pPr>
              <w:pStyle w:val="5"/>
              <w:bidi w:val="0"/>
              <w:rPr>
                <w:color w:val="auto"/>
                <w:highlight w:val="none"/>
              </w:rPr>
            </w:pPr>
            <w:r>
              <w:rPr>
                <w:rFonts w:hint="eastAsia"/>
                <w:color w:val="auto"/>
                <w:highlight w:val="none"/>
              </w:rPr>
              <w:t>3.1.1.2 补充</w:t>
            </w:r>
            <w:r>
              <w:rPr>
                <w:color w:val="auto"/>
                <w:highlight w:val="none"/>
              </w:rPr>
              <w:t>环境质量现状评价</w:t>
            </w:r>
          </w:p>
          <w:p>
            <w:pPr>
              <w:pStyle w:val="6"/>
              <w:bidi w:val="0"/>
              <w:rPr>
                <w:rFonts w:hint="default"/>
                <w:color w:val="auto"/>
                <w:highlight w:val="none"/>
                <w:lang w:val="en-US" w:eastAsia="zh-CN"/>
              </w:rPr>
            </w:pPr>
            <w:r>
              <w:rPr>
                <w:color w:val="auto"/>
                <w:highlight w:val="none"/>
              </w:rPr>
              <w:t>本项目特征污染因子为颗粒物，</w:t>
            </w:r>
            <w:r>
              <w:rPr>
                <w:rFonts w:hint="eastAsia"/>
                <w:color w:val="auto"/>
                <w:highlight w:val="none"/>
                <w:lang w:val="en-US" w:eastAsia="zh-CN"/>
              </w:rPr>
              <w:t>本次评价引用《库尔勒经济技术开发区国土空间总体规划（2021-2035年）环境影响评价现状监测》中北部片区11#（监测点）总悬浮颗粒物监测结果，该监测点位于本项目北偏西方向2.2km处，由新疆中测测试有限责任公司2024年4月4日至4月11日完成监测，满足《建设项目环境影响报告表编制技术指南（污染影响类）（试行）》要求，其监测点位详见图2.1-3项目周边关系及监测布点图。</w:t>
            </w:r>
          </w:p>
          <w:p>
            <w:pPr>
              <w:pStyle w:val="6"/>
              <w:bidi w:val="0"/>
              <w:rPr>
                <w:color w:val="auto"/>
                <w:highlight w:val="none"/>
              </w:rPr>
            </w:pPr>
            <w:r>
              <w:rPr>
                <w:rFonts w:hint="eastAsia"/>
                <w:color w:val="auto"/>
                <w:highlight w:val="none"/>
              </w:rPr>
              <w:t>（1）监测布点</w:t>
            </w:r>
          </w:p>
          <w:p>
            <w:pPr>
              <w:pStyle w:val="6"/>
              <w:bidi w:val="0"/>
              <w:rPr>
                <w:rFonts w:hint="eastAsia"/>
                <w:color w:val="auto"/>
                <w:highlight w:val="none"/>
                <w:lang w:val="en-US" w:eastAsia="zh-CN"/>
              </w:rPr>
            </w:pPr>
            <w:r>
              <w:rPr>
                <w:rFonts w:hint="eastAsia"/>
                <w:color w:val="auto"/>
                <w:highlight w:val="none"/>
                <w:lang w:val="en-US" w:eastAsia="zh-CN"/>
              </w:rPr>
              <w:t>引用监测点位基本信息见表3.1-2。</w:t>
            </w:r>
          </w:p>
          <w:p>
            <w:pPr>
              <w:pStyle w:val="36"/>
              <w:bidi w:val="0"/>
              <w:rPr>
                <w:rFonts w:hint="default"/>
                <w:color w:val="auto"/>
                <w:highlight w:val="none"/>
                <w:lang w:val="en-US" w:eastAsia="zh-CN"/>
              </w:rPr>
            </w:pPr>
            <w:r>
              <w:rPr>
                <w:rFonts w:hint="eastAsia"/>
                <w:color w:val="auto"/>
                <w:highlight w:val="none"/>
                <w:lang w:val="en-US" w:eastAsia="zh-CN"/>
              </w:rPr>
              <w:t>表3.1-2  引用监测点位基本信息一览表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817"/>
              <w:gridCol w:w="2204"/>
              <w:gridCol w:w="972"/>
              <w:gridCol w:w="871"/>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876"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监测点位名称</w:t>
                  </w:r>
                </w:p>
              </w:tc>
              <w:tc>
                <w:tcPr>
                  <w:tcW w:w="1091"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监测点坐标</w:t>
                  </w:r>
                </w:p>
              </w:tc>
              <w:tc>
                <w:tcPr>
                  <w:tcW w:w="1324"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监测因子</w:t>
                  </w:r>
                </w:p>
              </w:tc>
              <w:tc>
                <w:tcPr>
                  <w:tcW w:w="584" w:type="pct"/>
                  <w:tcBorders>
                    <w:tl2br w:val="nil"/>
                    <w:tr2bl w:val="nil"/>
                  </w:tcBorders>
                  <w:noWrap w:val="0"/>
                  <w:vAlign w:val="center"/>
                </w:tcPr>
                <w:p>
                  <w:pPr>
                    <w:pStyle w:val="57"/>
                    <w:bidi w:val="0"/>
                    <w:rPr>
                      <w:rFonts w:hint="eastAsia"/>
                      <w:color w:val="auto"/>
                      <w:highlight w:val="none"/>
                      <w:lang w:val="en-US" w:eastAsia="zh-CN"/>
                    </w:rPr>
                  </w:pPr>
                  <w:r>
                    <w:rPr>
                      <w:rFonts w:hint="eastAsia"/>
                      <w:color w:val="auto"/>
                      <w:highlight w:val="none"/>
                      <w:lang w:val="en-US" w:eastAsia="zh-CN"/>
                    </w:rPr>
                    <w:t>监测</w:t>
                  </w:r>
                </w:p>
                <w:p>
                  <w:pPr>
                    <w:pStyle w:val="57"/>
                    <w:bidi w:val="0"/>
                    <w:rPr>
                      <w:rFonts w:hint="default"/>
                      <w:color w:val="auto"/>
                      <w:highlight w:val="none"/>
                      <w:lang w:val="en-US" w:eastAsia="zh-CN"/>
                    </w:rPr>
                  </w:pPr>
                  <w:r>
                    <w:rPr>
                      <w:rFonts w:hint="eastAsia"/>
                      <w:color w:val="auto"/>
                      <w:highlight w:val="none"/>
                      <w:lang w:val="en-US" w:eastAsia="zh-CN"/>
                    </w:rPr>
                    <w:t>时段</w:t>
                  </w:r>
                </w:p>
              </w:tc>
              <w:tc>
                <w:tcPr>
                  <w:tcW w:w="523"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相对厂址方位</w:t>
                  </w:r>
                </w:p>
              </w:tc>
              <w:tc>
                <w:tcPr>
                  <w:tcW w:w="599"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相对厂界距离/</w:t>
                  </w:r>
                  <w:r>
                    <w:rPr>
                      <w:rFonts w:hint="eastAsia"/>
                      <w:color w:val="auto"/>
                      <w:highlight w:val="none"/>
                      <w:lang w:val="en-US" w:eastAsia="zh-CN"/>
                    </w:rPr>
                    <w:t>k</w:t>
                  </w:r>
                  <w:r>
                    <w:rPr>
                      <w:rFonts w:hint="default"/>
                      <w:color w:val="auto"/>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北部片区11#</w:t>
                  </w:r>
                </w:p>
              </w:tc>
              <w:tc>
                <w:tcPr>
                  <w:tcW w:w="1091" w:type="pct"/>
                  <w:tcBorders>
                    <w:tl2br w:val="nil"/>
                    <w:tr2bl w:val="nil"/>
                  </w:tcBorders>
                  <w:noWrap w:val="0"/>
                  <w:vAlign w:val="center"/>
                </w:tcPr>
                <w:p>
                  <w:pPr>
                    <w:pStyle w:val="57"/>
                    <w:bidi w:val="0"/>
                    <w:rPr>
                      <w:rFonts w:hint="eastAsia"/>
                      <w:color w:val="auto"/>
                      <w:highlight w:val="none"/>
                      <w:lang w:val="en-US" w:eastAsia="zh-CN"/>
                    </w:rPr>
                  </w:pPr>
                  <w:r>
                    <w:rPr>
                      <w:rFonts w:hint="eastAsia"/>
                      <w:color w:val="auto"/>
                      <w:highlight w:val="none"/>
                      <w:lang w:val="en-US" w:eastAsia="zh-CN"/>
                    </w:rPr>
                    <w:t>东经</w:t>
                  </w:r>
                  <w:r>
                    <w:rPr>
                      <w:rFonts w:hint="eastAsia"/>
                      <w:color w:val="auto"/>
                      <w:highlight w:val="none"/>
                    </w:rPr>
                    <w:t>86</w:t>
                  </w:r>
                  <w:r>
                    <w:rPr>
                      <w:rFonts w:hint="eastAsia"/>
                      <w:color w:val="auto"/>
                      <w:highlight w:val="none"/>
                      <w:lang w:val="en-US" w:eastAsia="zh-CN"/>
                    </w:rPr>
                    <w:t>.267688</w:t>
                  </w:r>
                </w:p>
                <w:p>
                  <w:pPr>
                    <w:pStyle w:val="57"/>
                    <w:bidi w:val="0"/>
                    <w:rPr>
                      <w:rFonts w:hint="default"/>
                      <w:color w:val="auto"/>
                      <w:highlight w:val="none"/>
                      <w:lang w:val="de-DE" w:eastAsia="zh-CN"/>
                    </w:rPr>
                  </w:pPr>
                  <w:r>
                    <w:rPr>
                      <w:rFonts w:hint="eastAsia"/>
                      <w:color w:val="auto"/>
                      <w:highlight w:val="none"/>
                      <w:lang w:val="en-US" w:eastAsia="zh-CN"/>
                    </w:rPr>
                    <w:t>北纬</w:t>
                  </w:r>
                  <w:r>
                    <w:rPr>
                      <w:rFonts w:hint="eastAsia"/>
                      <w:color w:val="auto"/>
                      <w:highlight w:val="none"/>
                    </w:rPr>
                    <w:t>41.665008</w:t>
                  </w:r>
                </w:p>
              </w:tc>
              <w:tc>
                <w:tcPr>
                  <w:tcW w:w="1324" w:type="pct"/>
                  <w:tcBorders>
                    <w:tl2br w:val="nil"/>
                    <w:tr2bl w:val="nil"/>
                  </w:tcBorders>
                  <w:noWrap w:val="0"/>
                  <w:vAlign w:val="center"/>
                </w:tcPr>
                <w:p>
                  <w:pPr>
                    <w:pStyle w:val="57"/>
                    <w:bidi w:val="0"/>
                    <w:rPr>
                      <w:rFonts w:hint="default"/>
                      <w:color w:val="auto"/>
                      <w:highlight w:val="none"/>
                      <w:lang w:val="en-US"/>
                    </w:rPr>
                  </w:pPr>
                  <w:r>
                    <w:rPr>
                      <w:rFonts w:hint="eastAsia"/>
                      <w:color w:val="auto"/>
                      <w:highlight w:val="none"/>
                      <w:lang w:val="en-US" w:eastAsia="zh-CN"/>
                    </w:rPr>
                    <w:t>总悬浮颗粒物（TSP）</w:t>
                  </w:r>
                </w:p>
              </w:tc>
              <w:tc>
                <w:tcPr>
                  <w:tcW w:w="584"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日平均</w:t>
                  </w:r>
                </w:p>
              </w:tc>
              <w:tc>
                <w:tcPr>
                  <w:tcW w:w="523"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NNW</w:t>
                  </w:r>
                </w:p>
              </w:tc>
              <w:tc>
                <w:tcPr>
                  <w:tcW w:w="599"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2.2</w:t>
                  </w:r>
                </w:p>
              </w:tc>
            </w:tr>
          </w:tbl>
          <w:p>
            <w:pPr>
              <w:pStyle w:val="6"/>
              <w:bidi w:val="0"/>
              <w:rPr>
                <w:color w:val="auto"/>
                <w:highlight w:val="none"/>
              </w:rPr>
            </w:pPr>
            <w:r>
              <w:rPr>
                <w:rFonts w:hint="eastAsia"/>
                <w:color w:val="auto"/>
                <w:highlight w:val="none"/>
              </w:rPr>
              <w:t>（2）</w:t>
            </w:r>
            <w:r>
              <w:rPr>
                <w:color w:val="auto"/>
                <w:highlight w:val="none"/>
              </w:rPr>
              <w:t>监测时间及监测频次</w:t>
            </w:r>
          </w:p>
          <w:p>
            <w:pPr>
              <w:pStyle w:val="6"/>
              <w:bidi w:val="0"/>
              <w:rPr>
                <w:rFonts w:hint="default"/>
                <w:color w:val="auto"/>
                <w:highlight w:val="none"/>
                <w:lang w:val="en-US" w:eastAsia="zh-CN"/>
              </w:rPr>
            </w:pPr>
            <w:r>
              <w:rPr>
                <w:rFonts w:hint="eastAsia"/>
                <w:color w:val="auto"/>
                <w:highlight w:val="none"/>
                <w:lang w:val="en-US" w:eastAsia="zh-CN"/>
              </w:rPr>
              <w:t>引用监测数据监测时间及频次见表3.1-3。</w:t>
            </w:r>
          </w:p>
          <w:p>
            <w:pPr>
              <w:pStyle w:val="36"/>
              <w:bidi w:val="0"/>
              <w:rPr>
                <w:rFonts w:hint="default"/>
                <w:color w:val="auto"/>
                <w:highlight w:val="none"/>
                <w:lang w:val="en-US" w:eastAsia="zh-CN"/>
              </w:rPr>
            </w:pPr>
            <w:r>
              <w:rPr>
                <w:rFonts w:hint="eastAsia"/>
                <w:color w:val="auto"/>
                <w:highlight w:val="none"/>
                <w:lang w:val="en-US" w:eastAsia="zh-CN"/>
              </w:rPr>
              <w:t>表3.1-3  监测时间及频次</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353"/>
              <w:gridCol w:w="1612"/>
              <w:gridCol w:w="1009"/>
              <w:gridCol w:w="1865"/>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388"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序号</w:t>
                  </w:r>
                </w:p>
              </w:tc>
              <w:tc>
                <w:tcPr>
                  <w:tcW w:w="813" w:type="pct"/>
                  <w:tcBorders>
                    <w:tl2br w:val="nil"/>
                    <w:tr2bl w:val="nil"/>
                  </w:tcBorders>
                  <w:noWrap w:val="0"/>
                  <w:vAlign w:val="center"/>
                </w:tcPr>
                <w:p>
                  <w:pPr>
                    <w:pStyle w:val="57"/>
                    <w:bidi w:val="0"/>
                    <w:rPr>
                      <w:rFonts w:hint="eastAsia" w:eastAsia="宋体"/>
                      <w:color w:val="auto"/>
                      <w:highlight w:val="none"/>
                      <w:lang w:val="en-US" w:eastAsia="zh-CN"/>
                    </w:rPr>
                  </w:pPr>
                  <w:r>
                    <w:rPr>
                      <w:rFonts w:hint="default"/>
                      <w:color w:val="auto"/>
                      <w:highlight w:val="none"/>
                    </w:rPr>
                    <w:t>监测点位</w:t>
                  </w:r>
                  <w:r>
                    <w:rPr>
                      <w:rFonts w:hint="eastAsia"/>
                      <w:color w:val="auto"/>
                      <w:highlight w:val="none"/>
                      <w:lang w:val="en-US" w:eastAsia="zh-CN"/>
                    </w:rPr>
                    <w:t>名称</w:t>
                  </w:r>
                </w:p>
              </w:tc>
              <w:tc>
                <w:tcPr>
                  <w:tcW w:w="968"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监测因子</w:t>
                  </w:r>
                </w:p>
              </w:tc>
              <w:tc>
                <w:tcPr>
                  <w:tcW w:w="606"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监测</w:t>
                  </w:r>
                </w:p>
                <w:p>
                  <w:pPr>
                    <w:pStyle w:val="57"/>
                    <w:bidi w:val="0"/>
                    <w:rPr>
                      <w:rFonts w:hint="default"/>
                      <w:color w:val="auto"/>
                      <w:highlight w:val="none"/>
                    </w:rPr>
                  </w:pPr>
                  <w:r>
                    <w:rPr>
                      <w:rFonts w:hint="default"/>
                      <w:color w:val="auto"/>
                      <w:highlight w:val="none"/>
                    </w:rPr>
                    <w:t>时段</w:t>
                  </w:r>
                </w:p>
              </w:tc>
              <w:tc>
                <w:tcPr>
                  <w:tcW w:w="1121"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监测频次</w:t>
                  </w:r>
                </w:p>
              </w:tc>
              <w:tc>
                <w:tcPr>
                  <w:tcW w:w="1101"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8"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1#</w:t>
                  </w:r>
                </w:p>
              </w:tc>
              <w:tc>
                <w:tcPr>
                  <w:tcW w:w="813" w:type="pct"/>
                  <w:tcBorders>
                    <w:tl2br w:val="nil"/>
                    <w:tr2bl w:val="nil"/>
                  </w:tcBorders>
                  <w:noWrap w:val="0"/>
                  <w:vAlign w:val="center"/>
                </w:tcPr>
                <w:p>
                  <w:pPr>
                    <w:pStyle w:val="57"/>
                    <w:bidi w:val="0"/>
                    <w:rPr>
                      <w:rFonts w:hint="default"/>
                      <w:color w:val="auto"/>
                      <w:highlight w:val="none"/>
                    </w:rPr>
                  </w:pPr>
                  <w:r>
                    <w:rPr>
                      <w:rFonts w:hint="eastAsia"/>
                      <w:color w:val="auto"/>
                      <w:highlight w:val="none"/>
                      <w:lang w:val="en-US" w:eastAsia="zh-CN"/>
                    </w:rPr>
                    <w:t>北部片区11#</w:t>
                  </w:r>
                </w:p>
              </w:tc>
              <w:tc>
                <w:tcPr>
                  <w:tcW w:w="968" w:type="pct"/>
                  <w:tcBorders>
                    <w:tl2br w:val="nil"/>
                    <w:tr2bl w:val="nil"/>
                  </w:tcBorders>
                  <w:noWrap w:val="0"/>
                  <w:vAlign w:val="center"/>
                </w:tcPr>
                <w:p>
                  <w:pPr>
                    <w:pStyle w:val="57"/>
                    <w:bidi w:val="0"/>
                    <w:rPr>
                      <w:rFonts w:hint="default"/>
                      <w:color w:val="auto"/>
                      <w:highlight w:val="none"/>
                    </w:rPr>
                  </w:pPr>
                  <w:r>
                    <w:rPr>
                      <w:rFonts w:hint="eastAsia"/>
                      <w:color w:val="auto"/>
                      <w:highlight w:val="none"/>
                      <w:lang w:val="en-US" w:eastAsia="zh-CN"/>
                    </w:rPr>
                    <w:t>总悬浮颗粒物（TSP）</w:t>
                  </w:r>
                </w:p>
              </w:tc>
              <w:tc>
                <w:tcPr>
                  <w:tcW w:w="606" w:type="pct"/>
                  <w:tcBorders>
                    <w:tl2br w:val="nil"/>
                    <w:tr2bl w:val="nil"/>
                  </w:tcBorders>
                  <w:noWrap w:val="0"/>
                  <w:vAlign w:val="center"/>
                </w:tcPr>
                <w:p>
                  <w:pPr>
                    <w:pStyle w:val="57"/>
                    <w:bidi w:val="0"/>
                    <w:rPr>
                      <w:rFonts w:hint="default"/>
                      <w:color w:val="auto"/>
                      <w:highlight w:val="none"/>
                    </w:rPr>
                  </w:pPr>
                  <w:r>
                    <w:rPr>
                      <w:rFonts w:hint="eastAsia"/>
                      <w:color w:val="auto"/>
                      <w:highlight w:val="none"/>
                      <w:lang w:val="en-US" w:eastAsia="zh-CN"/>
                    </w:rPr>
                    <w:t>日</w:t>
                  </w:r>
                  <w:r>
                    <w:rPr>
                      <w:rFonts w:hint="default"/>
                      <w:color w:val="auto"/>
                      <w:highlight w:val="none"/>
                      <w:lang w:val="en-US" w:eastAsia="zh-CN"/>
                    </w:rPr>
                    <w:t>平均</w:t>
                  </w:r>
                </w:p>
              </w:tc>
              <w:tc>
                <w:tcPr>
                  <w:tcW w:w="1121" w:type="pct"/>
                  <w:tcBorders>
                    <w:tl2br w:val="nil"/>
                    <w:tr2bl w:val="nil"/>
                  </w:tcBorders>
                  <w:noWrap w:val="0"/>
                  <w:vAlign w:val="center"/>
                </w:tcPr>
                <w:p>
                  <w:pPr>
                    <w:pStyle w:val="57"/>
                    <w:bidi w:val="0"/>
                    <w:rPr>
                      <w:rFonts w:hint="default"/>
                      <w:color w:val="auto"/>
                      <w:highlight w:val="none"/>
                    </w:rPr>
                  </w:pPr>
                  <w:r>
                    <w:rPr>
                      <w:rFonts w:hint="eastAsia"/>
                      <w:color w:val="auto"/>
                      <w:highlight w:val="none"/>
                      <w:lang w:val="en-US" w:eastAsia="zh-CN"/>
                    </w:rPr>
                    <w:t>1</w:t>
                  </w:r>
                  <w:r>
                    <w:rPr>
                      <w:rFonts w:hint="default"/>
                      <w:color w:val="auto"/>
                      <w:highlight w:val="none"/>
                    </w:rPr>
                    <w:t>次/天，检测7天</w:t>
                  </w:r>
                </w:p>
              </w:tc>
              <w:tc>
                <w:tcPr>
                  <w:tcW w:w="1101"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202</w:t>
                  </w:r>
                  <w:r>
                    <w:rPr>
                      <w:rFonts w:hint="eastAsia"/>
                      <w:color w:val="auto"/>
                      <w:highlight w:val="none"/>
                      <w:lang w:val="en-US" w:eastAsia="zh-CN"/>
                    </w:rPr>
                    <w:t>4</w:t>
                  </w:r>
                  <w:r>
                    <w:rPr>
                      <w:rFonts w:hint="default"/>
                      <w:color w:val="auto"/>
                      <w:highlight w:val="none"/>
                    </w:rPr>
                    <w:t>年</w:t>
                  </w:r>
                  <w:r>
                    <w:rPr>
                      <w:rFonts w:hint="eastAsia"/>
                      <w:color w:val="auto"/>
                      <w:highlight w:val="none"/>
                      <w:lang w:val="en-US" w:eastAsia="zh-CN"/>
                    </w:rPr>
                    <w:t>4</w:t>
                  </w:r>
                  <w:r>
                    <w:rPr>
                      <w:rFonts w:hint="default"/>
                      <w:color w:val="auto"/>
                      <w:highlight w:val="none"/>
                    </w:rPr>
                    <w:t>月</w:t>
                  </w:r>
                  <w:r>
                    <w:rPr>
                      <w:rFonts w:hint="eastAsia"/>
                      <w:color w:val="auto"/>
                      <w:highlight w:val="none"/>
                      <w:lang w:val="en-US" w:eastAsia="zh-CN"/>
                    </w:rPr>
                    <w:t>4</w:t>
                  </w:r>
                  <w:r>
                    <w:rPr>
                      <w:rFonts w:hint="default"/>
                      <w:color w:val="auto"/>
                      <w:highlight w:val="none"/>
                    </w:rPr>
                    <w:t>日至</w:t>
                  </w:r>
                  <w:r>
                    <w:rPr>
                      <w:rFonts w:hint="eastAsia"/>
                      <w:color w:val="auto"/>
                      <w:highlight w:val="none"/>
                      <w:lang w:val="en-US" w:eastAsia="zh-CN"/>
                    </w:rPr>
                    <w:t>4</w:t>
                  </w:r>
                  <w:r>
                    <w:rPr>
                      <w:rFonts w:hint="default"/>
                      <w:color w:val="auto"/>
                      <w:highlight w:val="none"/>
                    </w:rPr>
                    <w:t>月</w:t>
                  </w:r>
                  <w:r>
                    <w:rPr>
                      <w:rFonts w:hint="eastAsia"/>
                      <w:color w:val="auto"/>
                      <w:highlight w:val="none"/>
                      <w:lang w:val="en-US" w:eastAsia="zh-CN"/>
                    </w:rPr>
                    <w:t>11</w:t>
                  </w:r>
                  <w:r>
                    <w:rPr>
                      <w:rFonts w:hint="default"/>
                      <w:color w:val="auto"/>
                      <w:highlight w:val="none"/>
                    </w:rPr>
                    <w:t>日</w:t>
                  </w:r>
                </w:p>
              </w:tc>
            </w:tr>
          </w:tbl>
          <w:p>
            <w:pPr>
              <w:pStyle w:val="6"/>
              <w:bidi w:val="0"/>
              <w:rPr>
                <w:color w:val="auto"/>
                <w:highlight w:val="none"/>
              </w:rPr>
            </w:pPr>
            <w:r>
              <w:rPr>
                <w:rFonts w:hint="eastAsia"/>
                <w:color w:val="auto"/>
                <w:highlight w:val="none"/>
              </w:rPr>
              <w:t>（3）采样及分析方法</w:t>
            </w:r>
          </w:p>
          <w:p>
            <w:pPr>
              <w:pStyle w:val="6"/>
              <w:bidi w:val="0"/>
              <w:rPr>
                <w:color w:val="auto"/>
                <w:highlight w:val="none"/>
              </w:rPr>
            </w:pPr>
            <w:r>
              <w:rPr>
                <w:rFonts w:hint="eastAsia"/>
                <w:color w:val="auto"/>
                <w:highlight w:val="none"/>
              </w:rPr>
              <w:t>采样方法</w:t>
            </w:r>
            <w:r>
              <w:rPr>
                <w:color w:val="auto"/>
                <w:highlight w:val="none"/>
              </w:rPr>
              <w:t>和分析方法</w:t>
            </w:r>
            <w:r>
              <w:rPr>
                <w:rFonts w:hint="eastAsia"/>
                <w:color w:val="auto"/>
                <w:highlight w:val="none"/>
                <w:lang w:val="en-US" w:eastAsia="zh-CN"/>
              </w:rPr>
              <w:t>按照</w:t>
            </w:r>
            <w:r>
              <w:rPr>
                <w:color w:val="auto"/>
                <w:highlight w:val="none"/>
              </w:rPr>
              <w:t>《环境空气质量标准》</w:t>
            </w:r>
            <w:r>
              <w:rPr>
                <w:rFonts w:hint="eastAsia"/>
                <w:color w:val="auto"/>
                <w:highlight w:val="none"/>
                <w:lang w:val="en-US" w:eastAsia="zh-CN"/>
              </w:rPr>
              <w:t>相关要求进行，具体见表3.1-4</w:t>
            </w:r>
            <w:r>
              <w:rPr>
                <w:color w:val="auto"/>
                <w:highlight w:val="none"/>
              </w:rPr>
              <w:t>。</w:t>
            </w:r>
          </w:p>
          <w:p>
            <w:pPr>
              <w:pStyle w:val="36"/>
              <w:bidi w:val="0"/>
              <w:rPr>
                <w:rFonts w:hint="default"/>
                <w:color w:val="auto"/>
                <w:highlight w:val="none"/>
                <w:lang w:val="de-DE" w:eastAsia="zh-CN"/>
              </w:rPr>
            </w:pPr>
            <w:r>
              <w:rPr>
                <w:rFonts w:hint="default"/>
                <w:color w:val="auto"/>
                <w:highlight w:val="none"/>
                <w:lang w:val="de-DE" w:eastAsia="zh-CN"/>
              </w:rPr>
              <w:t>表</w:t>
            </w:r>
            <w:r>
              <w:rPr>
                <w:rFonts w:hint="eastAsia"/>
                <w:color w:val="auto"/>
                <w:highlight w:val="none"/>
                <w:lang w:val="en-US" w:eastAsia="zh-CN"/>
              </w:rPr>
              <w:t>3.1-4</w:t>
            </w:r>
            <w:r>
              <w:rPr>
                <w:rFonts w:hint="default"/>
                <w:color w:val="auto"/>
                <w:highlight w:val="none"/>
                <w:lang w:val="de-DE" w:eastAsia="zh-CN"/>
              </w:rPr>
              <w:t xml:space="preserve">   环境空气现状监测项目及分析方法一览表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879"/>
              <w:gridCol w:w="3791"/>
              <w:gridCol w:w="1009"/>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trPr>
              <w:tc>
                <w:tcPr>
                  <w:tcW w:w="415"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检测类别</w:t>
                  </w:r>
                </w:p>
              </w:tc>
              <w:tc>
                <w:tcPr>
                  <w:tcW w:w="528"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检测</w:t>
                  </w:r>
                </w:p>
                <w:p>
                  <w:pPr>
                    <w:pStyle w:val="57"/>
                    <w:bidi w:val="0"/>
                    <w:rPr>
                      <w:rFonts w:hint="default"/>
                      <w:color w:val="auto"/>
                      <w:highlight w:val="none"/>
                    </w:rPr>
                  </w:pPr>
                  <w:r>
                    <w:rPr>
                      <w:rFonts w:hint="default"/>
                      <w:color w:val="auto"/>
                      <w:highlight w:val="none"/>
                    </w:rPr>
                    <w:t>项目</w:t>
                  </w:r>
                </w:p>
              </w:tc>
              <w:tc>
                <w:tcPr>
                  <w:tcW w:w="2278"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检测方法名称及依据</w:t>
                  </w:r>
                </w:p>
              </w:tc>
              <w:tc>
                <w:tcPr>
                  <w:tcW w:w="606"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方法检出限</w:t>
                  </w:r>
                </w:p>
              </w:tc>
              <w:tc>
                <w:tcPr>
                  <w:tcW w:w="1171" w:type="pct"/>
                  <w:tcBorders>
                    <w:tl2br w:val="nil"/>
                    <w:tr2bl w:val="nil"/>
                  </w:tcBorders>
                  <w:noWrap w:val="0"/>
                  <w:vAlign w:val="center"/>
                </w:tcPr>
                <w:p>
                  <w:pPr>
                    <w:pStyle w:val="57"/>
                    <w:bidi w:val="0"/>
                    <w:rPr>
                      <w:rFonts w:hint="eastAsia"/>
                      <w:color w:val="auto"/>
                      <w:highlight w:val="none"/>
                      <w:lang w:eastAsia="zh-CN"/>
                    </w:rPr>
                  </w:pPr>
                  <w:r>
                    <w:rPr>
                      <w:rFonts w:hint="eastAsia"/>
                      <w:color w:val="auto"/>
                      <w:highlight w:val="none"/>
                      <w:lang w:val="en-US" w:eastAsia="zh-CN"/>
                    </w:rPr>
                    <w:t>主检仪器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415" w:type="pct"/>
                  <w:tcBorders>
                    <w:tl2br w:val="nil"/>
                    <w:tr2bl w:val="nil"/>
                  </w:tcBorders>
                  <w:noWrap w:val="0"/>
                  <w:vAlign w:val="center"/>
                </w:tcPr>
                <w:p>
                  <w:pPr>
                    <w:pStyle w:val="57"/>
                    <w:bidi w:val="0"/>
                    <w:rPr>
                      <w:rFonts w:hint="default"/>
                      <w:color w:val="auto"/>
                      <w:highlight w:val="none"/>
                    </w:rPr>
                  </w:pPr>
                  <w:r>
                    <w:rPr>
                      <w:rFonts w:hint="default"/>
                      <w:color w:val="auto"/>
                      <w:highlight w:val="none"/>
                    </w:rPr>
                    <w:t>环境空气</w:t>
                  </w:r>
                </w:p>
              </w:tc>
              <w:tc>
                <w:tcPr>
                  <w:tcW w:w="528"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eastAsia="zh-CN"/>
                    </w:rPr>
                    <w:t>总悬浮颗粒物</w:t>
                  </w:r>
                </w:p>
              </w:tc>
              <w:tc>
                <w:tcPr>
                  <w:tcW w:w="2278"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HJ 1263-2022环境空气 总悬浮颗粒物的测定 重量法</w:t>
                  </w:r>
                </w:p>
              </w:tc>
              <w:tc>
                <w:tcPr>
                  <w:tcW w:w="606"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rPr>
                    <w:t>0.00</w:t>
                  </w:r>
                  <w:r>
                    <w:rPr>
                      <w:rFonts w:hint="default"/>
                      <w:color w:val="auto"/>
                      <w:highlight w:val="none"/>
                      <w:lang w:val="en-US" w:eastAsia="zh-CN"/>
                    </w:rPr>
                    <w:t>7</w:t>
                  </w:r>
                </w:p>
              </w:tc>
              <w:tc>
                <w:tcPr>
                  <w:tcW w:w="1171" w:type="pct"/>
                  <w:tcBorders>
                    <w:tl2br w:val="nil"/>
                    <w:tr2bl w:val="nil"/>
                  </w:tcBorders>
                  <w:noWrap w:val="0"/>
                  <w:vAlign w:val="center"/>
                </w:tcPr>
                <w:p>
                  <w:pPr>
                    <w:pStyle w:val="57"/>
                    <w:bidi w:val="0"/>
                    <w:rPr>
                      <w:rFonts w:hint="default"/>
                      <w:color w:val="auto"/>
                      <w:highlight w:val="none"/>
                    </w:rPr>
                  </w:pPr>
                  <w:r>
                    <w:rPr>
                      <w:rFonts w:hint="default"/>
                      <w:color w:val="auto"/>
                      <w:highlight w:val="none"/>
                      <w:lang w:val="en-US" w:eastAsia="zh-CN"/>
                    </w:rPr>
                    <w:t>ME55/02型</w:t>
                  </w:r>
                  <w:r>
                    <w:rPr>
                      <w:rFonts w:hint="default"/>
                      <w:color w:val="auto"/>
                      <w:highlight w:val="none"/>
                      <w:lang w:eastAsia="zh-CN"/>
                    </w:rPr>
                    <w:t>电子天平</w:t>
                  </w:r>
                  <w:r>
                    <w:rPr>
                      <w:rFonts w:hint="default"/>
                      <w:color w:val="auto"/>
                      <w:highlight w:val="none"/>
                      <w:lang w:val="en-US" w:eastAsia="zh-CN"/>
                    </w:rPr>
                    <w:t>XJZC166</w:t>
                  </w:r>
                </w:p>
              </w:tc>
            </w:tr>
          </w:tbl>
          <w:p>
            <w:pPr>
              <w:pStyle w:val="6"/>
              <w:bidi w:val="0"/>
              <w:rPr>
                <w:color w:val="auto"/>
                <w:highlight w:val="none"/>
              </w:rPr>
            </w:pPr>
            <w:r>
              <w:rPr>
                <w:rFonts w:hint="eastAsia"/>
                <w:color w:val="auto"/>
                <w:highlight w:val="none"/>
              </w:rPr>
              <w:t>（4）</w:t>
            </w:r>
            <w:r>
              <w:rPr>
                <w:color w:val="auto"/>
                <w:highlight w:val="none"/>
              </w:rPr>
              <w:t>评价标准</w:t>
            </w:r>
          </w:p>
          <w:p>
            <w:pPr>
              <w:pStyle w:val="6"/>
              <w:bidi w:val="0"/>
              <w:rPr>
                <w:color w:val="auto"/>
                <w:highlight w:val="none"/>
              </w:rPr>
            </w:pPr>
            <w:r>
              <w:rPr>
                <w:rFonts w:hint="eastAsia"/>
                <w:color w:val="auto"/>
                <w:highlight w:val="none"/>
              </w:rPr>
              <w:t>TSP</w:t>
            </w:r>
            <w:r>
              <w:rPr>
                <w:color w:val="auto"/>
                <w:highlight w:val="none"/>
              </w:rPr>
              <w:t>执行</w:t>
            </w:r>
            <w:r>
              <w:rPr>
                <w:rFonts w:hint="eastAsia"/>
                <w:color w:val="auto"/>
                <w:highlight w:val="none"/>
              </w:rPr>
              <w:t>《环境空气质量标准》（GB3095-20</w:t>
            </w:r>
            <w:r>
              <w:rPr>
                <w:rFonts w:hint="eastAsia"/>
                <w:color w:val="auto"/>
                <w:highlight w:val="none"/>
                <w:lang w:val="en-US" w:eastAsia="zh-CN"/>
              </w:rPr>
              <w:t>26</w:t>
            </w:r>
            <w:r>
              <w:rPr>
                <w:rFonts w:hint="eastAsia"/>
                <w:color w:val="auto"/>
                <w:highlight w:val="none"/>
              </w:rPr>
              <w:t>）中二级标准要求。</w:t>
            </w:r>
            <w:r>
              <w:rPr>
                <w:color w:val="auto"/>
                <w:highlight w:val="none"/>
              </w:rPr>
              <w:t>具体见表3</w:t>
            </w:r>
            <w:r>
              <w:rPr>
                <w:rFonts w:hint="eastAsia"/>
                <w:color w:val="auto"/>
                <w:highlight w:val="none"/>
              </w:rPr>
              <w:t>.1</w:t>
            </w:r>
            <w:r>
              <w:rPr>
                <w:color w:val="auto"/>
                <w:highlight w:val="none"/>
              </w:rPr>
              <w:t>-</w:t>
            </w:r>
            <w:r>
              <w:rPr>
                <w:rFonts w:hint="eastAsia"/>
                <w:color w:val="auto"/>
                <w:highlight w:val="none"/>
                <w:lang w:val="en-US" w:eastAsia="zh-CN"/>
              </w:rPr>
              <w:t>5</w:t>
            </w:r>
            <w:r>
              <w:rPr>
                <w:color w:val="auto"/>
                <w:highlight w:val="none"/>
              </w:rPr>
              <w:t>。</w:t>
            </w:r>
          </w:p>
          <w:p>
            <w:pPr>
              <w:pStyle w:val="36"/>
              <w:bidi w:val="0"/>
              <w:rPr>
                <w:color w:val="auto"/>
                <w:highlight w:val="none"/>
              </w:rPr>
            </w:pPr>
            <w:r>
              <w:rPr>
                <w:color w:val="auto"/>
                <w:highlight w:val="none"/>
              </w:rPr>
              <w:t>表3</w:t>
            </w:r>
            <w:r>
              <w:rPr>
                <w:rFonts w:hint="eastAsia"/>
                <w:color w:val="auto"/>
                <w:highlight w:val="none"/>
              </w:rPr>
              <w:t>.1</w:t>
            </w:r>
            <w:r>
              <w:rPr>
                <w:color w:val="auto"/>
                <w:highlight w:val="none"/>
              </w:rPr>
              <w:t>-</w:t>
            </w:r>
            <w:r>
              <w:rPr>
                <w:rFonts w:hint="eastAsia"/>
                <w:color w:val="auto"/>
                <w:highlight w:val="none"/>
                <w:lang w:val="en-US" w:eastAsia="zh-CN"/>
              </w:rPr>
              <w:t>5</w:t>
            </w:r>
            <w:r>
              <w:rPr>
                <w:color w:val="auto"/>
                <w:highlight w:val="none"/>
              </w:rPr>
              <w:t xml:space="preserve">  评价标准一览表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318"/>
              <w:gridCol w:w="622"/>
              <w:gridCol w:w="792"/>
              <w:gridCol w:w="4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8" w:type="pct"/>
                  <w:noWrap/>
                  <w:vAlign w:val="center"/>
                </w:tcPr>
                <w:p>
                  <w:pPr>
                    <w:pStyle w:val="57"/>
                    <w:bidi w:val="0"/>
                    <w:rPr>
                      <w:color w:val="auto"/>
                      <w:highlight w:val="none"/>
                    </w:rPr>
                  </w:pPr>
                  <w:r>
                    <w:rPr>
                      <w:color w:val="auto"/>
                      <w:highlight w:val="none"/>
                    </w:rPr>
                    <w:t>污染物</w:t>
                  </w:r>
                </w:p>
              </w:tc>
              <w:tc>
                <w:tcPr>
                  <w:tcW w:w="1165" w:type="pct"/>
                  <w:gridSpan w:val="2"/>
                  <w:noWrap/>
                  <w:vAlign w:val="center"/>
                </w:tcPr>
                <w:p>
                  <w:pPr>
                    <w:pStyle w:val="57"/>
                    <w:bidi w:val="0"/>
                    <w:rPr>
                      <w:color w:val="auto"/>
                      <w:highlight w:val="none"/>
                    </w:rPr>
                  </w:pPr>
                  <w:r>
                    <w:rPr>
                      <w:color w:val="auto"/>
                      <w:highlight w:val="none"/>
                    </w:rPr>
                    <w:t>标准值</w:t>
                  </w:r>
                </w:p>
              </w:tc>
              <w:tc>
                <w:tcPr>
                  <w:tcW w:w="475" w:type="pct"/>
                  <w:noWrap/>
                  <w:vAlign w:val="center"/>
                </w:tcPr>
                <w:p>
                  <w:pPr>
                    <w:pStyle w:val="57"/>
                    <w:bidi w:val="0"/>
                    <w:rPr>
                      <w:color w:val="auto"/>
                      <w:highlight w:val="none"/>
                    </w:rPr>
                  </w:pPr>
                  <w:r>
                    <w:rPr>
                      <w:color w:val="auto"/>
                      <w:highlight w:val="none"/>
                    </w:rPr>
                    <w:t>单位</w:t>
                  </w:r>
                </w:p>
              </w:tc>
              <w:tc>
                <w:tcPr>
                  <w:tcW w:w="2819" w:type="pct"/>
                  <w:noWrap/>
                  <w:vAlign w:val="center"/>
                </w:tcPr>
                <w:p>
                  <w:pPr>
                    <w:pStyle w:val="57"/>
                    <w:bidi w:val="0"/>
                    <w:rPr>
                      <w:color w:val="auto"/>
                      <w:highlight w:val="none"/>
                    </w:rPr>
                  </w:pPr>
                  <w:r>
                    <w:rPr>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8" w:type="pct"/>
                  <w:noWrap/>
                  <w:vAlign w:val="center"/>
                </w:tcPr>
                <w:p>
                  <w:pPr>
                    <w:pStyle w:val="57"/>
                    <w:bidi w:val="0"/>
                    <w:rPr>
                      <w:color w:val="auto"/>
                      <w:highlight w:val="none"/>
                    </w:rPr>
                  </w:pPr>
                  <w:r>
                    <w:rPr>
                      <w:rFonts w:hint="eastAsia"/>
                      <w:color w:val="auto"/>
                      <w:highlight w:val="none"/>
                    </w:rPr>
                    <w:t>TSP</w:t>
                  </w:r>
                </w:p>
              </w:tc>
              <w:tc>
                <w:tcPr>
                  <w:tcW w:w="791" w:type="pct"/>
                  <w:noWrap/>
                  <w:vAlign w:val="center"/>
                </w:tcPr>
                <w:p>
                  <w:pPr>
                    <w:pStyle w:val="57"/>
                    <w:bidi w:val="0"/>
                    <w:rPr>
                      <w:rFonts w:hint="eastAsia" w:eastAsia="宋体"/>
                      <w:color w:val="auto"/>
                      <w:highlight w:val="none"/>
                      <w:lang w:eastAsia="zh-CN"/>
                    </w:rPr>
                  </w:pPr>
                  <w:r>
                    <w:rPr>
                      <w:rFonts w:hint="eastAsia"/>
                      <w:color w:val="auto"/>
                      <w:highlight w:val="none"/>
                      <w:lang w:eastAsia="zh-CN"/>
                    </w:rPr>
                    <w:t>日平均</w:t>
                  </w:r>
                </w:p>
              </w:tc>
              <w:tc>
                <w:tcPr>
                  <w:tcW w:w="373" w:type="pct"/>
                  <w:noWrap/>
                  <w:vAlign w:val="center"/>
                </w:tcPr>
                <w:p>
                  <w:pPr>
                    <w:pStyle w:val="57"/>
                    <w:bidi w:val="0"/>
                    <w:rPr>
                      <w:color w:val="auto"/>
                      <w:highlight w:val="none"/>
                    </w:rPr>
                  </w:pPr>
                  <w:r>
                    <w:rPr>
                      <w:rFonts w:hint="eastAsia"/>
                      <w:color w:val="auto"/>
                      <w:highlight w:val="none"/>
                    </w:rPr>
                    <w:t>300</w:t>
                  </w:r>
                </w:p>
              </w:tc>
              <w:tc>
                <w:tcPr>
                  <w:tcW w:w="475" w:type="pct"/>
                  <w:noWrap/>
                  <w:vAlign w:val="center"/>
                </w:tcPr>
                <w:p>
                  <w:pPr>
                    <w:pStyle w:val="57"/>
                    <w:bidi w:val="0"/>
                    <w:rPr>
                      <w:color w:val="auto"/>
                      <w:highlight w:val="none"/>
                    </w:rPr>
                  </w:pPr>
                  <w:r>
                    <w:rPr>
                      <w:color w:val="auto"/>
                      <w:highlight w:val="none"/>
                    </w:rPr>
                    <w:t>ug</w:t>
                  </w:r>
                  <w:r>
                    <w:rPr>
                      <w:rFonts w:hint="eastAsia"/>
                      <w:color w:val="auto"/>
                      <w:highlight w:val="none"/>
                    </w:rPr>
                    <w:t>/m</w:t>
                  </w:r>
                  <w:r>
                    <w:rPr>
                      <w:rFonts w:hint="eastAsia"/>
                      <w:color w:val="auto"/>
                      <w:highlight w:val="none"/>
                      <w:vertAlign w:val="superscript"/>
                    </w:rPr>
                    <w:t>3</w:t>
                  </w:r>
                </w:p>
              </w:tc>
              <w:tc>
                <w:tcPr>
                  <w:tcW w:w="2819" w:type="pct"/>
                  <w:noWrap/>
                  <w:vAlign w:val="center"/>
                </w:tcPr>
                <w:p>
                  <w:pPr>
                    <w:pStyle w:val="57"/>
                    <w:bidi w:val="0"/>
                    <w:rPr>
                      <w:color w:val="auto"/>
                      <w:highlight w:val="none"/>
                    </w:rPr>
                  </w:pPr>
                  <w:r>
                    <w:rPr>
                      <w:rFonts w:hint="eastAsia"/>
                      <w:color w:val="auto"/>
                      <w:highlight w:val="none"/>
                    </w:rPr>
                    <w:t>《环境空气质量标准》（GB3095-20</w:t>
                  </w:r>
                  <w:r>
                    <w:rPr>
                      <w:rFonts w:hint="eastAsia"/>
                      <w:color w:val="auto"/>
                      <w:highlight w:val="none"/>
                      <w:lang w:val="en-US" w:eastAsia="zh-CN"/>
                    </w:rPr>
                    <w:t>26</w:t>
                  </w:r>
                  <w:r>
                    <w:rPr>
                      <w:rFonts w:hint="eastAsia"/>
                      <w:color w:val="auto"/>
                      <w:highlight w:val="none"/>
                    </w:rPr>
                    <w:t>）</w:t>
                  </w:r>
                  <w:r>
                    <w:rPr>
                      <w:rFonts w:hint="eastAsia"/>
                      <w:color w:val="auto"/>
                      <w:highlight w:val="none"/>
                      <w:lang w:val="en-US" w:eastAsia="zh-CN"/>
                    </w:rPr>
                    <w:t>中</w:t>
                  </w:r>
                  <w:r>
                    <w:rPr>
                      <w:rFonts w:hint="eastAsia"/>
                      <w:color w:val="auto"/>
                      <w:highlight w:val="none"/>
                    </w:rPr>
                    <w:t>二级标准</w:t>
                  </w:r>
                </w:p>
              </w:tc>
            </w:tr>
          </w:tbl>
          <w:p>
            <w:pPr>
              <w:pStyle w:val="6"/>
              <w:bidi w:val="0"/>
              <w:rPr>
                <w:color w:val="auto"/>
                <w:highlight w:val="none"/>
              </w:rPr>
            </w:pPr>
            <w:r>
              <w:rPr>
                <w:rFonts w:hint="eastAsia"/>
                <w:color w:val="auto"/>
                <w:highlight w:val="none"/>
              </w:rPr>
              <w:t>（5）</w:t>
            </w:r>
            <w:r>
              <w:rPr>
                <w:color w:val="auto"/>
                <w:highlight w:val="none"/>
              </w:rPr>
              <w:t>监测结果与评价</w:t>
            </w:r>
          </w:p>
          <w:p>
            <w:pPr>
              <w:pStyle w:val="6"/>
              <w:bidi w:val="0"/>
              <w:rPr>
                <w:color w:val="auto"/>
                <w:highlight w:val="none"/>
              </w:rPr>
            </w:pPr>
            <w:r>
              <w:rPr>
                <w:rFonts w:hint="eastAsia"/>
                <w:color w:val="auto"/>
                <w:highlight w:val="none"/>
              </w:rPr>
              <w:t>其他污染物环境质量现状</w:t>
            </w:r>
            <w:r>
              <w:rPr>
                <w:color w:val="auto"/>
                <w:highlight w:val="none"/>
              </w:rPr>
              <w:t>监测结果见表3</w:t>
            </w:r>
            <w:r>
              <w:rPr>
                <w:rFonts w:hint="eastAsia"/>
                <w:color w:val="auto"/>
                <w:highlight w:val="none"/>
              </w:rPr>
              <w:t>.1</w:t>
            </w:r>
            <w:r>
              <w:rPr>
                <w:color w:val="auto"/>
                <w:highlight w:val="none"/>
              </w:rPr>
              <w:t>-</w:t>
            </w:r>
            <w:r>
              <w:rPr>
                <w:rFonts w:hint="eastAsia"/>
                <w:color w:val="auto"/>
                <w:highlight w:val="none"/>
                <w:lang w:val="en-US" w:eastAsia="zh-CN"/>
              </w:rPr>
              <w:t>6</w:t>
            </w:r>
            <w:r>
              <w:rPr>
                <w:color w:val="auto"/>
                <w:highlight w:val="none"/>
              </w:rPr>
              <w:t>。</w:t>
            </w:r>
          </w:p>
          <w:p>
            <w:pPr>
              <w:pStyle w:val="36"/>
              <w:bidi w:val="0"/>
              <w:rPr>
                <w:color w:val="auto"/>
                <w:highlight w:val="none"/>
              </w:rPr>
            </w:pPr>
          </w:p>
          <w:p>
            <w:pPr>
              <w:pStyle w:val="36"/>
              <w:bidi w:val="0"/>
              <w:rPr>
                <w:color w:val="auto"/>
                <w:highlight w:val="none"/>
              </w:rPr>
            </w:pPr>
          </w:p>
          <w:p>
            <w:pPr>
              <w:pStyle w:val="36"/>
              <w:bidi w:val="0"/>
              <w:rPr>
                <w:color w:val="auto"/>
                <w:highlight w:val="none"/>
              </w:rPr>
            </w:pPr>
            <w:r>
              <w:rPr>
                <w:color w:val="auto"/>
                <w:highlight w:val="none"/>
              </w:rPr>
              <w:t>表3</w:t>
            </w:r>
            <w:r>
              <w:rPr>
                <w:rFonts w:hint="eastAsia"/>
                <w:color w:val="auto"/>
                <w:highlight w:val="none"/>
              </w:rPr>
              <w:t>.1</w:t>
            </w:r>
            <w:r>
              <w:rPr>
                <w:color w:val="auto"/>
                <w:highlight w:val="none"/>
              </w:rPr>
              <w:t>-</w:t>
            </w:r>
            <w:r>
              <w:rPr>
                <w:rFonts w:hint="eastAsia"/>
                <w:color w:val="auto"/>
                <w:highlight w:val="none"/>
                <w:lang w:val="en-US" w:eastAsia="zh-CN"/>
              </w:rPr>
              <w:t>6</w:t>
            </w:r>
            <w:r>
              <w:rPr>
                <w:color w:val="auto"/>
                <w:highlight w:val="none"/>
              </w:rPr>
              <w:t xml:space="preserve">  其他污染物环境质量现状（检测结果）表 </w:t>
            </w:r>
            <w:r>
              <w:rPr>
                <w:rFonts w:hint="eastAsia"/>
                <w:color w:val="auto"/>
                <w:highlight w:val="none"/>
              </w:rPr>
              <w:t xml:space="preserve"> </w:t>
            </w:r>
            <w:r>
              <w:rPr>
                <w:color w:val="auto"/>
                <w:highlight w:val="none"/>
              </w:rPr>
              <w:t xml:space="preserve"> 单位：mg/m</w:t>
            </w:r>
            <w:r>
              <w:rPr>
                <w:color w:val="auto"/>
                <w:highlight w:val="none"/>
                <w:vertAlign w:val="superscript"/>
              </w:rPr>
              <w:t>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37"/>
              <w:gridCol w:w="825"/>
              <w:gridCol w:w="725"/>
              <w:gridCol w:w="750"/>
              <w:gridCol w:w="850"/>
              <w:gridCol w:w="913"/>
              <w:gridCol w:w="1000"/>
              <w:gridCol w:w="750"/>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431" w:type="pct"/>
                  <w:vMerge w:val="restart"/>
                  <w:noWrap/>
                  <w:vAlign w:val="center"/>
                </w:tcPr>
                <w:p>
                  <w:pPr>
                    <w:pStyle w:val="57"/>
                    <w:bidi w:val="0"/>
                    <w:rPr>
                      <w:color w:val="auto"/>
                      <w:highlight w:val="none"/>
                    </w:rPr>
                  </w:pPr>
                  <w:bookmarkStart w:id="9" w:name="_Toc504668691"/>
                  <w:bookmarkStart w:id="10" w:name="_Toc21729"/>
                  <w:bookmarkStart w:id="11" w:name="_Toc10000"/>
                  <w:bookmarkStart w:id="12" w:name="_Toc17159"/>
                  <w:r>
                    <w:rPr>
                      <w:color w:val="auto"/>
                      <w:highlight w:val="none"/>
                    </w:rPr>
                    <w:t>监测点位</w:t>
                  </w:r>
                </w:p>
              </w:tc>
              <w:tc>
                <w:tcPr>
                  <w:tcW w:w="998" w:type="pct"/>
                  <w:gridSpan w:val="2"/>
                  <w:noWrap/>
                  <w:vAlign w:val="center"/>
                </w:tcPr>
                <w:p>
                  <w:pPr>
                    <w:pStyle w:val="57"/>
                    <w:bidi w:val="0"/>
                    <w:rPr>
                      <w:color w:val="auto"/>
                      <w:highlight w:val="none"/>
                    </w:rPr>
                  </w:pPr>
                  <w:r>
                    <w:rPr>
                      <w:color w:val="auto"/>
                      <w:highlight w:val="none"/>
                    </w:rPr>
                    <w:t>坐标</w:t>
                  </w:r>
                </w:p>
              </w:tc>
              <w:tc>
                <w:tcPr>
                  <w:tcW w:w="435" w:type="pct"/>
                  <w:vMerge w:val="restart"/>
                  <w:noWrap/>
                  <w:vAlign w:val="center"/>
                </w:tcPr>
                <w:p>
                  <w:pPr>
                    <w:pStyle w:val="57"/>
                    <w:bidi w:val="0"/>
                    <w:rPr>
                      <w:color w:val="auto"/>
                      <w:highlight w:val="none"/>
                    </w:rPr>
                  </w:pPr>
                  <w:r>
                    <w:rPr>
                      <w:rFonts w:hint="eastAsia"/>
                      <w:color w:val="auto"/>
                      <w:highlight w:val="none"/>
                    </w:rPr>
                    <w:t>项目</w:t>
                  </w:r>
                </w:p>
              </w:tc>
              <w:tc>
                <w:tcPr>
                  <w:tcW w:w="450" w:type="pct"/>
                  <w:vMerge w:val="restart"/>
                  <w:noWrap/>
                  <w:vAlign w:val="center"/>
                </w:tcPr>
                <w:p>
                  <w:pPr>
                    <w:pStyle w:val="57"/>
                    <w:bidi w:val="0"/>
                    <w:rPr>
                      <w:color w:val="auto"/>
                      <w:highlight w:val="none"/>
                    </w:rPr>
                  </w:pPr>
                  <w:r>
                    <w:rPr>
                      <w:color w:val="auto"/>
                      <w:highlight w:val="none"/>
                    </w:rPr>
                    <w:t>平均</w:t>
                  </w:r>
                </w:p>
                <w:p>
                  <w:pPr>
                    <w:pStyle w:val="57"/>
                    <w:bidi w:val="0"/>
                    <w:rPr>
                      <w:color w:val="auto"/>
                      <w:highlight w:val="none"/>
                    </w:rPr>
                  </w:pPr>
                  <w:r>
                    <w:rPr>
                      <w:color w:val="auto"/>
                      <w:highlight w:val="none"/>
                    </w:rPr>
                    <w:t>时间</w:t>
                  </w:r>
                </w:p>
              </w:tc>
              <w:tc>
                <w:tcPr>
                  <w:tcW w:w="510" w:type="pct"/>
                  <w:vMerge w:val="restart"/>
                  <w:noWrap/>
                  <w:vAlign w:val="center"/>
                </w:tcPr>
                <w:p>
                  <w:pPr>
                    <w:pStyle w:val="57"/>
                    <w:bidi w:val="0"/>
                    <w:rPr>
                      <w:color w:val="auto"/>
                      <w:highlight w:val="none"/>
                    </w:rPr>
                  </w:pPr>
                  <w:r>
                    <w:rPr>
                      <w:color w:val="auto"/>
                      <w:highlight w:val="none"/>
                    </w:rPr>
                    <w:t>评价标准mg/m</w:t>
                  </w:r>
                  <w:r>
                    <w:rPr>
                      <w:color w:val="auto"/>
                      <w:highlight w:val="none"/>
                      <w:vertAlign w:val="superscript"/>
                    </w:rPr>
                    <w:t>3</w:t>
                  </w:r>
                </w:p>
              </w:tc>
              <w:tc>
                <w:tcPr>
                  <w:tcW w:w="548" w:type="pct"/>
                  <w:vMerge w:val="restart"/>
                  <w:noWrap/>
                  <w:vAlign w:val="center"/>
                </w:tcPr>
                <w:p>
                  <w:pPr>
                    <w:pStyle w:val="57"/>
                    <w:bidi w:val="0"/>
                    <w:rPr>
                      <w:color w:val="auto"/>
                      <w:highlight w:val="none"/>
                    </w:rPr>
                  </w:pPr>
                  <w:r>
                    <w:rPr>
                      <w:color w:val="auto"/>
                      <w:highlight w:val="none"/>
                    </w:rPr>
                    <w:t>检测浓度范围mg/m</w:t>
                  </w:r>
                  <w:r>
                    <w:rPr>
                      <w:color w:val="auto"/>
                      <w:highlight w:val="none"/>
                      <w:vertAlign w:val="superscript"/>
                    </w:rPr>
                    <w:t>3</w:t>
                  </w:r>
                </w:p>
              </w:tc>
              <w:tc>
                <w:tcPr>
                  <w:tcW w:w="600" w:type="pct"/>
                  <w:vMerge w:val="restart"/>
                  <w:noWrap/>
                  <w:vAlign w:val="center"/>
                </w:tcPr>
                <w:p>
                  <w:pPr>
                    <w:pStyle w:val="57"/>
                    <w:bidi w:val="0"/>
                    <w:rPr>
                      <w:color w:val="auto"/>
                      <w:highlight w:val="none"/>
                    </w:rPr>
                  </w:pPr>
                  <w:r>
                    <w:rPr>
                      <w:color w:val="auto"/>
                      <w:highlight w:val="none"/>
                    </w:rPr>
                    <w:t>最大浓度占标率%</w:t>
                  </w:r>
                </w:p>
              </w:tc>
              <w:tc>
                <w:tcPr>
                  <w:tcW w:w="450" w:type="pct"/>
                  <w:vMerge w:val="restart"/>
                  <w:noWrap/>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超标率%</w:t>
                  </w:r>
                </w:p>
              </w:tc>
              <w:tc>
                <w:tcPr>
                  <w:tcW w:w="572" w:type="pct"/>
                  <w:vMerge w:val="restart"/>
                  <w:noWrap/>
                  <w:vAlign w:val="center"/>
                </w:tcPr>
                <w:p>
                  <w:pPr>
                    <w:pStyle w:val="57"/>
                    <w:bidi w:val="0"/>
                    <w:rPr>
                      <w:color w:val="auto"/>
                      <w:highlight w:val="none"/>
                    </w:rPr>
                  </w:pPr>
                  <w:r>
                    <w:rPr>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1" w:type="pct"/>
                  <w:vMerge w:val="continue"/>
                  <w:noWrap/>
                  <w:vAlign w:val="center"/>
                </w:tcPr>
                <w:p>
                  <w:pPr>
                    <w:pStyle w:val="57"/>
                    <w:bidi w:val="0"/>
                    <w:rPr>
                      <w:color w:val="auto"/>
                      <w:highlight w:val="none"/>
                    </w:rPr>
                  </w:pPr>
                </w:p>
              </w:tc>
              <w:tc>
                <w:tcPr>
                  <w:tcW w:w="502" w:type="pct"/>
                  <w:noWrap/>
                  <w:vAlign w:val="center"/>
                </w:tcPr>
                <w:p>
                  <w:pPr>
                    <w:pStyle w:val="57"/>
                    <w:bidi w:val="0"/>
                    <w:rPr>
                      <w:color w:val="auto"/>
                      <w:highlight w:val="none"/>
                    </w:rPr>
                  </w:pPr>
                  <w:r>
                    <w:rPr>
                      <w:rFonts w:hint="eastAsia"/>
                      <w:color w:val="auto"/>
                      <w:highlight w:val="none"/>
                    </w:rPr>
                    <w:t>东经</w:t>
                  </w:r>
                </w:p>
              </w:tc>
              <w:tc>
                <w:tcPr>
                  <w:tcW w:w="495" w:type="pct"/>
                  <w:noWrap/>
                  <w:vAlign w:val="center"/>
                </w:tcPr>
                <w:p>
                  <w:pPr>
                    <w:pStyle w:val="57"/>
                    <w:bidi w:val="0"/>
                    <w:rPr>
                      <w:color w:val="auto"/>
                      <w:highlight w:val="none"/>
                    </w:rPr>
                  </w:pPr>
                  <w:r>
                    <w:rPr>
                      <w:rFonts w:hint="eastAsia"/>
                      <w:color w:val="auto"/>
                      <w:highlight w:val="none"/>
                    </w:rPr>
                    <w:t>北纬</w:t>
                  </w:r>
                </w:p>
              </w:tc>
              <w:tc>
                <w:tcPr>
                  <w:tcW w:w="435" w:type="pct"/>
                  <w:vMerge w:val="continue"/>
                  <w:noWrap/>
                  <w:vAlign w:val="center"/>
                </w:tcPr>
                <w:p>
                  <w:pPr>
                    <w:pStyle w:val="57"/>
                    <w:bidi w:val="0"/>
                    <w:rPr>
                      <w:color w:val="auto"/>
                      <w:highlight w:val="none"/>
                    </w:rPr>
                  </w:pPr>
                </w:p>
              </w:tc>
              <w:tc>
                <w:tcPr>
                  <w:tcW w:w="450" w:type="pct"/>
                  <w:vMerge w:val="continue"/>
                  <w:noWrap/>
                  <w:vAlign w:val="center"/>
                </w:tcPr>
                <w:p>
                  <w:pPr>
                    <w:pStyle w:val="57"/>
                    <w:bidi w:val="0"/>
                    <w:rPr>
                      <w:color w:val="auto"/>
                      <w:highlight w:val="none"/>
                    </w:rPr>
                  </w:pPr>
                </w:p>
              </w:tc>
              <w:tc>
                <w:tcPr>
                  <w:tcW w:w="510" w:type="pct"/>
                  <w:vMerge w:val="continue"/>
                  <w:noWrap/>
                  <w:vAlign w:val="center"/>
                </w:tcPr>
                <w:p>
                  <w:pPr>
                    <w:pStyle w:val="57"/>
                    <w:bidi w:val="0"/>
                    <w:rPr>
                      <w:color w:val="auto"/>
                      <w:highlight w:val="none"/>
                    </w:rPr>
                  </w:pPr>
                </w:p>
              </w:tc>
              <w:tc>
                <w:tcPr>
                  <w:tcW w:w="548" w:type="pct"/>
                  <w:vMerge w:val="continue"/>
                  <w:noWrap/>
                  <w:vAlign w:val="center"/>
                </w:tcPr>
                <w:p>
                  <w:pPr>
                    <w:pStyle w:val="57"/>
                    <w:bidi w:val="0"/>
                    <w:rPr>
                      <w:color w:val="auto"/>
                      <w:highlight w:val="none"/>
                    </w:rPr>
                  </w:pPr>
                </w:p>
              </w:tc>
              <w:tc>
                <w:tcPr>
                  <w:tcW w:w="600" w:type="pct"/>
                  <w:vMerge w:val="continue"/>
                  <w:noWrap/>
                  <w:vAlign w:val="center"/>
                </w:tcPr>
                <w:p>
                  <w:pPr>
                    <w:pStyle w:val="57"/>
                    <w:bidi w:val="0"/>
                    <w:rPr>
                      <w:color w:val="auto"/>
                      <w:highlight w:val="none"/>
                    </w:rPr>
                  </w:pPr>
                </w:p>
              </w:tc>
              <w:tc>
                <w:tcPr>
                  <w:tcW w:w="450" w:type="pct"/>
                  <w:vMerge w:val="continue"/>
                  <w:noWrap/>
                  <w:vAlign w:val="center"/>
                </w:tcPr>
                <w:p>
                  <w:pPr>
                    <w:pStyle w:val="57"/>
                    <w:bidi w:val="0"/>
                    <w:rPr>
                      <w:color w:val="auto"/>
                      <w:highlight w:val="none"/>
                    </w:rPr>
                  </w:pPr>
                </w:p>
              </w:tc>
              <w:tc>
                <w:tcPr>
                  <w:tcW w:w="572" w:type="pct"/>
                  <w:vMerge w:val="continue"/>
                  <w:noWrap/>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431" w:type="pct"/>
                  <w:noWrap/>
                  <w:vAlign w:val="center"/>
                </w:tcPr>
                <w:p>
                  <w:pPr>
                    <w:pStyle w:val="57"/>
                    <w:bidi w:val="0"/>
                    <w:rPr>
                      <w:color w:val="auto"/>
                      <w:highlight w:val="none"/>
                    </w:rPr>
                  </w:pPr>
                  <w:r>
                    <w:rPr>
                      <w:rFonts w:hint="eastAsia"/>
                      <w:color w:val="auto"/>
                      <w:highlight w:val="none"/>
                      <w:lang w:val="en-US" w:eastAsia="zh-CN"/>
                    </w:rPr>
                    <w:t>北部片区11#</w:t>
                  </w:r>
                </w:p>
              </w:tc>
              <w:tc>
                <w:tcPr>
                  <w:tcW w:w="502" w:type="pct"/>
                  <w:noWrap/>
                  <w:vAlign w:val="center"/>
                </w:tcPr>
                <w:p>
                  <w:pPr>
                    <w:pStyle w:val="57"/>
                    <w:bidi w:val="0"/>
                    <w:rPr>
                      <w:rFonts w:hint="default"/>
                      <w:color w:val="auto"/>
                      <w:highlight w:val="none"/>
                      <w:lang w:val="en-US" w:eastAsia="zh-CN"/>
                    </w:rPr>
                  </w:pPr>
                  <w:r>
                    <w:rPr>
                      <w:rFonts w:hint="eastAsia"/>
                      <w:color w:val="auto"/>
                      <w:highlight w:val="none"/>
                    </w:rPr>
                    <w:t>86</w:t>
                  </w:r>
                  <w:r>
                    <w:rPr>
                      <w:rFonts w:hint="eastAsia"/>
                      <w:color w:val="auto"/>
                      <w:highlight w:val="none"/>
                      <w:lang w:val="en-US" w:eastAsia="zh-CN"/>
                    </w:rPr>
                    <w:t>.267688</w:t>
                  </w:r>
                </w:p>
              </w:tc>
              <w:tc>
                <w:tcPr>
                  <w:tcW w:w="495" w:type="pct"/>
                  <w:noWrap/>
                  <w:vAlign w:val="center"/>
                </w:tcPr>
                <w:p>
                  <w:pPr>
                    <w:pStyle w:val="57"/>
                    <w:bidi w:val="0"/>
                    <w:rPr>
                      <w:color w:val="auto"/>
                      <w:highlight w:val="none"/>
                    </w:rPr>
                  </w:pPr>
                  <w:r>
                    <w:rPr>
                      <w:rFonts w:hint="eastAsia"/>
                      <w:color w:val="auto"/>
                      <w:highlight w:val="none"/>
                    </w:rPr>
                    <w:t>41.665008</w:t>
                  </w:r>
                </w:p>
              </w:tc>
              <w:tc>
                <w:tcPr>
                  <w:tcW w:w="435" w:type="pct"/>
                  <w:noWrap/>
                  <w:vAlign w:val="center"/>
                </w:tcPr>
                <w:p>
                  <w:pPr>
                    <w:pStyle w:val="57"/>
                    <w:bidi w:val="0"/>
                    <w:rPr>
                      <w:color w:val="auto"/>
                      <w:highlight w:val="none"/>
                    </w:rPr>
                  </w:pPr>
                  <w:r>
                    <w:rPr>
                      <w:rFonts w:hint="eastAsia"/>
                      <w:color w:val="auto"/>
                      <w:highlight w:val="none"/>
                    </w:rPr>
                    <w:t>TSP</w:t>
                  </w:r>
                </w:p>
              </w:tc>
              <w:tc>
                <w:tcPr>
                  <w:tcW w:w="450" w:type="pct"/>
                  <w:noWrap/>
                  <w:vAlign w:val="center"/>
                </w:tcPr>
                <w:p>
                  <w:pPr>
                    <w:pStyle w:val="57"/>
                    <w:bidi w:val="0"/>
                    <w:rPr>
                      <w:rFonts w:hint="eastAsia" w:eastAsia="宋体"/>
                      <w:color w:val="auto"/>
                      <w:highlight w:val="none"/>
                      <w:lang w:eastAsia="zh-CN"/>
                    </w:rPr>
                  </w:pPr>
                  <w:r>
                    <w:rPr>
                      <w:rFonts w:hint="eastAsia"/>
                      <w:color w:val="auto"/>
                      <w:highlight w:val="none"/>
                      <w:lang w:val="en-US" w:eastAsia="zh-CN"/>
                    </w:rPr>
                    <w:t>日均值</w:t>
                  </w:r>
                </w:p>
              </w:tc>
              <w:tc>
                <w:tcPr>
                  <w:tcW w:w="510" w:type="pct"/>
                  <w:noWrap/>
                  <w:vAlign w:val="center"/>
                </w:tcPr>
                <w:p>
                  <w:pPr>
                    <w:pStyle w:val="57"/>
                    <w:bidi w:val="0"/>
                    <w:rPr>
                      <w:rFonts w:hint="default"/>
                      <w:color w:val="auto"/>
                      <w:highlight w:val="none"/>
                      <w:lang w:val="en-US" w:eastAsia="zh-CN"/>
                    </w:rPr>
                  </w:pPr>
                  <w:r>
                    <w:rPr>
                      <w:rFonts w:hint="eastAsia"/>
                      <w:color w:val="auto"/>
                      <w:highlight w:val="none"/>
                      <w:lang w:val="en-US" w:eastAsia="zh-CN"/>
                    </w:rPr>
                    <w:t>0.3</w:t>
                  </w:r>
                </w:p>
              </w:tc>
              <w:tc>
                <w:tcPr>
                  <w:tcW w:w="548" w:type="pct"/>
                  <w:noWrap/>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0.224～0.702</w:t>
                  </w:r>
                </w:p>
              </w:tc>
              <w:tc>
                <w:tcPr>
                  <w:tcW w:w="600" w:type="pct"/>
                  <w:noWrap/>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234</w:t>
                  </w:r>
                </w:p>
              </w:tc>
              <w:tc>
                <w:tcPr>
                  <w:tcW w:w="450" w:type="pct"/>
                  <w:noWrap/>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42.9</w:t>
                  </w:r>
                </w:p>
              </w:tc>
              <w:tc>
                <w:tcPr>
                  <w:tcW w:w="572" w:type="pct"/>
                  <w:noWrap/>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超标</w:t>
                  </w:r>
                </w:p>
              </w:tc>
            </w:tr>
          </w:tbl>
          <w:p>
            <w:pPr>
              <w:pStyle w:val="6"/>
              <w:bidi w:val="0"/>
              <w:rPr>
                <w:rFonts w:hint="eastAsia"/>
                <w:color w:val="auto"/>
                <w:highlight w:val="none"/>
                <w:lang w:val="en-US" w:eastAsia="zh-CN"/>
              </w:rPr>
            </w:pPr>
            <w:r>
              <w:rPr>
                <w:rFonts w:hint="eastAsia"/>
                <w:color w:val="auto"/>
                <w:highlight w:val="none"/>
                <w:lang w:val="en-US" w:eastAsia="zh-CN"/>
              </w:rPr>
              <w:t>由表3.1-6可知，监测期间该监测点部分监测结果超过</w:t>
            </w:r>
            <w:r>
              <w:rPr>
                <w:rFonts w:hint="eastAsia"/>
                <w:color w:val="auto"/>
                <w:highlight w:val="none"/>
              </w:rPr>
              <w:t>《环境空气质量标准》（GB3095-20</w:t>
            </w:r>
            <w:r>
              <w:rPr>
                <w:rFonts w:hint="eastAsia"/>
                <w:color w:val="auto"/>
                <w:highlight w:val="none"/>
                <w:lang w:val="en-US" w:eastAsia="zh-CN"/>
              </w:rPr>
              <w:t>26</w:t>
            </w:r>
            <w:r>
              <w:rPr>
                <w:rFonts w:hint="eastAsia"/>
                <w:color w:val="auto"/>
                <w:highlight w:val="none"/>
              </w:rPr>
              <w:t>）二级标准</w:t>
            </w:r>
            <w:r>
              <w:rPr>
                <w:rFonts w:hint="eastAsia"/>
                <w:color w:val="auto"/>
                <w:highlight w:val="none"/>
                <w:lang w:eastAsia="zh-CN"/>
              </w:rPr>
              <w:t>，</w:t>
            </w:r>
            <w:r>
              <w:rPr>
                <w:rFonts w:hint="eastAsia"/>
                <w:color w:val="auto"/>
                <w:highlight w:val="none"/>
                <w:lang w:val="en-US" w:eastAsia="zh-CN"/>
              </w:rPr>
              <w:t>超标原因受</w:t>
            </w:r>
            <w:r>
              <w:rPr>
                <w:rFonts w:hint="eastAsia"/>
                <w:color w:val="auto"/>
                <w:highlight w:val="none"/>
              </w:rPr>
              <w:t>季节性风沙影响</w:t>
            </w:r>
            <w:r>
              <w:rPr>
                <w:rFonts w:hint="eastAsia"/>
                <w:color w:val="auto"/>
                <w:highlight w:val="none"/>
                <w:lang w:eastAsia="zh-CN"/>
              </w:rPr>
              <w:t>。</w:t>
            </w:r>
          </w:p>
          <w:p>
            <w:pPr>
              <w:pStyle w:val="6"/>
              <w:bidi w:val="0"/>
              <w:rPr>
                <w:rFonts w:hint="eastAsia"/>
                <w:color w:val="auto"/>
                <w:highlight w:val="none"/>
              </w:rPr>
            </w:pPr>
            <w:r>
              <w:rPr>
                <w:rFonts w:hint="eastAsia"/>
                <w:color w:val="auto"/>
                <w:highlight w:val="none"/>
              </w:rPr>
              <w:t>依据《关于将巴音郭楞蒙古自治州吐鲁番市哈密市纳入执行&lt;环境影响评价技术导则大气环境（</w:t>
            </w:r>
            <w:r>
              <w:rPr>
                <w:color w:val="auto"/>
                <w:highlight w:val="none"/>
              </w:rPr>
              <w:t>HJ2．2</w:t>
            </w:r>
            <w:r>
              <w:rPr>
                <w:rFonts w:hint="eastAsia"/>
                <w:color w:val="auto"/>
                <w:highlight w:val="none"/>
              </w:rPr>
              <w:t>-</w:t>
            </w:r>
            <w:r>
              <w:rPr>
                <w:color w:val="auto"/>
                <w:highlight w:val="none"/>
              </w:rPr>
              <w:t>2018）</w:t>
            </w:r>
            <w:r>
              <w:rPr>
                <w:rFonts w:hint="eastAsia"/>
                <w:color w:val="auto"/>
                <w:highlight w:val="none"/>
              </w:rPr>
              <w:t>&gt;</w:t>
            </w:r>
            <w:r>
              <w:rPr>
                <w:color w:val="auto"/>
                <w:highlight w:val="none"/>
              </w:rPr>
              <w:t>差别化政策范围的复函</w:t>
            </w:r>
            <w:r>
              <w:rPr>
                <w:rFonts w:hint="eastAsia"/>
                <w:color w:val="auto"/>
                <w:highlight w:val="none"/>
              </w:rPr>
              <w:t>》（环办环评函〔</w:t>
            </w:r>
            <w:r>
              <w:rPr>
                <w:color w:val="auto"/>
                <w:highlight w:val="none"/>
              </w:rPr>
              <w:t>2020〕341号</w:t>
            </w:r>
            <w:r>
              <w:rPr>
                <w:rFonts w:hint="eastAsia"/>
                <w:color w:val="auto"/>
                <w:highlight w:val="none"/>
              </w:rPr>
              <w:t>）及《关于在南疆四地州深度贫困地区实施&lt;环境影响评价技术导则</w:t>
            </w:r>
            <w:r>
              <w:rPr>
                <w:color w:val="auto"/>
                <w:highlight w:val="none"/>
              </w:rPr>
              <w:t xml:space="preserve"> 大气环境（HJ2.2</w:t>
            </w:r>
            <w:r>
              <w:rPr>
                <w:rFonts w:hint="eastAsia"/>
                <w:color w:val="auto"/>
                <w:highlight w:val="none"/>
              </w:rPr>
              <w:t>-</w:t>
            </w:r>
            <w:r>
              <w:rPr>
                <w:color w:val="auto"/>
                <w:highlight w:val="none"/>
              </w:rPr>
              <w:t>2018）</w:t>
            </w:r>
            <w:r>
              <w:rPr>
                <w:rFonts w:hint="eastAsia"/>
                <w:color w:val="auto"/>
                <w:highlight w:val="none"/>
              </w:rPr>
              <w:t>&gt;</w:t>
            </w:r>
            <w:r>
              <w:rPr>
                <w:color w:val="auto"/>
                <w:highlight w:val="none"/>
              </w:rPr>
              <w:t>差别化政策有关事宜的复函</w:t>
            </w:r>
            <w:r>
              <w:rPr>
                <w:rFonts w:hint="eastAsia"/>
                <w:color w:val="auto"/>
                <w:highlight w:val="none"/>
              </w:rPr>
              <w:t>》（</w:t>
            </w:r>
            <w:r>
              <w:rPr>
                <w:color w:val="auto"/>
                <w:highlight w:val="none"/>
              </w:rPr>
              <w:t>环办环评函</w:t>
            </w:r>
            <w:r>
              <w:rPr>
                <w:rFonts w:hint="eastAsia"/>
                <w:color w:val="auto"/>
                <w:highlight w:val="none"/>
              </w:rPr>
              <w:t>〔</w:t>
            </w:r>
            <w:r>
              <w:rPr>
                <w:color w:val="auto"/>
                <w:highlight w:val="none"/>
              </w:rPr>
              <w:t>2019〕590号</w:t>
            </w:r>
            <w:r>
              <w:rPr>
                <w:rFonts w:hint="eastAsia"/>
                <w:color w:val="auto"/>
                <w:highlight w:val="none"/>
              </w:rPr>
              <w:t>），本项目可不提供颗粒物区域削减方案。</w:t>
            </w:r>
          </w:p>
          <w:bookmarkEnd w:id="9"/>
          <w:bookmarkEnd w:id="10"/>
          <w:bookmarkEnd w:id="11"/>
          <w:bookmarkEnd w:id="12"/>
          <w:p>
            <w:pPr>
              <w:pStyle w:val="4"/>
              <w:bidi w:val="0"/>
              <w:rPr>
                <w:color w:val="auto"/>
                <w:highlight w:val="none"/>
              </w:rPr>
            </w:pPr>
            <w:r>
              <w:rPr>
                <w:rFonts w:hint="eastAsia"/>
                <w:color w:val="auto"/>
                <w:highlight w:val="none"/>
              </w:rPr>
              <w:t>3.1.</w:t>
            </w:r>
            <w:r>
              <w:rPr>
                <w:color w:val="auto"/>
                <w:highlight w:val="none"/>
              </w:rPr>
              <w:t>2</w:t>
            </w:r>
            <w:r>
              <w:rPr>
                <w:rFonts w:hint="eastAsia"/>
                <w:color w:val="auto"/>
                <w:highlight w:val="none"/>
              </w:rPr>
              <w:t xml:space="preserve"> </w:t>
            </w:r>
            <w:r>
              <w:rPr>
                <w:color w:val="auto"/>
                <w:highlight w:val="none"/>
              </w:rPr>
              <w:t>地表水环境质量现状</w:t>
            </w:r>
          </w:p>
          <w:p>
            <w:pPr>
              <w:pStyle w:val="6"/>
              <w:bidi w:val="0"/>
              <w:rPr>
                <w:color w:val="auto"/>
                <w:highlight w:val="none"/>
              </w:rPr>
            </w:pPr>
            <w:r>
              <w:rPr>
                <w:color w:val="auto"/>
                <w:highlight w:val="none"/>
              </w:rPr>
              <w:t>根据《</w:t>
            </w:r>
            <w:r>
              <w:rPr>
                <w:rFonts w:hint="eastAsia"/>
                <w:color w:val="auto"/>
                <w:highlight w:val="none"/>
              </w:rPr>
              <w:t>巴音郭楞蒙古自治州2024年生态环境状况公报</w:t>
            </w:r>
            <w:r>
              <w:rPr>
                <w:color w:val="auto"/>
                <w:highlight w:val="none"/>
              </w:rPr>
              <w:t>》，</w:t>
            </w:r>
            <w:r>
              <w:rPr>
                <w:rFonts w:hint="eastAsia"/>
                <w:color w:val="auto"/>
                <w:highlight w:val="none"/>
              </w:rPr>
              <w:t>2024年，全州地表水监测的31个考核断面（点位）中，Ⅰ~Ⅲ类优良水质断面（点位）占比90.3%，无Ⅳ类水质。6条主要河流19个监测断面中Ⅰ~Ⅲ类优良水质断面占100%，3个重要湖泊（水库）12个监测点位中Ⅰ~Ⅲ类优良水质断面占75%，无劣Ⅴ类水体，湖泊水质影响因子为化学需氧量。</w:t>
            </w:r>
          </w:p>
          <w:p>
            <w:pPr>
              <w:pStyle w:val="6"/>
              <w:bidi w:val="0"/>
              <w:rPr>
                <w:rFonts w:hint="eastAsia" w:eastAsia="宋体"/>
                <w:color w:val="auto"/>
                <w:highlight w:val="none"/>
                <w:lang w:val="en-US" w:eastAsia="zh-CN"/>
              </w:rPr>
            </w:pPr>
            <w:r>
              <w:rPr>
                <w:rFonts w:hint="eastAsia"/>
                <w:color w:val="auto"/>
                <w:highlight w:val="none"/>
                <w:lang w:val="en-US" w:eastAsia="zh-CN"/>
              </w:rPr>
              <w:t>结合《2025年上半年巴州水污染防治工作进展情况》，根据2025年1-6月河流监测数据，巴州6条监测河流（孔雀河、开都河、车尔臣河、黄水沟、迪那河、塔里木河）19个水质监测断面水质达到或好于Ⅲ类水体比例为100%。湖库水环境质量：根据2025年1-6月湖库监测数据，巴州一湖两水库（博斯腾湖、西尼尔水库、大西海子水库）中，博斯腾湖、西尼尔水库水质达到或好于Ⅲ类水体比例为83.3%</w:t>
            </w:r>
          </w:p>
          <w:p>
            <w:pPr>
              <w:pStyle w:val="6"/>
              <w:bidi w:val="0"/>
              <w:rPr>
                <w:rFonts w:hint="eastAsia"/>
                <w:color w:val="auto"/>
                <w:highlight w:val="none"/>
                <w:lang w:eastAsia="zh-CN"/>
              </w:rPr>
            </w:pPr>
            <w:r>
              <w:rPr>
                <w:color w:val="auto"/>
                <w:highlight w:val="none"/>
              </w:rPr>
              <w:t>本项目</w:t>
            </w:r>
            <w:r>
              <w:rPr>
                <w:rFonts w:hint="eastAsia"/>
                <w:color w:val="auto"/>
                <w:highlight w:val="none"/>
                <w:lang w:val="en-US" w:eastAsia="zh-CN"/>
              </w:rPr>
              <w:t>西</w:t>
            </w:r>
            <w:r>
              <w:rPr>
                <w:color w:val="auto"/>
                <w:highlight w:val="none"/>
              </w:rPr>
              <w:t>北距最近地表水体</w:t>
            </w:r>
            <w:r>
              <w:rPr>
                <w:rFonts w:hint="eastAsia"/>
                <w:color w:val="auto"/>
                <w:highlight w:val="none"/>
                <w:lang w:val="en-US" w:eastAsia="zh-CN"/>
              </w:rPr>
              <w:t>白鹭河（孔雀河分支）约4.5</w:t>
            </w:r>
            <w:r>
              <w:rPr>
                <w:rFonts w:hint="eastAsia"/>
                <w:color w:val="auto"/>
                <w:highlight w:val="none"/>
              </w:rPr>
              <w:t>km</w:t>
            </w:r>
            <w:r>
              <w:rPr>
                <w:rFonts w:hint="eastAsia"/>
                <w:color w:val="auto"/>
                <w:highlight w:val="none"/>
                <w:lang w:eastAsia="zh-CN"/>
              </w:rPr>
              <w:t>，</w:t>
            </w:r>
            <w:r>
              <w:rPr>
                <w:rFonts w:hint="eastAsia"/>
                <w:color w:val="auto"/>
                <w:highlight w:val="none"/>
                <w:lang w:val="en-US" w:eastAsia="zh-CN"/>
              </w:rPr>
              <w:t>根据公报，白鹭河（孔雀河分支）水质达到或好于Ⅲ类</w:t>
            </w:r>
            <w:r>
              <w:rPr>
                <w:rFonts w:hint="eastAsia"/>
                <w:color w:val="auto"/>
                <w:highlight w:val="none"/>
                <w:lang w:eastAsia="zh-CN"/>
              </w:rPr>
              <w:t>。</w:t>
            </w:r>
          </w:p>
          <w:p>
            <w:pPr>
              <w:pStyle w:val="4"/>
              <w:bidi w:val="0"/>
              <w:rPr>
                <w:rFonts w:hint="eastAsia"/>
                <w:color w:val="auto"/>
                <w:highlight w:val="none"/>
                <w:lang w:val="en-US" w:eastAsia="zh-CN"/>
              </w:rPr>
            </w:pPr>
            <w:r>
              <w:rPr>
                <w:rFonts w:hint="eastAsia"/>
                <w:color w:val="auto"/>
                <w:highlight w:val="none"/>
                <w:lang w:val="en-US" w:eastAsia="zh-CN"/>
              </w:rPr>
              <w:t>3.1.3 声环境质量现状</w:t>
            </w:r>
          </w:p>
          <w:p>
            <w:pPr>
              <w:pStyle w:val="6"/>
              <w:bidi w:val="0"/>
              <w:rPr>
                <w:rFonts w:hint="eastAsia"/>
                <w:color w:val="auto"/>
                <w:highlight w:val="none"/>
                <w:lang w:val="en-US" w:eastAsia="zh-CN"/>
              </w:rPr>
            </w:pPr>
            <w:r>
              <w:rPr>
                <w:rFonts w:hint="eastAsia"/>
                <w:color w:val="auto"/>
                <w:highlight w:val="none"/>
                <w:lang w:val="en-US" w:eastAsia="zh-CN"/>
              </w:rPr>
              <w:t>本项目位于现有厂区内，厂界外周边50m范围内不存在声环境保护目标，故不再对区域声环境质量现状进行监测。</w:t>
            </w:r>
          </w:p>
          <w:p>
            <w:pPr>
              <w:pStyle w:val="4"/>
              <w:bidi w:val="0"/>
              <w:rPr>
                <w:color w:val="auto"/>
                <w:highlight w:val="none"/>
              </w:rPr>
            </w:pPr>
            <w:r>
              <w:rPr>
                <w:rFonts w:hint="eastAsia"/>
                <w:color w:val="auto"/>
                <w:highlight w:val="none"/>
              </w:rPr>
              <w:t>3.1.</w:t>
            </w:r>
            <w:r>
              <w:rPr>
                <w:rFonts w:hint="eastAsia"/>
                <w:color w:val="auto"/>
                <w:highlight w:val="none"/>
                <w:lang w:val="en-US" w:eastAsia="zh-CN"/>
              </w:rPr>
              <w:t>4</w:t>
            </w:r>
            <w:r>
              <w:rPr>
                <w:rFonts w:hint="eastAsia"/>
                <w:color w:val="auto"/>
                <w:highlight w:val="none"/>
              </w:rPr>
              <w:t xml:space="preserve"> </w:t>
            </w:r>
            <w:r>
              <w:rPr>
                <w:color w:val="auto"/>
                <w:highlight w:val="none"/>
              </w:rPr>
              <w:t>生态环境现状</w:t>
            </w:r>
          </w:p>
          <w:p>
            <w:pPr>
              <w:pStyle w:val="6"/>
              <w:bidi w:val="0"/>
              <w:rPr>
                <w:color w:val="auto"/>
                <w:highlight w:val="none"/>
              </w:rPr>
            </w:pPr>
            <w:r>
              <w:rPr>
                <w:rFonts w:hint="eastAsia"/>
                <w:color w:val="auto"/>
                <w:highlight w:val="none"/>
                <w:lang w:val="en-US" w:eastAsia="zh-CN"/>
              </w:rPr>
              <w:t>本项目位于现有厂区内，不新增占地，并已办理土地手续：新（2025）库尔勒市不动产权第00017358号和巴国用（2011）第32号，占地类型为工业用地，现场地面已硬化，不再</w:t>
            </w:r>
            <w:r>
              <w:rPr>
                <w:rFonts w:hint="eastAsia"/>
                <w:color w:val="auto"/>
                <w:highlight w:val="none"/>
              </w:rPr>
              <w:t>进行生态调查</w:t>
            </w:r>
            <w:r>
              <w:rPr>
                <w:color w:val="auto"/>
                <w:highlight w:val="none"/>
              </w:rPr>
              <w:t>。</w:t>
            </w:r>
          </w:p>
          <w:p>
            <w:pPr>
              <w:pStyle w:val="4"/>
              <w:bidi w:val="0"/>
              <w:rPr>
                <w:rFonts w:hint="default"/>
                <w:color w:val="auto"/>
                <w:highlight w:val="none"/>
                <w:lang w:val="en-US" w:eastAsia="zh-CN"/>
              </w:rPr>
            </w:pPr>
            <w:r>
              <w:rPr>
                <w:rFonts w:hint="eastAsia"/>
                <w:color w:val="auto"/>
                <w:highlight w:val="none"/>
                <w:lang w:val="en-US" w:eastAsia="zh-CN"/>
              </w:rPr>
              <w:t>3.1.5 地下水环境现状</w:t>
            </w:r>
          </w:p>
          <w:p>
            <w:pPr>
              <w:pStyle w:val="6"/>
              <w:bidi w:val="0"/>
              <w:rPr>
                <w:rFonts w:hint="eastAsia"/>
                <w:color w:val="auto"/>
                <w:highlight w:val="none"/>
                <w:lang w:val="en-US" w:eastAsia="zh-CN"/>
              </w:rPr>
            </w:pPr>
            <w:r>
              <w:rPr>
                <w:rFonts w:hint="eastAsia"/>
                <w:color w:val="auto"/>
                <w:highlight w:val="none"/>
                <w:lang w:val="en-US" w:eastAsia="zh-CN"/>
              </w:rPr>
              <w:t>本项目以电石渣、粉煤灰、脱硫石膏作为原料，根据《固体废物分类与代码目录》(公告2024年 第4号)，电石渣废物代码SW16 261-003-S16，粉煤灰废物代码SW02 900-002-S02，脱硫石膏废物代码SW06 441-001-S06，均属于一般工业固体废物；项目全程采用全密闭流程，且不涉及生产废水，不存在地下水环境污染途径，且项目周边不存在集中式饮用水水源准保护区、补给径流区等地下水环境敏感目标，可不开展地下水环境质量现状调查，符合《建设项目环境影响报告表编制技术指南（污染影响类）（试行）》要求。</w:t>
            </w: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1" w:hRule="atLeast"/>
          <w:jc w:val="center"/>
        </w:trPr>
        <w:tc>
          <w:tcPr>
            <w:tcW w:w="525" w:type="dxa"/>
            <w:vAlign w:val="center"/>
          </w:tcPr>
          <w:p>
            <w:pPr>
              <w:pStyle w:val="28"/>
              <w:bidi w:val="0"/>
              <w:rPr>
                <w:color w:val="auto"/>
                <w:kern w:val="0"/>
                <w:highlight w:val="none"/>
              </w:rPr>
            </w:pPr>
            <w:r>
              <w:rPr>
                <w:rFonts w:hint="eastAsia"/>
                <w:color w:val="auto"/>
                <w:highlight w:val="none"/>
              </w:rPr>
              <w:t>环境保护目标</w:t>
            </w:r>
          </w:p>
        </w:tc>
        <w:tc>
          <w:tcPr>
            <w:tcW w:w="8547" w:type="dxa"/>
            <w:vAlign w:val="center"/>
          </w:tcPr>
          <w:p>
            <w:pPr>
              <w:pStyle w:val="3"/>
              <w:bidi w:val="0"/>
              <w:rPr>
                <w:color w:val="auto"/>
                <w:highlight w:val="none"/>
              </w:rPr>
            </w:pPr>
            <w:r>
              <w:rPr>
                <w:rFonts w:hint="eastAsia"/>
                <w:color w:val="auto"/>
                <w:highlight w:val="none"/>
              </w:rPr>
              <w:t>3.2 环境保护目标</w:t>
            </w:r>
          </w:p>
          <w:p>
            <w:pPr>
              <w:pStyle w:val="4"/>
              <w:bidi w:val="0"/>
              <w:rPr>
                <w:color w:val="auto"/>
                <w:highlight w:val="none"/>
              </w:rPr>
            </w:pPr>
            <w:r>
              <w:rPr>
                <w:rFonts w:hint="eastAsia"/>
                <w:color w:val="auto"/>
                <w:highlight w:val="none"/>
              </w:rPr>
              <w:t xml:space="preserve">3.2.1 </w:t>
            </w:r>
            <w:r>
              <w:rPr>
                <w:color w:val="auto"/>
                <w:highlight w:val="none"/>
              </w:rPr>
              <w:t>大气环境</w:t>
            </w:r>
          </w:p>
          <w:p>
            <w:pPr>
              <w:pStyle w:val="6"/>
              <w:bidi w:val="0"/>
              <w:rPr>
                <w:color w:val="auto"/>
                <w:highlight w:val="none"/>
              </w:rPr>
            </w:pPr>
            <w:r>
              <w:rPr>
                <w:color w:val="auto"/>
                <w:highlight w:val="none"/>
              </w:rPr>
              <w:t>本项目厂界外500m范围内</w:t>
            </w:r>
            <w:r>
              <w:rPr>
                <w:rFonts w:hint="eastAsia"/>
                <w:color w:val="auto"/>
                <w:highlight w:val="none"/>
                <w:lang w:val="en-US" w:eastAsia="zh-CN"/>
              </w:rPr>
              <w:t>不涉及自然保护区、风景名胜区、居住区、文化区和农村地区中人群较集中的区域等，故不设大气环境保护目标。</w:t>
            </w:r>
          </w:p>
          <w:p>
            <w:pPr>
              <w:pStyle w:val="4"/>
              <w:bidi w:val="0"/>
              <w:rPr>
                <w:color w:val="auto"/>
                <w:highlight w:val="none"/>
              </w:rPr>
            </w:pPr>
            <w:r>
              <w:rPr>
                <w:rFonts w:hint="eastAsia"/>
                <w:color w:val="auto"/>
                <w:highlight w:val="none"/>
              </w:rPr>
              <w:t>3.2.2 声环境</w:t>
            </w:r>
          </w:p>
          <w:p>
            <w:pPr>
              <w:pStyle w:val="6"/>
              <w:bidi w:val="0"/>
              <w:rPr>
                <w:color w:val="auto"/>
                <w:highlight w:val="none"/>
              </w:rPr>
            </w:pPr>
            <w:r>
              <w:rPr>
                <w:color w:val="auto"/>
                <w:highlight w:val="none"/>
              </w:rPr>
              <w:t>本项目</w:t>
            </w:r>
            <w:r>
              <w:rPr>
                <w:rFonts w:hint="eastAsia"/>
                <w:color w:val="auto"/>
                <w:highlight w:val="none"/>
              </w:rPr>
              <w:t>厂界外</w:t>
            </w:r>
            <w:r>
              <w:rPr>
                <w:color w:val="auto"/>
                <w:highlight w:val="none"/>
              </w:rPr>
              <w:t>50</w:t>
            </w:r>
            <w:r>
              <w:rPr>
                <w:rFonts w:hint="eastAsia"/>
                <w:color w:val="auto"/>
                <w:highlight w:val="none"/>
              </w:rPr>
              <w:t>m范围内无居民区等</w:t>
            </w:r>
            <w:r>
              <w:rPr>
                <w:rFonts w:hint="eastAsia"/>
                <w:color w:val="auto"/>
                <w:highlight w:val="none"/>
                <w:lang w:eastAsia="zh-CN"/>
              </w:rPr>
              <w:t>，</w:t>
            </w:r>
            <w:r>
              <w:rPr>
                <w:rFonts w:hint="eastAsia"/>
                <w:color w:val="auto"/>
                <w:highlight w:val="none"/>
                <w:lang w:val="en-US" w:eastAsia="zh-CN"/>
              </w:rPr>
              <w:t>故不设声</w:t>
            </w:r>
            <w:r>
              <w:rPr>
                <w:rFonts w:hint="eastAsia"/>
                <w:color w:val="auto"/>
                <w:highlight w:val="none"/>
              </w:rPr>
              <w:t>环境</w:t>
            </w:r>
            <w:r>
              <w:rPr>
                <w:rFonts w:hint="eastAsia"/>
                <w:color w:val="auto"/>
                <w:highlight w:val="none"/>
                <w:lang w:val="en-US" w:eastAsia="zh-CN"/>
              </w:rPr>
              <w:t>保护目标</w:t>
            </w:r>
            <w:r>
              <w:rPr>
                <w:rFonts w:hint="eastAsia"/>
                <w:color w:val="auto"/>
                <w:highlight w:val="none"/>
              </w:rPr>
              <w:t>。</w:t>
            </w:r>
          </w:p>
          <w:p>
            <w:pPr>
              <w:pStyle w:val="4"/>
              <w:bidi w:val="0"/>
              <w:rPr>
                <w:color w:val="auto"/>
                <w:highlight w:val="none"/>
              </w:rPr>
            </w:pPr>
            <w:r>
              <w:rPr>
                <w:rFonts w:hint="eastAsia"/>
                <w:color w:val="auto"/>
                <w:highlight w:val="none"/>
              </w:rPr>
              <w:t>3.2.3</w:t>
            </w:r>
            <w:r>
              <w:rPr>
                <w:color w:val="auto"/>
                <w:highlight w:val="none"/>
              </w:rPr>
              <w:t>地下水环境</w:t>
            </w:r>
          </w:p>
          <w:p>
            <w:pPr>
              <w:pStyle w:val="6"/>
              <w:bidi w:val="0"/>
              <w:rPr>
                <w:color w:val="auto"/>
                <w:highlight w:val="none"/>
              </w:rPr>
            </w:pPr>
            <w:r>
              <w:rPr>
                <w:rFonts w:hint="eastAsia"/>
                <w:color w:val="auto"/>
                <w:highlight w:val="none"/>
              </w:rPr>
              <w:t>本项目</w:t>
            </w:r>
            <w:r>
              <w:rPr>
                <w:rFonts w:hint="eastAsia"/>
                <w:color w:val="auto"/>
                <w:highlight w:val="none"/>
                <w:lang w:val="en-US" w:eastAsia="zh-CN"/>
              </w:rPr>
              <w:t>厂界外</w:t>
            </w:r>
            <w:r>
              <w:rPr>
                <w:color w:val="auto"/>
                <w:highlight w:val="none"/>
              </w:rPr>
              <w:t>500</w:t>
            </w:r>
            <w:r>
              <w:rPr>
                <w:rFonts w:hint="eastAsia"/>
                <w:color w:val="auto"/>
                <w:highlight w:val="none"/>
              </w:rPr>
              <w:t>m范围</w:t>
            </w:r>
            <w:r>
              <w:rPr>
                <w:rFonts w:hint="eastAsia"/>
                <w:color w:val="auto"/>
                <w:highlight w:val="none"/>
                <w:lang w:val="en-US" w:eastAsia="zh-CN"/>
              </w:rPr>
              <w:t>内不</w:t>
            </w:r>
            <w:r>
              <w:rPr>
                <w:rFonts w:hint="eastAsia"/>
                <w:color w:val="auto"/>
                <w:highlight w:val="none"/>
              </w:rPr>
              <w:t>涉及地下水集中式饮用水水源和热水、矿泉水、温泉等特殊地下水资源</w:t>
            </w:r>
            <w:r>
              <w:rPr>
                <w:rFonts w:hint="eastAsia"/>
                <w:color w:val="auto"/>
                <w:highlight w:val="none"/>
                <w:lang w:eastAsia="zh-CN"/>
              </w:rPr>
              <w:t>，</w:t>
            </w:r>
            <w:r>
              <w:rPr>
                <w:rFonts w:hint="eastAsia"/>
                <w:color w:val="auto"/>
                <w:highlight w:val="none"/>
                <w:lang w:val="en-US" w:eastAsia="zh-CN"/>
              </w:rPr>
              <w:t>故不设地下水环境保护目标</w:t>
            </w:r>
            <w:r>
              <w:rPr>
                <w:rFonts w:hint="eastAsia"/>
                <w:color w:val="auto"/>
                <w:highlight w:val="none"/>
              </w:rPr>
              <w:t>。</w:t>
            </w:r>
          </w:p>
          <w:p>
            <w:pPr>
              <w:pStyle w:val="4"/>
              <w:bidi w:val="0"/>
              <w:rPr>
                <w:rFonts w:hint="default" w:eastAsia="宋体"/>
                <w:color w:val="auto"/>
                <w:highlight w:val="none"/>
                <w:lang w:val="en-US" w:eastAsia="zh-CN"/>
              </w:rPr>
            </w:pPr>
            <w:r>
              <w:rPr>
                <w:rFonts w:hint="eastAsia"/>
                <w:color w:val="auto"/>
                <w:highlight w:val="none"/>
              </w:rPr>
              <w:t xml:space="preserve">3.2.4 </w:t>
            </w:r>
            <w:r>
              <w:rPr>
                <w:rFonts w:hint="eastAsia"/>
                <w:color w:val="auto"/>
                <w:highlight w:val="none"/>
                <w:lang w:val="en-US" w:eastAsia="zh-CN"/>
              </w:rPr>
              <w:t>生态环境</w:t>
            </w:r>
          </w:p>
          <w:p>
            <w:pPr>
              <w:pStyle w:val="6"/>
              <w:bidi w:val="0"/>
              <w:rPr>
                <w:rFonts w:hint="eastAsia"/>
                <w:color w:val="auto"/>
                <w:highlight w:val="none"/>
              </w:rPr>
            </w:pPr>
            <w:r>
              <w:rPr>
                <w:rFonts w:hint="eastAsia"/>
                <w:color w:val="auto"/>
                <w:highlight w:val="none"/>
                <w:lang w:val="en-US" w:eastAsia="zh-CN"/>
              </w:rPr>
              <w:t>本项目位于现有厂区内，不新增占地，故不设生态环境保护目标</w:t>
            </w:r>
            <w:r>
              <w:rPr>
                <w:rFonts w:hint="eastAsia"/>
                <w:color w:val="auto"/>
                <w:highlight w:val="none"/>
              </w:rPr>
              <w:t>。</w:t>
            </w:r>
          </w:p>
          <w:p>
            <w:pPr>
              <w:pStyle w:val="6"/>
              <w:bidi w:val="0"/>
              <w:rPr>
                <w:rFonts w:hint="eastAsia"/>
                <w:color w:val="auto"/>
                <w:highlight w:val="none"/>
              </w:rPr>
            </w:pPr>
          </w:p>
          <w:p>
            <w:pPr>
              <w:pStyle w:val="6"/>
              <w:bidi w:val="0"/>
              <w:rPr>
                <w:rFonts w:hint="eastAsia"/>
                <w:color w:val="auto"/>
                <w:highlight w:val="none"/>
              </w:rPr>
            </w:pPr>
          </w:p>
          <w:p>
            <w:pPr>
              <w:pStyle w:val="6"/>
              <w:bidi w:val="0"/>
              <w:rPr>
                <w:rFonts w:hint="eastAsia"/>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6" w:hRule="atLeast"/>
          <w:jc w:val="center"/>
        </w:trPr>
        <w:tc>
          <w:tcPr>
            <w:tcW w:w="525" w:type="dxa"/>
            <w:vAlign w:val="center"/>
          </w:tcPr>
          <w:p>
            <w:pPr>
              <w:pStyle w:val="28"/>
              <w:bidi w:val="0"/>
              <w:rPr>
                <w:rFonts w:hint="eastAsia"/>
                <w:color w:val="auto"/>
                <w:highlight w:val="none"/>
              </w:rPr>
            </w:pPr>
            <w:r>
              <w:rPr>
                <w:rFonts w:hint="eastAsia"/>
                <w:color w:val="auto"/>
                <w:highlight w:val="none"/>
              </w:rPr>
              <w:t>污染物排放控制标准</w:t>
            </w:r>
          </w:p>
        </w:tc>
        <w:tc>
          <w:tcPr>
            <w:tcW w:w="8547" w:type="dxa"/>
            <w:vAlign w:val="center"/>
          </w:tcPr>
          <w:p>
            <w:pPr>
              <w:pStyle w:val="3"/>
              <w:bidi w:val="0"/>
              <w:rPr>
                <w:color w:val="auto"/>
                <w:highlight w:val="none"/>
              </w:rPr>
            </w:pPr>
            <w:r>
              <w:rPr>
                <w:rFonts w:hint="eastAsia"/>
                <w:color w:val="auto"/>
                <w:highlight w:val="none"/>
              </w:rPr>
              <w:t>3.3 污染物排放控制标准</w:t>
            </w:r>
          </w:p>
          <w:p>
            <w:pPr>
              <w:pStyle w:val="4"/>
              <w:bidi w:val="0"/>
              <w:rPr>
                <w:color w:val="auto"/>
                <w:highlight w:val="none"/>
              </w:rPr>
            </w:pPr>
            <w:r>
              <w:rPr>
                <w:rFonts w:hint="eastAsia"/>
                <w:color w:val="auto"/>
                <w:highlight w:val="none"/>
              </w:rPr>
              <w:t>3.3.1 废气</w:t>
            </w:r>
          </w:p>
          <w:p>
            <w:pPr>
              <w:pStyle w:val="6"/>
              <w:bidi w:val="0"/>
              <w:rPr>
                <w:rFonts w:hint="eastAsia" w:eastAsia="宋体"/>
                <w:color w:val="auto"/>
                <w:highlight w:val="none"/>
                <w:lang w:val="en-US" w:eastAsia="zh-CN"/>
              </w:rPr>
            </w:pPr>
            <w:r>
              <w:rPr>
                <w:rFonts w:hint="eastAsia"/>
                <w:color w:val="auto"/>
                <w:highlight w:val="none"/>
              </w:rPr>
              <w:t>本项目废气为</w:t>
            </w:r>
            <w:r>
              <w:rPr>
                <w:rFonts w:hint="eastAsia"/>
                <w:color w:val="auto"/>
                <w:highlight w:val="none"/>
                <w:lang w:val="en-US" w:eastAsia="zh-CN"/>
              </w:rPr>
              <w:t>电磁回转窑有组织废气，原料仓、成品仓产生的无组织废气，其中电磁回转窑废气经旋风除尘+布袋除尘后，颗粒物浓度满足《工业炉窑大气污染物排放标准》（GB 9078-1996）表2二级标准要求后，经15m排气筒排放；厂界无组织废气颗粒物执行《大气污染物综合排放标准》（GB16297-1996）表2</w:t>
            </w:r>
            <w:r>
              <w:rPr>
                <w:rFonts w:hint="eastAsia"/>
                <w:color w:val="auto"/>
                <w:highlight w:val="none"/>
              </w:rPr>
              <w:t>无组织排放监控浓度限值</w:t>
            </w:r>
            <w:r>
              <w:rPr>
                <w:rFonts w:hint="eastAsia"/>
                <w:color w:val="auto"/>
                <w:highlight w:val="none"/>
                <w:lang w:eastAsia="zh-CN"/>
              </w:rPr>
              <w:t>。</w:t>
            </w:r>
          </w:p>
          <w:p>
            <w:pPr>
              <w:pStyle w:val="4"/>
              <w:bidi w:val="0"/>
              <w:rPr>
                <w:color w:val="auto"/>
                <w:highlight w:val="none"/>
              </w:rPr>
            </w:pPr>
            <w:r>
              <w:rPr>
                <w:rFonts w:hint="eastAsia"/>
                <w:color w:val="auto"/>
                <w:highlight w:val="none"/>
              </w:rPr>
              <w:t>3.3.2 废水</w:t>
            </w:r>
          </w:p>
          <w:p>
            <w:pPr>
              <w:pStyle w:val="6"/>
              <w:bidi w:val="0"/>
              <w:rPr>
                <w:color w:val="auto"/>
                <w:highlight w:val="none"/>
              </w:rPr>
            </w:pPr>
            <w:r>
              <w:rPr>
                <w:rFonts w:hint="eastAsia"/>
                <w:color w:val="auto"/>
                <w:highlight w:val="none"/>
              </w:rPr>
              <w:t>本项目</w:t>
            </w:r>
            <w:r>
              <w:rPr>
                <w:rFonts w:hint="eastAsia"/>
                <w:color w:val="auto"/>
                <w:highlight w:val="none"/>
                <w:lang w:val="en-US" w:eastAsia="zh-CN"/>
              </w:rPr>
              <w:t>无生产废水，新增生活污水依托现有化粪池（3×4×2m）收集处理后，委托库尔勒龙润处理有限公司定期拉运至库尔勒市南市区污水处理厂处理</w:t>
            </w:r>
            <w:r>
              <w:rPr>
                <w:color w:val="auto"/>
                <w:highlight w:val="none"/>
              </w:rPr>
              <w:t>。</w:t>
            </w:r>
          </w:p>
          <w:p>
            <w:pPr>
              <w:pStyle w:val="4"/>
              <w:bidi w:val="0"/>
              <w:rPr>
                <w:color w:val="auto"/>
                <w:highlight w:val="none"/>
              </w:rPr>
            </w:pPr>
            <w:r>
              <w:rPr>
                <w:rFonts w:hint="eastAsia"/>
                <w:color w:val="auto"/>
                <w:highlight w:val="none"/>
              </w:rPr>
              <w:t>3.3.3 噪声</w:t>
            </w:r>
          </w:p>
          <w:p>
            <w:pPr>
              <w:pStyle w:val="6"/>
              <w:bidi w:val="0"/>
              <w:rPr>
                <w:color w:val="auto"/>
                <w:highlight w:val="none"/>
              </w:rPr>
            </w:pPr>
            <w:r>
              <w:rPr>
                <w:rFonts w:hint="eastAsia"/>
                <w:color w:val="auto"/>
                <w:highlight w:val="none"/>
              </w:rPr>
              <w:t>厂界噪声执行《工业企业厂界环境噪声排放标准》(GB12348-2008)2类标准。</w:t>
            </w:r>
          </w:p>
          <w:p>
            <w:pPr>
              <w:pStyle w:val="6"/>
              <w:bidi w:val="0"/>
              <w:rPr>
                <w:color w:val="auto"/>
                <w:highlight w:val="none"/>
              </w:rPr>
            </w:pPr>
          </w:p>
          <w:p>
            <w:pPr>
              <w:pStyle w:val="6"/>
              <w:bidi w:val="0"/>
              <w:rPr>
                <w:rFonts w:hint="eastAsia"/>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97" w:hRule="atLeast"/>
          <w:jc w:val="center"/>
        </w:trPr>
        <w:tc>
          <w:tcPr>
            <w:tcW w:w="525" w:type="dxa"/>
            <w:vAlign w:val="center"/>
          </w:tcPr>
          <w:p>
            <w:pPr>
              <w:pStyle w:val="28"/>
              <w:bidi w:val="0"/>
              <w:rPr>
                <w:color w:val="auto"/>
                <w:kern w:val="0"/>
                <w:highlight w:val="none"/>
              </w:rPr>
            </w:pPr>
            <w:r>
              <w:rPr>
                <w:rFonts w:hint="eastAsia"/>
                <w:color w:val="auto"/>
                <w:highlight w:val="none"/>
              </w:rPr>
              <w:t>污染物排放控制标准</w:t>
            </w:r>
          </w:p>
        </w:tc>
        <w:tc>
          <w:tcPr>
            <w:tcW w:w="8547" w:type="dxa"/>
            <w:vAlign w:val="center"/>
          </w:tcPr>
          <w:p>
            <w:pPr>
              <w:pStyle w:val="4"/>
              <w:spacing w:before="120" w:after="120"/>
              <w:rPr>
                <w:color w:val="auto"/>
                <w:kern w:val="0"/>
                <w:highlight w:val="none"/>
              </w:rPr>
            </w:pPr>
            <w:r>
              <w:rPr>
                <w:rStyle w:val="35"/>
                <w:rFonts w:hint="eastAsia"/>
                <w:b/>
                <w:bCs/>
                <w:color w:val="auto"/>
                <w:highlight w:val="none"/>
              </w:rPr>
              <w:t>3.4 污染控制标准</w:t>
            </w:r>
            <w:r>
              <w:rPr>
                <w:color w:val="auto"/>
                <w:highlight w:val="none"/>
              </w:rPr>
              <w:fldChar w:fldCharType="begin"/>
            </w:r>
            <w:r>
              <w:rPr>
                <w:color w:val="auto"/>
                <w:highlight w:val="none"/>
              </w:rPr>
              <w:instrText xml:space="preserve"> HYPERLINK "https://www.mee.gov.cn/ywgz/fgbz/bz/bzwb/gthw/gtfwwrkzbz/202012/W020201218695845325455.pdf" </w:instrText>
            </w:r>
            <w:r>
              <w:rPr>
                <w:color w:val="auto"/>
                <w:highlight w:val="none"/>
              </w:rPr>
              <w:fldChar w:fldCharType="separate"/>
            </w:r>
            <w:r>
              <w:rPr>
                <w:color w:val="auto"/>
                <w:highlight w:val="none"/>
              </w:rPr>
              <w:fldChar w:fldCharType="end"/>
            </w:r>
          </w:p>
          <w:p>
            <w:pPr>
              <w:pStyle w:val="6"/>
              <w:bidi w:val="0"/>
              <w:rPr>
                <w:rFonts w:hint="eastAsia"/>
                <w:color w:val="auto"/>
                <w:highlight w:val="none"/>
                <w:lang w:val="en-US" w:eastAsia="zh-CN"/>
              </w:rPr>
            </w:pPr>
            <w:r>
              <w:rPr>
                <w:rFonts w:hint="eastAsia"/>
                <w:color w:val="auto"/>
                <w:highlight w:val="none"/>
              </w:rPr>
              <w:t>（1）</w:t>
            </w:r>
            <w:r>
              <w:rPr>
                <w:color w:val="auto"/>
                <w:highlight w:val="none"/>
              </w:rPr>
              <w:fldChar w:fldCharType="begin"/>
            </w:r>
            <w:r>
              <w:rPr>
                <w:color w:val="auto"/>
                <w:highlight w:val="none"/>
              </w:rPr>
              <w:instrText xml:space="preserve"> HYPERLINK "https://www.mee.gov.cn/ywgz/fgbz/bz/bzwb/gthw/gtfwwrkzbz/202012/W020201218695845325455.pdf" </w:instrText>
            </w:r>
            <w:r>
              <w:rPr>
                <w:color w:val="auto"/>
                <w:highlight w:val="none"/>
              </w:rPr>
              <w:fldChar w:fldCharType="separate"/>
            </w:r>
            <w:r>
              <w:rPr>
                <w:rStyle w:val="26"/>
                <w:rFonts w:hint="eastAsia"/>
                <w:color w:val="auto"/>
                <w:kern w:val="0"/>
                <w:highlight w:val="none"/>
              </w:rPr>
              <w:t>《一般工业固体废物贮存和填埋污染控制标准》（GB 18599-2020）</w:t>
            </w:r>
            <w:r>
              <w:rPr>
                <w:rStyle w:val="26"/>
                <w:rFonts w:hint="eastAsia"/>
                <w:color w:val="auto"/>
                <w:kern w:val="0"/>
                <w:highlight w:val="none"/>
              </w:rPr>
              <w:fldChar w:fldCharType="end"/>
            </w:r>
            <w:r>
              <w:rPr>
                <w:rStyle w:val="26"/>
                <w:rFonts w:hint="eastAsia"/>
                <w:color w:val="auto"/>
                <w:kern w:val="0"/>
                <w:highlight w:val="none"/>
                <w:lang w:val="en-US" w:eastAsia="zh-CN"/>
              </w:rPr>
              <w:t>；</w:t>
            </w:r>
          </w:p>
          <w:p>
            <w:pPr>
              <w:pStyle w:val="6"/>
              <w:bidi w:val="0"/>
              <w:rPr>
                <w:rFonts w:hint="eastAsia"/>
                <w:color w:val="auto"/>
                <w:highlight w:val="none"/>
                <w:lang w:val="en-US" w:eastAsia="zh-CN"/>
              </w:rPr>
            </w:pPr>
            <w:r>
              <w:rPr>
                <w:rFonts w:hint="eastAsia"/>
                <w:color w:val="auto"/>
                <w:highlight w:val="none"/>
              </w:rPr>
              <w:t>（2）《危险废物贮存污染控制标准》（GB18597-2023）</w:t>
            </w:r>
            <w:r>
              <w:rPr>
                <w:rFonts w:hint="eastAsia"/>
                <w:color w:val="auto"/>
                <w:highlight w:val="none"/>
                <w:lang w:val="en-US" w:eastAsia="zh-CN"/>
              </w:rPr>
              <w:t>。</w:t>
            </w:r>
          </w:p>
          <w:p>
            <w:pPr>
              <w:pStyle w:val="37"/>
              <w:rPr>
                <w:color w:val="auto"/>
                <w:highlight w:val="none"/>
              </w:rPr>
            </w:pPr>
            <w:r>
              <w:rPr>
                <w:color w:val="auto"/>
                <w:highlight w:val="none"/>
              </w:rPr>
              <w:t>表</w:t>
            </w:r>
            <w:r>
              <w:rPr>
                <w:rFonts w:hint="eastAsia"/>
                <w:color w:val="auto"/>
                <w:highlight w:val="none"/>
              </w:rPr>
              <w:t>3.3-1   污染物排放标准一览表</w:t>
            </w:r>
          </w:p>
          <w:tbl>
            <w:tblPr>
              <w:tblStyle w:val="2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0"/>
              <w:gridCol w:w="1018"/>
              <w:gridCol w:w="1538"/>
              <w:gridCol w:w="1512"/>
              <w:gridCol w:w="800"/>
              <w:gridCol w:w="2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08" w:type="dxa"/>
                  <w:gridSpan w:val="2"/>
                  <w:vAlign w:val="center"/>
                </w:tcPr>
                <w:p>
                  <w:pPr>
                    <w:pStyle w:val="57"/>
                    <w:bidi w:val="0"/>
                    <w:rPr>
                      <w:color w:val="auto"/>
                      <w:highlight w:val="none"/>
                    </w:rPr>
                  </w:pPr>
                  <w:r>
                    <w:rPr>
                      <w:rFonts w:hint="eastAsia"/>
                      <w:color w:val="auto"/>
                      <w:highlight w:val="none"/>
                    </w:rPr>
                    <w:t>类别</w:t>
                  </w:r>
                </w:p>
              </w:tc>
              <w:tc>
                <w:tcPr>
                  <w:tcW w:w="1538" w:type="dxa"/>
                  <w:vAlign w:val="center"/>
                </w:tcPr>
                <w:p>
                  <w:pPr>
                    <w:pStyle w:val="57"/>
                    <w:bidi w:val="0"/>
                    <w:rPr>
                      <w:color w:val="auto"/>
                      <w:highlight w:val="none"/>
                    </w:rPr>
                  </w:pPr>
                  <w:r>
                    <w:rPr>
                      <w:rFonts w:hint="eastAsia"/>
                      <w:color w:val="auto"/>
                      <w:highlight w:val="none"/>
                    </w:rPr>
                    <w:t>污染物</w:t>
                  </w:r>
                </w:p>
              </w:tc>
              <w:tc>
                <w:tcPr>
                  <w:tcW w:w="1512" w:type="dxa"/>
                  <w:vAlign w:val="center"/>
                </w:tcPr>
                <w:p>
                  <w:pPr>
                    <w:pStyle w:val="57"/>
                    <w:bidi w:val="0"/>
                    <w:rPr>
                      <w:color w:val="auto"/>
                      <w:highlight w:val="none"/>
                    </w:rPr>
                  </w:pPr>
                  <w:r>
                    <w:rPr>
                      <w:rFonts w:hint="eastAsia"/>
                      <w:color w:val="auto"/>
                      <w:highlight w:val="none"/>
                    </w:rPr>
                    <w:t>排放限值</w:t>
                  </w:r>
                </w:p>
              </w:tc>
              <w:tc>
                <w:tcPr>
                  <w:tcW w:w="800" w:type="dxa"/>
                  <w:vAlign w:val="center"/>
                </w:tcPr>
                <w:p>
                  <w:pPr>
                    <w:pStyle w:val="57"/>
                    <w:bidi w:val="0"/>
                    <w:rPr>
                      <w:color w:val="auto"/>
                      <w:highlight w:val="none"/>
                    </w:rPr>
                  </w:pPr>
                  <w:r>
                    <w:rPr>
                      <w:rFonts w:hint="eastAsia"/>
                      <w:color w:val="auto"/>
                      <w:highlight w:val="none"/>
                    </w:rPr>
                    <w:t>单位</w:t>
                  </w:r>
                </w:p>
              </w:tc>
              <w:tc>
                <w:tcPr>
                  <w:tcW w:w="2480" w:type="dxa"/>
                  <w:vAlign w:val="center"/>
                </w:tcPr>
                <w:p>
                  <w:pPr>
                    <w:pStyle w:val="57"/>
                    <w:bidi w:val="0"/>
                    <w:rPr>
                      <w:color w:val="auto"/>
                      <w:highlight w:val="none"/>
                    </w:rPr>
                  </w:pPr>
                  <w:r>
                    <w:rPr>
                      <w:rFonts w:hint="eastAsia"/>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590" w:type="dxa"/>
                  <w:vMerge w:val="restart"/>
                  <w:vAlign w:val="center"/>
                </w:tcPr>
                <w:p>
                  <w:pPr>
                    <w:pStyle w:val="57"/>
                    <w:bidi w:val="0"/>
                    <w:rPr>
                      <w:color w:val="auto"/>
                      <w:highlight w:val="none"/>
                    </w:rPr>
                  </w:pPr>
                  <w:r>
                    <w:rPr>
                      <w:rFonts w:hint="eastAsia"/>
                      <w:color w:val="auto"/>
                      <w:highlight w:val="none"/>
                    </w:rPr>
                    <w:t>废气</w:t>
                  </w:r>
                </w:p>
              </w:tc>
              <w:tc>
                <w:tcPr>
                  <w:tcW w:w="1018" w:type="dxa"/>
                  <w:vMerge w:val="restart"/>
                  <w:vAlign w:val="center"/>
                </w:tcPr>
                <w:p>
                  <w:pPr>
                    <w:pStyle w:val="57"/>
                    <w:bidi w:val="0"/>
                    <w:rPr>
                      <w:rFonts w:hint="default"/>
                      <w:color w:val="auto"/>
                      <w:highlight w:val="none"/>
                      <w:lang w:val="en-US" w:eastAsia="zh-CN"/>
                    </w:rPr>
                  </w:pPr>
                  <w:r>
                    <w:rPr>
                      <w:rFonts w:hint="eastAsia"/>
                      <w:color w:val="auto"/>
                      <w:highlight w:val="none"/>
                      <w:lang w:val="en-US" w:eastAsia="zh-CN"/>
                    </w:rPr>
                    <w:t>电磁回转窑废气（15m排气筒）</w:t>
                  </w:r>
                </w:p>
              </w:tc>
              <w:tc>
                <w:tcPr>
                  <w:tcW w:w="1538" w:type="dxa"/>
                  <w:vAlign w:val="center"/>
                </w:tcPr>
                <w:p>
                  <w:pPr>
                    <w:pStyle w:val="57"/>
                    <w:bidi w:val="0"/>
                    <w:rPr>
                      <w:color w:val="auto"/>
                      <w:highlight w:val="none"/>
                    </w:rPr>
                  </w:pPr>
                  <w:r>
                    <w:rPr>
                      <w:rFonts w:hint="eastAsia"/>
                      <w:color w:val="auto"/>
                      <w:highlight w:val="none"/>
                    </w:rPr>
                    <w:t>颗粒物</w:t>
                  </w:r>
                </w:p>
              </w:tc>
              <w:tc>
                <w:tcPr>
                  <w:tcW w:w="1512" w:type="dxa"/>
                  <w:vAlign w:val="center"/>
                </w:tcPr>
                <w:p>
                  <w:pPr>
                    <w:pStyle w:val="57"/>
                    <w:bidi w:val="0"/>
                    <w:rPr>
                      <w:rFonts w:hint="default"/>
                      <w:color w:val="auto"/>
                      <w:highlight w:val="none"/>
                      <w:lang w:val="en-US" w:eastAsia="zh-CN"/>
                    </w:rPr>
                  </w:pPr>
                  <w:r>
                    <w:rPr>
                      <w:rFonts w:hint="eastAsia"/>
                      <w:color w:val="auto"/>
                      <w:highlight w:val="none"/>
                      <w:lang w:val="en-US" w:eastAsia="zh-CN"/>
                    </w:rPr>
                    <w:t>200</w:t>
                  </w:r>
                </w:p>
              </w:tc>
              <w:tc>
                <w:tcPr>
                  <w:tcW w:w="800" w:type="dxa"/>
                  <w:vAlign w:val="center"/>
                </w:tcPr>
                <w:p>
                  <w:pPr>
                    <w:pStyle w:val="57"/>
                    <w:bidi w:val="0"/>
                    <w:rPr>
                      <w:color w:val="auto"/>
                      <w:highlight w:val="none"/>
                    </w:rPr>
                  </w:pPr>
                  <w:r>
                    <w:rPr>
                      <w:color w:val="auto"/>
                      <w:highlight w:val="none"/>
                    </w:rPr>
                    <w:t>mg</w:t>
                  </w:r>
                  <w:r>
                    <w:rPr>
                      <w:rFonts w:hint="eastAsia"/>
                      <w:color w:val="auto"/>
                      <w:highlight w:val="none"/>
                    </w:rPr>
                    <w:t>/m</w:t>
                  </w:r>
                  <w:r>
                    <w:rPr>
                      <w:rFonts w:hint="eastAsia"/>
                      <w:color w:val="auto"/>
                      <w:highlight w:val="none"/>
                      <w:vertAlign w:val="superscript"/>
                    </w:rPr>
                    <w:t>3</w:t>
                  </w:r>
                </w:p>
              </w:tc>
              <w:tc>
                <w:tcPr>
                  <w:tcW w:w="2480" w:type="dxa"/>
                  <w:vMerge w:val="restar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《工业炉窑大气污染物排放标准》（GB 9078-1996）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atLeast"/>
                <w:jc w:val="center"/>
              </w:trPr>
              <w:tc>
                <w:tcPr>
                  <w:tcW w:w="590" w:type="dxa"/>
                  <w:vMerge w:val="continue"/>
                  <w:vAlign w:val="center"/>
                </w:tcPr>
                <w:p>
                  <w:pPr>
                    <w:pStyle w:val="57"/>
                    <w:bidi w:val="0"/>
                    <w:rPr>
                      <w:color w:val="auto"/>
                      <w:highlight w:val="none"/>
                    </w:rPr>
                  </w:pPr>
                </w:p>
              </w:tc>
              <w:tc>
                <w:tcPr>
                  <w:tcW w:w="1018" w:type="dxa"/>
                  <w:vMerge w:val="continue"/>
                  <w:vAlign w:val="center"/>
                </w:tcPr>
                <w:p>
                  <w:pPr>
                    <w:pStyle w:val="57"/>
                    <w:bidi w:val="0"/>
                    <w:rPr>
                      <w:color w:val="auto"/>
                      <w:highlight w:val="none"/>
                    </w:rPr>
                  </w:pPr>
                </w:p>
              </w:tc>
              <w:tc>
                <w:tcPr>
                  <w:tcW w:w="1538"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烟气黑度</w:t>
                  </w:r>
                </w:p>
              </w:tc>
              <w:tc>
                <w:tcPr>
                  <w:tcW w:w="1512" w:type="dxa"/>
                  <w:vAlign w:val="center"/>
                </w:tcPr>
                <w:p>
                  <w:pPr>
                    <w:pStyle w:val="57"/>
                    <w:bidi w:val="0"/>
                    <w:rPr>
                      <w:rFonts w:hint="eastAsia" w:eastAsia="宋体"/>
                      <w:color w:val="auto"/>
                      <w:highlight w:val="none"/>
                      <w:lang w:eastAsia="zh-CN"/>
                    </w:rPr>
                  </w:pPr>
                  <w:r>
                    <w:rPr>
                      <w:rFonts w:hint="eastAsia"/>
                      <w:color w:val="auto"/>
                      <w:highlight w:val="none"/>
                      <w:lang w:val="en-US" w:eastAsia="zh-CN"/>
                    </w:rPr>
                    <w:t>1</w:t>
                  </w:r>
                </w:p>
              </w:tc>
              <w:tc>
                <w:tcPr>
                  <w:tcW w:w="800" w:type="dxa"/>
                  <w:vAlign w:val="center"/>
                </w:tcPr>
                <w:p>
                  <w:pPr>
                    <w:pStyle w:val="57"/>
                    <w:bidi w:val="0"/>
                    <w:rPr>
                      <w:rFonts w:hint="default"/>
                      <w:color w:val="auto"/>
                      <w:highlight w:val="none"/>
                      <w:lang w:val="en-US" w:eastAsia="zh-CN"/>
                    </w:rPr>
                  </w:pPr>
                  <w:r>
                    <w:rPr>
                      <w:rFonts w:hint="default"/>
                      <w:color w:val="auto"/>
                      <w:highlight w:val="none"/>
                      <w:lang w:val="en-US" w:eastAsia="zh-CN"/>
                    </w:rPr>
                    <w:t>林格曼级</w:t>
                  </w:r>
                </w:p>
              </w:tc>
              <w:tc>
                <w:tcPr>
                  <w:tcW w:w="2480" w:type="dxa"/>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0" w:type="dxa"/>
                  <w:vMerge w:val="continue"/>
                  <w:vAlign w:val="center"/>
                </w:tcPr>
                <w:p>
                  <w:pPr>
                    <w:pStyle w:val="57"/>
                    <w:bidi w:val="0"/>
                    <w:rPr>
                      <w:color w:val="auto"/>
                      <w:highlight w:val="none"/>
                    </w:rPr>
                  </w:pPr>
                </w:p>
              </w:tc>
              <w:tc>
                <w:tcPr>
                  <w:tcW w:w="1018" w:type="dxa"/>
                  <w:vAlign w:val="center"/>
                </w:tcPr>
                <w:p>
                  <w:pPr>
                    <w:pStyle w:val="57"/>
                    <w:bidi w:val="0"/>
                    <w:rPr>
                      <w:color w:val="auto"/>
                      <w:highlight w:val="none"/>
                    </w:rPr>
                  </w:pPr>
                  <w:r>
                    <w:rPr>
                      <w:rFonts w:hint="eastAsia"/>
                      <w:color w:val="auto"/>
                      <w:highlight w:val="none"/>
                    </w:rPr>
                    <w:t>厂界无组织废气</w:t>
                  </w:r>
                </w:p>
              </w:tc>
              <w:tc>
                <w:tcPr>
                  <w:tcW w:w="1538" w:type="dxa"/>
                  <w:vAlign w:val="center"/>
                </w:tcPr>
                <w:p>
                  <w:pPr>
                    <w:pStyle w:val="57"/>
                    <w:bidi w:val="0"/>
                    <w:rPr>
                      <w:color w:val="auto"/>
                      <w:highlight w:val="none"/>
                    </w:rPr>
                  </w:pPr>
                  <w:r>
                    <w:rPr>
                      <w:rFonts w:hint="eastAsia"/>
                      <w:color w:val="auto"/>
                      <w:highlight w:val="none"/>
                    </w:rPr>
                    <w:t>颗粒物</w:t>
                  </w:r>
                </w:p>
              </w:tc>
              <w:tc>
                <w:tcPr>
                  <w:tcW w:w="1512" w:type="dxa"/>
                  <w:vAlign w:val="center"/>
                </w:tcPr>
                <w:p>
                  <w:pPr>
                    <w:pStyle w:val="57"/>
                    <w:bidi w:val="0"/>
                    <w:rPr>
                      <w:rFonts w:hint="default"/>
                      <w:color w:val="auto"/>
                      <w:highlight w:val="none"/>
                      <w:lang w:val="en-US" w:eastAsia="zh-CN"/>
                    </w:rPr>
                  </w:pPr>
                  <w:r>
                    <w:rPr>
                      <w:rFonts w:hint="eastAsia"/>
                      <w:color w:val="auto"/>
                      <w:highlight w:val="none"/>
                      <w:lang w:val="en-US" w:eastAsia="zh-CN"/>
                    </w:rPr>
                    <w:t>1.0</w:t>
                  </w:r>
                </w:p>
              </w:tc>
              <w:tc>
                <w:tcPr>
                  <w:tcW w:w="800" w:type="dxa"/>
                  <w:vAlign w:val="center"/>
                </w:tcPr>
                <w:p>
                  <w:pPr>
                    <w:pStyle w:val="57"/>
                    <w:bidi w:val="0"/>
                    <w:rPr>
                      <w:color w:val="auto"/>
                      <w:highlight w:val="none"/>
                    </w:rPr>
                  </w:pPr>
                  <w:r>
                    <w:rPr>
                      <w:color w:val="auto"/>
                      <w:highlight w:val="none"/>
                    </w:rPr>
                    <w:t>mg</w:t>
                  </w:r>
                  <w:r>
                    <w:rPr>
                      <w:rFonts w:hint="eastAsia"/>
                      <w:color w:val="auto"/>
                      <w:highlight w:val="none"/>
                    </w:rPr>
                    <w:t>/m</w:t>
                  </w:r>
                  <w:r>
                    <w:rPr>
                      <w:rFonts w:hint="eastAsia"/>
                      <w:color w:val="auto"/>
                      <w:highlight w:val="none"/>
                      <w:vertAlign w:val="superscript"/>
                    </w:rPr>
                    <w:t>3</w:t>
                  </w:r>
                </w:p>
              </w:tc>
              <w:tc>
                <w:tcPr>
                  <w:tcW w:w="2480" w:type="dxa"/>
                  <w:vAlign w:val="center"/>
                </w:tcPr>
                <w:p>
                  <w:pPr>
                    <w:pStyle w:val="57"/>
                    <w:bidi w:val="0"/>
                    <w:rPr>
                      <w:color w:val="auto"/>
                      <w:highlight w:val="none"/>
                    </w:rPr>
                  </w:pPr>
                  <w:r>
                    <w:rPr>
                      <w:rFonts w:hint="eastAsia"/>
                      <w:color w:val="auto"/>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0" w:type="dxa"/>
                  <w:vMerge w:val="restart"/>
                  <w:vAlign w:val="center"/>
                </w:tcPr>
                <w:p>
                  <w:pPr>
                    <w:pStyle w:val="57"/>
                    <w:bidi w:val="0"/>
                    <w:rPr>
                      <w:color w:val="auto"/>
                      <w:highlight w:val="none"/>
                    </w:rPr>
                  </w:pPr>
                  <w:r>
                    <w:rPr>
                      <w:rFonts w:hint="eastAsia"/>
                      <w:color w:val="auto"/>
                      <w:highlight w:val="none"/>
                    </w:rPr>
                    <w:t>废水</w:t>
                  </w:r>
                </w:p>
              </w:tc>
              <w:tc>
                <w:tcPr>
                  <w:tcW w:w="1018" w:type="dxa"/>
                  <w:vMerge w:val="restart"/>
                  <w:vAlign w:val="center"/>
                </w:tcPr>
                <w:p>
                  <w:pPr>
                    <w:pStyle w:val="57"/>
                    <w:bidi w:val="0"/>
                    <w:rPr>
                      <w:color w:val="auto"/>
                      <w:highlight w:val="none"/>
                    </w:rPr>
                  </w:pPr>
                  <w:r>
                    <w:rPr>
                      <w:rFonts w:hint="eastAsia"/>
                      <w:color w:val="auto"/>
                      <w:highlight w:val="none"/>
                    </w:rPr>
                    <w:t>生活污水</w:t>
                  </w:r>
                </w:p>
              </w:tc>
              <w:tc>
                <w:tcPr>
                  <w:tcW w:w="1538" w:type="dxa"/>
                  <w:vAlign w:val="center"/>
                </w:tcPr>
                <w:p>
                  <w:pPr>
                    <w:pStyle w:val="57"/>
                    <w:bidi w:val="0"/>
                    <w:rPr>
                      <w:color w:val="auto"/>
                      <w:highlight w:val="none"/>
                    </w:rPr>
                  </w:pPr>
                  <w:r>
                    <w:rPr>
                      <w:rFonts w:hint="eastAsia"/>
                      <w:color w:val="auto"/>
                      <w:highlight w:val="none"/>
                    </w:rPr>
                    <w:t>pH</w:t>
                  </w:r>
                </w:p>
              </w:tc>
              <w:tc>
                <w:tcPr>
                  <w:tcW w:w="1512" w:type="dxa"/>
                  <w:vAlign w:val="center"/>
                </w:tcPr>
                <w:p>
                  <w:pPr>
                    <w:pStyle w:val="57"/>
                    <w:bidi w:val="0"/>
                    <w:rPr>
                      <w:color w:val="auto"/>
                      <w:highlight w:val="none"/>
                    </w:rPr>
                  </w:pPr>
                  <w:r>
                    <w:rPr>
                      <w:rFonts w:hint="eastAsia"/>
                      <w:color w:val="auto"/>
                      <w:highlight w:val="none"/>
                    </w:rPr>
                    <w:t>6～9</w:t>
                  </w:r>
                </w:p>
              </w:tc>
              <w:tc>
                <w:tcPr>
                  <w:tcW w:w="800" w:type="dxa"/>
                  <w:vMerge w:val="restart"/>
                  <w:vAlign w:val="center"/>
                </w:tcPr>
                <w:p>
                  <w:pPr>
                    <w:pStyle w:val="57"/>
                    <w:bidi w:val="0"/>
                    <w:rPr>
                      <w:color w:val="auto"/>
                      <w:highlight w:val="none"/>
                    </w:rPr>
                  </w:pPr>
                  <w:r>
                    <w:rPr>
                      <w:color w:val="auto"/>
                      <w:highlight w:val="none"/>
                    </w:rPr>
                    <w:t>mg</w:t>
                  </w:r>
                  <w:r>
                    <w:rPr>
                      <w:rFonts w:hint="eastAsia"/>
                      <w:color w:val="auto"/>
                      <w:highlight w:val="none"/>
                    </w:rPr>
                    <w:t>/L</w:t>
                  </w:r>
                </w:p>
              </w:tc>
              <w:tc>
                <w:tcPr>
                  <w:tcW w:w="2480" w:type="dxa"/>
                  <w:vMerge w:val="restart"/>
                  <w:vAlign w:val="center"/>
                </w:tcPr>
                <w:p>
                  <w:pPr>
                    <w:pStyle w:val="57"/>
                    <w:bidi w:val="0"/>
                    <w:rPr>
                      <w:rFonts w:hint="default"/>
                      <w:color w:val="auto"/>
                      <w:highlight w:val="none"/>
                      <w:lang w:val="en-US" w:eastAsia="zh-CN"/>
                    </w:rPr>
                  </w:pPr>
                  <w:r>
                    <w:rPr>
                      <w:rFonts w:hint="eastAsia"/>
                      <w:color w:val="auto"/>
                      <w:highlight w:val="none"/>
                      <w:lang w:val="en-US" w:eastAsia="zh-CN"/>
                    </w:rPr>
                    <w:t>《污水综合排放标准》（GB8978-1996）三级标准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0" w:type="dxa"/>
                  <w:vMerge w:val="continue"/>
                  <w:vAlign w:val="center"/>
                </w:tcPr>
                <w:p>
                  <w:pPr>
                    <w:pStyle w:val="57"/>
                    <w:bidi w:val="0"/>
                    <w:rPr>
                      <w:color w:val="auto"/>
                      <w:highlight w:val="none"/>
                    </w:rPr>
                  </w:pPr>
                </w:p>
              </w:tc>
              <w:tc>
                <w:tcPr>
                  <w:tcW w:w="1018" w:type="dxa"/>
                  <w:vMerge w:val="continue"/>
                  <w:vAlign w:val="center"/>
                </w:tcPr>
                <w:p>
                  <w:pPr>
                    <w:pStyle w:val="57"/>
                    <w:bidi w:val="0"/>
                    <w:rPr>
                      <w:color w:val="auto"/>
                      <w:highlight w:val="none"/>
                    </w:rPr>
                  </w:pPr>
                </w:p>
              </w:tc>
              <w:tc>
                <w:tcPr>
                  <w:tcW w:w="1538" w:type="dxa"/>
                  <w:vAlign w:val="center"/>
                </w:tcPr>
                <w:p>
                  <w:pPr>
                    <w:pStyle w:val="57"/>
                    <w:bidi w:val="0"/>
                    <w:rPr>
                      <w:color w:val="auto"/>
                      <w:highlight w:val="none"/>
                    </w:rPr>
                  </w:pPr>
                  <w:r>
                    <w:rPr>
                      <w:rFonts w:hint="eastAsia"/>
                      <w:color w:val="auto"/>
                      <w:highlight w:val="none"/>
                    </w:rPr>
                    <w:t>化学需氧量（COD）</w:t>
                  </w:r>
                </w:p>
              </w:tc>
              <w:tc>
                <w:tcPr>
                  <w:tcW w:w="1512"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500</w:t>
                  </w:r>
                </w:p>
              </w:tc>
              <w:tc>
                <w:tcPr>
                  <w:tcW w:w="800" w:type="dxa"/>
                  <w:vMerge w:val="continue"/>
                  <w:vAlign w:val="center"/>
                </w:tcPr>
                <w:p>
                  <w:pPr>
                    <w:pStyle w:val="57"/>
                    <w:bidi w:val="0"/>
                    <w:rPr>
                      <w:color w:val="auto"/>
                      <w:highlight w:val="none"/>
                    </w:rPr>
                  </w:pPr>
                </w:p>
              </w:tc>
              <w:tc>
                <w:tcPr>
                  <w:tcW w:w="2480" w:type="dxa"/>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0" w:type="dxa"/>
                  <w:vMerge w:val="continue"/>
                  <w:vAlign w:val="center"/>
                </w:tcPr>
                <w:p>
                  <w:pPr>
                    <w:pStyle w:val="57"/>
                    <w:bidi w:val="0"/>
                    <w:rPr>
                      <w:color w:val="auto"/>
                      <w:highlight w:val="none"/>
                    </w:rPr>
                  </w:pPr>
                </w:p>
              </w:tc>
              <w:tc>
                <w:tcPr>
                  <w:tcW w:w="1018" w:type="dxa"/>
                  <w:vMerge w:val="continue"/>
                  <w:vAlign w:val="center"/>
                </w:tcPr>
                <w:p>
                  <w:pPr>
                    <w:pStyle w:val="57"/>
                    <w:bidi w:val="0"/>
                    <w:rPr>
                      <w:color w:val="auto"/>
                      <w:highlight w:val="none"/>
                    </w:rPr>
                  </w:pPr>
                </w:p>
              </w:tc>
              <w:tc>
                <w:tcPr>
                  <w:tcW w:w="1538" w:type="dxa"/>
                  <w:vAlign w:val="center"/>
                </w:tcPr>
                <w:p>
                  <w:pPr>
                    <w:pStyle w:val="57"/>
                    <w:bidi w:val="0"/>
                    <w:rPr>
                      <w:color w:val="auto"/>
                      <w:highlight w:val="none"/>
                    </w:rPr>
                  </w:pPr>
                  <w:r>
                    <w:rPr>
                      <w:rFonts w:hint="eastAsia"/>
                      <w:color w:val="auto"/>
                      <w:highlight w:val="none"/>
                    </w:rPr>
                    <w:t>五日生化需氧量（BOD</w:t>
                  </w:r>
                  <w:r>
                    <w:rPr>
                      <w:rFonts w:hint="eastAsia"/>
                      <w:color w:val="auto"/>
                      <w:highlight w:val="none"/>
                      <w:vertAlign w:val="subscript"/>
                    </w:rPr>
                    <w:t>5</w:t>
                  </w:r>
                  <w:r>
                    <w:rPr>
                      <w:rFonts w:hint="eastAsia"/>
                      <w:color w:val="auto"/>
                      <w:highlight w:val="none"/>
                    </w:rPr>
                    <w:t>）</w:t>
                  </w:r>
                </w:p>
              </w:tc>
              <w:tc>
                <w:tcPr>
                  <w:tcW w:w="1512"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300</w:t>
                  </w:r>
                </w:p>
              </w:tc>
              <w:tc>
                <w:tcPr>
                  <w:tcW w:w="800" w:type="dxa"/>
                  <w:vMerge w:val="continue"/>
                  <w:vAlign w:val="center"/>
                </w:tcPr>
                <w:p>
                  <w:pPr>
                    <w:pStyle w:val="57"/>
                    <w:bidi w:val="0"/>
                    <w:rPr>
                      <w:color w:val="auto"/>
                      <w:highlight w:val="none"/>
                    </w:rPr>
                  </w:pPr>
                </w:p>
              </w:tc>
              <w:tc>
                <w:tcPr>
                  <w:tcW w:w="2480" w:type="dxa"/>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0" w:type="dxa"/>
                  <w:vMerge w:val="continue"/>
                  <w:vAlign w:val="center"/>
                </w:tcPr>
                <w:p>
                  <w:pPr>
                    <w:pStyle w:val="57"/>
                    <w:bidi w:val="0"/>
                    <w:rPr>
                      <w:color w:val="auto"/>
                      <w:highlight w:val="none"/>
                    </w:rPr>
                  </w:pPr>
                </w:p>
              </w:tc>
              <w:tc>
                <w:tcPr>
                  <w:tcW w:w="1018" w:type="dxa"/>
                  <w:vMerge w:val="continue"/>
                  <w:vAlign w:val="center"/>
                </w:tcPr>
                <w:p>
                  <w:pPr>
                    <w:pStyle w:val="57"/>
                    <w:bidi w:val="0"/>
                    <w:rPr>
                      <w:color w:val="auto"/>
                      <w:highlight w:val="none"/>
                    </w:rPr>
                  </w:pPr>
                </w:p>
              </w:tc>
              <w:tc>
                <w:tcPr>
                  <w:tcW w:w="1538" w:type="dxa"/>
                  <w:vAlign w:val="center"/>
                </w:tcPr>
                <w:p>
                  <w:pPr>
                    <w:pStyle w:val="57"/>
                    <w:bidi w:val="0"/>
                    <w:rPr>
                      <w:color w:val="auto"/>
                      <w:highlight w:val="none"/>
                    </w:rPr>
                  </w:pPr>
                  <w:r>
                    <w:rPr>
                      <w:rFonts w:hint="eastAsia"/>
                      <w:color w:val="auto"/>
                      <w:highlight w:val="none"/>
                    </w:rPr>
                    <w:t>氨氮</w:t>
                  </w:r>
                </w:p>
              </w:tc>
              <w:tc>
                <w:tcPr>
                  <w:tcW w:w="1512" w:type="dxa"/>
                  <w:vAlign w:val="center"/>
                </w:tcPr>
                <w:p>
                  <w:pPr>
                    <w:pStyle w:val="57"/>
                    <w:bidi w:val="0"/>
                    <w:rPr>
                      <w:rFonts w:hint="eastAsia" w:eastAsia="宋体"/>
                      <w:color w:val="auto"/>
                      <w:highlight w:val="none"/>
                      <w:lang w:eastAsia="zh-CN"/>
                    </w:rPr>
                  </w:pPr>
                  <w:r>
                    <w:rPr>
                      <w:rFonts w:hint="eastAsia"/>
                      <w:color w:val="auto"/>
                      <w:highlight w:val="none"/>
                      <w:lang w:eastAsia="zh-CN"/>
                    </w:rPr>
                    <w:t>—</w:t>
                  </w:r>
                </w:p>
              </w:tc>
              <w:tc>
                <w:tcPr>
                  <w:tcW w:w="800" w:type="dxa"/>
                  <w:vMerge w:val="continue"/>
                  <w:vAlign w:val="center"/>
                </w:tcPr>
                <w:p>
                  <w:pPr>
                    <w:pStyle w:val="57"/>
                    <w:bidi w:val="0"/>
                    <w:rPr>
                      <w:color w:val="auto"/>
                      <w:highlight w:val="none"/>
                    </w:rPr>
                  </w:pPr>
                </w:p>
              </w:tc>
              <w:tc>
                <w:tcPr>
                  <w:tcW w:w="2480" w:type="dxa"/>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0" w:type="dxa"/>
                  <w:vMerge w:val="continue"/>
                  <w:vAlign w:val="center"/>
                </w:tcPr>
                <w:p>
                  <w:pPr>
                    <w:pStyle w:val="57"/>
                    <w:bidi w:val="0"/>
                    <w:rPr>
                      <w:color w:val="auto"/>
                      <w:highlight w:val="none"/>
                    </w:rPr>
                  </w:pPr>
                </w:p>
              </w:tc>
              <w:tc>
                <w:tcPr>
                  <w:tcW w:w="1018" w:type="dxa"/>
                  <w:vMerge w:val="continue"/>
                  <w:vAlign w:val="center"/>
                </w:tcPr>
                <w:p>
                  <w:pPr>
                    <w:pStyle w:val="57"/>
                    <w:bidi w:val="0"/>
                    <w:rPr>
                      <w:color w:val="auto"/>
                      <w:highlight w:val="none"/>
                    </w:rPr>
                  </w:pPr>
                </w:p>
              </w:tc>
              <w:tc>
                <w:tcPr>
                  <w:tcW w:w="1538" w:type="dxa"/>
                  <w:vAlign w:val="center"/>
                </w:tcPr>
                <w:p>
                  <w:pPr>
                    <w:pStyle w:val="57"/>
                    <w:bidi w:val="0"/>
                    <w:rPr>
                      <w:color w:val="auto"/>
                      <w:highlight w:val="none"/>
                    </w:rPr>
                  </w:pPr>
                  <w:r>
                    <w:rPr>
                      <w:rFonts w:hint="eastAsia"/>
                      <w:color w:val="auto"/>
                      <w:highlight w:val="none"/>
                    </w:rPr>
                    <w:t>悬浮物</w:t>
                  </w:r>
                </w:p>
              </w:tc>
              <w:tc>
                <w:tcPr>
                  <w:tcW w:w="1512"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400</w:t>
                  </w:r>
                </w:p>
              </w:tc>
              <w:tc>
                <w:tcPr>
                  <w:tcW w:w="800" w:type="dxa"/>
                  <w:vMerge w:val="continue"/>
                  <w:vAlign w:val="center"/>
                </w:tcPr>
                <w:p>
                  <w:pPr>
                    <w:pStyle w:val="57"/>
                    <w:bidi w:val="0"/>
                    <w:rPr>
                      <w:color w:val="auto"/>
                      <w:highlight w:val="none"/>
                    </w:rPr>
                  </w:pPr>
                </w:p>
              </w:tc>
              <w:tc>
                <w:tcPr>
                  <w:tcW w:w="2480" w:type="dxa"/>
                  <w:vMerge w:val="continue"/>
                  <w:vAlign w:val="center"/>
                </w:tcPr>
                <w:p>
                  <w:pPr>
                    <w:pStyle w:val="57"/>
                    <w:bidi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0" w:type="dxa"/>
                  <w:vMerge w:val="restart"/>
                  <w:vAlign w:val="center"/>
                </w:tcPr>
                <w:p>
                  <w:pPr>
                    <w:pStyle w:val="57"/>
                    <w:bidi w:val="0"/>
                    <w:rPr>
                      <w:color w:val="auto"/>
                      <w:highlight w:val="none"/>
                    </w:rPr>
                  </w:pPr>
                  <w:r>
                    <w:rPr>
                      <w:color w:val="auto"/>
                      <w:highlight w:val="none"/>
                    </w:rPr>
                    <w:t>厂界噪声</w:t>
                  </w:r>
                </w:p>
              </w:tc>
              <w:tc>
                <w:tcPr>
                  <w:tcW w:w="1018" w:type="dxa"/>
                  <w:vMerge w:val="restart"/>
                  <w:vAlign w:val="center"/>
                </w:tcPr>
                <w:p>
                  <w:pPr>
                    <w:pStyle w:val="57"/>
                    <w:bidi w:val="0"/>
                    <w:rPr>
                      <w:color w:val="auto"/>
                      <w:highlight w:val="none"/>
                    </w:rPr>
                  </w:pPr>
                  <w:r>
                    <w:rPr>
                      <w:rFonts w:hint="eastAsia"/>
                      <w:color w:val="auto"/>
                      <w:highlight w:val="none"/>
                    </w:rPr>
                    <w:t>Leq</w:t>
                  </w:r>
                </w:p>
              </w:tc>
              <w:tc>
                <w:tcPr>
                  <w:tcW w:w="1538" w:type="dxa"/>
                  <w:vAlign w:val="center"/>
                </w:tcPr>
                <w:p>
                  <w:pPr>
                    <w:pStyle w:val="57"/>
                    <w:bidi w:val="0"/>
                    <w:rPr>
                      <w:color w:val="auto"/>
                      <w:highlight w:val="none"/>
                    </w:rPr>
                  </w:pPr>
                  <w:r>
                    <w:rPr>
                      <w:rFonts w:hint="eastAsia"/>
                      <w:color w:val="auto"/>
                      <w:highlight w:val="none"/>
                    </w:rPr>
                    <w:t>昼间</w:t>
                  </w:r>
                </w:p>
              </w:tc>
              <w:tc>
                <w:tcPr>
                  <w:tcW w:w="1512" w:type="dxa"/>
                  <w:vAlign w:val="center"/>
                </w:tcPr>
                <w:p>
                  <w:pPr>
                    <w:pStyle w:val="57"/>
                    <w:bidi w:val="0"/>
                    <w:rPr>
                      <w:color w:val="auto"/>
                      <w:highlight w:val="none"/>
                    </w:rPr>
                  </w:pPr>
                  <w:r>
                    <w:rPr>
                      <w:rFonts w:hint="eastAsia"/>
                      <w:color w:val="auto"/>
                      <w:highlight w:val="none"/>
                    </w:rPr>
                    <w:t>60</w:t>
                  </w:r>
                </w:p>
              </w:tc>
              <w:tc>
                <w:tcPr>
                  <w:tcW w:w="800" w:type="dxa"/>
                  <w:vMerge w:val="restart"/>
                  <w:vAlign w:val="center"/>
                </w:tcPr>
                <w:p>
                  <w:pPr>
                    <w:pStyle w:val="57"/>
                    <w:bidi w:val="0"/>
                    <w:rPr>
                      <w:color w:val="auto"/>
                      <w:highlight w:val="none"/>
                    </w:rPr>
                  </w:pPr>
                  <w:r>
                    <w:rPr>
                      <w:color w:val="auto"/>
                      <w:highlight w:val="none"/>
                    </w:rPr>
                    <w:t>dB(A)</w:t>
                  </w:r>
                </w:p>
              </w:tc>
              <w:tc>
                <w:tcPr>
                  <w:tcW w:w="2480" w:type="dxa"/>
                  <w:vMerge w:val="restart"/>
                  <w:vAlign w:val="center"/>
                </w:tcPr>
                <w:p>
                  <w:pPr>
                    <w:pStyle w:val="57"/>
                    <w:bidi w:val="0"/>
                    <w:rPr>
                      <w:color w:val="auto"/>
                      <w:highlight w:val="none"/>
                    </w:rPr>
                  </w:pPr>
                  <w:r>
                    <w:rPr>
                      <w:rFonts w:hint="eastAsia"/>
                      <w:color w:val="auto"/>
                      <w:highlight w:val="none"/>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0" w:type="dxa"/>
                  <w:vMerge w:val="continue"/>
                  <w:vAlign w:val="center"/>
                </w:tcPr>
                <w:p>
                  <w:pPr>
                    <w:pStyle w:val="57"/>
                    <w:bidi w:val="0"/>
                    <w:rPr>
                      <w:color w:val="auto"/>
                      <w:highlight w:val="none"/>
                    </w:rPr>
                  </w:pPr>
                </w:p>
              </w:tc>
              <w:tc>
                <w:tcPr>
                  <w:tcW w:w="1018" w:type="dxa"/>
                  <w:vMerge w:val="continue"/>
                  <w:vAlign w:val="center"/>
                </w:tcPr>
                <w:p>
                  <w:pPr>
                    <w:pStyle w:val="57"/>
                    <w:bidi w:val="0"/>
                    <w:rPr>
                      <w:color w:val="auto"/>
                      <w:highlight w:val="none"/>
                    </w:rPr>
                  </w:pPr>
                </w:p>
              </w:tc>
              <w:tc>
                <w:tcPr>
                  <w:tcW w:w="1538" w:type="dxa"/>
                  <w:vAlign w:val="center"/>
                </w:tcPr>
                <w:p>
                  <w:pPr>
                    <w:pStyle w:val="57"/>
                    <w:bidi w:val="0"/>
                    <w:rPr>
                      <w:color w:val="auto"/>
                      <w:highlight w:val="none"/>
                    </w:rPr>
                  </w:pPr>
                  <w:r>
                    <w:rPr>
                      <w:rFonts w:hint="eastAsia"/>
                      <w:color w:val="auto"/>
                      <w:highlight w:val="none"/>
                    </w:rPr>
                    <w:t>夜间</w:t>
                  </w:r>
                </w:p>
              </w:tc>
              <w:tc>
                <w:tcPr>
                  <w:tcW w:w="1512" w:type="dxa"/>
                  <w:vAlign w:val="center"/>
                </w:tcPr>
                <w:p>
                  <w:pPr>
                    <w:pStyle w:val="57"/>
                    <w:bidi w:val="0"/>
                    <w:rPr>
                      <w:color w:val="auto"/>
                      <w:highlight w:val="none"/>
                    </w:rPr>
                  </w:pPr>
                  <w:r>
                    <w:rPr>
                      <w:rFonts w:hint="eastAsia"/>
                      <w:color w:val="auto"/>
                      <w:highlight w:val="none"/>
                    </w:rPr>
                    <w:t>50</w:t>
                  </w:r>
                </w:p>
              </w:tc>
              <w:tc>
                <w:tcPr>
                  <w:tcW w:w="800" w:type="dxa"/>
                  <w:vMerge w:val="continue"/>
                  <w:vAlign w:val="center"/>
                </w:tcPr>
                <w:p>
                  <w:pPr>
                    <w:pStyle w:val="57"/>
                    <w:bidi w:val="0"/>
                    <w:rPr>
                      <w:color w:val="auto"/>
                      <w:highlight w:val="none"/>
                    </w:rPr>
                  </w:pPr>
                </w:p>
              </w:tc>
              <w:tc>
                <w:tcPr>
                  <w:tcW w:w="2480" w:type="dxa"/>
                  <w:vMerge w:val="continue"/>
                  <w:vAlign w:val="center"/>
                </w:tcPr>
                <w:p>
                  <w:pPr>
                    <w:pStyle w:val="57"/>
                    <w:bidi w:val="0"/>
                    <w:rPr>
                      <w:color w:val="auto"/>
                      <w:highlight w:val="none"/>
                    </w:rPr>
                  </w:pPr>
                </w:p>
              </w:tc>
            </w:tr>
          </w:tbl>
          <w:p>
            <w:pPr>
              <w:pStyle w:val="6"/>
              <w:bidi w:val="0"/>
              <w:ind w:left="0" w:leftChars="0" w:firstLine="0" w:firstLineChars="0"/>
              <w:rPr>
                <w:rFonts w:hint="eastAsia"/>
                <w:color w:val="auto"/>
                <w:highlight w:val="none"/>
                <w:lang w:val="en-US" w:eastAsia="zh-CN"/>
              </w:rPr>
            </w:pPr>
          </w:p>
          <w:p>
            <w:pPr>
              <w:pStyle w:val="6"/>
              <w:bidi w:val="0"/>
              <w:ind w:left="0" w:leftChars="0" w:firstLine="0" w:firstLineChars="0"/>
              <w:rPr>
                <w:rFonts w:hint="eastAsia"/>
                <w:color w:val="auto"/>
                <w:highlight w:val="none"/>
                <w:lang w:val="en-US" w:eastAsia="zh-CN"/>
              </w:rPr>
            </w:pPr>
          </w:p>
          <w:p>
            <w:pPr>
              <w:pStyle w:val="6"/>
              <w:bidi w:val="0"/>
              <w:ind w:left="0" w:leftChars="0" w:firstLine="0" w:firstLineChars="0"/>
              <w:rPr>
                <w:rFonts w:hint="eastAsia"/>
                <w:color w:val="auto"/>
                <w:highlight w:val="none"/>
                <w:lang w:val="en-US" w:eastAsia="zh-CN"/>
              </w:rPr>
            </w:pPr>
          </w:p>
          <w:p>
            <w:pPr>
              <w:pStyle w:val="6"/>
              <w:bidi w:val="0"/>
              <w:ind w:left="0" w:leftChars="0" w:firstLine="0" w:firstLineChars="0"/>
              <w:rPr>
                <w:rFonts w:hint="eastAsia"/>
                <w:color w:val="auto"/>
                <w:highlight w:val="none"/>
                <w:lang w:val="en-US" w:eastAsia="zh-CN"/>
              </w:rPr>
            </w:pPr>
          </w:p>
          <w:p>
            <w:pPr>
              <w:pStyle w:val="6"/>
              <w:bidi w:val="0"/>
              <w:ind w:left="0" w:leftChars="0" w:firstLine="0" w:firstLineChars="0"/>
              <w:rPr>
                <w:rFonts w:hint="eastAsia"/>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525" w:type="dxa"/>
            <w:vAlign w:val="center"/>
          </w:tcPr>
          <w:p>
            <w:pPr>
              <w:pStyle w:val="28"/>
              <w:bidi w:val="0"/>
              <w:rPr>
                <w:color w:val="auto"/>
                <w:kern w:val="0"/>
                <w:highlight w:val="none"/>
              </w:rPr>
            </w:pPr>
            <w:r>
              <w:rPr>
                <w:rFonts w:hint="eastAsia"/>
                <w:color w:val="auto"/>
                <w:highlight w:val="none"/>
              </w:rPr>
              <w:t>总量控制指标</w:t>
            </w:r>
          </w:p>
        </w:tc>
        <w:tc>
          <w:tcPr>
            <w:tcW w:w="8547" w:type="dxa"/>
          </w:tcPr>
          <w:p>
            <w:pPr>
              <w:pStyle w:val="6"/>
              <w:bidi w:val="0"/>
              <w:rPr>
                <w:rFonts w:hint="eastAsia"/>
                <w:color w:val="auto"/>
                <w:highlight w:val="none"/>
                <w:lang w:val="en-US" w:eastAsia="zh-CN"/>
              </w:rPr>
            </w:pPr>
          </w:p>
          <w:p>
            <w:pPr>
              <w:pStyle w:val="6"/>
              <w:bidi w:val="0"/>
              <w:rPr>
                <w:rFonts w:hint="eastAsia"/>
                <w:color w:val="auto"/>
                <w:highlight w:val="none"/>
                <w:lang w:val="en-US" w:eastAsia="zh-CN"/>
              </w:rPr>
            </w:pPr>
            <w:r>
              <w:rPr>
                <w:rFonts w:hint="eastAsia"/>
                <w:color w:val="auto"/>
                <w:highlight w:val="none"/>
                <w:lang w:val="en-US" w:eastAsia="zh-CN"/>
              </w:rPr>
              <w:t>无</w:t>
            </w: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p>
            <w:pPr>
              <w:pStyle w:val="6"/>
              <w:bidi w:val="0"/>
              <w:rPr>
                <w:rFonts w:hint="eastAsia"/>
                <w:color w:val="auto"/>
                <w:highlight w:val="none"/>
                <w:lang w:val="en-US" w:eastAsia="zh-CN"/>
              </w:rPr>
            </w:pPr>
          </w:p>
        </w:tc>
      </w:tr>
    </w:tbl>
    <w:p>
      <w:pPr>
        <w:pStyle w:val="2"/>
        <w:rPr>
          <w:color w:val="auto"/>
          <w:highlight w:val="none"/>
        </w:rPr>
      </w:pPr>
      <w:r>
        <w:rPr>
          <w:rFonts w:ascii="黑体" w:hAnsi="黑体" w:eastAsia="黑体"/>
          <w:snapToGrid w:val="0"/>
          <w:color w:val="auto"/>
          <w:kern w:val="0"/>
          <w:sz w:val="36"/>
          <w:szCs w:val="36"/>
          <w:highlight w:val="none"/>
        </w:rPr>
        <w:br w:type="page"/>
      </w:r>
      <w:bookmarkStart w:id="13" w:name="_Toc20536"/>
      <w:r>
        <w:rPr>
          <w:rFonts w:hint="eastAsia"/>
          <w:color w:val="auto"/>
          <w:highlight w:val="none"/>
        </w:rPr>
        <w:t>四、主要环境影响和保护措施</w:t>
      </w:r>
      <w:bookmarkEnd w:id="13"/>
    </w:p>
    <w:tbl>
      <w:tblPr>
        <w:tblStyle w:val="2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8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6" w:hRule="atLeast"/>
          <w:jc w:val="center"/>
        </w:trPr>
        <w:tc>
          <w:tcPr>
            <w:tcW w:w="593" w:type="dxa"/>
            <w:tcBorders>
              <w:bottom w:val="single" w:color="auto" w:sz="4" w:space="0"/>
            </w:tcBorders>
            <w:tcMar>
              <w:left w:w="28" w:type="dxa"/>
              <w:right w:w="28" w:type="dxa"/>
            </w:tcMar>
            <w:vAlign w:val="center"/>
          </w:tcPr>
          <w:p>
            <w:pPr>
              <w:pStyle w:val="28"/>
              <w:bidi w:val="0"/>
              <w:rPr>
                <w:color w:val="auto"/>
                <w:highlight w:val="none"/>
              </w:rPr>
            </w:pPr>
            <w:r>
              <w:rPr>
                <w:rFonts w:hint="eastAsia"/>
                <w:color w:val="auto"/>
                <w:highlight w:val="none"/>
              </w:rPr>
              <w:t>施工期环境保护措施</w:t>
            </w:r>
          </w:p>
        </w:tc>
        <w:tc>
          <w:tcPr>
            <w:tcW w:w="8616" w:type="dxa"/>
            <w:tcBorders>
              <w:bottom w:val="single" w:color="auto" w:sz="4" w:space="0"/>
            </w:tcBorders>
          </w:tcPr>
          <w:p>
            <w:pPr>
              <w:pStyle w:val="6"/>
              <w:bidi w:val="0"/>
              <w:rPr>
                <w:rFonts w:hint="eastAsia"/>
                <w:color w:val="auto"/>
                <w:highlight w:val="none"/>
              </w:rPr>
            </w:pPr>
            <w:r>
              <w:rPr>
                <w:rFonts w:hint="eastAsia"/>
                <w:color w:val="auto"/>
                <w:highlight w:val="none"/>
                <w:lang w:val="en-US" w:eastAsia="zh-CN"/>
              </w:rPr>
              <w:t>本项目无土建工程，主要为钢结构厂房建设和设备安装。项目施工期主要为焊接烟气和运输车辆尾气等施工废气；生活污水；钢结构边角料、包装材料等固体废物；运输车辆和吊装机械运行噪声等</w:t>
            </w:r>
            <w:r>
              <w:rPr>
                <w:rFonts w:hint="eastAsia"/>
                <w:color w:val="auto"/>
                <w:highlight w:val="none"/>
              </w:rPr>
              <w:t>。</w:t>
            </w:r>
          </w:p>
          <w:p>
            <w:pPr>
              <w:pStyle w:val="6"/>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施工废气环境影响及保护措施</w:t>
            </w:r>
          </w:p>
          <w:p>
            <w:pPr>
              <w:pStyle w:val="6"/>
              <w:bidi w:val="0"/>
              <w:rPr>
                <w:rFonts w:hint="eastAsia"/>
                <w:color w:val="auto"/>
                <w:highlight w:val="none"/>
                <w:lang w:val="en-US" w:eastAsia="zh-CN"/>
              </w:rPr>
            </w:pPr>
            <w:r>
              <w:rPr>
                <w:rFonts w:hint="eastAsia"/>
                <w:color w:val="auto"/>
                <w:highlight w:val="none"/>
                <w:lang w:val="en-US" w:eastAsia="zh-CN"/>
              </w:rPr>
              <w:t>钢结构厂房焊接烟气主要为颗粒物，应合理安排施工布局，避免局部集中焊接，以降低焊接烟尘对环境的影响。</w:t>
            </w:r>
          </w:p>
          <w:p>
            <w:pPr>
              <w:pStyle w:val="6"/>
              <w:bidi w:val="0"/>
              <w:rPr>
                <w:rFonts w:hint="eastAsia"/>
                <w:color w:val="auto"/>
                <w:highlight w:val="none"/>
                <w:lang w:val="en-US" w:eastAsia="zh-CN"/>
              </w:rPr>
            </w:pPr>
            <w:r>
              <w:rPr>
                <w:rFonts w:hint="eastAsia"/>
                <w:color w:val="auto"/>
                <w:highlight w:val="none"/>
                <w:lang w:val="en-US" w:eastAsia="zh-CN"/>
              </w:rPr>
              <w:t>运输车辆尾气主要为颗粒物、NO</w:t>
            </w:r>
            <w:r>
              <w:rPr>
                <w:rFonts w:hint="eastAsia"/>
                <w:color w:val="auto"/>
                <w:highlight w:val="none"/>
                <w:vertAlign w:val="subscript"/>
                <w:lang w:val="en-US" w:eastAsia="zh-CN"/>
              </w:rPr>
              <w:t>X</w:t>
            </w:r>
            <w:r>
              <w:rPr>
                <w:rFonts w:hint="eastAsia"/>
                <w:color w:val="auto"/>
                <w:highlight w:val="none"/>
                <w:lang w:val="en-US" w:eastAsia="zh-CN"/>
              </w:rPr>
              <w:t>、不完全燃烧产生的挥发性有机物，通过采用合格的油品、定期检修运输车辆等措施，降低运输车辆尾气对环境空气的影响。</w:t>
            </w:r>
          </w:p>
          <w:p>
            <w:pPr>
              <w:pStyle w:val="6"/>
              <w:bidi w:val="0"/>
              <w:rPr>
                <w:rFonts w:hint="eastAsia"/>
                <w:color w:val="auto"/>
                <w:highlight w:val="none"/>
                <w:lang w:val="en-US" w:eastAsia="zh-CN"/>
              </w:rPr>
            </w:pPr>
            <w:r>
              <w:rPr>
                <w:rFonts w:hint="eastAsia"/>
                <w:color w:val="auto"/>
                <w:highlight w:val="none"/>
                <w:lang w:val="en-US" w:eastAsia="zh-CN"/>
              </w:rPr>
              <w:t>综上所述，施工废气随施工结束而消失，通过采取相关措施后，对区域环境空气的影响是可接受的。</w:t>
            </w:r>
          </w:p>
          <w:p>
            <w:pPr>
              <w:pStyle w:val="6"/>
              <w:bidi w:val="0"/>
              <w:rPr>
                <w:rFonts w:hint="eastAsia"/>
                <w:color w:val="auto"/>
                <w:highlight w:val="none"/>
                <w:lang w:val="en-US" w:eastAsia="zh-CN"/>
              </w:rPr>
            </w:pPr>
            <w:r>
              <w:rPr>
                <w:rFonts w:hint="eastAsia"/>
                <w:color w:val="auto"/>
                <w:highlight w:val="none"/>
                <w:lang w:val="en-US" w:eastAsia="zh-CN"/>
              </w:rPr>
              <w:t>（2）废水环境影响及保护措施</w:t>
            </w:r>
          </w:p>
          <w:p>
            <w:pPr>
              <w:pStyle w:val="6"/>
              <w:bidi w:val="0"/>
              <w:rPr>
                <w:rFonts w:hint="eastAsia"/>
                <w:color w:val="auto"/>
                <w:highlight w:val="none"/>
                <w:lang w:val="en-US" w:eastAsia="zh-CN"/>
              </w:rPr>
            </w:pPr>
            <w:r>
              <w:rPr>
                <w:rFonts w:hint="eastAsia"/>
                <w:color w:val="auto"/>
                <w:highlight w:val="none"/>
                <w:lang w:val="en-US" w:eastAsia="zh-CN"/>
              </w:rPr>
              <w:t>施工人员来自开发区居民区或库尔勒市区，施工人员生活污水主要为盥洗废水，依托现有化粪池（3×4×2m）收集处理后，委托库尔勒龙润处理有限公司定期拉运至库尔勒市南市区污水处理厂处理，不外排。</w:t>
            </w:r>
          </w:p>
          <w:p>
            <w:pPr>
              <w:pStyle w:val="6"/>
              <w:bidi w:val="0"/>
              <w:rPr>
                <w:rFonts w:hint="eastAsia"/>
                <w:color w:val="auto"/>
                <w:highlight w:val="none"/>
                <w:lang w:val="en-US" w:eastAsia="zh-CN"/>
              </w:rPr>
            </w:pPr>
            <w:r>
              <w:rPr>
                <w:rFonts w:hint="eastAsia"/>
                <w:color w:val="auto"/>
                <w:highlight w:val="none"/>
                <w:lang w:val="en-US" w:eastAsia="zh-CN"/>
              </w:rPr>
              <w:t>（3）固体废物处置措施</w:t>
            </w:r>
          </w:p>
          <w:p>
            <w:pPr>
              <w:pStyle w:val="6"/>
              <w:bidi w:val="0"/>
              <w:rPr>
                <w:rFonts w:hint="default" w:eastAsia="宋体"/>
                <w:color w:val="auto"/>
                <w:highlight w:val="none"/>
                <w:lang w:val="en-US" w:eastAsia="zh-CN"/>
              </w:rPr>
            </w:pPr>
            <w:r>
              <w:rPr>
                <w:rFonts w:hint="eastAsia"/>
                <w:color w:val="auto"/>
                <w:highlight w:val="none"/>
                <w:lang w:val="en-US" w:eastAsia="zh-CN"/>
              </w:rPr>
              <w:t>施工期固体废物主要为钢构边角料和设备包装材料，分类收集后外售；生活垃圾分类收集后交由环卫部门处置，各类固体废物均妥善处置。</w:t>
            </w:r>
          </w:p>
          <w:p>
            <w:pPr>
              <w:pStyle w:val="6"/>
              <w:bidi w:val="0"/>
              <w:rPr>
                <w:rFonts w:hint="eastAsia"/>
                <w:color w:val="auto"/>
                <w:highlight w:val="none"/>
                <w:lang w:val="en-US" w:eastAsia="zh-CN"/>
              </w:rPr>
            </w:pPr>
            <w:r>
              <w:rPr>
                <w:rFonts w:hint="eastAsia"/>
                <w:color w:val="auto"/>
                <w:highlight w:val="none"/>
                <w:lang w:val="en-US" w:eastAsia="zh-CN"/>
              </w:rPr>
              <w:t>（4）噪声环境影响和保护措施</w:t>
            </w:r>
          </w:p>
          <w:p>
            <w:pPr>
              <w:pStyle w:val="6"/>
              <w:bidi w:val="0"/>
              <w:rPr>
                <w:rFonts w:hint="default"/>
                <w:color w:val="auto"/>
                <w:highlight w:val="none"/>
                <w:lang w:val="en-US" w:eastAsia="zh-CN"/>
              </w:rPr>
            </w:pPr>
            <w:r>
              <w:rPr>
                <w:rFonts w:hint="eastAsia"/>
                <w:color w:val="auto"/>
                <w:highlight w:val="none"/>
                <w:lang w:val="en-US" w:eastAsia="zh-CN"/>
              </w:rPr>
              <w:t>施工噪声主要为运输车辆和吊装机械的运行噪声，通过定期检修车辆和吊装机械，并制定合理作业布局，避免局部声压过高，且随着施工结束而消失，故对区域声环境的影响是可以接受的。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9" w:hRule="atLeast"/>
          <w:jc w:val="center"/>
        </w:trPr>
        <w:tc>
          <w:tcPr>
            <w:tcW w:w="59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28"/>
              <w:bidi w:val="0"/>
              <w:rPr>
                <w:rFonts w:cs="宋体"/>
                <w:color w:val="auto"/>
                <w:szCs w:val="21"/>
                <w:highlight w:val="none"/>
              </w:rPr>
            </w:pPr>
            <w:bookmarkStart w:id="14" w:name="OLE_LINK1"/>
            <w:bookmarkStart w:id="15" w:name="OLE_LINK2"/>
            <w:r>
              <w:rPr>
                <w:rFonts w:hint="eastAsia"/>
                <w:color w:val="auto"/>
                <w:highlight w:val="none"/>
              </w:rPr>
              <w:t>运营期环境影响和保护措施</w:t>
            </w:r>
            <w:bookmarkEnd w:id="14"/>
            <w:bookmarkEnd w:id="15"/>
          </w:p>
        </w:tc>
        <w:tc>
          <w:tcPr>
            <w:tcW w:w="8616" w:type="dxa"/>
            <w:tcBorders>
              <w:top w:val="single" w:color="auto" w:sz="4" w:space="0"/>
              <w:left w:val="single" w:color="auto" w:sz="4" w:space="0"/>
              <w:bottom w:val="single" w:color="auto" w:sz="4" w:space="0"/>
              <w:right w:val="single" w:color="auto" w:sz="4" w:space="0"/>
            </w:tcBorders>
          </w:tcPr>
          <w:p>
            <w:pPr>
              <w:pStyle w:val="3"/>
              <w:bidi w:val="0"/>
              <w:rPr>
                <w:rFonts w:hint="default"/>
                <w:color w:val="auto"/>
                <w:highlight w:val="none"/>
                <w:lang w:val="en-US" w:eastAsia="zh-CN"/>
              </w:rPr>
            </w:pPr>
            <w:r>
              <w:rPr>
                <w:rFonts w:hint="eastAsia"/>
                <w:color w:val="auto"/>
                <w:highlight w:val="none"/>
                <w:lang w:val="en-US" w:eastAsia="zh-CN"/>
              </w:rPr>
              <w:t>4.1 运营期大气环境影响分析</w:t>
            </w:r>
          </w:p>
          <w:p>
            <w:pPr>
              <w:pStyle w:val="6"/>
              <w:bidi w:val="0"/>
              <w:rPr>
                <w:color w:val="auto"/>
                <w:highlight w:val="none"/>
              </w:rPr>
            </w:pPr>
            <w:r>
              <w:rPr>
                <w:rFonts w:hint="eastAsia"/>
                <w:color w:val="auto"/>
                <w:highlight w:val="none"/>
              </w:rPr>
              <w:t>本项目营运期主要大气污染源为</w:t>
            </w:r>
            <w:r>
              <w:rPr>
                <w:rFonts w:hint="eastAsia"/>
                <w:color w:val="auto"/>
                <w:highlight w:val="none"/>
                <w:lang w:val="en-US" w:eastAsia="zh-CN"/>
              </w:rPr>
              <w:t>窑头落料阶段干燥器废气</w:t>
            </w:r>
            <w:r>
              <w:rPr>
                <w:rFonts w:hint="eastAsia"/>
                <w:color w:val="auto"/>
                <w:highlight w:val="none"/>
              </w:rPr>
              <w:t>和</w:t>
            </w:r>
            <w:r>
              <w:rPr>
                <w:rFonts w:hint="eastAsia"/>
                <w:color w:val="auto"/>
                <w:highlight w:val="none"/>
                <w:lang w:val="en-US" w:eastAsia="zh-CN"/>
              </w:rPr>
              <w:t>筒仓呼吸废气经布袋除尘器处理后的</w:t>
            </w:r>
            <w:r>
              <w:rPr>
                <w:rFonts w:hint="eastAsia"/>
                <w:color w:val="auto"/>
                <w:highlight w:val="none"/>
              </w:rPr>
              <w:t>无组织废气等。</w:t>
            </w:r>
          </w:p>
          <w:p>
            <w:pPr>
              <w:pStyle w:val="4"/>
              <w:bidi w:val="0"/>
              <w:rPr>
                <w:rFonts w:hint="default"/>
                <w:color w:val="auto"/>
                <w:highlight w:val="none"/>
                <w:lang w:val="en-US" w:eastAsia="zh-CN"/>
              </w:rPr>
            </w:pPr>
            <w:r>
              <w:rPr>
                <w:rFonts w:hint="eastAsia"/>
                <w:color w:val="auto"/>
                <w:highlight w:val="none"/>
                <w:lang w:val="en-US" w:eastAsia="zh-CN"/>
              </w:rPr>
              <w:t>4.1.1</w:t>
            </w:r>
            <w:r>
              <w:rPr>
                <w:rFonts w:hint="eastAsia"/>
                <w:color w:val="auto"/>
                <w:highlight w:val="none"/>
              </w:rPr>
              <w:t xml:space="preserve"> </w:t>
            </w:r>
            <w:r>
              <w:rPr>
                <w:rFonts w:hint="eastAsia"/>
                <w:color w:val="auto"/>
                <w:highlight w:val="none"/>
                <w:lang w:val="en-US" w:eastAsia="zh-CN"/>
              </w:rPr>
              <w:t>有组织废气</w:t>
            </w:r>
          </w:p>
          <w:p>
            <w:pPr>
              <w:pStyle w:val="6"/>
              <w:bidi w:val="0"/>
              <w:rPr>
                <w:rFonts w:hint="default"/>
                <w:color w:val="auto"/>
                <w:highlight w:val="none"/>
                <w:lang w:val="en-US" w:eastAsia="zh-CN"/>
              </w:rPr>
            </w:pPr>
            <w:r>
              <w:rPr>
                <w:rFonts w:hint="eastAsia"/>
                <w:color w:val="auto"/>
                <w:highlight w:val="none"/>
                <w:lang w:val="en-US" w:eastAsia="zh-CN"/>
              </w:rPr>
              <w:t>（1）源强计算</w:t>
            </w:r>
          </w:p>
          <w:p>
            <w:pPr>
              <w:pStyle w:val="6"/>
              <w:bidi w:val="0"/>
              <w:rPr>
                <w:rFonts w:hint="default"/>
                <w:color w:val="auto"/>
                <w:highlight w:val="none"/>
                <w:lang w:val="en-US" w:eastAsia="zh-CN"/>
              </w:rPr>
            </w:pPr>
            <w:r>
              <w:rPr>
                <w:rFonts w:hint="eastAsia"/>
                <w:color w:val="auto"/>
                <w:highlight w:val="none"/>
                <w:lang w:val="en-US" w:eastAsia="zh-CN"/>
              </w:rPr>
              <w:t>本项目运营期有组织废气主要为窑头落料干燥器废气，由于本项目不涉及《排污许可证申请与核发技术规范 工业固体废物和危险废物治理》（HJ1033-2019）“表21 工业固体废物和危险废物治理排污单位废气产污系数”中的熔融处理、热脱附处置和铬渣干法解毒单元，故本次评价参考《301 水泥、石灰和石膏制造行业系数手册》“3012 石灰和石膏制造行业（续3）”石灰回转窑废气颗粒物产污系数1.45千克/吨-产品，末端治理技术平均去除效率布袋除尘器为99%，其他为80%；“3012 石灰和石膏制造行业（续5）”石膏回转窑废气颗粒物末端治理技术平均去除率旋风除尘器为80%。</w:t>
            </w:r>
          </w:p>
          <w:p>
            <w:pPr>
              <w:pStyle w:val="6"/>
              <w:bidi w:val="0"/>
              <w:rPr>
                <w:rFonts w:hint="eastAsia"/>
                <w:color w:val="auto"/>
                <w:highlight w:val="none"/>
                <w:lang w:val="en-US" w:eastAsia="zh-CN"/>
              </w:rPr>
            </w:pPr>
            <w:r>
              <w:rPr>
                <w:rFonts w:hint="eastAsia"/>
                <w:color w:val="auto"/>
                <w:highlight w:val="none"/>
                <w:lang w:val="en-US" w:eastAsia="zh-CN"/>
              </w:rPr>
              <w:t>本项目产品为60000t/a，则窑头落料干燥器废气颗粒物产生量为87t/a，废气通过双筒预热器给原料预热后，经旋风除尘器+布袋除尘器处理后，经15m排气筒排放，旋风除尘器颗粒物处理效率按80%计算，布袋除尘器颗粒物处理效率按99%计算，则窑头落料干燥器废气颗粒物排放量为87×（1-80%）×（1-99%）=0.174t/a。</w:t>
            </w:r>
          </w:p>
          <w:p>
            <w:pPr>
              <w:pStyle w:val="6"/>
              <w:bidi w:val="0"/>
              <w:rPr>
                <w:rFonts w:hint="default"/>
                <w:color w:val="auto"/>
                <w:highlight w:val="none"/>
                <w:vertAlign w:val="baseline"/>
                <w:lang w:val="en-US" w:eastAsia="zh-CN"/>
              </w:rPr>
            </w:pPr>
            <w:r>
              <w:rPr>
                <w:rFonts w:hint="eastAsia"/>
                <w:color w:val="auto"/>
                <w:highlight w:val="none"/>
                <w:lang w:val="en-US" w:eastAsia="zh-CN"/>
              </w:rPr>
              <w:t>年运行300d，每天运行24h，年运行7200h/a，罗茨风机风量3000m</w:t>
            </w:r>
            <w:r>
              <w:rPr>
                <w:rFonts w:hint="eastAsia"/>
                <w:color w:val="auto"/>
                <w:highlight w:val="none"/>
                <w:vertAlign w:val="superscript"/>
                <w:lang w:val="en-US" w:eastAsia="zh-CN"/>
              </w:rPr>
              <w:t>3</w:t>
            </w:r>
            <w:r>
              <w:rPr>
                <w:rFonts w:hint="eastAsia"/>
                <w:color w:val="auto"/>
                <w:highlight w:val="none"/>
                <w:vertAlign w:val="baseline"/>
                <w:lang w:val="en-US" w:eastAsia="zh-CN"/>
              </w:rPr>
              <w:t>/h，则干燥废气量为2.16×10</w:t>
            </w:r>
            <w:r>
              <w:rPr>
                <w:rFonts w:hint="eastAsia"/>
                <w:color w:val="auto"/>
                <w:highlight w:val="none"/>
                <w:vertAlign w:val="superscript"/>
                <w:lang w:val="en-US" w:eastAsia="zh-CN"/>
              </w:rPr>
              <w:t>7</w:t>
            </w:r>
            <w:r>
              <w:rPr>
                <w:rFonts w:hint="eastAsia"/>
                <w:color w:val="auto"/>
                <w:highlight w:val="none"/>
                <w:vertAlign w:val="baseli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/a，颗粒物产生速率12.08kg/h，排放速率0.02kg/h；产生浓度为4027.78mg/m</w:t>
            </w:r>
            <w:r>
              <w:rPr>
                <w:rFonts w:hint="eastAsia"/>
                <w:color w:val="auto"/>
                <w:highlight w:val="none"/>
                <w:vertAlign w:val="superscript"/>
                <w:lang w:val="en-US" w:eastAsia="zh-CN"/>
              </w:rPr>
              <w:t>3</w:t>
            </w:r>
            <w:r>
              <w:rPr>
                <w:rFonts w:hint="eastAsia"/>
                <w:color w:val="auto"/>
                <w:highlight w:val="none"/>
                <w:vertAlign w:val="baseline"/>
                <w:lang w:val="en-US" w:eastAsia="zh-CN"/>
              </w:rPr>
              <w:t>，排放浓度为8.06mg/m</w:t>
            </w:r>
            <w:r>
              <w:rPr>
                <w:rFonts w:hint="eastAsia"/>
                <w:color w:val="auto"/>
                <w:highlight w:val="none"/>
                <w:vertAlign w:val="superscript"/>
                <w:lang w:val="en-US" w:eastAsia="zh-CN"/>
              </w:rPr>
              <w:t>3</w:t>
            </w:r>
            <w:r>
              <w:rPr>
                <w:rFonts w:hint="eastAsia"/>
                <w:color w:val="auto"/>
                <w:highlight w:val="none"/>
                <w:vertAlign w:val="baseline"/>
                <w:lang w:val="en-US" w:eastAsia="zh-CN"/>
              </w:rPr>
              <w:t>。</w:t>
            </w:r>
          </w:p>
          <w:p>
            <w:pPr>
              <w:pStyle w:val="6"/>
              <w:bidi w:val="0"/>
              <w:rPr>
                <w:color w:val="auto"/>
                <w:highlight w:val="none"/>
              </w:rPr>
            </w:pPr>
            <w:r>
              <w:rPr>
                <w:rFonts w:hint="eastAsia"/>
                <w:color w:val="auto"/>
                <w:highlight w:val="none"/>
              </w:rPr>
              <w:t>经计算，大气污染物</w:t>
            </w:r>
            <w:r>
              <w:rPr>
                <w:rFonts w:hint="eastAsia"/>
                <w:color w:val="auto"/>
                <w:highlight w:val="none"/>
                <w:lang w:val="en-US" w:eastAsia="zh-CN"/>
              </w:rPr>
              <w:t>有组织</w:t>
            </w:r>
            <w:r>
              <w:rPr>
                <w:rFonts w:hint="eastAsia"/>
                <w:color w:val="auto"/>
                <w:highlight w:val="none"/>
              </w:rPr>
              <w:t>排放情况见下表。</w:t>
            </w:r>
          </w:p>
          <w:p>
            <w:pPr>
              <w:pStyle w:val="36"/>
              <w:bidi w:val="0"/>
              <w:rPr>
                <w:color w:val="auto"/>
                <w:highlight w:val="none"/>
              </w:rPr>
            </w:pPr>
            <w:r>
              <w:rPr>
                <w:rFonts w:hint="eastAsia"/>
                <w:color w:val="auto"/>
                <w:highlight w:val="none"/>
              </w:rPr>
              <w:t>表4.1-</w:t>
            </w:r>
            <w:r>
              <w:rPr>
                <w:rFonts w:hint="eastAsia"/>
                <w:color w:val="auto"/>
                <w:highlight w:val="none"/>
                <w:lang w:val="en-US" w:eastAsia="zh-CN"/>
              </w:rPr>
              <w:t>1</w:t>
            </w:r>
            <w:r>
              <w:rPr>
                <w:rFonts w:hint="eastAsia"/>
                <w:color w:val="auto"/>
                <w:highlight w:val="none"/>
              </w:rPr>
              <w:t xml:space="preserve">   </w:t>
            </w:r>
            <w:r>
              <w:rPr>
                <w:rFonts w:hint="default"/>
                <w:color w:val="auto"/>
                <w:highlight w:val="none"/>
                <w:lang w:val="en-US" w:eastAsia="zh-CN"/>
              </w:rPr>
              <w:t>本项目大气污染物有组织</w:t>
            </w:r>
            <w:r>
              <w:rPr>
                <w:rFonts w:hint="eastAsia"/>
                <w:color w:val="auto"/>
                <w:highlight w:val="none"/>
                <w:lang w:val="en-US" w:eastAsia="zh-CN"/>
              </w:rPr>
              <w:t>源强产</w:t>
            </w:r>
            <w:r>
              <w:rPr>
                <w:rFonts w:hint="default"/>
                <w:color w:val="auto"/>
                <w:highlight w:val="none"/>
                <w:lang w:val="en-US" w:eastAsia="zh-CN"/>
              </w:rPr>
              <w:t>排情况</w:t>
            </w:r>
            <w:r>
              <w:rPr>
                <w:rFonts w:hint="eastAsia"/>
                <w:color w:val="auto"/>
                <w:highlight w:val="none"/>
                <w:lang w:val="en-US" w:eastAsia="zh-CN"/>
              </w:rPr>
              <w:t>一览表</w:t>
            </w:r>
          </w:p>
          <w:tbl>
            <w:tblPr>
              <w:tblStyle w:val="2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450"/>
              <w:gridCol w:w="818"/>
              <w:gridCol w:w="709"/>
              <w:gridCol w:w="668"/>
              <w:gridCol w:w="982"/>
              <w:gridCol w:w="791"/>
              <w:gridCol w:w="654"/>
              <w:gridCol w:w="723"/>
              <w:gridCol w:w="464"/>
              <w:gridCol w:w="46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30" w:type="pct"/>
                  <w:vMerge w:val="restar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污染源</w:t>
                  </w:r>
                </w:p>
              </w:tc>
              <w:tc>
                <w:tcPr>
                  <w:tcW w:w="268" w:type="pct"/>
                  <w:vMerge w:val="restar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污染物</w:t>
                  </w:r>
                </w:p>
              </w:tc>
              <w:tc>
                <w:tcPr>
                  <w:tcW w:w="1309" w:type="pct"/>
                  <w:gridSpan w:val="3"/>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产生情况</w:t>
                  </w:r>
                </w:p>
              </w:tc>
              <w:tc>
                <w:tcPr>
                  <w:tcW w:w="585" w:type="pct"/>
                  <w:vMerge w:val="restar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治理</w:t>
                  </w:r>
                </w:p>
                <w:p>
                  <w:pPr>
                    <w:pStyle w:val="57"/>
                    <w:bidi w:val="0"/>
                    <w:rPr>
                      <w:rFonts w:hint="default"/>
                      <w:color w:val="auto"/>
                      <w:highlight w:val="none"/>
                      <w:lang w:val="en-US" w:eastAsia="zh-CN"/>
                    </w:rPr>
                  </w:pPr>
                  <w:r>
                    <w:rPr>
                      <w:rFonts w:hint="default"/>
                      <w:color w:val="auto"/>
                      <w:highlight w:val="none"/>
                      <w:lang w:val="en-US" w:eastAsia="zh-CN"/>
                    </w:rPr>
                    <w:t>措施</w:t>
                  </w:r>
                </w:p>
              </w:tc>
              <w:tc>
                <w:tcPr>
                  <w:tcW w:w="1293" w:type="pct"/>
                  <w:gridSpan w:val="3"/>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排放情况</w:t>
                  </w:r>
                </w:p>
              </w:tc>
              <w:tc>
                <w:tcPr>
                  <w:tcW w:w="556" w:type="pct"/>
                  <w:gridSpan w:val="2"/>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排气筒</w:t>
                  </w:r>
                </w:p>
              </w:tc>
              <w:tc>
                <w:tcPr>
                  <w:tcW w:w="756" w:type="pct"/>
                  <w:vMerge w:val="restar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 w:type="pct"/>
                  <w:vMerge w:val="continue"/>
                  <w:tcBorders>
                    <w:tl2br w:val="nil"/>
                    <w:tr2bl w:val="nil"/>
                  </w:tcBorders>
                  <w:noWrap w:val="0"/>
                  <w:vAlign w:val="center"/>
                </w:tcPr>
                <w:p>
                  <w:pPr>
                    <w:pStyle w:val="57"/>
                    <w:bidi w:val="0"/>
                    <w:rPr>
                      <w:rFonts w:hint="default"/>
                      <w:color w:val="auto"/>
                      <w:highlight w:val="none"/>
                      <w:lang w:val="en-US" w:eastAsia="zh-CN"/>
                    </w:rPr>
                  </w:pPr>
                </w:p>
              </w:tc>
              <w:tc>
                <w:tcPr>
                  <w:tcW w:w="268" w:type="pct"/>
                  <w:vMerge w:val="continue"/>
                  <w:tcBorders>
                    <w:tl2br w:val="nil"/>
                    <w:tr2bl w:val="nil"/>
                  </w:tcBorders>
                  <w:noWrap w:val="0"/>
                  <w:vAlign w:val="center"/>
                </w:tcPr>
                <w:p>
                  <w:pPr>
                    <w:pStyle w:val="57"/>
                    <w:bidi w:val="0"/>
                    <w:rPr>
                      <w:rFonts w:hint="default"/>
                      <w:color w:val="auto"/>
                      <w:highlight w:val="none"/>
                      <w:lang w:val="en-US" w:eastAsia="zh-CN"/>
                    </w:rPr>
                  </w:pPr>
                </w:p>
              </w:tc>
              <w:tc>
                <w:tcPr>
                  <w:tcW w:w="488"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浓度</w:t>
                  </w:r>
                </w:p>
                <w:p>
                  <w:pPr>
                    <w:pStyle w:val="57"/>
                    <w:bidi w:val="0"/>
                    <w:rPr>
                      <w:rFonts w:hint="default"/>
                      <w:color w:val="auto"/>
                      <w:highlight w:val="none"/>
                      <w:lang w:val="en-US" w:eastAsia="zh-CN"/>
                    </w:rPr>
                  </w:pPr>
                  <w:r>
                    <w:rPr>
                      <w:rFonts w:hint="default"/>
                      <w:color w:val="auto"/>
                      <w:highlight w:val="none"/>
                      <w:lang w:val="en-US" w:eastAsia="zh-CN"/>
                    </w:rPr>
                    <w:t>mg/m</w:t>
                  </w:r>
                  <w:r>
                    <w:rPr>
                      <w:rFonts w:hint="eastAsia"/>
                      <w:color w:val="auto"/>
                      <w:highlight w:val="none"/>
                      <w:vertAlign w:val="superscript"/>
                      <w:lang w:val="en-US" w:eastAsia="zh-CN"/>
                    </w:rPr>
                    <w:t>3</w:t>
                  </w:r>
                </w:p>
              </w:tc>
              <w:tc>
                <w:tcPr>
                  <w:tcW w:w="422"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产生</w:t>
                  </w:r>
                </w:p>
                <w:p>
                  <w:pPr>
                    <w:pStyle w:val="57"/>
                    <w:bidi w:val="0"/>
                    <w:rPr>
                      <w:rFonts w:hint="default"/>
                      <w:color w:val="auto"/>
                      <w:highlight w:val="none"/>
                      <w:lang w:val="en-US" w:eastAsia="zh-CN"/>
                    </w:rPr>
                  </w:pPr>
                  <w:r>
                    <w:rPr>
                      <w:rFonts w:hint="default"/>
                      <w:color w:val="auto"/>
                      <w:highlight w:val="none"/>
                      <w:lang w:val="en-US" w:eastAsia="zh-CN"/>
                    </w:rPr>
                    <w:t>速率</w:t>
                  </w:r>
                </w:p>
                <w:p>
                  <w:pPr>
                    <w:pStyle w:val="57"/>
                    <w:bidi w:val="0"/>
                    <w:rPr>
                      <w:rFonts w:hint="default"/>
                      <w:color w:val="auto"/>
                      <w:highlight w:val="none"/>
                      <w:lang w:val="en-US" w:eastAsia="zh-CN"/>
                    </w:rPr>
                  </w:pPr>
                  <w:r>
                    <w:rPr>
                      <w:rFonts w:hint="default"/>
                      <w:color w:val="auto"/>
                      <w:highlight w:val="none"/>
                      <w:lang w:val="en-US" w:eastAsia="zh-CN"/>
                    </w:rPr>
                    <w:t>kg/h</w:t>
                  </w:r>
                </w:p>
              </w:tc>
              <w:tc>
                <w:tcPr>
                  <w:tcW w:w="398"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产生量t/a</w:t>
                  </w:r>
                </w:p>
              </w:tc>
              <w:tc>
                <w:tcPr>
                  <w:tcW w:w="585" w:type="pct"/>
                  <w:vMerge w:val="continue"/>
                  <w:tcBorders>
                    <w:tl2br w:val="nil"/>
                    <w:tr2bl w:val="nil"/>
                  </w:tcBorders>
                  <w:noWrap w:val="0"/>
                  <w:vAlign w:val="center"/>
                </w:tcPr>
                <w:p>
                  <w:pPr>
                    <w:pStyle w:val="57"/>
                    <w:bidi w:val="0"/>
                    <w:rPr>
                      <w:rFonts w:hint="default"/>
                      <w:color w:val="auto"/>
                      <w:highlight w:val="none"/>
                      <w:lang w:val="en-US" w:eastAsia="zh-CN"/>
                    </w:rPr>
                  </w:pPr>
                </w:p>
              </w:tc>
              <w:tc>
                <w:tcPr>
                  <w:tcW w:w="471"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浓度</w:t>
                  </w:r>
                </w:p>
                <w:p>
                  <w:pPr>
                    <w:pStyle w:val="57"/>
                    <w:bidi w:val="0"/>
                    <w:rPr>
                      <w:rFonts w:hint="default"/>
                      <w:color w:val="auto"/>
                      <w:highlight w:val="none"/>
                      <w:lang w:val="en-US" w:eastAsia="zh-CN"/>
                    </w:rPr>
                  </w:pPr>
                  <w:r>
                    <w:rPr>
                      <w:rFonts w:hint="default"/>
                      <w:color w:val="auto"/>
                      <w:highlight w:val="none"/>
                      <w:lang w:val="en-US" w:eastAsia="zh-CN"/>
                    </w:rPr>
                    <w:t>mg/m</w:t>
                  </w:r>
                  <w:r>
                    <w:rPr>
                      <w:rFonts w:hint="default"/>
                      <w:color w:val="auto"/>
                      <w:highlight w:val="none"/>
                      <w:vertAlign w:val="superscript"/>
                      <w:lang w:val="en-US" w:eastAsia="zh-CN"/>
                    </w:rPr>
                    <w:t>3</w:t>
                  </w:r>
                </w:p>
              </w:tc>
              <w:tc>
                <w:tcPr>
                  <w:tcW w:w="390"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排放速率</w:t>
                  </w:r>
                </w:p>
                <w:p>
                  <w:pPr>
                    <w:pStyle w:val="57"/>
                    <w:bidi w:val="0"/>
                    <w:rPr>
                      <w:rFonts w:hint="default"/>
                      <w:color w:val="auto"/>
                      <w:highlight w:val="none"/>
                      <w:lang w:val="en-US" w:eastAsia="zh-CN"/>
                    </w:rPr>
                  </w:pPr>
                  <w:r>
                    <w:rPr>
                      <w:rFonts w:hint="default"/>
                      <w:color w:val="auto"/>
                      <w:highlight w:val="none"/>
                      <w:lang w:val="en-US" w:eastAsia="zh-CN"/>
                    </w:rPr>
                    <w:t>kg/h</w:t>
                  </w:r>
                </w:p>
              </w:tc>
              <w:tc>
                <w:tcPr>
                  <w:tcW w:w="431"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排放量t/a</w:t>
                  </w:r>
                </w:p>
              </w:tc>
              <w:tc>
                <w:tcPr>
                  <w:tcW w:w="276"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高度</w:t>
                  </w:r>
                </w:p>
                <w:p>
                  <w:pPr>
                    <w:pStyle w:val="57"/>
                    <w:bidi w:val="0"/>
                    <w:rPr>
                      <w:rFonts w:hint="default"/>
                      <w:color w:val="auto"/>
                      <w:highlight w:val="none"/>
                      <w:lang w:val="en-US" w:eastAsia="zh-CN"/>
                    </w:rPr>
                  </w:pPr>
                  <w:r>
                    <w:rPr>
                      <w:rFonts w:hint="default"/>
                      <w:color w:val="auto"/>
                      <w:highlight w:val="none"/>
                      <w:lang w:val="en-US" w:eastAsia="zh-CN"/>
                    </w:rPr>
                    <w:t>m</w:t>
                  </w:r>
                </w:p>
              </w:tc>
              <w:tc>
                <w:tcPr>
                  <w:tcW w:w="279"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内径</w:t>
                  </w:r>
                </w:p>
                <w:p>
                  <w:pPr>
                    <w:pStyle w:val="57"/>
                    <w:bidi w:val="0"/>
                    <w:rPr>
                      <w:rFonts w:hint="default"/>
                      <w:color w:val="auto"/>
                      <w:highlight w:val="none"/>
                      <w:lang w:val="en-US" w:eastAsia="zh-CN"/>
                    </w:rPr>
                  </w:pPr>
                  <w:r>
                    <w:rPr>
                      <w:rFonts w:hint="default"/>
                      <w:color w:val="auto"/>
                      <w:highlight w:val="none"/>
                      <w:lang w:val="en-US" w:eastAsia="zh-CN"/>
                    </w:rPr>
                    <w:t>m</w:t>
                  </w:r>
                </w:p>
              </w:tc>
              <w:tc>
                <w:tcPr>
                  <w:tcW w:w="756" w:type="pct"/>
                  <w:vMerge w:val="continue"/>
                  <w:tcBorders>
                    <w:tl2br w:val="nil"/>
                    <w:tr2bl w:val="nil"/>
                  </w:tcBorders>
                  <w:noWrap w:val="0"/>
                  <w:vAlign w:val="center"/>
                </w:tcPr>
                <w:p>
                  <w:pPr>
                    <w:pStyle w:val="57"/>
                    <w:bidi w:val="0"/>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30"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干燥器废气</w:t>
                  </w:r>
                </w:p>
              </w:tc>
              <w:tc>
                <w:tcPr>
                  <w:tcW w:w="268"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颗粒物</w:t>
                  </w:r>
                </w:p>
              </w:tc>
              <w:tc>
                <w:tcPr>
                  <w:tcW w:w="488"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4027.78</w:t>
                  </w:r>
                </w:p>
              </w:tc>
              <w:tc>
                <w:tcPr>
                  <w:tcW w:w="422"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12.08</w:t>
                  </w:r>
                </w:p>
              </w:tc>
              <w:tc>
                <w:tcPr>
                  <w:tcW w:w="398"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87</w:t>
                  </w:r>
                </w:p>
              </w:tc>
              <w:tc>
                <w:tcPr>
                  <w:tcW w:w="585" w:type="pct"/>
                  <w:tcBorders>
                    <w:tl2br w:val="nil"/>
                    <w:tr2bl w:val="nil"/>
                  </w:tcBorders>
                  <w:noWrap w:val="0"/>
                  <w:vAlign w:val="center"/>
                </w:tcPr>
                <w:p>
                  <w:pPr>
                    <w:pStyle w:val="57"/>
                    <w:bidi w:val="0"/>
                    <w:jc w:val="both"/>
                    <w:rPr>
                      <w:rFonts w:hint="default"/>
                      <w:color w:val="auto"/>
                      <w:highlight w:val="none"/>
                      <w:lang w:val="en-US" w:eastAsia="zh-CN"/>
                    </w:rPr>
                  </w:pPr>
                  <w:r>
                    <w:rPr>
                      <w:rFonts w:hint="eastAsia"/>
                      <w:color w:val="auto"/>
                      <w:highlight w:val="none"/>
                      <w:lang w:val="en-US" w:eastAsia="zh-CN"/>
                    </w:rPr>
                    <w:t>旋风除尘器+</w:t>
                  </w:r>
                  <w:r>
                    <w:rPr>
                      <w:rFonts w:hint="default"/>
                      <w:color w:val="auto"/>
                      <w:highlight w:val="none"/>
                      <w:lang w:val="en-US" w:eastAsia="zh-CN"/>
                    </w:rPr>
                    <w:t>布袋除尘器+</w:t>
                  </w:r>
                  <w:r>
                    <w:rPr>
                      <w:rFonts w:hint="eastAsia"/>
                      <w:color w:val="auto"/>
                      <w:highlight w:val="none"/>
                      <w:lang w:val="en-US" w:eastAsia="zh-CN"/>
                    </w:rPr>
                    <w:t>15m</w:t>
                  </w:r>
                  <w:r>
                    <w:rPr>
                      <w:rFonts w:hint="default"/>
                      <w:color w:val="auto"/>
                      <w:highlight w:val="none"/>
                      <w:lang w:val="en-US" w:eastAsia="zh-CN"/>
                    </w:rPr>
                    <w:t>排气筒</w:t>
                  </w:r>
                </w:p>
              </w:tc>
              <w:tc>
                <w:tcPr>
                  <w:tcW w:w="471"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8.06</w:t>
                  </w:r>
                </w:p>
              </w:tc>
              <w:tc>
                <w:tcPr>
                  <w:tcW w:w="390"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0.02</w:t>
                  </w:r>
                </w:p>
              </w:tc>
              <w:tc>
                <w:tcPr>
                  <w:tcW w:w="431"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0.174</w:t>
                  </w:r>
                </w:p>
              </w:tc>
              <w:tc>
                <w:tcPr>
                  <w:tcW w:w="276"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15</w:t>
                  </w:r>
                </w:p>
              </w:tc>
              <w:tc>
                <w:tcPr>
                  <w:tcW w:w="279" w:type="pct"/>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0.2</w:t>
                  </w:r>
                </w:p>
              </w:tc>
              <w:tc>
                <w:tcPr>
                  <w:tcW w:w="756"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《工业炉窑大气污染物排放标准》（GB 9078-1996）</w:t>
                  </w:r>
                </w:p>
              </w:tc>
            </w:tr>
          </w:tbl>
          <w:p>
            <w:pPr>
              <w:pStyle w:val="6"/>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干燥器废气排放口基本情况</w:t>
            </w:r>
          </w:p>
          <w:p>
            <w:pPr>
              <w:pStyle w:val="6"/>
              <w:bidi w:val="0"/>
              <w:rPr>
                <w:color w:val="auto"/>
                <w:highlight w:val="none"/>
              </w:rPr>
            </w:pPr>
            <w:r>
              <w:rPr>
                <w:rFonts w:hint="eastAsia"/>
                <w:color w:val="auto"/>
                <w:highlight w:val="none"/>
                <w:lang w:val="en-US" w:eastAsia="zh-CN"/>
              </w:rPr>
              <w:t>根据现有排污许可证（编号：9165280156051726XQ001P），现有排污口简化管理内容中一般排放口为DA001和DA002，其他登记管理部分有组织废气未进行编号，本次将全部有组织废气排放口顺延编号后，本次排放口编号为DA023</w:t>
            </w:r>
            <w:r>
              <w:rPr>
                <w:rFonts w:hint="eastAsia"/>
                <w:color w:val="auto"/>
                <w:highlight w:val="none"/>
              </w:rPr>
              <w:t>，排放口基本情况见表4.1-4。</w:t>
            </w:r>
          </w:p>
          <w:p>
            <w:pPr>
              <w:pStyle w:val="36"/>
              <w:bidi w:val="0"/>
              <w:rPr>
                <w:color w:val="auto"/>
                <w:highlight w:val="none"/>
              </w:rPr>
            </w:pPr>
            <w:r>
              <w:rPr>
                <w:rFonts w:hint="eastAsia"/>
                <w:color w:val="auto"/>
                <w:highlight w:val="none"/>
              </w:rPr>
              <w:t>表4.1-</w:t>
            </w:r>
            <w:r>
              <w:rPr>
                <w:rFonts w:hint="eastAsia"/>
                <w:color w:val="auto"/>
                <w:highlight w:val="none"/>
                <w:lang w:val="en-US" w:eastAsia="zh-CN"/>
              </w:rPr>
              <w:t>2</w:t>
            </w:r>
            <w:r>
              <w:rPr>
                <w:rFonts w:hint="eastAsia"/>
                <w:color w:val="auto"/>
                <w:highlight w:val="none"/>
              </w:rPr>
              <w:t xml:space="preserve">  </w:t>
            </w:r>
            <w:r>
              <w:rPr>
                <w:rFonts w:hint="eastAsia"/>
                <w:color w:val="auto"/>
                <w:highlight w:val="none"/>
                <w:lang w:val="en-US" w:eastAsia="zh-CN"/>
              </w:rPr>
              <w:t>干燥器废气排放口</w:t>
            </w:r>
            <w:r>
              <w:rPr>
                <w:rFonts w:hint="eastAsia"/>
                <w:color w:val="auto"/>
                <w:highlight w:val="none"/>
              </w:rPr>
              <w:t>基本情况表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859"/>
              <w:gridCol w:w="886"/>
              <w:gridCol w:w="887"/>
              <w:gridCol w:w="859"/>
              <w:gridCol w:w="900"/>
              <w:gridCol w:w="154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47" w:type="pct"/>
                  <w:vMerge w:val="restart"/>
                  <w:vAlign w:val="center"/>
                </w:tcPr>
                <w:p>
                  <w:pPr>
                    <w:pStyle w:val="57"/>
                    <w:bidi w:val="0"/>
                    <w:rPr>
                      <w:color w:val="auto"/>
                      <w:highlight w:val="none"/>
                    </w:rPr>
                  </w:pPr>
                  <w:r>
                    <w:rPr>
                      <w:color w:val="auto"/>
                      <w:highlight w:val="none"/>
                    </w:rPr>
                    <w:t>排放口编号</w:t>
                  </w:r>
                </w:p>
              </w:tc>
              <w:tc>
                <w:tcPr>
                  <w:tcW w:w="511" w:type="pct"/>
                  <w:vMerge w:val="restart"/>
                  <w:vAlign w:val="center"/>
                </w:tcPr>
                <w:p>
                  <w:pPr>
                    <w:pStyle w:val="57"/>
                    <w:bidi w:val="0"/>
                    <w:rPr>
                      <w:color w:val="auto"/>
                      <w:highlight w:val="none"/>
                    </w:rPr>
                  </w:pPr>
                  <w:r>
                    <w:rPr>
                      <w:color w:val="auto"/>
                      <w:highlight w:val="none"/>
                    </w:rPr>
                    <w:t>排放口名称</w:t>
                  </w:r>
                </w:p>
              </w:tc>
              <w:tc>
                <w:tcPr>
                  <w:tcW w:w="528" w:type="pct"/>
                  <w:vMerge w:val="restart"/>
                  <w:vAlign w:val="center"/>
                </w:tcPr>
                <w:p>
                  <w:pPr>
                    <w:pStyle w:val="57"/>
                    <w:bidi w:val="0"/>
                    <w:rPr>
                      <w:color w:val="auto"/>
                      <w:highlight w:val="none"/>
                    </w:rPr>
                  </w:pPr>
                  <w:r>
                    <w:rPr>
                      <w:color w:val="auto"/>
                      <w:highlight w:val="none"/>
                    </w:rPr>
                    <w:t>排放口类型</w:t>
                  </w:r>
                </w:p>
              </w:tc>
              <w:tc>
                <w:tcPr>
                  <w:tcW w:w="528" w:type="pct"/>
                  <w:vMerge w:val="restart"/>
                  <w:vAlign w:val="center"/>
                </w:tcPr>
                <w:p>
                  <w:pPr>
                    <w:pStyle w:val="57"/>
                    <w:bidi w:val="0"/>
                    <w:rPr>
                      <w:color w:val="auto"/>
                      <w:highlight w:val="none"/>
                    </w:rPr>
                  </w:pPr>
                  <w:r>
                    <w:rPr>
                      <w:color w:val="auto"/>
                      <w:highlight w:val="none"/>
                    </w:rPr>
                    <w:t>污染物名称</w:t>
                  </w:r>
                </w:p>
              </w:tc>
              <w:tc>
                <w:tcPr>
                  <w:tcW w:w="511" w:type="pct"/>
                  <w:vMerge w:val="restart"/>
                  <w:vAlign w:val="center"/>
                </w:tcPr>
                <w:p>
                  <w:pPr>
                    <w:pStyle w:val="57"/>
                    <w:bidi w:val="0"/>
                    <w:rPr>
                      <w:color w:val="auto"/>
                      <w:highlight w:val="none"/>
                    </w:rPr>
                  </w:pPr>
                  <w:r>
                    <w:rPr>
                      <w:color w:val="auto"/>
                      <w:highlight w:val="none"/>
                    </w:rPr>
                    <w:t>排气筒高度</w:t>
                  </w:r>
                </w:p>
              </w:tc>
              <w:tc>
                <w:tcPr>
                  <w:tcW w:w="536" w:type="pct"/>
                  <w:vMerge w:val="restart"/>
                  <w:vAlign w:val="center"/>
                </w:tcPr>
                <w:p>
                  <w:pPr>
                    <w:pStyle w:val="57"/>
                    <w:bidi w:val="0"/>
                    <w:rPr>
                      <w:color w:val="auto"/>
                      <w:highlight w:val="none"/>
                    </w:rPr>
                  </w:pPr>
                  <w:r>
                    <w:rPr>
                      <w:color w:val="auto"/>
                      <w:highlight w:val="none"/>
                    </w:rPr>
                    <w:t>排气筒内径</w:t>
                  </w:r>
                </w:p>
              </w:tc>
              <w:tc>
                <w:tcPr>
                  <w:tcW w:w="1835" w:type="pct"/>
                  <w:gridSpan w:val="2"/>
                  <w:vAlign w:val="center"/>
                </w:tcPr>
                <w:p>
                  <w:pPr>
                    <w:pStyle w:val="57"/>
                    <w:bidi w:val="0"/>
                    <w:rPr>
                      <w:color w:val="auto"/>
                      <w:highlight w:val="none"/>
                    </w:rPr>
                  </w:pPr>
                  <w:r>
                    <w:rPr>
                      <w:color w:val="auto"/>
                      <w:highlight w:val="none"/>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Merge w:val="continue"/>
                  <w:vAlign w:val="center"/>
                </w:tcPr>
                <w:p>
                  <w:pPr>
                    <w:pStyle w:val="57"/>
                    <w:bidi w:val="0"/>
                    <w:rPr>
                      <w:color w:val="auto"/>
                      <w:highlight w:val="none"/>
                    </w:rPr>
                  </w:pPr>
                </w:p>
              </w:tc>
              <w:tc>
                <w:tcPr>
                  <w:tcW w:w="511" w:type="pct"/>
                  <w:vMerge w:val="continue"/>
                  <w:vAlign w:val="center"/>
                </w:tcPr>
                <w:p>
                  <w:pPr>
                    <w:pStyle w:val="57"/>
                    <w:bidi w:val="0"/>
                    <w:rPr>
                      <w:color w:val="auto"/>
                      <w:highlight w:val="none"/>
                    </w:rPr>
                  </w:pPr>
                </w:p>
              </w:tc>
              <w:tc>
                <w:tcPr>
                  <w:tcW w:w="528" w:type="pct"/>
                  <w:vMerge w:val="continue"/>
                  <w:vAlign w:val="center"/>
                </w:tcPr>
                <w:p>
                  <w:pPr>
                    <w:pStyle w:val="57"/>
                    <w:bidi w:val="0"/>
                    <w:rPr>
                      <w:color w:val="auto"/>
                      <w:highlight w:val="none"/>
                    </w:rPr>
                  </w:pPr>
                </w:p>
              </w:tc>
              <w:tc>
                <w:tcPr>
                  <w:tcW w:w="528" w:type="pct"/>
                  <w:vMerge w:val="continue"/>
                  <w:vAlign w:val="center"/>
                </w:tcPr>
                <w:p>
                  <w:pPr>
                    <w:pStyle w:val="57"/>
                    <w:bidi w:val="0"/>
                    <w:rPr>
                      <w:color w:val="auto"/>
                      <w:highlight w:val="none"/>
                    </w:rPr>
                  </w:pPr>
                </w:p>
              </w:tc>
              <w:tc>
                <w:tcPr>
                  <w:tcW w:w="511" w:type="pct"/>
                  <w:vMerge w:val="continue"/>
                  <w:vAlign w:val="center"/>
                </w:tcPr>
                <w:p>
                  <w:pPr>
                    <w:pStyle w:val="57"/>
                    <w:bidi w:val="0"/>
                    <w:rPr>
                      <w:color w:val="auto"/>
                      <w:highlight w:val="none"/>
                    </w:rPr>
                  </w:pPr>
                </w:p>
              </w:tc>
              <w:tc>
                <w:tcPr>
                  <w:tcW w:w="536" w:type="pct"/>
                  <w:vMerge w:val="continue"/>
                  <w:vAlign w:val="center"/>
                </w:tcPr>
                <w:p>
                  <w:pPr>
                    <w:pStyle w:val="57"/>
                    <w:bidi w:val="0"/>
                    <w:rPr>
                      <w:color w:val="auto"/>
                      <w:highlight w:val="none"/>
                    </w:rPr>
                  </w:pPr>
                </w:p>
              </w:tc>
              <w:tc>
                <w:tcPr>
                  <w:tcW w:w="917" w:type="pct"/>
                  <w:vAlign w:val="center"/>
                </w:tcPr>
                <w:p>
                  <w:pPr>
                    <w:pStyle w:val="57"/>
                    <w:bidi w:val="0"/>
                    <w:rPr>
                      <w:color w:val="auto"/>
                      <w:highlight w:val="none"/>
                    </w:rPr>
                  </w:pPr>
                  <w:r>
                    <w:rPr>
                      <w:rFonts w:hint="eastAsia"/>
                      <w:color w:val="auto"/>
                      <w:highlight w:val="none"/>
                    </w:rPr>
                    <w:t>经度</w:t>
                  </w:r>
                </w:p>
              </w:tc>
              <w:tc>
                <w:tcPr>
                  <w:tcW w:w="917" w:type="pct"/>
                  <w:vAlign w:val="center"/>
                </w:tcPr>
                <w:p>
                  <w:pPr>
                    <w:pStyle w:val="57"/>
                    <w:bidi w:val="0"/>
                    <w:rPr>
                      <w:color w:val="auto"/>
                      <w:highlight w:val="none"/>
                    </w:rPr>
                  </w:pPr>
                  <w:r>
                    <w:rPr>
                      <w:rFonts w:hint="eastAsia"/>
                      <w:color w:val="auto"/>
                      <w:highlight w:val="none"/>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47" w:type="pct"/>
                  <w:vAlign w:val="center"/>
                </w:tcPr>
                <w:p>
                  <w:pPr>
                    <w:pStyle w:val="57"/>
                    <w:bidi w:val="0"/>
                    <w:rPr>
                      <w:rFonts w:hint="eastAsia" w:eastAsia="宋体"/>
                      <w:color w:val="auto"/>
                      <w:highlight w:val="none"/>
                      <w:lang w:eastAsia="zh-CN"/>
                    </w:rPr>
                  </w:pPr>
                  <w:r>
                    <w:rPr>
                      <w:color w:val="auto"/>
                      <w:highlight w:val="none"/>
                    </w:rPr>
                    <w:t>DA0</w:t>
                  </w:r>
                  <w:r>
                    <w:rPr>
                      <w:rFonts w:hint="eastAsia"/>
                      <w:color w:val="auto"/>
                      <w:highlight w:val="none"/>
                      <w:lang w:val="en-US" w:eastAsia="zh-CN"/>
                    </w:rPr>
                    <w:t>23</w:t>
                  </w:r>
                </w:p>
              </w:tc>
              <w:tc>
                <w:tcPr>
                  <w:tcW w:w="511"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干燥器排口</w:t>
                  </w:r>
                </w:p>
              </w:tc>
              <w:tc>
                <w:tcPr>
                  <w:tcW w:w="528" w:type="pct"/>
                  <w:vAlign w:val="center"/>
                </w:tcPr>
                <w:p>
                  <w:pPr>
                    <w:pStyle w:val="57"/>
                    <w:bidi w:val="0"/>
                    <w:rPr>
                      <w:color w:val="auto"/>
                      <w:highlight w:val="none"/>
                    </w:rPr>
                  </w:pPr>
                  <w:r>
                    <w:rPr>
                      <w:rFonts w:hint="eastAsia"/>
                      <w:color w:val="auto"/>
                      <w:highlight w:val="none"/>
                      <w:lang w:val="en-US" w:eastAsia="zh-CN"/>
                    </w:rPr>
                    <w:t>一般</w:t>
                  </w:r>
                  <w:r>
                    <w:rPr>
                      <w:color w:val="auto"/>
                      <w:highlight w:val="none"/>
                    </w:rPr>
                    <w:t>排放口</w:t>
                  </w:r>
                </w:p>
              </w:tc>
              <w:tc>
                <w:tcPr>
                  <w:tcW w:w="528" w:type="pct"/>
                  <w:vAlign w:val="center"/>
                </w:tcPr>
                <w:p>
                  <w:pPr>
                    <w:pStyle w:val="57"/>
                    <w:bidi w:val="0"/>
                    <w:rPr>
                      <w:color w:val="auto"/>
                      <w:highlight w:val="none"/>
                    </w:rPr>
                  </w:pPr>
                  <w:r>
                    <w:rPr>
                      <w:rFonts w:hint="eastAsia"/>
                      <w:color w:val="auto"/>
                      <w:highlight w:val="none"/>
                    </w:rPr>
                    <w:t>颗粒物</w:t>
                  </w:r>
                </w:p>
              </w:tc>
              <w:tc>
                <w:tcPr>
                  <w:tcW w:w="511" w:type="pct"/>
                  <w:vAlign w:val="center"/>
                </w:tcPr>
                <w:p>
                  <w:pPr>
                    <w:pStyle w:val="57"/>
                    <w:bidi w:val="0"/>
                    <w:rPr>
                      <w:color w:val="auto"/>
                      <w:highlight w:val="none"/>
                    </w:rPr>
                  </w:pPr>
                  <w:r>
                    <w:rPr>
                      <w:rFonts w:hint="eastAsia"/>
                      <w:color w:val="auto"/>
                      <w:highlight w:val="none"/>
                      <w:lang w:val="en-US" w:eastAsia="zh-CN"/>
                    </w:rPr>
                    <w:t>15</w:t>
                  </w:r>
                  <w:r>
                    <w:rPr>
                      <w:color w:val="auto"/>
                      <w:highlight w:val="none"/>
                    </w:rPr>
                    <w:t>m</w:t>
                  </w:r>
                </w:p>
              </w:tc>
              <w:tc>
                <w:tcPr>
                  <w:tcW w:w="536" w:type="pct"/>
                  <w:vAlign w:val="center"/>
                </w:tcPr>
                <w:p>
                  <w:pPr>
                    <w:pStyle w:val="57"/>
                    <w:bidi w:val="0"/>
                    <w:rPr>
                      <w:color w:val="auto"/>
                      <w:highlight w:val="none"/>
                    </w:rPr>
                  </w:pPr>
                  <w:r>
                    <w:rPr>
                      <w:rFonts w:hint="eastAsia"/>
                      <w:color w:val="auto"/>
                      <w:highlight w:val="none"/>
                      <w:lang w:val="en-US" w:eastAsia="zh-CN"/>
                    </w:rPr>
                    <w:t>0.2</w:t>
                  </w:r>
                  <w:r>
                    <w:rPr>
                      <w:color w:val="auto"/>
                      <w:highlight w:val="none"/>
                    </w:rPr>
                    <w:t>m</w:t>
                  </w:r>
                </w:p>
              </w:tc>
              <w:tc>
                <w:tcPr>
                  <w:tcW w:w="917" w:type="pct"/>
                  <w:vAlign w:val="center"/>
                </w:tcPr>
                <w:p>
                  <w:pPr>
                    <w:pStyle w:val="57"/>
                    <w:bidi w:val="0"/>
                    <w:rPr>
                      <w:color w:val="auto"/>
                      <w:highlight w:val="none"/>
                    </w:rPr>
                  </w:pPr>
                  <w:r>
                    <w:rPr>
                      <w:rFonts w:hint="eastAsia"/>
                      <w:color w:val="auto"/>
                      <w:highlight w:val="none"/>
                    </w:rPr>
                    <w:t>86.278118706</w:t>
                  </w:r>
                </w:p>
              </w:tc>
              <w:tc>
                <w:tcPr>
                  <w:tcW w:w="917" w:type="pct"/>
                  <w:vAlign w:val="center"/>
                </w:tcPr>
                <w:p>
                  <w:pPr>
                    <w:pStyle w:val="57"/>
                    <w:bidi w:val="0"/>
                    <w:rPr>
                      <w:color w:val="auto"/>
                      <w:highlight w:val="none"/>
                    </w:rPr>
                  </w:pPr>
                  <w:r>
                    <w:rPr>
                      <w:rFonts w:hint="eastAsia"/>
                      <w:color w:val="auto"/>
                      <w:highlight w:val="none"/>
                    </w:rPr>
                    <w:t>41.645845291</w:t>
                  </w:r>
                </w:p>
              </w:tc>
            </w:tr>
          </w:tbl>
          <w:p>
            <w:pPr>
              <w:pStyle w:val="6"/>
              <w:bidi w:val="0"/>
              <w:rPr>
                <w:color w:val="auto"/>
                <w:highlight w:val="none"/>
              </w:rPr>
            </w:pPr>
            <w:r>
              <w:rPr>
                <w:rFonts w:hint="eastAsia"/>
                <w:color w:val="auto"/>
                <w:highlight w:val="none"/>
              </w:rPr>
              <w:t>本项目</w:t>
            </w:r>
            <w:r>
              <w:rPr>
                <w:rFonts w:hint="eastAsia"/>
                <w:color w:val="auto"/>
                <w:highlight w:val="none"/>
                <w:lang w:val="en-US" w:eastAsia="zh-CN"/>
              </w:rPr>
              <w:t>窑头落料端干燥器废气，通过双筒预热器给原料预热后，经“旋风除尘器+布袋除尘器”处理，颗粒物浓度满足《工业炉窑大气污染物排放标准》（GB 9078-1996）要求后，经15m排气筒排放</w:t>
            </w:r>
            <w:r>
              <w:rPr>
                <w:rFonts w:hint="eastAsia"/>
                <w:color w:val="auto"/>
                <w:highlight w:val="none"/>
              </w:rPr>
              <w:t>。</w:t>
            </w:r>
          </w:p>
          <w:p>
            <w:pPr>
              <w:pStyle w:val="4"/>
              <w:bidi w:val="0"/>
              <w:rPr>
                <w:color w:val="auto"/>
                <w:highlight w:val="none"/>
              </w:rPr>
            </w:pPr>
            <w:r>
              <w:rPr>
                <w:rFonts w:hint="eastAsia"/>
                <w:color w:val="auto"/>
                <w:highlight w:val="none"/>
              </w:rPr>
              <w:t>4.</w:t>
            </w:r>
            <w:r>
              <w:rPr>
                <w:rFonts w:hint="eastAsia"/>
                <w:color w:val="auto"/>
                <w:highlight w:val="none"/>
                <w:lang w:val="en-US" w:eastAsia="zh-CN"/>
              </w:rPr>
              <w:t>1.2</w:t>
            </w:r>
            <w:r>
              <w:rPr>
                <w:rFonts w:hint="eastAsia"/>
                <w:color w:val="auto"/>
                <w:highlight w:val="none"/>
              </w:rPr>
              <w:t xml:space="preserve"> 大气无组织排放源</w:t>
            </w:r>
          </w:p>
          <w:p>
            <w:pPr>
              <w:pStyle w:val="6"/>
              <w:bidi w:val="0"/>
              <w:rPr>
                <w:rFonts w:hint="default"/>
                <w:color w:val="auto"/>
                <w:highlight w:val="none"/>
                <w:lang w:val="en-US" w:eastAsia="zh-CN"/>
              </w:rPr>
            </w:pPr>
            <w:r>
              <w:rPr>
                <w:rFonts w:hint="eastAsia"/>
                <w:color w:val="auto"/>
                <w:highlight w:val="none"/>
                <w:lang w:val="en-US" w:eastAsia="zh-CN"/>
              </w:rPr>
              <w:t>本项目无组织废气主要来自原料仓和成品仓呼吸废气，参考</w:t>
            </w:r>
            <w:r>
              <w:rPr>
                <w:rFonts w:hint="eastAsia"/>
                <w:color w:val="auto"/>
                <w:highlight w:val="none"/>
              </w:rPr>
              <w:t>《逸散性工业粉尘控制技术》（中国环境科学出版社出版、1989年12月第一版）第</w:t>
            </w:r>
            <w:r>
              <w:rPr>
                <w:rFonts w:hint="eastAsia"/>
                <w:color w:val="auto"/>
                <w:highlight w:val="none"/>
                <w:lang w:val="en-US" w:eastAsia="zh-CN"/>
              </w:rPr>
              <w:t>三</w:t>
            </w:r>
            <w:r>
              <w:rPr>
                <w:rFonts w:hint="eastAsia"/>
                <w:color w:val="auto"/>
                <w:highlight w:val="none"/>
              </w:rPr>
              <w:t xml:space="preserve">章 </w:t>
            </w:r>
            <w:r>
              <w:rPr>
                <w:rFonts w:hint="eastAsia"/>
                <w:color w:val="auto"/>
                <w:highlight w:val="none"/>
                <w:lang w:val="en-US" w:eastAsia="zh-CN"/>
              </w:rPr>
              <w:t>石灰厂</w:t>
            </w:r>
            <w:r>
              <w:rPr>
                <w:rFonts w:hint="eastAsia"/>
                <w:color w:val="auto"/>
                <w:highlight w:val="none"/>
              </w:rPr>
              <w:t xml:space="preserve"> 表</w:t>
            </w:r>
            <w:r>
              <w:rPr>
                <w:rFonts w:hint="eastAsia"/>
                <w:color w:val="auto"/>
                <w:highlight w:val="none"/>
                <w:lang w:val="en-US" w:eastAsia="zh-CN"/>
              </w:rPr>
              <w:t>3-1 石灰生产的</w:t>
            </w:r>
            <w:r>
              <w:rPr>
                <w:rFonts w:hint="eastAsia"/>
                <w:color w:val="auto"/>
                <w:highlight w:val="none"/>
              </w:rPr>
              <w:t>逸散尘排放因子，</w:t>
            </w:r>
            <w:r>
              <w:rPr>
                <w:rFonts w:hint="eastAsia"/>
                <w:color w:val="auto"/>
                <w:highlight w:val="none"/>
                <w:lang w:val="en-US" w:eastAsia="zh-CN"/>
              </w:rPr>
              <w:t>7包装和装运（包括贮料筒仓的排气）过程中粉尘产生量为0.125kg/t，本项目原料年用量为75000t，成品为60000t，则原料仓粉尘产生量为9.375t/a，成品仓粉尘产生量为7.5t/a；本项目原料仓和成品仓顶均设有布袋除尘器，处理效率按99%计算，则原料仓呼吸废气颗粒物排放量为0.09t/a，成品仓呼吸废气颗粒物排放量为0.08t/a。</w:t>
            </w:r>
          </w:p>
          <w:p>
            <w:pPr>
              <w:pStyle w:val="36"/>
              <w:bidi w:val="0"/>
              <w:rPr>
                <w:color w:val="auto"/>
                <w:highlight w:val="none"/>
              </w:rPr>
            </w:pPr>
            <w:r>
              <w:rPr>
                <w:rFonts w:hint="eastAsia"/>
                <w:color w:val="auto"/>
                <w:highlight w:val="none"/>
              </w:rPr>
              <w:t>表4.1-</w:t>
            </w:r>
            <w:r>
              <w:rPr>
                <w:rFonts w:hint="eastAsia"/>
                <w:color w:val="auto"/>
                <w:highlight w:val="none"/>
                <w:lang w:val="en-US" w:eastAsia="zh-CN"/>
              </w:rPr>
              <w:t>3</w:t>
            </w:r>
            <w:r>
              <w:rPr>
                <w:rFonts w:hint="eastAsia"/>
                <w:color w:val="auto"/>
                <w:highlight w:val="none"/>
              </w:rPr>
              <w:t xml:space="preserve">  </w:t>
            </w:r>
            <w:r>
              <w:rPr>
                <w:rFonts w:hint="default"/>
                <w:color w:val="auto"/>
                <w:highlight w:val="none"/>
                <w:lang w:val="en-US" w:eastAsia="zh-CN"/>
              </w:rPr>
              <w:t>本项目大气污染物无组织</w:t>
            </w:r>
            <w:r>
              <w:rPr>
                <w:rFonts w:hint="eastAsia"/>
                <w:color w:val="auto"/>
                <w:highlight w:val="none"/>
                <w:lang w:val="en-US" w:eastAsia="zh-CN"/>
              </w:rPr>
              <w:t>源强产</w:t>
            </w:r>
            <w:r>
              <w:rPr>
                <w:rFonts w:hint="default"/>
                <w:color w:val="auto"/>
                <w:highlight w:val="none"/>
                <w:lang w:val="en-US" w:eastAsia="zh-CN"/>
              </w:rPr>
              <w:t>排情况</w:t>
            </w:r>
            <w:r>
              <w:rPr>
                <w:rFonts w:hint="eastAsia"/>
                <w:color w:val="auto"/>
                <w:highlight w:val="none"/>
                <w:lang w:val="en-US" w:eastAsia="zh-CN"/>
              </w:rPr>
              <w:t>一览表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996"/>
              <w:gridCol w:w="940"/>
              <w:gridCol w:w="955"/>
              <w:gridCol w:w="1443"/>
              <w:gridCol w:w="1268"/>
              <w:gridCol w:w="955"/>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4" w:type="pct"/>
                  <w:vMerge w:val="restar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污染源</w:t>
                  </w:r>
                </w:p>
              </w:tc>
              <w:tc>
                <w:tcPr>
                  <w:tcW w:w="594" w:type="pct"/>
                  <w:vMerge w:val="restar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污染物</w:t>
                  </w:r>
                </w:p>
              </w:tc>
              <w:tc>
                <w:tcPr>
                  <w:tcW w:w="1130" w:type="pct"/>
                  <w:gridSpan w:val="2"/>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产生情况</w:t>
                  </w:r>
                </w:p>
              </w:tc>
              <w:tc>
                <w:tcPr>
                  <w:tcW w:w="860" w:type="pct"/>
                  <w:vMerge w:val="restar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治理措施</w:t>
                  </w:r>
                </w:p>
              </w:tc>
              <w:tc>
                <w:tcPr>
                  <w:tcW w:w="1325" w:type="pct"/>
                  <w:gridSpan w:val="2"/>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排放情况</w:t>
                  </w:r>
                </w:p>
              </w:tc>
              <w:tc>
                <w:tcPr>
                  <w:tcW w:w="484" w:type="pct"/>
                  <w:vMerge w:val="restar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排放高度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pct"/>
                  <w:vMerge w:val="continue"/>
                  <w:tcBorders>
                    <w:tl2br w:val="nil"/>
                    <w:tr2bl w:val="nil"/>
                  </w:tcBorders>
                  <w:noWrap w:val="0"/>
                  <w:vAlign w:val="center"/>
                </w:tcPr>
                <w:p>
                  <w:pPr>
                    <w:pStyle w:val="58"/>
                    <w:bidi w:val="0"/>
                    <w:rPr>
                      <w:rFonts w:hint="default"/>
                      <w:color w:val="auto"/>
                      <w:highlight w:val="none"/>
                      <w:lang w:val="en-US" w:eastAsia="zh-CN"/>
                    </w:rPr>
                  </w:pPr>
                </w:p>
              </w:tc>
              <w:tc>
                <w:tcPr>
                  <w:tcW w:w="594" w:type="pct"/>
                  <w:vMerge w:val="continue"/>
                  <w:tcBorders>
                    <w:tl2br w:val="nil"/>
                    <w:tr2bl w:val="nil"/>
                  </w:tcBorders>
                  <w:noWrap w:val="0"/>
                  <w:vAlign w:val="center"/>
                </w:tcPr>
                <w:p>
                  <w:pPr>
                    <w:pStyle w:val="58"/>
                    <w:bidi w:val="0"/>
                    <w:rPr>
                      <w:rFonts w:hint="default"/>
                      <w:color w:val="auto"/>
                      <w:highlight w:val="none"/>
                      <w:lang w:val="en-US" w:eastAsia="zh-CN"/>
                    </w:rPr>
                  </w:pPr>
                </w:p>
              </w:tc>
              <w:tc>
                <w:tcPr>
                  <w:tcW w:w="560" w:type="pc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产生速率kg/h</w:t>
                  </w:r>
                </w:p>
              </w:tc>
              <w:tc>
                <w:tcPr>
                  <w:tcW w:w="569" w:type="pc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产生量t/a</w:t>
                  </w:r>
                </w:p>
              </w:tc>
              <w:tc>
                <w:tcPr>
                  <w:tcW w:w="860" w:type="pct"/>
                  <w:vMerge w:val="continue"/>
                  <w:tcBorders>
                    <w:tl2br w:val="nil"/>
                    <w:tr2bl w:val="nil"/>
                  </w:tcBorders>
                  <w:noWrap w:val="0"/>
                  <w:vAlign w:val="center"/>
                </w:tcPr>
                <w:p>
                  <w:pPr>
                    <w:pStyle w:val="58"/>
                    <w:bidi w:val="0"/>
                    <w:rPr>
                      <w:rFonts w:hint="default"/>
                      <w:color w:val="auto"/>
                      <w:highlight w:val="none"/>
                      <w:lang w:val="en-US" w:eastAsia="zh-CN"/>
                    </w:rPr>
                  </w:pPr>
                </w:p>
              </w:tc>
              <w:tc>
                <w:tcPr>
                  <w:tcW w:w="756" w:type="pc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排放速率kg/h</w:t>
                  </w:r>
                </w:p>
              </w:tc>
              <w:tc>
                <w:tcPr>
                  <w:tcW w:w="569" w:type="pc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排放量t/a</w:t>
                  </w:r>
                </w:p>
              </w:tc>
              <w:tc>
                <w:tcPr>
                  <w:tcW w:w="484" w:type="pct"/>
                  <w:vMerge w:val="continue"/>
                  <w:tcBorders>
                    <w:tl2br w:val="nil"/>
                    <w:tr2bl w:val="nil"/>
                  </w:tcBorders>
                  <w:noWrap w:val="0"/>
                  <w:vAlign w:val="center"/>
                </w:tcPr>
                <w:p>
                  <w:pPr>
                    <w:pStyle w:val="58"/>
                    <w:bidi w:val="0"/>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4"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原料仓</w:t>
                  </w:r>
                </w:p>
              </w:tc>
              <w:tc>
                <w:tcPr>
                  <w:tcW w:w="594"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颗粒物</w:t>
                  </w:r>
                </w:p>
              </w:tc>
              <w:tc>
                <w:tcPr>
                  <w:tcW w:w="560"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5.208</w:t>
                  </w:r>
                </w:p>
              </w:tc>
              <w:tc>
                <w:tcPr>
                  <w:tcW w:w="56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9.375</w:t>
                  </w:r>
                </w:p>
              </w:tc>
              <w:tc>
                <w:tcPr>
                  <w:tcW w:w="860"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布袋除尘器</w:t>
                  </w:r>
                </w:p>
              </w:tc>
              <w:tc>
                <w:tcPr>
                  <w:tcW w:w="756"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0.052</w:t>
                  </w:r>
                </w:p>
              </w:tc>
              <w:tc>
                <w:tcPr>
                  <w:tcW w:w="56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0.09</w:t>
                  </w:r>
                </w:p>
              </w:tc>
              <w:tc>
                <w:tcPr>
                  <w:tcW w:w="484"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4" w:type="pct"/>
                  <w:tcBorders>
                    <w:tl2br w:val="nil"/>
                    <w:tr2bl w:val="nil"/>
                  </w:tcBorders>
                  <w:noWrap w:val="0"/>
                  <w:vAlign w:val="center"/>
                </w:tcPr>
                <w:p>
                  <w:pPr>
                    <w:pStyle w:val="58"/>
                    <w:bidi w:val="0"/>
                    <w:ind w:firstLine="0" w:firstLineChars="0"/>
                    <w:rPr>
                      <w:rFonts w:hint="default"/>
                      <w:color w:val="auto"/>
                      <w:highlight w:val="none"/>
                      <w:lang w:val="en-US" w:eastAsia="zh-CN"/>
                    </w:rPr>
                  </w:pPr>
                  <w:r>
                    <w:rPr>
                      <w:rFonts w:hint="eastAsia"/>
                      <w:color w:val="auto"/>
                      <w:highlight w:val="none"/>
                      <w:lang w:val="en-US" w:eastAsia="zh-CN"/>
                    </w:rPr>
                    <w:t>成品仓1</w:t>
                  </w:r>
                </w:p>
              </w:tc>
              <w:tc>
                <w:tcPr>
                  <w:tcW w:w="594" w:type="pct"/>
                  <w:tcBorders>
                    <w:tl2br w:val="nil"/>
                    <w:tr2bl w:val="nil"/>
                  </w:tcBorders>
                  <w:noWrap w:val="0"/>
                  <w:vAlign w:val="center"/>
                </w:tcPr>
                <w:p>
                  <w:pPr>
                    <w:pStyle w:val="58"/>
                    <w:bidi w:val="0"/>
                    <w:ind w:firstLine="0" w:firstLineChars="0"/>
                    <w:rPr>
                      <w:rFonts w:hint="eastAsia"/>
                      <w:color w:val="auto"/>
                      <w:highlight w:val="none"/>
                      <w:lang w:val="en-US" w:eastAsia="zh-CN"/>
                    </w:rPr>
                  </w:pPr>
                  <w:r>
                    <w:rPr>
                      <w:rFonts w:hint="eastAsia"/>
                      <w:color w:val="auto"/>
                      <w:highlight w:val="none"/>
                      <w:lang w:val="en-US" w:eastAsia="zh-CN"/>
                    </w:rPr>
                    <w:t>颗粒物</w:t>
                  </w:r>
                </w:p>
              </w:tc>
              <w:tc>
                <w:tcPr>
                  <w:tcW w:w="560"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0.521</w:t>
                  </w:r>
                </w:p>
              </w:tc>
              <w:tc>
                <w:tcPr>
                  <w:tcW w:w="56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3.75</w:t>
                  </w:r>
                </w:p>
              </w:tc>
              <w:tc>
                <w:tcPr>
                  <w:tcW w:w="860" w:type="pct"/>
                  <w:tcBorders>
                    <w:tl2br w:val="nil"/>
                    <w:tr2bl w:val="nil"/>
                  </w:tcBorders>
                  <w:noWrap w:val="0"/>
                  <w:vAlign w:val="center"/>
                </w:tcPr>
                <w:p>
                  <w:pPr>
                    <w:pStyle w:val="58"/>
                    <w:bidi w:val="0"/>
                    <w:rPr>
                      <w:rFonts w:hint="eastAsia"/>
                      <w:color w:val="auto"/>
                      <w:highlight w:val="none"/>
                      <w:lang w:val="en-US" w:eastAsia="zh-CN"/>
                    </w:rPr>
                  </w:pPr>
                  <w:r>
                    <w:rPr>
                      <w:rFonts w:hint="eastAsia"/>
                      <w:color w:val="auto"/>
                      <w:highlight w:val="none"/>
                      <w:lang w:val="en-US" w:eastAsia="zh-CN"/>
                    </w:rPr>
                    <w:t>布袋除尘器</w:t>
                  </w:r>
                </w:p>
              </w:tc>
              <w:tc>
                <w:tcPr>
                  <w:tcW w:w="756"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0.005</w:t>
                  </w:r>
                </w:p>
              </w:tc>
              <w:tc>
                <w:tcPr>
                  <w:tcW w:w="56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0.04</w:t>
                  </w:r>
                </w:p>
              </w:tc>
              <w:tc>
                <w:tcPr>
                  <w:tcW w:w="484"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4"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成品仓2</w:t>
                  </w:r>
                </w:p>
              </w:tc>
              <w:tc>
                <w:tcPr>
                  <w:tcW w:w="594"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颗粒物</w:t>
                  </w:r>
                </w:p>
              </w:tc>
              <w:tc>
                <w:tcPr>
                  <w:tcW w:w="560"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0.521</w:t>
                  </w:r>
                </w:p>
              </w:tc>
              <w:tc>
                <w:tcPr>
                  <w:tcW w:w="56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3.75</w:t>
                  </w:r>
                </w:p>
              </w:tc>
              <w:tc>
                <w:tcPr>
                  <w:tcW w:w="860"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布袋除尘器</w:t>
                  </w:r>
                </w:p>
              </w:tc>
              <w:tc>
                <w:tcPr>
                  <w:tcW w:w="756"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0.005</w:t>
                  </w:r>
                </w:p>
              </w:tc>
              <w:tc>
                <w:tcPr>
                  <w:tcW w:w="56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0.04</w:t>
                  </w:r>
                </w:p>
              </w:tc>
              <w:tc>
                <w:tcPr>
                  <w:tcW w:w="484"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8"/>
                  <w:tcBorders>
                    <w:tl2br w:val="nil"/>
                    <w:tr2bl w:val="nil"/>
                  </w:tcBorders>
                  <w:noWrap w:val="0"/>
                  <w:vAlign w:val="center"/>
                </w:tcPr>
                <w:p>
                  <w:pPr>
                    <w:pStyle w:val="34"/>
                    <w:bidi w:val="0"/>
                    <w:rPr>
                      <w:rFonts w:hint="eastAsia"/>
                      <w:color w:val="auto"/>
                      <w:highlight w:val="none"/>
                      <w:lang w:val="en-US" w:eastAsia="zh-CN"/>
                    </w:rPr>
                  </w:pPr>
                  <w:r>
                    <w:rPr>
                      <w:rFonts w:hint="eastAsia"/>
                      <w:color w:val="auto"/>
                      <w:highlight w:val="none"/>
                      <w:lang w:val="en-US" w:eastAsia="zh-CN"/>
                    </w:rPr>
                    <w:t>注：原料仓正常生产期间属于负压状态，只在罐车上料期间为正压，存在原料仓呼吸气，故按上料时间按6h/d计算其产生速率和排放速率；</w:t>
                  </w:r>
                </w:p>
                <w:p>
                  <w:pPr>
                    <w:pStyle w:val="34"/>
                    <w:bidi w:val="0"/>
                    <w:rPr>
                      <w:rFonts w:hint="default"/>
                      <w:color w:val="auto"/>
                      <w:highlight w:val="none"/>
                      <w:lang w:val="en-US" w:eastAsia="zh-CN"/>
                    </w:rPr>
                  </w:pPr>
                  <w:r>
                    <w:rPr>
                      <w:rFonts w:hint="eastAsia"/>
                      <w:color w:val="auto"/>
                      <w:highlight w:val="none"/>
                      <w:lang w:val="en-US" w:eastAsia="zh-CN"/>
                    </w:rPr>
                    <w:t>由于成品采用气力输送设备输送至成品仓，故成品仓呼吸气为连续排放，故按生产时间24h/d计算其产生速率和排放速率</w:t>
                  </w:r>
                </w:p>
              </w:tc>
            </w:tr>
          </w:tbl>
          <w:p>
            <w:pPr>
              <w:pStyle w:val="6"/>
              <w:bidi w:val="0"/>
              <w:rPr>
                <w:rFonts w:hint="eastAsia"/>
                <w:color w:val="auto"/>
                <w:highlight w:val="none"/>
              </w:rPr>
            </w:pPr>
          </w:p>
          <w:p>
            <w:pPr>
              <w:pStyle w:val="4"/>
              <w:bidi w:val="0"/>
              <w:rPr>
                <w:color w:val="auto"/>
                <w:highlight w:val="none"/>
              </w:rPr>
            </w:pPr>
            <w:r>
              <w:rPr>
                <w:rFonts w:hint="eastAsia"/>
                <w:color w:val="auto"/>
                <w:highlight w:val="none"/>
              </w:rPr>
              <w:t>4.1.3 废气自行监测</w:t>
            </w:r>
          </w:p>
          <w:p>
            <w:pPr>
              <w:pStyle w:val="6"/>
              <w:bidi w:val="0"/>
              <w:rPr>
                <w:color w:val="auto"/>
                <w:highlight w:val="none"/>
              </w:rPr>
            </w:pPr>
            <w:r>
              <w:rPr>
                <w:rFonts w:hint="eastAsia"/>
                <w:color w:val="auto"/>
                <w:highlight w:val="none"/>
              </w:rPr>
              <w:t>根据《排污单位自行监测技术指南 总则》</w:t>
            </w:r>
            <w:r>
              <w:rPr>
                <w:rFonts w:hint="eastAsia"/>
                <w:color w:val="auto"/>
                <w:highlight w:val="none"/>
                <w:lang w:eastAsia="zh-CN"/>
              </w:rPr>
              <w:t>（HJ</w:t>
            </w:r>
            <w:r>
              <w:rPr>
                <w:rFonts w:hint="eastAsia"/>
                <w:color w:val="auto"/>
                <w:highlight w:val="none"/>
                <w:lang w:val="en-US" w:eastAsia="zh-CN"/>
              </w:rPr>
              <w:t>819</w:t>
            </w:r>
            <w:r>
              <w:rPr>
                <w:rFonts w:hint="eastAsia"/>
                <w:color w:val="auto"/>
                <w:highlight w:val="none"/>
                <w:lang w:eastAsia="zh-CN"/>
              </w:rPr>
              <w:t>-20</w:t>
            </w:r>
            <w:r>
              <w:rPr>
                <w:rFonts w:hint="eastAsia"/>
                <w:color w:val="auto"/>
                <w:highlight w:val="none"/>
                <w:lang w:val="en-US" w:eastAsia="zh-CN"/>
              </w:rPr>
              <w:t>17</w:t>
            </w:r>
            <w:r>
              <w:rPr>
                <w:rFonts w:hint="eastAsia"/>
                <w:color w:val="auto"/>
                <w:highlight w:val="none"/>
                <w:lang w:eastAsia="zh-CN"/>
              </w:rPr>
              <w:t>）</w:t>
            </w:r>
            <w:r>
              <w:rPr>
                <w:rFonts w:hint="eastAsia"/>
                <w:color w:val="auto"/>
                <w:highlight w:val="none"/>
              </w:rPr>
              <w:t>《排污许可证申请与核发技术规范 工业固体废物和危险废物治理》（HJ1033-2019）</w:t>
            </w:r>
            <w:r>
              <w:rPr>
                <w:rFonts w:hint="eastAsia"/>
                <w:color w:val="auto"/>
                <w:highlight w:val="none"/>
                <w:lang w:val="en-US" w:eastAsia="zh-CN"/>
              </w:rPr>
              <w:t>《排污单位自行监测技术指南 工业固体废物和危险废物治理》（HJ1250-2022）和《排污许可证申请与核发技术规范 工业炉窑》（HJ1121-2020），</w:t>
            </w:r>
            <w:r>
              <w:rPr>
                <w:rFonts w:hint="eastAsia"/>
                <w:color w:val="auto"/>
                <w:highlight w:val="none"/>
              </w:rPr>
              <w:t>制定</w:t>
            </w:r>
            <w:r>
              <w:rPr>
                <w:color w:val="auto"/>
                <w:highlight w:val="none"/>
              </w:rPr>
              <w:t>本项目</w:t>
            </w:r>
            <w:r>
              <w:rPr>
                <w:rFonts w:hint="eastAsia"/>
                <w:color w:val="auto"/>
                <w:highlight w:val="none"/>
              </w:rPr>
              <w:t>废气</w:t>
            </w:r>
            <w:r>
              <w:rPr>
                <w:color w:val="auto"/>
                <w:highlight w:val="none"/>
              </w:rPr>
              <w:t>污染源监测计划</w:t>
            </w:r>
            <w:r>
              <w:rPr>
                <w:rFonts w:hint="eastAsia"/>
                <w:color w:val="auto"/>
                <w:highlight w:val="none"/>
              </w:rPr>
              <w:t>，</w:t>
            </w:r>
            <w:r>
              <w:rPr>
                <w:color w:val="auto"/>
                <w:highlight w:val="none"/>
              </w:rPr>
              <w:t>详见表</w:t>
            </w:r>
            <w:r>
              <w:rPr>
                <w:rFonts w:hint="eastAsia"/>
                <w:color w:val="auto"/>
                <w:highlight w:val="none"/>
              </w:rPr>
              <w:t>4.1-6。</w:t>
            </w:r>
          </w:p>
          <w:p>
            <w:pPr>
              <w:pStyle w:val="36"/>
              <w:bidi w:val="0"/>
              <w:rPr>
                <w:color w:val="auto"/>
                <w:highlight w:val="none"/>
              </w:rPr>
            </w:pPr>
            <w:r>
              <w:rPr>
                <w:color w:val="auto"/>
                <w:highlight w:val="none"/>
              </w:rPr>
              <w:t>表</w:t>
            </w:r>
            <w:r>
              <w:rPr>
                <w:rFonts w:hint="eastAsia"/>
                <w:color w:val="auto"/>
                <w:highlight w:val="none"/>
              </w:rPr>
              <w:t>4.1-</w:t>
            </w:r>
            <w:r>
              <w:rPr>
                <w:rFonts w:hint="eastAsia"/>
                <w:color w:val="auto"/>
                <w:highlight w:val="none"/>
                <w:lang w:val="en-US" w:eastAsia="zh-CN"/>
              </w:rPr>
              <w:t>4</w:t>
            </w:r>
            <w:r>
              <w:rPr>
                <w:rFonts w:hint="eastAsia"/>
                <w:color w:val="auto"/>
                <w:highlight w:val="none"/>
              </w:rPr>
              <w:t xml:space="preserve">   废气监测方案</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914"/>
              <w:gridCol w:w="2114"/>
              <w:gridCol w:w="1463"/>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3" w:type="pct"/>
                  <w:vAlign w:val="center"/>
                </w:tcPr>
                <w:p>
                  <w:pPr>
                    <w:pStyle w:val="57"/>
                    <w:bidi w:val="0"/>
                    <w:rPr>
                      <w:color w:val="auto"/>
                      <w:highlight w:val="none"/>
                    </w:rPr>
                  </w:pPr>
                  <w:r>
                    <w:rPr>
                      <w:rFonts w:hint="eastAsia"/>
                      <w:color w:val="auto"/>
                      <w:highlight w:val="none"/>
                    </w:rPr>
                    <w:t>环境</w:t>
                  </w:r>
                </w:p>
                <w:p>
                  <w:pPr>
                    <w:pStyle w:val="57"/>
                    <w:bidi w:val="0"/>
                    <w:rPr>
                      <w:color w:val="auto"/>
                      <w:highlight w:val="none"/>
                    </w:rPr>
                  </w:pPr>
                  <w:r>
                    <w:rPr>
                      <w:rFonts w:hint="eastAsia"/>
                      <w:color w:val="auto"/>
                      <w:highlight w:val="none"/>
                    </w:rPr>
                    <w:t>要素</w:t>
                  </w:r>
                </w:p>
              </w:tc>
              <w:tc>
                <w:tcPr>
                  <w:tcW w:w="1141" w:type="pct"/>
                  <w:vAlign w:val="center"/>
                </w:tcPr>
                <w:p>
                  <w:pPr>
                    <w:pStyle w:val="57"/>
                    <w:bidi w:val="0"/>
                    <w:rPr>
                      <w:color w:val="auto"/>
                      <w:highlight w:val="none"/>
                    </w:rPr>
                  </w:pPr>
                  <w:r>
                    <w:rPr>
                      <w:rFonts w:hint="eastAsia"/>
                      <w:color w:val="auto"/>
                      <w:highlight w:val="none"/>
                    </w:rPr>
                    <w:t>污染源</w:t>
                  </w:r>
                </w:p>
              </w:tc>
              <w:tc>
                <w:tcPr>
                  <w:tcW w:w="1260" w:type="pct"/>
                  <w:vAlign w:val="center"/>
                </w:tcPr>
                <w:p>
                  <w:pPr>
                    <w:pStyle w:val="57"/>
                    <w:bidi w:val="0"/>
                    <w:rPr>
                      <w:color w:val="auto"/>
                      <w:highlight w:val="none"/>
                    </w:rPr>
                  </w:pPr>
                  <w:r>
                    <w:rPr>
                      <w:rFonts w:hint="eastAsia"/>
                      <w:color w:val="auto"/>
                      <w:highlight w:val="none"/>
                    </w:rPr>
                    <w:t>监测点位</w:t>
                  </w:r>
                </w:p>
              </w:tc>
              <w:tc>
                <w:tcPr>
                  <w:tcW w:w="872" w:type="pct"/>
                  <w:vAlign w:val="center"/>
                </w:tcPr>
                <w:p>
                  <w:pPr>
                    <w:pStyle w:val="57"/>
                    <w:bidi w:val="0"/>
                    <w:rPr>
                      <w:color w:val="auto"/>
                      <w:highlight w:val="none"/>
                    </w:rPr>
                  </w:pPr>
                  <w:r>
                    <w:rPr>
                      <w:rFonts w:hint="eastAsia"/>
                      <w:color w:val="auto"/>
                      <w:highlight w:val="none"/>
                    </w:rPr>
                    <w:t>监测指标</w:t>
                  </w:r>
                </w:p>
              </w:tc>
              <w:tc>
                <w:tcPr>
                  <w:tcW w:w="1302" w:type="pct"/>
                  <w:vAlign w:val="center"/>
                </w:tcPr>
                <w:p>
                  <w:pPr>
                    <w:pStyle w:val="57"/>
                    <w:bidi w:val="0"/>
                    <w:rPr>
                      <w:color w:val="auto"/>
                      <w:highlight w:val="none"/>
                    </w:rPr>
                  </w:pPr>
                  <w:r>
                    <w:rPr>
                      <w:rFonts w:hint="eastAsia"/>
                      <w:color w:val="auto"/>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restart"/>
                  <w:vAlign w:val="center"/>
                </w:tcPr>
                <w:p>
                  <w:pPr>
                    <w:pStyle w:val="57"/>
                    <w:bidi w:val="0"/>
                    <w:rPr>
                      <w:color w:val="auto"/>
                      <w:highlight w:val="none"/>
                    </w:rPr>
                  </w:pPr>
                  <w:r>
                    <w:rPr>
                      <w:rFonts w:hint="eastAsia"/>
                      <w:color w:val="auto"/>
                      <w:highlight w:val="none"/>
                    </w:rPr>
                    <w:t>废气</w:t>
                  </w:r>
                </w:p>
              </w:tc>
              <w:tc>
                <w:tcPr>
                  <w:tcW w:w="1141" w:type="pct"/>
                  <w:vMerge w:val="restar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干燥器废气</w:t>
                  </w:r>
                </w:p>
              </w:tc>
              <w:tc>
                <w:tcPr>
                  <w:tcW w:w="1260" w:type="pct"/>
                  <w:vMerge w:val="restart"/>
                  <w:vAlign w:val="center"/>
                </w:tcPr>
                <w:p>
                  <w:pPr>
                    <w:pStyle w:val="57"/>
                    <w:bidi w:val="0"/>
                    <w:rPr>
                      <w:rFonts w:hint="eastAsia" w:eastAsia="宋体"/>
                      <w:color w:val="auto"/>
                      <w:highlight w:val="none"/>
                      <w:lang w:eastAsia="zh-CN"/>
                    </w:rPr>
                  </w:pPr>
                  <w:r>
                    <w:rPr>
                      <w:rFonts w:hint="eastAsia"/>
                      <w:color w:val="auto"/>
                      <w:highlight w:val="none"/>
                      <w:lang w:val="en-US" w:eastAsia="zh-CN"/>
                    </w:rPr>
                    <w:t>干燥器废气排气筒</w:t>
                  </w:r>
                </w:p>
              </w:tc>
              <w:tc>
                <w:tcPr>
                  <w:tcW w:w="872" w:type="pct"/>
                  <w:vAlign w:val="center"/>
                </w:tcPr>
                <w:p>
                  <w:pPr>
                    <w:pStyle w:val="57"/>
                    <w:bidi w:val="0"/>
                    <w:rPr>
                      <w:color w:val="auto"/>
                      <w:highlight w:val="none"/>
                    </w:rPr>
                  </w:pPr>
                  <w:r>
                    <w:rPr>
                      <w:rFonts w:hint="eastAsia"/>
                      <w:color w:val="auto"/>
                      <w:highlight w:val="none"/>
                    </w:rPr>
                    <w:t>颗粒物</w:t>
                  </w:r>
                </w:p>
              </w:tc>
              <w:tc>
                <w:tcPr>
                  <w:tcW w:w="1302" w:type="pct"/>
                  <w:vMerge w:val="restart"/>
                  <w:vAlign w:val="center"/>
                </w:tcPr>
                <w:p>
                  <w:pPr>
                    <w:pStyle w:val="57"/>
                    <w:bidi w:val="0"/>
                    <w:rPr>
                      <w:rFonts w:hint="default" w:eastAsia="宋体"/>
                      <w:color w:val="auto"/>
                      <w:highlight w:val="none"/>
                      <w:lang w:val="en-US" w:eastAsia="zh-CN"/>
                    </w:rPr>
                  </w:pPr>
                  <w:r>
                    <w:rPr>
                      <w:rFonts w:hint="eastAsia"/>
                      <w:color w:val="auto"/>
                      <w:highlight w:val="none"/>
                    </w:rPr>
                    <w:t>1次</w:t>
                  </w:r>
                  <w:r>
                    <w:rPr>
                      <w:rFonts w:hint="eastAsia"/>
                      <w:color w:val="auto"/>
                      <w:highlight w:val="none"/>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3" w:type="pct"/>
                  <w:vMerge w:val="continue"/>
                  <w:vAlign w:val="center"/>
                </w:tcPr>
                <w:p>
                  <w:pPr>
                    <w:pStyle w:val="57"/>
                    <w:bidi w:val="0"/>
                    <w:rPr>
                      <w:rFonts w:hint="eastAsia"/>
                      <w:color w:val="auto"/>
                      <w:highlight w:val="none"/>
                    </w:rPr>
                  </w:pPr>
                </w:p>
              </w:tc>
              <w:tc>
                <w:tcPr>
                  <w:tcW w:w="1141" w:type="pct"/>
                  <w:vMerge w:val="continue"/>
                  <w:vAlign w:val="center"/>
                </w:tcPr>
                <w:p>
                  <w:pPr>
                    <w:pStyle w:val="57"/>
                    <w:bidi w:val="0"/>
                    <w:rPr>
                      <w:rFonts w:hint="eastAsia"/>
                      <w:color w:val="auto"/>
                      <w:highlight w:val="none"/>
                      <w:lang w:val="en-US" w:eastAsia="zh-CN"/>
                    </w:rPr>
                  </w:pPr>
                </w:p>
              </w:tc>
              <w:tc>
                <w:tcPr>
                  <w:tcW w:w="1260" w:type="pct"/>
                  <w:vMerge w:val="continue"/>
                  <w:vAlign w:val="center"/>
                </w:tcPr>
                <w:p>
                  <w:pPr>
                    <w:pStyle w:val="57"/>
                    <w:bidi w:val="0"/>
                    <w:rPr>
                      <w:rFonts w:hint="eastAsia"/>
                      <w:color w:val="auto"/>
                      <w:highlight w:val="none"/>
                      <w:lang w:val="en-US" w:eastAsia="zh-CN"/>
                    </w:rPr>
                  </w:pPr>
                </w:p>
              </w:tc>
              <w:tc>
                <w:tcPr>
                  <w:tcW w:w="872"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烟气黑度</w:t>
                  </w:r>
                </w:p>
              </w:tc>
              <w:tc>
                <w:tcPr>
                  <w:tcW w:w="1302" w:type="pct"/>
                  <w:vMerge w:val="continue"/>
                  <w:vAlign w:val="center"/>
                </w:tcPr>
                <w:p>
                  <w:pPr>
                    <w:pStyle w:val="57"/>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3" w:type="pct"/>
                  <w:vMerge w:val="continue"/>
                  <w:vAlign w:val="center"/>
                </w:tcPr>
                <w:p>
                  <w:pPr>
                    <w:pStyle w:val="57"/>
                    <w:bidi w:val="0"/>
                    <w:rPr>
                      <w:color w:val="auto"/>
                      <w:highlight w:val="none"/>
                    </w:rPr>
                  </w:pPr>
                </w:p>
              </w:tc>
              <w:tc>
                <w:tcPr>
                  <w:tcW w:w="1141"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原料仓、成品仓</w:t>
                  </w:r>
                </w:p>
              </w:tc>
              <w:tc>
                <w:tcPr>
                  <w:tcW w:w="1260" w:type="pct"/>
                  <w:vAlign w:val="center"/>
                </w:tcPr>
                <w:p>
                  <w:pPr>
                    <w:pStyle w:val="57"/>
                    <w:bidi w:val="0"/>
                    <w:rPr>
                      <w:color w:val="auto"/>
                      <w:highlight w:val="none"/>
                    </w:rPr>
                  </w:pPr>
                  <w:r>
                    <w:rPr>
                      <w:rFonts w:hint="eastAsia"/>
                      <w:color w:val="auto"/>
                      <w:highlight w:val="none"/>
                    </w:rPr>
                    <w:t>厂界</w:t>
                  </w:r>
                </w:p>
              </w:tc>
              <w:tc>
                <w:tcPr>
                  <w:tcW w:w="872" w:type="pct"/>
                  <w:vAlign w:val="center"/>
                </w:tcPr>
                <w:p>
                  <w:pPr>
                    <w:pStyle w:val="57"/>
                    <w:bidi w:val="0"/>
                    <w:rPr>
                      <w:rFonts w:hint="eastAsia" w:eastAsia="宋体"/>
                      <w:color w:val="auto"/>
                      <w:highlight w:val="none"/>
                      <w:lang w:eastAsia="zh-CN"/>
                    </w:rPr>
                  </w:pPr>
                  <w:r>
                    <w:rPr>
                      <w:rFonts w:hint="eastAsia"/>
                      <w:color w:val="auto"/>
                      <w:highlight w:val="none"/>
                      <w:lang w:val="en-US" w:eastAsia="zh-CN"/>
                    </w:rPr>
                    <w:t>颗粒物</w:t>
                  </w:r>
                </w:p>
              </w:tc>
              <w:tc>
                <w:tcPr>
                  <w:tcW w:w="1302" w:type="pct"/>
                  <w:vAlign w:val="center"/>
                </w:tcPr>
                <w:p>
                  <w:pPr>
                    <w:pStyle w:val="57"/>
                    <w:bidi w:val="0"/>
                    <w:rPr>
                      <w:color w:val="auto"/>
                      <w:highlight w:val="none"/>
                    </w:rPr>
                  </w:pPr>
                  <w:r>
                    <w:rPr>
                      <w:rFonts w:hint="eastAsia"/>
                      <w:color w:val="auto"/>
                      <w:highlight w:val="none"/>
                    </w:rPr>
                    <w:t>1次</w:t>
                  </w:r>
                  <w:r>
                    <w:rPr>
                      <w:rFonts w:hint="eastAsia"/>
                      <w:color w:val="auto"/>
                      <w:highlight w:val="none"/>
                      <w:lang w:val="en-US" w:eastAsia="zh-CN"/>
                    </w:rPr>
                    <w:t>/</w:t>
                  </w:r>
                  <w:r>
                    <w:rPr>
                      <w:rFonts w:hint="eastAsia"/>
                      <w:color w:val="auto"/>
                      <w:highlight w:val="none"/>
                    </w:rPr>
                    <w:t>季</w:t>
                  </w:r>
                </w:p>
              </w:tc>
            </w:tr>
          </w:tbl>
          <w:p>
            <w:pPr>
              <w:pStyle w:val="4"/>
              <w:bidi w:val="0"/>
              <w:rPr>
                <w:color w:val="auto"/>
                <w:highlight w:val="none"/>
              </w:rPr>
            </w:pPr>
            <w:r>
              <w:rPr>
                <w:rFonts w:hint="eastAsia"/>
                <w:color w:val="auto"/>
                <w:highlight w:val="none"/>
              </w:rPr>
              <w:t>4.1.4 非正常工况</w:t>
            </w:r>
          </w:p>
          <w:p>
            <w:pPr>
              <w:pStyle w:val="6"/>
              <w:bidi w:val="0"/>
              <w:rPr>
                <w:rFonts w:hint="default"/>
                <w:color w:val="auto"/>
                <w:highlight w:val="none"/>
                <w:lang w:val="en-US" w:eastAsia="zh-CN"/>
              </w:rPr>
            </w:pPr>
            <w:r>
              <w:rPr>
                <w:rFonts w:hint="default"/>
                <w:color w:val="auto"/>
                <w:highlight w:val="none"/>
                <w:lang w:val="en-US" w:eastAsia="zh-CN"/>
              </w:rPr>
              <w:t>本项目非正常工况主要考虑废气去除效率无法达到设计效率。非正常状况下，</w:t>
            </w:r>
            <w:r>
              <w:rPr>
                <w:rFonts w:hint="eastAsia"/>
                <w:color w:val="auto"/>
                <w:highlight w:val="none"/>
                <w:lang w:val="en-US" w:eastAsia="zh-CN"/>
              </w:rPr>
              <w:t>窑头干燥器废气处理措施中旋风除尘器处理效果不变，除尘器布袋破损，颗粒物处理效率为50%</w:t>
            </w:r>
            <w:r>
              <w:rPr>
                <w:rFonts w:hint="default"/>
                <w:color w:val="auto"/>
                <w:highlight w:val="none"/>
                <w:lang w:val="en-US" w:eastAsia="zh-CN"/>
              </w:rPr>
              <w:t>。非正常工况排放全年持续时间约</w:t>
            </w:r>
            <w:r>
              <w:rPr>
                <w:rFonts w:hint="eastAsia"/>
                <w:color w:val="auto"/>
                <w:highlight w:val="none"/>
                <w:lang w:val="en-US" w:eastAsia="zh-CN"/>
              </w:rPr>
              <w:t>4</w:t>
            </w:r>
            <w:r>
              <w:rPr>
                <w:rFonts w:hint="default"/>
                <w:color w:val="auto"/>
                <w:highlight w:val="none"/>
                <w:lang w:val="en-US" w:eastAsia="zh-CN"/>
              </w:rPr>
              <w:t>h（单次持续时间</w:t>
            </w:r>
            <w:r>
              <w:rPr>
                <w:rFonts w:hint="eastAsia"/>
                <w:color w:val="auto"/>
                <w:highlight w:val="none"/>
                <w:lang w:val="en-US" w:eastAsia="zh-CN"/>
              </w:rPr>
              <w:t>1</w:t>
            </w:r>
            <w:r>
              <w:rPr>
                <w:rFonts w:hint="default"/>
                <w:color w:val="auto"/>
                <w:highlight w:val="none"/>
                <w:lang w:val="en-US" w:eastAsia="zh-CN"/>
              </w:rPr>
              <w:t>h</w:t>
            </w:r>
            <w:r>
              <w:rPr>
                <w:rFonts w:hint="eastAsia"/>
                <w:color w:val="auto"/>
                <w:highlight w:val="none"/>
                <w:lang w:val="en-US" w:eastAsia="zh-CN"/>
              </w:rPr>
              <w:t>/次，</w:t>
            </w:r>
            <w:r>
              <w:rPr>
                <w:rFonts w:hint="default"/>
                <w:color w:val="auto"/>
                <w:highlight w:val="none"/>
                <w:lang w:val="en-US" w:eastAsia="zh-CN"/>
              </w:rPr>
              <w:t>年发生4次</w:t>
            </w:r>
            <w:r>
              <w:rPr>
                <w:rFonts w:hint="eastAsia"/>
                <w:color w:val="auto"/>
                <w:highlight w:val="none"/>
                <w:lang w:val="en-US" w:eastAsia="zh-CN"/>
              </w:rPr>
              <w:t>/年</w:t>
            </w:r>
            <w:r>
              <w:rPr>
                <w:rFonts w:hint="default"/>
                <w:color w:val="auto"/>
                <w:highlight w:val="none"/>
                <w:lang w:val="en-US" w:eastAsia="zh-CN"/>
              </w:rPr>
              <w:t>），废气在未经有效处理的情况下通过</w:t>
            </w:r>
            <w:r>
              <w:rPr>
                <w:rFonts w:hint="eastAsia"/>
                <w:color w:val="auto"/>
                <w:highlight w:val="none"/>
                <w:lang w:val="en-US" w:eastAsia="zh-CN"/>
              </w:rPr>
              <w:t>15m</w:t>
            </w:r>
            <w:r>
              <w:rPr>
                <w:rFonts w:hint="default"/>
                <w:color w:val="auto"/>
                <w:highlight w:val="none"/>
                <w:lang w:val="en-US" w:eastAsia="zh-CN"/>
              </w:rPr>
              <w:t>高的排气筒直接排放。</w:t>
            </w:r>
          </w:p>
          <w:p>
            <w:pPr>
              <w:pStyle w:val="6"/>
              <w:bidi w:val="0"/>
              <w:rPr>
                <w:rFonts w:hint="default"/>
                <w:color w:val="auto"/>
                <w:highlight w:val="none"/>
                <w:lang w:val="en-US" w:eastAsia="zh-CN"/>
              </w:rPr>
            </w:pPr>
            <w:r>
              <w:rPr>
                <w:rFonts w:hint="default"/>
                <w:color w:val="auto"/>
                <w:highlight w:val="none"/>
                <w:lang w:val="en-US" w:eastAsia="zh-CN"/>
              </w:rPr>
              <w:t>本项目非正常工况下废气排放详见表</w:t>
            </w:r>
            <w:r>
              <w:rPr>
                <w:rFonts w:hint="eastAsia"/>
                <w:color w:val="auto"/>
                <w:highlight w:val="none"/>
                <w:lang w:val="en-US" w:eastAsia="zh-CN"/>
              </w:rPr>
              <w:t>4.1</w:t>
            </w:r>
            <w:r>
              <w:rPr>
                <w:rFonts w:hint="default"/>
                <w:color w:val="auto"/>
                <w:highlight w:val="none"/>
                <w:lang w:val="en-US" w:eastAsia="zh-CN"/>
              </w:rPr>
              <w:t>-</w:t>
            </w:r>
            <w:r>
              <w:rPr>
                <w:rFonts w:hint="eastAsia"/>
                <w:color w:val="auto"/>
                <w:highlight w:val="none"/>
                <w:lang w:val="en-US" w:eastAsia="zh-CN"/>
              </w:rPr>
              <w:t>5</w:t>
            </w:r>
            <w:r>
              <w:rPr>
                <w:rFonts w:hint="default"/>
                <w:color w:val="auto"/>
                <w:highlight w:val="none"/>
                <w:lang w:val="en-US" w:eastAsia="zh-CN"/>
              </w:rPr>
              <w:t>所示。环评要求企业定期检查各个处理装置，严格管理，避免失效工况发生。</w:t>
            </w:r>
          </w:p>
          <w:p>
            <w:pPr>
              <w:pStyle w:val="3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4.1-5</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 xml:space="preserve"> 非正常工况下大气污染物排放情况</w:t>
            </w:r>
          </w:p>
          <w:tbl>
            <w:tblPr>
              <w:tblStyle w:val="52"/>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1"/>
              <w:gridCol w:w="507"/>
              <w:gridCol w:w="932"/>
              <w:gridCol w:w="715"/>
              <w:gridCol w:w="678"/>
              <w:gridCol w:w="902"/>
              <w:gridCol w:w="794"/>
              <w:gridCol w:w="922"/>
              <w:gridCol w:w="1092"/>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30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污染类型</w:t>
                  </w:r>
                </w:p>
              </w:tc>
              <w:tc>
                <w:tcPr>
                  <w:tcW w:w="55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4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风量m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3373"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非正常工况下排放情况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0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5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频次/年</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持续时间h</w:t>
                  </w:r>
                </w:p>
              </w:tc>
              <w:tc>
                <w:tcPr>
                  <w:tcW w:w="4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处理效率</w:t>
                  </w:r>
                </w:p>
              </w:tc>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排放量kg/a</w:t>
                  </w:r>
                </w:p>
              </w:tc>
              <w:tc>
                <w:tcPr>
                  <w:tcW w:w="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排放速率kg/h</w:t>
                  </w:r>
                </w:p>
              </w:tc>
              <w:tc>
                <w:tcPr>
                  <w:tcW w:w="7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排放浓度mg/m</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DA00</w:t>
                  </w:r>
                  <w:r>
                    <w:rPr>
                      <w:rFonts w:hint="eastAsia" w:ascii="Times New Roman" w:hAnsi="Times New Roman" w:eastAsia="宋体" w:cs="Times New Roman"/>
                      <w:color w:val="auto"/>
                      <w:sz w:val="21"/>
                      <w:szCs w:val="21"/>
                      <w:highlight w:val="none"/>
                      <w:lang w:val="en-US" w:eastAsia="zh-CN"/>
                    </w:rPr>
                    <w:t>3</w:t>
                  </w:r>
                </w:p>
              </w:tc>
              <w:tc>
                <w:tcPr>
                  <w:tcW w:w="3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b w:val="0"/>
                      <w:bCs w:val="0"/>
                      <w:color w:val="auto"/>
                      <w:kern w:val="0"/>
                      <w:sz w:val="21"/>
                      <w:szCs w:val="21"/>
                      <w:highlight w:val="none"/>
                      <w:lang w:val="en-US" w:eastAsia="zh-CN"/>
                    </w:rPr>
                    <w:t>干燥器废气</w:t>
                  </w:r>
                </w:p>
              </w:tc>
              <w:tc>
                <w:tcPr>
                  <w:tcW w:w="55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4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000</w:t>
                  </w:r>
                </w:p>
              </w:tc>
              <w:tc>
                <w:tcPr>
                  <w:tcW w:w="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w:t>
                  </w:r>
                </w:p>
              </w:tc>
              <w:tc>
                <w:tcPr>
                  <w:tcW w:w="4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c>
                <w:tcPr>
                  <w:tcW w:w="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4.83</w:t>
                  </w:r>
                </w:p>
              </w:tc>
              <w:tc>
                <w:tcPr>
                  <w:tcW w:w="6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1.21</w:t>
                  </w:r>
                </w:p>
              </w:tc>
              <w:tc>
                <w:tcPr>
                  <w:tcW w:w="76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402.78</w:t>
                  </w:r>
                </w:p>
              </w:tc>
            </w:tr>
          </w:tbl>
          <w:p>
            <w:pPr>
              <w:pStyle w:val="4"/>
              <w:bidi w:val="0"/>
              <w:rPr>
                <w:color w:val="auto"/>
                <w:highlight w:val="none"/>
              </w:rPr>
            </w:pPr>
            <w:r>
              <w:rPr>
                <w:rFonts w:hint="eastAsia"/>
                <w:color w:val="auto"/>
                <w:highlight w:val="none"/>
              </w:rPr>
              <w:t xml:space="preserve">4.1.5 </w:t>
            </w:r>
            <w:r>
              <w:rPr>
                <w:rFonts w:hint="eastAsia"/>
                <w:color w:val="auto"/>
                <w:highlight w:val="none"/>
                <w:lang w:val="en-US" w:eastAsia="zh-CN"/>
              </w:rPr>
              <w:t>废气</w:t>
            </w:r>
            <w:r>
              <w:rPr>
                <w:rFonts w:hint="eastAsia"/>
                <w:color w:val="auto"/>
                <w:highlight w:val="none"/>
              </w:rPr>
              <w:t>治理措施可行性分析</w:t>
            </w:r>
          </w:p>
          <w:p>
            <w:pPr>
              <w:pStyle w:val="6"/>
              <w:bidi w:val="0"/>
              <w:rPr>
                <w:rFonts w:hint="eastAsia"/>
                <w:color w:val="auto"/>
                <w:highlight w:val="none"/>
                <w:lang w:val="en-US" w:eastAsia="zh-CN"/>
              </w:rPr>
            </w:pPr>
            <w:r>
              <w:rPr>
                <w:rFonts w:hint="eastAsia"/>
                <w:color w:val="auto"/>
                <w:highlight w:val="none"/>
                <w:lang w:val="en-US" w:eastAsia="zh-CN"/>
              </w:rPr>
              <w:t>窑头落料端干燥器废气通过双筒预热器预热后，经过“旋风除尘器+布袋除尘器”处理后，由15m排气筒达标排放。本项目废气污染物为颗粒物，旋风除尘器和布袋除尘器均为参考《301 水泥、石灰和石膏制造行业系数手册》“3012 石灰和石膏制造行业（续3）”和“3012 石灰和石膏制造行业（续5）”中废气颗粒物末端治理技术。同时属于《排污许可证申请与核发技术规范 工业炉窑》（HJ1121-2020）附录A，表A.1中可行技术，故本项目废气污染物治理设施可行。</w:t>
            </w:r>
          </w:p>
          <w:p>
            <w:pPr>
              <w:pStyle w:val="4"/>
              <w:bidi w:val="0"/>
              <w:rPr>
                <w:color w:val="auto"/>
                <w:highlight w:val="none"/>
              </w:rPr>
            </w:pPr>
            <w:r>
              <w:rPr>
                <w:rFonts w:hint="eastAsia"/>
                <w:color w:val="auto"/>
                <w:highlight w:val="none"/>
              </w:rPr>
              <w:t xml:space="preserve">4.1.6 </w:t>
            </w:r>
            <w:r>
              <w:rPr>
                <w:rFonts w:hint="eastAsia"/>
                <w:color w:val="auto"/>
                <w:highlight w:val="none"/>
                <w:lang w:val="en-US" w:eastAsia="zh-CN"/>
              </w:rPr>
              <w:t>干燥器废气</w:t>
            </w:r>
            <w:r>
              <w:rPr>
                <w:rFonts w:hint="eastAsia"/>
                <w:color w:val="auto"/>
                <w:highlight w:val="none"/>
              </w:rPr>
              <w:t>排污口规范化要求</w:t>
            </w:r>
          </w:p>
          <w:p>
            <w:pPr>
              <w:pStyle w:val="6"/>
              <w:bidi w:val="0"/>
              <w:rPr>
                <w:rFonts w:hint="eastAsia"/>
                <w:color w:val="auto"/>
                <w:highlight w:val="none"/>
              </w:rPr>
            </w:pPr>
            <w:r>
              <w:rPr>
                <w:rFonts w:hint="eastAsia"/>
                <w:color w:val="auto"/>
                <w:highlight w:val="none"/>
              </w:rPr>
              <w:t>应依据《排污单位污染物排放口二维码标识技术规范》（</w:t>
            </w:r>
            <w:r>
              <w:rPr>
                <w:color w:val="auto"/>
                <w:highlight w:val="none"/>
              </w:rPr>
              <w:t>HJ1297</w:t>
            </w:r>
            <w:r>
              <w:rPr>
                <w:rFonts w:hint="eastAsia"/>
                <w:color w:val="auto"/>
                <w:highlight w:val="none"/>
              </w:rPr>
              <w:t>-</w:t>
            </w:r>
            <w:r>
              <w:rPr>
                <w:color w:val="auto"/>
                <w:highlight w:val="none"/>
              </w:rPr>
              <w:t>2023</w:t>
            </w:r>
            <w:r>
              <w:rPr>
                <w:rFonts w:hint="eastAsia"/>
                <w:color w:val="auto"/>
                <w:highlight w:val="none"/>
              </w:rPr>
              <w:t>）要求，由全国排污许可证管理信息平台为排放口分配唯一标识代码，与排放口唯一对应，用户可按权限下载排放口二维码。在终端扫描排放口二维码时，访问全国排污许可证管理信息平台可获取排放口二维码的数据服务。按照附录和附录B的要求，规范排污口标识。</w:t>
            </w:r>
          </w:p>
          <w:p>
            <w:pPr>
              <w:pStyle w:val="3"/>
              <w:bidi w:val="0"/>
              <w:rPr>
                <w:color w:val="auto"/>
                <w:highlight w:val="none"/>
              </w:rPr>
            </w:pPr>
            <w:r>
              <w:rPr>
                <w:rFonts w:hint="eastAsia"/>
                <w:color w:val="auto"/>
                <w:highlight w:val="none"/>
              </w:rPr>
              <w:t xml:space="preserve">4.2 </w:t>
            </w:r>
            <w:r>
              <w:rPr>
                <w:color w:val="auto"/>
                <w:highlight w:val="none"/>
              </w:rPr>
              <w:t>水污染物影响分析</w:t>
            </w:r>
          </w:p>
          <w:p>
            <w:pPr>
              <w:pStyle w:val="6"/>
              <w:bidi w:val="0"/>
              <w:rPr>
                <w:rFonts w:hint="default" w:eastAsia="宋体"/>
                <w:color w:val="auto"/>
                <w:highlight w:val="none"/>
                <w:lang w:val="en-US" w:eastAsia="zh-CN"/>
              </w:rPr>
            </w:pPr>
            <w:r>
              <w:rPr>
                <w:rFonts w:hint="eastAsia"/>
                <w:color w:val="auto"/>
                <w:highlight w:val="none"/>
                <w:lang w:val="en-US" w:eastAsia="zh-CN"/>
              </w:rPr>
              <w:t>本项目无生产废水。</w:t>
            </w:r>
          </w:p>
          <w:p>
            <w:pPr>
              <w:pStyle w:val="6"/>
              <w:bidi w:val="0"/>
              <w:rPr>
                <w:color w:val="auto"/>
                <w:highlight w:val="none"/>
              </w:rPr>
            </w:pPr>
            <w:r>
              <w:rPr>
                <w:rFonts w:hint="eastAsia"/>
                <w:color w:val="auto"/>
                <w:highlight w:val="none"/>
              </w:rPr>
              <w:t>本项目</w:t>
            </w:r>
            <w:r>
              <w:rPr>
                <w:rFonts w:hint="eastAsia"/>
                <w:color w:val="auto"/>
                <w:highlight w:val="none"/>
                <w:lang w:val="en-US" w:eastAsia="zh-CN"/>
              </w:rPr>
              <w:t>新增劳动定员5</w:t>
            </w:r>
            <w:r>
              <w:rPr>
                <w:rFonts w:hint="eastAsia"/>
                <w:color w:val="auto"/>
                <w:highlight w:val="none"/>
              </w:rPr>
              <w:t>人，生活用水量</w:t>
            </w:r>
            <w:r>
              <w:rPr>
                <w:rFonts w:hint="eastAsia"/>
                <w:color w:val="auto"/>
                <w:highlight w:val="none"/>
                <w:lang w:val="en-US" w:eastAsia="zh-CN"/>
              </w:rPr>
              <w:t>按100L/（人·天）计算，生活用水量</w:t>
            </w:r>
            <w:r>
              <w:rPr>
                <w:rFonts w:hint="eastAsia"/>
                <w:color w:val="auto"/>
                <w:highlight w:val="none"/>
              </w:rPr>
              <w:t>为</w:t>
            </w:r>
            <w:r>
              <w:rPr>
                <w:rFonts w:hint="eastAsia"/>
                <w:color w:val="auto"/>
                <w:highlight w:val="none"/>
                <w:lang w:val="en-US" w:eastAsia="zh-CN"/>
              </w:rPr>
              <w:t>0.5</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eastAsia="zh-CN"/>
              </w:rPr>
              <w:t>，</w:t>
            </w:r>
            <w:r>
              <w:rPr>
                <w:color w:val="auto"/>
                <w:highlight w:val="none"/>
              </w:rPr>
              <w:t>生活污水排放量按用水量的80%计，则</w:t>
            </w:r>
            <w:r>
              <w:rPr>
                <w:rFonts w:hint="eastAsia"/>
                <w:color w:val="auto"/>
                <w:highlight w:val="none"/>
                <w:lang w:val="en-US" w:eastAsia="zh-CN"/>
              </w:rPr>
              <w:t>新增生活污水</w:t>
            </w:r>
            <w:r>
              <w:rPr>
                <w:color w:val="auto"/>
                <w:highlight w:val="none"/>
              </w:rPr>
              <w:t>量为</w:t>
            </w:r>
            <w:r>
              <w:rPr>
                <w:rFonts w:hint="eastAsia"/>
                <w:color w:val="auto"/>
                <w:highlight w:val="none"/>
                <w:lang w:val="en-US" w:eastAsia="zh-CN"/>
              </w:rPr>
              <w:t>0.4</w:t>
            </w:r>
            <w:r>
              <w:rPr>
                <w:color w:val="auto"/>
                <w:highlight w:val="none"/>
              </w:rPr>
              <w:t>m</w:t>
            </w:r>
            <w:r>
              <w:rPr>
                <w:color w:val="auto"/>
                <w:highlight w:val="none"/>
                <w:vertAlign w:val="superscript"/>
              </w:rPr>
              <w:t>3</w:t>
            </w:r>
            <w:r>
              <w:rPr>
                <w:color w:val="auto"/>
                <w:highlight w:val="none"/>
              </w:rPr>
              <w:t>/</w:t>
            </w:r>
            <w:r>
              <w:rPr>
                <w:rFonts w:hint="eastAsia"/>
                <w:color w:val="auto"/>
                <w:highlight w:val="none"/>
                <w:lang w:val="en-US" w:eastAsia="zh-CN"/>
              </w:rPr>
              <w:t>d（120m</w:t>
            </w:r>
            <w:r>
              <w:rPr>
                <w:rFonts w:hint="eastAsia"/>
                <w:color w:val="auto"/>
                <w:highlight w:val="none"/>
                <w:vertAlign w:val="superscript"/>
                <w:lang w:val="en-US" w:eastAsia="zh-CN"/>
              </w:rPr>
              <w:t>3</w:t>
            </w:r>
            <w:r>
              <w:rPr>
                <w:rFonts w:hint="eastAsia"/>
                <w:color w:val="auto"/>
                <w:highlight w:val="none"/>
                <w:vertAlign w:val="baseline"/>
                <w:lang w:val="en-US" w:eastAsia="zh-CN"/>
              </w:rPr>
              <w:t>/a</w:t>
            </w:r>
            <w:r>
              <w:rPr>
                <w:rFonts w:hint="eastAsia"/>
                <w:color w:val="auto"/>
                <w:highlight w:val="none"/>
                <w:lang w:val="en-US" w:eastAsia="zh-CN"/>
              </w:rPr>
              <w:t>）</w:t>
            </w:r>
            <w:r>
              <w:rPr>
                <w:color w:val="auto"/>
                <w:highlight w:val="none"/>
              </w:rPr>
              <w:t>。</w:t>
            </w:r>
            <w:r>
              <w:rPr>
                <w:rFonts w:hint="eastAsia"/>
                <w:color w:val="auto"/>
                <w:highlight w:val="none"/>
                <w:lang w:val="en-US" w:eastAsia="zh-CN"/>
              </w:rPr>
              <w:t>生活污水依托现有化粪池收集处理后，委托库尔勒龙润处理有限公司定期拉运至库尔勒市南市区污水处理厂处理</w:t>
            </w:r>
            <w:r>
              <w:rPr>
                <w:rFonts w:hint="eastAsia"/>
                <w:color w:val="auto"/>
                <w:highlight w:val="none"/>
              </w:rPr>
              <w:t>。</w:t>
            </w:r>
          </w:p>
          <w:p>
            <w:pPr>
              <w:pStyle w:val="37"/>
              <w:rPr>
                <w:color w:val="auto"/>
                <w:highlight w:val="none"/>
              </w:rPr>
            </w:pPr>
            <w:r>
              <w:rPr>
                <w:rFonts w:hint="eastAsia"/>
                <w:color w:val="auto"/>
                <w:highlight w:val="none"/>
              </w:rPr>
              <w:t>表4.2-1        生活污水产排放情况一览表</w:t>
            </w:r>
          </w:p>
          <w:tbl>
            <w:tblPr>
              <w:tblStyle w:val="22"/>
              <w:tblW w:w="8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4"/>
              <w:gridCol w:w="2683"/>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67" w:type="pct"/>
                  <w:vAlign w:val="center"/>
                </w:tcPr>
                <w:p>
                  <w:pPr>
                    <w:pStyle w:val="57"/>
                    <w:bidi w:val="0"/>
                    <w:rPr>
                      <w:color w:val="auto"/>
                      <w:highlight w:val="none"/>
                    </w:rPr>
                  </w:pPr>
                  <w:r>
                    <w:rPr>
                      <w:color w:val="auto"/>
                      <w:highlight w:val="none"/>
                    </w:rPr>
                    <w:t>项目</w:t>
                  </w:r>
                </w:p>
              </w:tc>
              <w:tc>
                <w:tcPr>
                  <w:tcW w:w="1666" w:type="pct"/>
                  <w:vAlign w:val="center"/>
                </w:tcPr>
                <w:p>
                  <w:pPr>
                    <w:pStyle w:val="57"/>
                    <w:bidi w:val="0"/>
                    <w:rPr>
                      <w:color w:val="auto"/>
                      <w:highlight w:val="none"/>
                    </w:rPr>
                  </w:pPr>
                  <w:r>
                    <w:rPr>
                      <w:rFonts w:hint="eastAsia"/>
                      <w:color w:val="auto"/>
                      <w:highlight w:val="none"/>
                    </w:rPr>
                    <w:t>产生浓度（</w:t>
                  </w:r>
                  <w:r>
                    <w:rPr>
                      <w:color w:val="auto"/>
                      <w:highlight w:val="none"/>
                    </w:rPr>
                    <w:t>mg/L</w:t>
                  </w:r>
                  <w:r>
                    <w:rPr>
                      <w:rFonts w:hint="eastAsia"/>
                      <w:color w:val="auto"/>
                      <w:highlight w:val="none"/>
                    </w:rPr>
                    <w:t>）</w:t>
                  </w:r>
                </w:p>
              </w:tc>
              <w:tc>
                <w:tcPr>
                  <w:tcW w:w="1667" w:type="pct"/>
                  <w:vAlign w:val="center"/>
                </w:tcPr>
                <w:p>
                  <w:pPr>
                    <w:pStyle w:val="57"/>
                    <w:bidi w:val="0"/>
                    <w:rPr>
                      <w:color w:val="auto"/>
                      <w:highlight w:val="none"/>
                    </w:rPr>
                  </w:pPr>
                  <w:r>
                    <w:rPr>
                      <w:rFonts w:hint="eastAsia"/>
                      <w:color w:val="auto"/>
                      <w:highlight w:val="none"/>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pct"/>
                  <w:vAlign w:val="center"/>
                </w:tcPr>
                <w:p>
                  <w:pPr>
                    <w:pStyle w:val="57"/>
                    <w:bidi w:val="0"/>
                    <w:rPr>
                      <w:color w:val="auto"/>
                      <w:highlight w:val="none"/>
                    </w:rPr>
                  </w:pPr>
                  <w:r>
                    <w:rPr>
                      <w:color w:val="auto"/>
                      <w:highlight w:val="none"/>
                    </w:rPr>
                    <w:t>COD</w:t>
                  </w:r>
                </w:p>
              </w:tc>
              <w:tc>
                <w:tcPr>
                  <w:tcW w:w="1666" w:type="pct"/>
                  <w:vAlign w:val="center"/>
                </w:tcPr>
                <w:p>
                  <w:pPr>
                    <w:pStyle w:val="57"/>
                    <w:bidi w:val="0"/>
                    <w:rPr>
                      <w:color w:val="auto"/>
                      <w:highlight w:val="none"/>
                    </w:rPr>
                  </w:pPr>
                  <w:r>
                    <w:rPr>
                      <w:color w:val="auto"/>
                      <w:highlight w:val="none"/>
                    </w:rPr>
                    <w:t>350</w:t>
                  </w:r>
                </w:p>
              </w:tc>
              <w:tc>
                <w:tcPr>
                  <w:tcW w:w="1667"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pct"/>
                  <w:vAlign w:val="center"/>
                </w:tcPr>
                <w:p>
                  <w:pPr>
                    <w:pStyle w:val="57"/>
                    <w:bidi w:val="0"/>
                    <w:rPr>
                      <w:color w:val="auto"/>
                      <w:highlight w:val="none"/>
                    </w:rPr>
                  </w:pPr>
                  <w:r>
                    <w:rPr>
                      <w:color w:val="auto"/>
                      <w:highlight w:val="none"/>
                    </w:rPr>
                    <w:t>BOD</w:t>
                  </w:r>
                  <w:r>
                    <w:rPr>
                      <w:color w:val="auto"/>
                      <w:highlight w:val="none"/>
                      <w:vertAlign w:val="subscript"/>
                    </w:rPr>
                    <w:t>5</w:t>
                  </w:r>
                </w:p>
              </w:tc>
              <w:tc>
                <w:tcPr>
                  <w:tcW w:w="1666" w:type="pct"/>
                  <w:vAlign w:val="center"/>
                </w:tcPr>
                <w:p>
                  <w:pPr>
                    <w:pStyle w:val="57"/>
                    <w:bidi w:val="0"/>
                    <w:rPr>
                      <w:color w:val="auto"/>
                      <w:highlight w:val="none"/>
                    </w:rPr>
                  </w:pPr>
                  <w:r>
                    <w:rPr>
                      <w:rFonts w:hint="eastAsia"/>
                      <w:color w:val="auto"/>
                      <w:highlight w:val="none"/>
                    </w:rPr>
                    <w:t>280</w:t>
                  </w:r>
                </w:p>
              </w:tc>
              <w:tc>
                <w:tcPr>
                  <w:tcW w:w="1667"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pct"/>
                  <w:vAlign w:val="center"/>
                </w:tcPr>
                <w:p>
                  <w:pPr>
                    <w:pStyle w:val="57"/>
                    <w:bidi w:val="0"/>
                    <w:rPr>
                      <w:color w:val="auto"/>
                      <w:highlight w:val="none"/>
                    </w:rPr>
                  </w:pPr>
                  <w:r>
                    <w:rPr>
                      <w:color w:val="auto"/>
                      <w:highlight w:val="none"/>
                    </w:rPr>
                    <w:t>SS</w:t>
                  </w:r>
                </w:p>
              </w:tc>
              <w:tc>
                <w:tcPr>
                  <w:tcW w:w="1666" w:type="pct"/>
                  <w:vAlign w:val="center"/>
                </w:tcPr>
                <w:p>
                  <w:pPr>
                    <w:pStyle w:val="57"/>
                    <w:bidi w:val="0"/>
                    <w:rPr>
                      <w:color w:val="auto"/>
                      <w:highlight w:val="none"/>
                    </w:rPr>
                  </w:pPr>
                  <w:r>
                    <w:rPr>
                      <w:color w:val="auto"/>
                      <w:highlight w:val="none"/>
                    </w:rPr>
                    <w:t>250</w:t>
                  </w:r>
                </w:p>
              </w:tc>
              <w:tc>
                <w:tcPr>
                  <w:tcW w:w="1667"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pct"/>
                  <w:vAlign w:val="center"/>
                </w:tcPr>
                <w:p>
                  <w:pPr>
                    <w:pStyle w:val="57"/>
                    <w:bidi w:val="0"/>
                    <w:rPr>
                      <w:color w:val="auto"/>
                      <w:highlight w:val="none"/>
                    </w:rPr>
                  </w:pPr>
                  <w:r>
                    <w:rPr>
                      <w:color w:val="auto"/>
                      <w:highlight w:val="none"/>
                    </w:rPr>
                    <w:t>NH</w:t>
                  </w:r>
                  <w:r>
                    <w:rPr>
                      <w:rFonts w:hint="eastAsia"/>
                      <w:color w:val="auto"/>
                      <w:highlight w:val="none"/>
                      <w:vertAlign w:val="subscript"/>
                      <w:lang w:val="en-US" w:eastAsia="zh-CN"/>
                    </w:rPr>
                    <w:t>3</w:t>
                  </w:r>
                  <w:r>
                    <w:rPr>
                      <w:color w:val="auto"/>
                      <w:highlight w:val="none"/>
                    </w:rPr>
                    <w:t>-N</w:t>
                  </w:r>
                </w:p>
              </w:tc>
              <w:tc>
                <w:tcPr>
                  <w:tcW w:w="1666" w:type="pct"/>
                  <w:vAlign w:val="center"/>
                </w:tcPr>
                <w:p>
                  <w:pPr>
                    <w:pStyle w:val="57"/>
                    <w:bidi w:val="0"/>
                    <w:rPr>
                      <w:color w:val="auto"/>
                      <w:highlight w:val="none"/>
                    </w:rPr>
                  </w:pPr>
                  <w:r>
                    <w:rPr>
                      <w:color w:val="auto"/>
                      <w:highlight w:val="none"/>
                    </w:rPr>
                    <w:t>30</w:t>
                  </w:r>
                </w:p>
              </w:tc>
              <w:tc>
                <w:tcPr>
                  <w:tcW w:w="1667"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0.0036</w:t>
                  </w:r>
                </w:p>
              </w:tc>
            </w:tr>
          </w:tbl>
          <w:p>
            <w:pPr>
              <w:pStyle w:val="4"/>
              <w:bidi w:val="0"/>
              <w:rPr>
                <w:color w:val="auto"/>
                <w:highlight w:val="none"/>
              </w:rPr>
            </w:pPr>
            <w:r>
              <w:rPr>
                <w:rFonts w:hint="eastAsia"/>
                <w:color w:val="auto"/>
                <w:highlight w:val="none"/>
              </w:rPr>
              <w:t>4.2.3 废水治理措施分析</w:t>
            </w:r>
          </w:p>
          <w:p>
            <w:pPr>
              <w:pStyle w:val="6"/>
              <w:bidi w:val="0"/>
              <w:rPr>
                <w:rFonts w:hint="eastAsia"/>
                <w:color w:val="auto"/>
                <w:highlight w:val="none"/>
                <w:lang w:val="en-US" w:eastAsia="zh-CN"/>
              </w:rPr>
            </w:pPr>
            <w:r>
              <w:rPr>
                <w:rFonts w:hint="eastAsia"/>
                <w:color w:val="auto"/>
                <w:highlight w:val="none"/>
                <w:lang w:val="en-US" w:eastAsia="zh-CN"/>
              </w:rPr>
              <w:t>生活污水依托现有化粪池收集处理后，委托库尔勒龙润处理有限公司定期拉运至库尔勒市南市区污水处理厂处理，灌溉期满足《城镇污水处理厂污染物排放标准》(GB18918-2002)中一级A标准和《城市污水再生利用绿地灌溉水质》(GB/T25499-2010)标准后，排入杜鹃河四期生态湿地暂存用作周围绿化灌溉；非灌溉期满足《城镇污水处理厂污染物排放标准》(GB18918-2002)中一级A标准和《城市污水再生利用 工业用水水质》(GB/T19923-2005)标准后用作库尔勒市石油石化产业园工业用水。</w:t>
            </w:r>
          </w:p>
          <w:p>
            <w:pPr>
              <w:pStyle w:val="6"/>
              <w:bidi w:val="0"/>
              <w:rPr>
                <w:rFonts w:hint="default"/>
                <w:color w:val="auto"/>
                <w:highlight w:val="none"/>
                <w:vertAlign w:val="baseline"/>
                <w:lang w:val="en-US" w:eastAsia="zh-CN"/>
              </w:rPr>
            </w:pPr>
            <w:r>
              <w:rPr>
                <w:rFonts w:hint="eastAsia"/>
                <w:color w:val="auto"/>
                <w:highlight w:val="none"/>
                <w:lang w:val="en-US" w:eastAsia="zh-CN"/>
              </w:rPr>
              <w:t>污水处理厂采用“AAO+传统深度处理工艺+消毒”工艺，全厂处理规模为10万m</w:t>
            </w:r>
            <w:r>
              <w:rPr>
                <w:rFonts w:hint="eastAsia"/>
                <w:color w:val="auto"/>
                <w:highlight w:val="none"/>
                <w:vertAlign w:val="superscript"/>
                <w:lang w:val="en-US" w:eastAsia="zh-CN"/>
              </w:rPr>
              <w:t>3</w:t>
            </w:r>
            <w:r>
              <w:rPr>
                <w:rFonts w:hint="eastAsia"/>
                <w:color w:val="auto"/>
                <w:highlight w:val="none"/>
                <w:vertAlign w:val="baseline"/>
                <w:lang w:val="en-US" w:eastAsia="zh-CN"/>
              </w:rPr>
              <w:t>/d（一期</w:t>
            </w:r>
            <w:r>
              <w:rPr>
                <w:rFonts w:hint="eastAsia"/>
                <w:color w:val="auto"/>
                <w:highlight w:val="none"/>
                <w:lang w:val="en-US" w:eastAsia="zh-CN"/>
              </w:rPr>
              <w:t>5万m</w:t>
            </w:r>
            <w:r>
              <w:rPr>
                <w:rFonts w:hint="eastAsia"/>
                <w:color w:val="auto"/>
                <w:highlight w:val="none"/>
                <w:vertAlign w:val="superscript"/>
                <w:lang w:val="en-US" w:eastAsia="zh-CN"/>
              </w:rPr>
              <w:t>3</w:t>
            </w:r>
            <w:r>
              <w:rPr>
                <w:rFonts w:hint="eastAsia"/>
                <w:color w:val="auto"/>
                <w:highlight w:val="none"/>
                <w:vertAlign w:val="baseline"/>
                <w:lang w:val="en-US" w:eastAsia="zh-CN"/>
              </w:rPr>
              <w:t>/d，二期</w:t>
            </w:r>
            <w:r>
              <w:rPr>
                <w:rFonts w:hint="eastAsia"/>
                <w:color w:val="auto"/>
                <w:highlight w:val="none"/>
                <w:lang w:val="en-US" w:eastAsia="zh-CN"/>
              </w:rPr>
              <w:t>5万m</w:t>
            </w:r>
            <w:r>
              <w:rPr>
                <w:rFonts w:hint="eastAsia"/>
                <w:color w:val="auto"/>
                <w:highlight w:val="none"/>
                <w:vertAlign w:val="superscript"/>
                <w:lang w:val="en-US" w:eastAsia="zh-CN"/>
              </w:rPr>
              <w:t>3</w:t>
            </w:r>
            <w:r>
              <w:rPr>
                <w:rFonts w:hint="eastAsia"/>
                <w:color w:val="auto"/>
                <w:highlight w:val="none"/>
                <w:vertAlign w:val="baseline"/>
                <w:lang w:val="en-US" w:eastAsia="zh-CN"/>
              </w:rPr>
              <w:t>/d），其中一期工程于2016年8月29日取得《关于&lt;库尔勒市南市区污水处理厂及污水再生利用工程环境影响报告表&gt;的批复》（巴环评价函〔2016〕219号），2019年1月31日完成一期工程验收；二期工程于2021年3月10日取得《关于&lt;库尔勒市南市区污水处理厂二期工程环境影响报告表&gt;的批复》（巴环评价函〔2021〕62号），2021年12月23日完成二期工程验收；2025年12月9日重新申请排污许可证（编号91652801MA77CJFF18001W）。本项目已与处理厂签订处置协议。</w:t>
            </w:r>
          </w:p>
          <w:p>
            <w:pPr>
              <w:pStyle w:val="4"/>
              <w:bidi w:val="0"/>
              <w:rPr>
                <w:color w:val="auto"/>
                <w:highlight w:val="none"/>
              </w:rPr>
            </w:pPr>
            <w:r>
              <w:rPr>
                <w:rFonts w:hint="eastAsia"/>
                <w:color w:val="auto"/>
                <w:highlight w:val="none"/>
              </w:rPr>
              <w:t>4.2.4 废水自行监测计划</w:t>
            </w:r>
          </w:p>
          <w:p>
            <w:pPr>
              <w:pStyle w:val="6"/>
              <w:bidi w:val="0"/>
              <w:rPr>
                <w:rFonts w:hint="default"/>
                <w:color w:val="auto"/>
                <w:highlight w:val="none"/>
                <w:lang w:val="en-US" w:eastAsia="zh-CN"/>
              </w:rPr>
            </w:pPr>
            <w:r>
              <w:rPr>
                <w:rFonts w:hint="eastAsia"/>
                <w:color w:val="auto"/>
                <w:highlight w:val="none"/>
                <w:lang w:val="en-US" w:eastAsia="zh-CN"/>
              </w:rPr>
              <w:t>本项目无生产废水，新增生活污水依托现有化粪池收集处理后，委托库尔勒龙润处理有限公司定期拉运至库尔勒市南市区污水处理厂处理。</w:t>
            </w:r>
            <w:r>
              <w:rPr>
                <w:rFonts w:hint="eastAsia"/>
                <w:color w:val="auto"/>
                <w:highlight w:val="none"/>
              </w:rPr>
              <w:t>根据</w:t>
            </w:r>
            <w:r>
              <w:rPr>
                <w:rFonts w:hint="eastAsia"/>
                <w:color w:val="auto"/>
                <w:highlight w:val="none"/>
                <w:lang w:eastAsia="zh-CN"/>
              </w:rPr>
              <w:t>《</w:t>
            </w:r>
            <w:r>
              <w:rPr>
                <w:rFonts w:hint="eastAsia"/>
                <w:color w:val="auto"/>
                <w:highlight w:val="none"/>
              </w:rPr>
              <w:t>排污单位自行监测技术指南 工业固体废物和危险废物治理</w:t>
            </w:r>
            <w:r>
              <w:rPr>
                <w:rFonts w:hint="eastAsia"/>
                <w:color w:val="auto"/>
                <w:highlight w:val="none"/>
                <w:lang w:eastAsia="zh-CN"/>
              </w:rPr>
              <w:t>》（</w:t>
            </w:r>
            <w:r>
              <w:rPr>
                <w:rFonts w:hint="eastAsia"/>
                <w:color w:val="auto"/>
                <w:highlight w:val="none"/>
              </w:rPr>
              <w:t>HJ1250-2022</w:t>
            </w:r>
            <w:r>
              <w:rPr>
                <w:rFonts w:hint="eastAsia"/>
                <w:color w:val="auto"/>
                <w:highlight w:val="none"/>
                <w:lang w:eastAsia="zh-CN"/>
              </w:rPr>
              <w:t>）</w:t>
            </w:r>
            <w:r>
              <w:rPr>
                <w:rFonts w:hint="eastAsia"/>
                <w:color w:val="auto"/>
                <w:highlight w:val="none"/>
                <w:lang w:val="en-US" w:eastAsia="zh-CN"/>
              </w:rPr>
              <w:t>和《排污许可证申请与核发技术规范 工业炉窑》（HJ1121-2020）</w:t>
            </w:r>
            <w:r>
              <w:rPr>
                <w:rFonts w:hint="eastAsia"/>
                <w:color w:val="auto"/>
                <w:highlight w:val="none"/>
                <w:lang w:eastAsia="zh-CN"/>
              </w:rPr>
              <w:t>，</w:t>
            </w:r>
            <w:r>
              <w:rPr>
                <w:rFonts w:hint="eastAsia"/>
                <w:color w:val="auto"/>
                <w:highlight w:val="none"/>
                <w:lang w:val="en-US" w:eastAsia="zh-CN"/>
              </w:rPr>
              <w:t>无需开展生活污水自行监测。</w:t>
            </w:r>
          </w:p>
          <w:p>
            <w:pPr>
              <w:pStyle w:val="3"/>
              <w:bidi w:val="0"/>
              <w:rPr>
                <w:color w:val="auto"/>
                <w:highlight w:val="none"/>
              </w:rPr>
            </w:pPr>
            <w:r>
              <w:rPr>
                <w:rFonts w:hint="eastAsia"/>
                <w:color w:val="auto"/>
                <w:highlight w:val="none"/>
              </w:rPr>
              <w:t xml:space="preserve">4.3 </w:t>
            </w:r>
            <w:r>
              <w:rPr>
                <w:color w:val="auto"/>
                <w:highlight w:val="none"/>
              </w:rPr>
              <w:t>噪声</w:t>
            </w:r>
            <w:r>
              <w:rPr>
                <w:rFonts w:hint="eastAsia"/>
                <w:color w:val="auto"/>
                <w:highlight w:val="none"/>
              </w:rPr>
              <w:t>影响分析</w:t>
            </w:r>
          </w:p>
          <w:p>
            <w:pPr>
              <w:pStyle w:val="4"/>
              <w:bidi w:val="0"/>
              <w:rPr>
                <w:color w:val="auto"/>
                <w:highlight w:val="none"/>
              </w:rPr>
            </w:pPr>
            <w:r>
              <w:rPr>
                <w:rFonts w:hint="eastAsia"/>
                <w:color w:val="auto"/>
                <w:highlight w:val="none"/>
              </w:rPr>
              <w:t>4.3.1噪声污染源</w:t>
            </w:r>
          </w:p>
          <w:p>
            <w:pPr>
              <w:pStyle w:val="6"/>
              <w:bidi w:val="0"/>
              <w:rPr>
                <w:color w:val="auto"/>
                <w:highlight w:val="none"/>
              </w:rPr>
            </w:pPr>
            <w:r>
              <w:rPr>
                <w:color w:val="auto"/>
                <w:highlight w:val="none"/>
              </w:rPr>
              <w:t>本项目主要噪声源</w:t>
            </w:r>
            <w:r>
              <w:rPr>
                <w:rFonts w:hint="eastAsia"/>
                <w:color w:val="auto"/>
                <w:highlight w:val="none"/>
                <w:lang w:val="en-US" w:eastAsia="zh-CN"/>
              </w:rPr>
              <w:t>为原料仓顶引风机、干燥器罗茨风机和气力输送装置罗茨风机</w:t>
            </w:r>
            <w:r>
              <w:rPr>
                <w:color w:val="auto"/>
                <w:highlight w:val="none"/>
              </w:rPr>
              <w:t>。主要噪声源强见表</w:t>
            </w:r>
            <w:r>
              <w:rPr>
                <w:rFonts w:hint="eastAsia"/>
                <w:color w:val="auto"/>
                <w:highlight w:val="none"/>
              </w:rPr>
              <w:t>4.3-1</w:t>
            </w:r>
            <w:r>
              <w:rPr>
                <w:rFonts w:hint="eastAsia"/>
                <w:color w:val="auto"/>
                <w:highlight w:val="none"/>
                <w:lang w:val="en-US" w:eastAsia="zh-CN"/>
              </w:rPr>
              <w:t>和表4.3-2</w:t>
            </w:r>
            <w:r>
              <w:rPr>
                <w:color w:val="auto"/>
                <w:highlight w:val="none"/>
              </w:rPr>
              <w:t>。</w:t>
            </w:r>
          </w:p>
          <w:p>
            <w:pPr>
              <w:pStyle w:val="36"/>
              <w:bidi w:val="0"/>
              <w:rPr>
                <w:rFonts w:hint="default"/>
                <w:color w:val="auto"/>
                <w:highlight w:val="none"/>
              </w:rPr>
            </w:pPr>
            <w:r>
              <w:rPr>
                <w:rFonts w:hint="default"/>
                <w:color w:val="auto"/>
                <w:highlight w:val="none"/>
                <w:lang w:eastAsia="zh-CN"/>
              </w:rPr>
              <w:t>表</w:t>
            </w:r>
            <w:r>
              <w:rPr>
                <w:rFonts w:hint="eastAsia"/>
                <w:color w:val="auto"/>
                <w:highlight w:val="none"/>
                <w:lang w:val="en-US" w:eastAsia="zh-CN"/>
              </w:rPr>
              <w:t>4.3-1</w:t>
            </w:r>
            <w:r>
              <w:rPr>
                <w:rFonts w:hint="default"/>
                <w:color w:val="auto"/>
                <w:highlight w:val="none"/>
              </w:rPr>
              <w:t xml:space="preserve"> </w:t>
            </w:r>
            <w:r>
              <w:rPr>
                <w:rFonts w:hint="default"/>
                <w:color w:val="auto"/>
                <w:highlight w:val="none"/>
                <w:lang w:val="en-US" w:eastAsia="zh-CN"/>
              </w:rPr>
              <w:t xml:space="preserve"> </w:t>
            </w:r>
            <w:r>
              <w:rPr>
                <w:rFonts w:hint="default"/>
                <w:color w:val="auto"/>
                <w:highlight w:val="none"/>
              </w:rPr>
              <w:t>项目主要噪声源强调查清单（室外声源）</w:t>
            </w:r>
          </w:p>
          <w:tbl>
            <w:tblPr>
              <w:tblStyle w:val="52"/>
              <w:tblW w:w="505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
              <w:gridCol w:w="1968"/>
              <w:gridCol w:w="745"/>
              <w:gridCol w:w="745"/>
              <w:gridCol w:w="749"/>
              <w:gridCol w:w="986"/>
              <w:gridCol w:w="2025"/>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44" w:type="pct"/>
                  <w:vMerge w:val="restart"/>
                  <w:tcBorders>
                    <w:tl2br w:val="nil"/>
                    <w:tr2bl w:val="nil"/>
                  </w:tcBorders>
                  <w:noWrap w:val="0"/>
                  <w:vAlign w:val="center"/>
                </w:tcPr>
                <w:p>
                  <w:pPr>
                    <w:pStyle w:val="57"/>
                    <w:shd w:val="clear" w:color="auto" w:fill="auto"/>
                    <w:bidi w:val="0"/>
                    <w:rPr>
                      <w:rFonts w:hint="default"/>
                      <w:color w:val="auto"/>
                      <w:highlight w:val="none"/>
                    </w:rPr>
                  </w:pPr>
                  <w:r>
                    <w:rPr>
                      <w:rFonts w:hint="default"/>
                      <w:color w:val="auto"/>
                      <w:highlight w:val="none"/>
                    </w:rPr>
                    <w:t>序号</w:t>
                  </w:r>
                </w:p>
              </w:tc>
              <w:tc>
                <w:tcPr>
                  <w:tcW w:w="1160" w:type="pct"/>
                  <w:vMerge w:val="restart"/>
                  <w:tcBorders>
                    <w:tl2br w:val="nil"/>
                    <w:tr2bl w:val="nil"/>
                  </w:tcBorders>
                  <w:noWrap w:val="0"/>
                  <w:vAlign w:val="center"/>
                </w:tcPr>
                <w:p>
                  <w:pPr>
                    <w:pStyle w:val="57"/>
                    <w:shd w:val="clear" w:color="auto" w:fill="auto"/>
                    <w:bidi w:val="0"/>
                    <w:rPr>
                      <w:rFonts w:hint="default"/>
                      <w:color w:val="auto"/>
                      <w:highlight w:val="none"/>
                    </w:rPr>
                  </w:pPr>
                  <w:r>
                    <w:rPr>
                      <w:rFonts w:hint="default"/>
                      <w:color w:val="auto"/>
                      <w:highlight w:val="none"/>
                    </w:rPr>
                    <w:t>设备名称</w:t>
                  </w:r>
                </w:p>
              </w:tc>
              <w:tc>
                <w:tcPr>
                  <w:tcW w:w="1319" w:type="pct"/>
                  <w:gridSpan w:val="3"/>
                  <w:tcBorders>
                    <w:tl2br w:val="nil"/>
                    <w:tr2bl w:val="nil"/>
                  </w:tcBorders>
                  <w:noWrap w:val="0"/>
                  <w:vAlign w:val="center"/>
                </w:tcPr>
                <w:p>
                  <w:pPr>
                    <w:pStyle w:val="57"/>
                    <w:shd w:val="clear" w:color="auto" w:fill="auto"/>
                    <w:bidi w:val="0"/>
                    <w:rPr>
                      <w:rFonts w:hint="default"/>
                      <w:color w:val="auto"/>
                      <w:highlight w:val="none"/>
                    </w:rPr>
                  </w:pPr>
                  <w:r>
                    <w:rPr>
                      <w:rFonts w:hint="default"/>
                      <w:color w:val="auto"/>
                      <w:highlight w:val="none"/>
                    </w:rPr>
                    <w:t>位置坐标</w:t>
                  </w:r>
                </w:p>
              </w:tc>
              <w:tc>
                <w:tcPr>
                  <w:tcW w:w="581" w:type="pct"/>
                  <w:vMerge w:val="restart"/>
                  <w:tcBorders>
                    <w:tl2br w:val="nil"/>
                    <w:tr2bl w:val="nil"/>
                  </w:tcBorders>
                  <w:noWrap w:val="0"/>
                  <w:vAlign w:val="center"/>
                </w:tcPr>
                <w:p>
                  <w:pPr>
                    <w:pStyle w:val="57"/>
                    <w:shd w:val="clear" w:color="auto" w:fill="auto"/>
                    <w:bidi w:val="0"/>
                    <w:rPr>
                      <w:rFonts w:hint="default"/>
                      <w:color w:val="auto"/>
                      <w:highlight w:val="none"/>
                    </w:rPr>
                  </w:pPr>
                  <w:r>
                    <w:rPr>
                      <w:rFonts w:hint="default"/>
                      <w:color w:val="auto"/>
                      <w:highlight w:val="none"/>
                    </w:rPr>
                    <w:t>声压级</w:t>
                  </w:r>
                </w:p>
                <w:p>
                  <w:pPr>
                    <w:pStyle w:val="57"/>
                    <w:shd w:val="clear" w:color="auto" w:fill="auto"/>
                    <w:bidi w:val="0"/>
                    <w:rPr>
                      <w:rFonts w:hint="default"/>
                      <w:color w:val="auto"/>
                      <w:highlight w:val="none"/>
                    </w:rPr>
                  </w:pPr>
                  <w:r>
                    <w:rPr>
                      <w:rFonts w:hint="default"/>
                      <w:color w:val="auto"/>
                      <w:highlight w:val="none"/>
                    </w:rPr>
                    <w:t>（dB（A））</w:t>
                  </w:r>
                </w:p>
              </w:tc>
              <w:tc>
                <w:tcPr>
                  <w:tcW w:w="1193" w:type="pct"/>
                  <w:vMerge w:val="restart"/>
                  <w:tcBorders>
                    <w:tl2br w:val="nil"/>
                    <w:tr2bl w:val="nil"/>
                  </w:tcBorders>
                  <w:noWrap w:val="0"/>
                  <w:vAlign w:val="center"/>
                </w:tcPr>
                <w:p>
                  <w:pPr>
                    <w:pStyle w:val="57"/>
                    <w:shd w:val="clear" w:color="auto" w:fill="auto"/>
                    <w:bidi w:val="0"/>
                    <w:rPr>
                      <w:rFonts w:hint="default"/>
                      <w:color w:val="auto"/>
                      <w:highlight w:val="none"/>
                    </w:rPr>
                  </w:pPr>
                  <w:r>
                    <w:rPr>
                      <w:rFonts w:hint="default"/>
                      <w:color w:val="auto"/>
                      <w:highlight w:val="none"/>
                    </w:rPr>
                    <w:t>声源控制措施</w:t>
                  </w:r>
                </w:p>
              </w:tc>
              <w:tc>
                <w:tcPr>
                  <w:tcW w:w="501" w:type="pct"/>
                  <w:vMerge w:val="restart"/>
                  <w:tcBorders>
                    <w:tl2br w:val="nil"/>
                    <w:tr2bl w:val="nil"/>
                  </w:tcBorders>
                  <w:noWrap w:val="0"/>
                  <w:vAlign w:val="center"/>
                </w:tcPr>
                <w:p>
                  <w:pPr>
                    <w:pStyle w:val="57"/>
                    <w:shd w:val="clear" w:color="auto" w:fill="auto"/>
                    <w:bidi w:val="0"/>
                    <w:rPr>
                      <w:rFonts w:hint="default"/>
                      <w:color w:val="auto"/>
                      <w:highlight w:val="none"/>
                    </w:rPr>
                  </w:pPr>
                  <w:r>
                    <w:rPr>
                      <w:rFonts w:hint="default"/>
                      <w:color w:val="auto"/>
                      <w:highlight w:val="none"/>
                    </w:rPr>
                    <w:t>运行时段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44" w:type="pct"/>
                  <w:vMerge w:val="continue"/>
                  <w:tcBorders>
                    <w:tl2br w:val="nil"/>
                    <w:tr2bl w:val="nil"/>
                  </w:tcBorders>
                  <w:noWrap w:val="0"/>
                  <w:vAlign w:val="center"/>
                </w:tcPr>
                <w:p>
                  <w:pPr>
                    <w:pStyle w:val="57"/>
                    <w:shd w:val="clear" w:color="auto" w:fill="auto"/>
                    <w:bidi w:val="0"/>
                    <w:rPr>
                      <w:rFonts w:hint="default"/>
                      <w:color w:val="auto"/>
                      <w:highlight w:val="none"/>
                    </w:rPr>
                  </w:pPr>
                </w:p>
              </w:tc>
              <w:tc>
                <w:tcPr>
                  <w:tcW w:w="1160" w:type="pct"/>
                  <w:vMerge w:val="continue"/>
                  <w:tcBorders>
                    <w:tl2br w:val="nil"/>
                    <w:tr2bl w:val="nil"/>
                  </w:tcBorders>
                  <w:noWrap w:val="0"/>
                  <w:vAlign w:val="center"/>
                </w:tcPr>
                <w:p>
                  <w:pPr>
                    <w:pStyle w:val="57"/>
                    <w:shd w:val="clear" w:color="auto" w:fill="auto"/>
                    <w:bidi w:val="0"/>
                    <w:rPr>
                      <w:rFonts w:hint="default"/>
                      <w:color w:val="auto"/>
                      <w:highlight w:val="none"/>
                    </w:rPr>
                  </w:pPr>
                </w:p>
              </w:tc>
              <w:tc>
                <w:tcPr>
                  <w:tcW w:w="439" w:type="pct"/>
                  <w:tcBorders>
                    <w:tl2br w:val="nil"/>
                    <w:tr2bl w:val="nil"/>
                  </w:tcBorders>
                  <w:noWrap w:val="0"/>
                  <w:vAlign w:val="center"/>
                </w:tcPr>
                <w:p>
                  <w:pPr>
                    <w:pStyle w:val="57"/>
                    <w:shd w:val="clear" w:color="auto" w:fill="auto"/>
                    <w:bidi w:val="0"/>
                    <w:rPr>
                      <w:rFonts w:hint="default"/>
                      <w:color w:val="auto"/>
                      <w:highlight w:val="none"/>
                    </w:rPr>
                  </w:pPr>
                  <w:r>
                    <w:rPr>
                      <w:rFonts w:hint="default"/>
                      <w:color w:val="auto"/>
                      <w:highlight w:val="none"/>
                    </w:rPr>
                    <w:t>X</w:t>
                  </w:r>
                </w:p>
              </w:tc>
              <w:tc>
                <w:tcPr>
                  <w:tcW w:w="439" w:type="pct"/>
                  <w:tcBorders>
                    <w:tl2br w:val="nil"/>
                    <w:tr2bl w:val="nil"/>
                  </w:tcBorders>
                  <w:noWrap w:val="0"/>
                  <w:vAlign w:val="center"/>
                </w:tcPr>
                <w:p>
                  <w:pPr>
                    <w:pStyle w:val="57"/>
                    <w:shd w:val="clear" w:color="auto" w:fill="auto"/>
                    <w:bidi w:val="0"/>
                    <w:rPr>
                      <w:rFonts w:hint="default"/>
                      <w:color w:val="auto"/>
                      <w:highlight w:val="none"/>
                    </w:rPr>
                  </w:pPr>
                  <w:r>
                    <w:rPr>
                      <w:rFonts w:hint="default"/>
                      <w:color w:val="auto"/>
                      <w:highlight w:val="none"/>
                    </w:rPr>
                    <w:t>Y</w:t>
                  </w:r>
                </w:p>
              </w:tc>
              <w:tc>
                <w:tcPr>
                  <w:tcW w:w="441" w:type="pct"/>
                  <w:tcBorders>
                    <w:tl2br w:val="nil"/>
                    <w:tr2bl w:val="nil"/>
                  </w:tcBorders>
                  <w:noWrap w:val="0"/>
                  <w:vAlign w:val="center"/>
                </w:tcPr>
                <w:p>
                  <w:pPr>
                    <w:pStyle w:val="57"/>
                    <w:shd w:val="clear" w:color="auto" w:fill="auto"/>
                    <w:bidi w:val="0"/>
                    <w:rPr>
                      <w:rFonts w:hint="default"/>
                      <w:color w:val="auto"/>
                      <w:highlight w:val="none"/>
                    </w:rPr>
                  </w:pPr>
                  <w:r>
                    <w:rPr>
                      <w:rFonts w:hint="default"/>
                      <w:color w:val="auto"/>
                      <w:highlight w:val="none"/>
                    </w:rPr>
                    <w:t>Z</w:t>
                  </w:r>
                </w:p>
              </w:tc>
              <w:tc>
                <w:tcPr>
                  <w:tcW w:w="581" w:type="pct"/>
                  <w:vMerge w:val="continue"/>
                  <w:tcBorders>
                    <w:tl2br w:val="nil"/>
                    <w:tr2bl w:val="nil"/>
                  </w:tcBorders>
                  <w:noWrap w:val="0"/>
                  <w:vAlign w:val="center"/>
                </w:tcPr>
                <w:p>
                  <w:pPr>
                    <w:pStyle w:val="57"/>
                    <w:shd w:val="clear" w:color="auto" w:fill="auto"/>
                    <w:bidi w:val="0"/>
                    <w:rPr>
                      <w:rFonts w:hint="default"/>
                      <w:color w:val="auto"/>
                      <w:highlight w:val="none"/>
                    </w:rPr>
                  </w:pPr>
                </w:p>
              </w:tc>
              <w:tc>
                <w:tcPr>
                  <w:tcW w:w="1193" w:type="pct"/>
                  <w:vMerge w:val="continue"/>
                  <w:tcBorders>
                    <w:tl2br w:val="nil"/>
                    <w:tr2bl w:val="nil"/>
                  </w:tcBorders>
                  <w:noWrap w:val="0"/>
                  <w:vAlign w:val="center"/>
                </w:tcPr>
                <w:p>
                  <w:pPr>
                    <w:pStyle w:val="57"/>
                    <w:shd w:val="clear" w:color="auto" w:fill="auto"/>
                    <w:bidi w:val="0"/>
                    <w:rPr>
                      <w:rFonts w:hint="default"/>
                      <w:color w:val="auto"/>
                      <w:highlight w:val="none"/>
                    </w:rPr>
                  </w:pPr>
                </w:p>
              </w:tc>
              <w:tc>
                <w:tcPr>
                  <w:tcW w:w="501" w:type="pct"/>
                  <w:vMerge w:val="continue"/>
                  <w:tcBorders>
                    <w:tl2br w:val="nil"/>
                    <w:tr2bl w:val="nil"/>
                  </w:tcBorders>
                  <w:noWrap w:val="0"/>
                  <w:vAlign w:val="center"/>
                </w:tcPr>
                <w:p>
                  <w:pPr>
                    <w:pStyle w:val="57"/>
                    <w:shd w:val="clear" w:color="auto" w:fill="auto"/>
                    <w:bidi w:val="0"/>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44" w:type="pct"/>
                  <w:tcBorders>
                    <w:tl2br w:val="nil"/>
                    <w:tr2bl w:val="nil"/>
                  </w:tcBorders>
                  <w:noWrap w:val="0"/>
                  <w:vAlign w:val="center"/>
                </w:tcPr>
                <w:p>
                  <w:pPr>
                    <w:pStyle w:val="57"/>
                    <w:shd w:val="clear" w:color="auto" w:fill="auto"/>
                    <w:bidi w:val="0"/>
                    <w:rPr>
                      <w:rFonts w:hint="default"/>
                      <w:color w:val="auto"/>
                      <w:highlight w:val="none"/>
                    </w:rPr>
                  </w:pPr>
                  <w:r>
                    <w:rPr>
                      <w:rFonts w:hint="default"/>
                      <w:color w:val="auto"/>
                      <w:highlight w:val="none"/>
                    </w:rPr>
                    <w:t>1</w:t>
                  </w:r>
                </w:p>
              </w:tc>
              <w:tc>
                <w:tcPr>
                  <w:tcW w:w="1160" w:type="pct"/>
                  <w:tcBorders>
                    <w:tl2br w:val="nil"/>
                    <w:tr2bl w:val="nil"/>
                  </w:tcBorders>
                  <w:noWrap w:val="0"/>
                  <w:vAlign w:val="center"/>
                </w:tcPr>
                <w:p>
                  <w:pPr>
                    <w:pStyle w:val="57"/>
                    <w:shd w:val="clear" w:color="auto" w:fill="auto"/>
                    <w:bidi w:val="0"/>
                    <w:rPr>
                      <w:rFonts w:hint="default"/>
                      <w:color w:val="auto"/>
                      <w:highlight w:val="none"/>
                      <w:lang w:val="en-US" w:eastAsia="zh-CN"/>
                    </w:rPr>
                  </w:pPr>
                  <w:r>
                    <w:rPr>
                      <w:rFonts w:hint="default"/>
                      <w:color w:val="auto"/>
                      <w:highlight w:val="none"/>
                      <w:lang w:val="en-US" w:eastAsia="zh-CN"/>
                    </w:rPr>
                    <w:t>原料仓顶引风机</w:t>
                  </w:r>
                </w:p>
              </w:tc>
              <w:tc>
                <w:tcPr>
                  <w:tcW w:w="439" w:type="pct"/>
                  <w:tcBorders>
                    <w:tl2br w:val="nil"/>
                    <w:tr2bl w:val="nil"/>
                  </w:tcBorders>
                  <w:noWrap w:val="0"/>
                  <w:vAlign w:val="center"/>
                </w:tcPr>
                <w:p>
                  <w:pPr>
                    <w:pStyle w:val="57"/>
                    <w:shd w:val="clear" w:color="auto" w:fill="auto"/>
                    <w:bidi w:val="0"/>
                    <w:rPr>
                      <w:rFonts w:hint="default"/>
                      <w:color w:val="auto"/>
                      <w:highlight w:val="none"/>
                      <w:lang w:val="en-US" w:eastAsia="zh-CN"/>
                    </w:rPr>
                  </w:pPr>
                  <w:r>
                    <w:rPr>
                      <w:rFonts w:hint="eastAsia"/>
                      <w:color w:val="auto"/>
                      <w:highlight w:val="none"/>
                      <w:lang w:val="en-US" w:eastAsia="zh-CN"/>
                    </w:rPr>
                    <w:t>91</w:t>
                  </w:r>
                </w:p>
              </w:tc>
              <w:tc>
                <w:tcPr>
                  <w:tcW w:w="439" w:type="pct"/>
                  <w:tcBorders>
                    <w:tl2br w:val="nil"/>
                    <w:tr2bl w:val="nil"/>
                  </w:tcBorders>
                  <w:noWrap w:val="0"/>
                  <w:vAlign w:val="center"/>
                </w:tcPr>
                <w:p>
                  <w:pPr>
                    <w:pStyle w:val="57"/>
                    <w:shd w:val="clear" w:color="auto" w:fill="auto"/>
                    <w:bidi w:val="0"/>
                    <w:rPr>
                      <w:rFonts w:hint="default"/>
                      <w:color w:val="auto"/>
                      <w:highlight w:val="none"/>
                      <w:lang w:val="en-US" w:eastAsia="zh-CN"/>
                    </w:rPr>
                  </w:pPr>
                  <w:r>
                    <w:rPr>
                      <w:rFonts w:hint="eastAsia"/>
                      <w:color w:val="auto"/>
                      <w:highlight w:val="none"/>
                      <w:lang w:val="en-US" w:eastAsia="zh-CN"/>
                    </w:rPr>
                    <w:t>195</w:t>
                  </w:r>
                </w:p>
              </w:tc>
              <w:tc>
                <w:tcPr>
                  <w:tcW w:w="441" w:type="pct"/>
                  <w:tcBorders>
                    <w:tl2br w:val="nil"/>
                    <w:tr2bl w:val="nil"/>
                  </w:tcBorders>
                  <w:noWrap w:val="0"/>
                  <w:vAlign w:val="center"/>
                </w:tcPr>
                <w:p>
                  <w:pPr>
                    <w:pStyle w:val="57"/>
                    <w:shd w:val="clear" w:color="auto" w:fill="auto"/>
                    <w:bidi w:val="0"/>
                    <w:rPr>
                      <w:rFonts w:hint="default"/>
                      <w:color w:val="auto"/>
                      <w:highlight w:val="none"/>
                      <w:lang w:val="en-US" w:eastAsia="zh-CN"/>
                    </w:rPr>
                  </w:pPr>
                  <w:r>
                    <w:rPr>
                      <w:rFonts w:hint="eastAsia"/>
                      <w:color w:val="auto"/>
                      <w:highlight w:val="none"/>
                      <w:lang w:val="en-US" w:eastAsia="zh-CN"/>
                    </w:rPr>
                    <w:t>1</w:t>
                  </w:r>
                </w:p>
              </w:tc>
              <w:tc>
                <w:tcPr>
                  <w:tcW w:w="581" w:type="pct"/>
                  <w:tcBorders>
                    <w:tl2br w:val="nil"/>
                    <w:tr2bl w:val="nil"/>
                  </w:tcBorders>
                  <w:noWrap w:val="0"/>
                  <w:vAlign w:val="center"/>
                </w:tcPr>
                <w:p>
                  <w:pPr>
                    <w:pStyle w:val="57"/>
                    <w:shd w:val="clear" w:color="auto" w:fill="auto"/>
                    <w:bidi w:val="0"/>
                    <w:rPr>
                      <w:rFonts w:hint="default" w:eastAsia="宋体"/>
                      <w:color w:val="auto"/>
                      <w:highlight w:val="none"/>
                      <w:lang w:val="en-US" w:eastAsia="zh-CN"/>
                    </w:rPr>
                  </w:pPr>
                  <w:r>
                    <w:rPr>
                      <w:rFonts w:hint="default"/>
                      <w:color w:val="auto"/>
                      <w:highlight w:val="none"/>
                      <w:lang w:val="en-US" w:eastAsia="zh-CN"/>
                    </w:rPr>
                    <w:t>80</w:t>
                  </w:r>
                </w:p>
              </w:tc>
              <w:tc>
                <w:tcPr>
                  <w:tcW w:w="1193" w:type="pct"/>
                  <w:tcBorders>
                    <w:tl2br w:val="nil"/>
                    <w:tr2bl w:val="nil"/>
                  </w:tcBorders>
                  <w:noWrap w:val="0"/>
                  <w:vAlign w:val="center"/>
                </w:tcPr>
                <w:p>
                  <w:pPr>
                    <w:pStyle w:val="57"/>
                    <w:shd w:val="clear" w:color="auto" w:fill="auto"/>
                    <w:bidi w:val="0"/>
                    <w:rPr>
                      <w:rFonts w:hint="default"/>
                      <w:color w:val="auto"/>
                      <w:highlight w:val="none"/>
                    </w:rPr>
                  </w:pPr>
                  <w:r>
                    <w:rPr>
                      <w:rFonts w:hint="eastAsia"/>
                      <w:color w:val="auto"/>
                      <w:highlight w:val="none"/>
                      <w:lang w:val="en-US" w:eastAsia="zh-CN"/>
                    </w:rPr>
                    <w:t>采用低噪声设备，</w:t>
                  </w:r>
                  <w:r>
                    <w:rPr>
                      <w:rFonts w:hint="default"/>
                      <w:color w:val="auto"/>
                      <w:highlight w:val="none"/>
                      <w:lang w:val="en-US" w:eastAsia="en-US"/>
                    </w:rPr>
                    <w:t>基础减</w:t>
                  </w:r>
                  <w:r>
                    <w:rPr>
                      <w:rFonts w:hint="default"/>
                      <w:color w:val="auto"/>
                      <w:highlight w:val="none"/>
                      <w:lang w:eastAsia="zh-CN"/>
                    </w:rPr>
                    <w:t>振</w:t>
                  </w:r>
                </w:p>
              </w:tc>
              <w:tc>
                <w:tcPr>
                  <w:tcW w:w="501" w:type="pct"/>
                  <w:tcBorders>
                    <w:tl2br w:val="nil"/>
                    <w:tr2bl w:val="nil"/>
                  </w:tcBorders>
                  <w:noWrap w:val="0"/>
                  <w:vAlign w:val="center"/>
                </w:tcPr>
                <w:p>
                  <w:pPr>
                    <w:pStyle w:val="57"/>
                    <w:shd w:val="clear" w:color="auto" w:fill="auto"/>
                    <w:bidi w:val="0"/>
                    <w:rPr>
                      <w:rFonts w:hint="eastAsia"/>
                      <w:color w:val="auto"/>
                      <w:highlight w:val="none"/>
                      <w:lang w:eastAsia="zh-CN"/>
                    </w:rPr>
                  </w:pPr>
                  <w:r>
                    <w:rPr>
                      <w:rFonts w:hint="eastAsia"/>
                      <w:color w:val="auto"/>
                      <w:highlight w:val="none"/>
                      <w:lang w:val="en-US" w:eastAsia="zh-CN"/>
                    </w:rPr>
                    <w:t>连续</w:t>
                  </w:r>
                </w:p>
              </w:tc>
            </w:tr>
          </w:tbl>
          <w:p>
            <w:pPr>
              <w:pStyle w:val="36"/>
              <w:bidi w:val="0"/>
              <w:rPr>
                <w:rFonts w:hint="default"/>
                <w:color w:val="auto"/>
                <w:highlight w:val="none"/>
              </w:rPr>
            </w:pPr>
            <w:r>
              <w:rPr>
                <w:rFonts w:hint="default"/>
                <w:color w:val="auto"/>
                <w:highlight w:val="none"/>
              </w:rPr>
              <w:t>表</w:t>
            </w:r>
            <w:r>
              <w:rPr>
                <w:rFonts w:hint="eastAsia"/>
                <w:color w:val="auto"/>
                <w:highlight w:val="none"/>
                <w:lang w:val="en-US" w:eastAsia="zh-CN"/>
              </w:rPr>
              <w:t>4.3-2</w:t>
            </w:r>
            <w:r>
              <w:rPr>
                <w:rFonts w:hint="default"/>
                <w:color w:val="auto"/>
                <w:highlight w:val="none"/>
              </w:rPr>
              <w:t xml:space="preserve"> </w:t>
            </w:r>
            <w:r>
              <w:rPr>
                <w:rFonts w:hint="eastAsia"/>
                <w:color w:val="auto"/>
                <w:highlight w:val="none"/>
                <w:lang w:val="en-US" w:eastAsia="zh-CN"/>
              </w:rPr>
              <w:t xml:space="preserve"> </w:t>
            </w:r>
            <w:r>
              <w:rPr>
                <w:rFonts w:hint="default"/>
                <w:color w:val="auto"/>
                <w:highlight w:val="none"/>
              </w:rPr>
              <w:t>项目主要噪声源强调查清单（室内声源）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gridCol w:w="663"/>
              <w:gridCol w:w="700"/>
              <w:gridCol w:w="950"/>
              <w:gridCol w:w="550"/>
              <w:gridCol w:w="625"/>
              <w:gridCol w:w="437"/>
              <w:gridCol w:w="713"/>
              <w:gridCol w:w="700"/>
              <w:gridCol w:w="525"/>
              <w:gridCol w:w="800"/>
              <w:gridCol w:w="662"/>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93" w:type="pct"/>
                  <w:vMerge w:val="restart"/>
                  <w:noWrap w:val="0"/>
                  <w:vAlign w:val="center"/>
                </w:tcPr>
                <w:p>
                  <w:pPr>
                    <w:pStyle w:val="57"/>
                    <w:bidi w:val="0"/>
                    <w:rPr>
                      <w:rFonts w:hint="default"/>
                      <w:color w:val="auto"/>
                      <w:highlight w:val="none"/>
                      <w:lang w:val="en-US" w:eastAsia="zh-CN"/>
                    </w:rPr>
                  </w:pPr>
                  <w:r>
                    <w:rPr>
                      <w:rFonts w:hint="default"/>
                      <w:color w:val="auto"/>
                      <w:highlight w:val="none"/>
                      <w:lang w:val="en-US" w:eastAsia="zh-CN"/>
                    </w:rPr>
                    <w:t>序号</w:t>
                  </w:r>
                </w:p>
              </w:tc>
              <w:tc>
                <w:tcPr>
                  <w:tcW w:w="395" w:type="pct"/>
                  <w:vMerge w:val="restart"/>
                  <w:noWrap w:val="0"/>
                  <w:vAlign w:val="center"/>
                </w:tcPr>
                <w:p>
                  <w:pPr>
                    <w:pStyle w:val="57"/>
                    <w:bidi w:val="0"/>
                    <w:rPr>
                      <w:rFonts w:hint="default"/>
                      <w:color w:val="auto"/>
                      <w:highlight w:val="none"/>
                      <w:lang w:val="en-US" w:eastAsia="zh-CN"/>
                    </w:rPr>
                  </w:pPr>
                  <w:r>
                    <w:rPr>
                      <w:rFonts w:hint="default"/>
                      <w:color w:val="auto"/>
                      <w:highlight w:val="none"/>
                      <w:lang w:val="en-US" w:eastAsia="zh-CN"/>
                    </w:rPr>
                    <w:t>声源名称</w:t>
                  </w:r>
                </w:p>
              </w:tc>
              <w:tc>
                <w:tcPr>
                  <w:tcW w:w="417" w:type="pct"/>
                  <w:vMerge w:val="restart"/>
                  <w:noWrap w:val="0"/>
                  <w:vAlign w:val="center"/>
                </w:tcPr>
                <w:p>
                  <w:pPr>
                    <w:pStyle w:val="57"/>
                    <w:bidi w:val="0"/>
                    <w:rPr>
                      <w:rFonts w:hint="eastAsia" w:eastAsia="宋体"/>
                      <w:color w:val="auto"/>
                      <w:highlight w:val="none"/>
                      <w:lang w:val="en-US" w:eastAsia="zh-CN"/>
                    </w:rPr>
                  </w:pPr>
                  <w:r>
                    <w:rPr>
                      <w:rFonts w:hint="default"/>
                      <w:color w:val="auto"/>
                      <w:highlight w:val="none"/>
                      <w:lang w:val="en-US" w:eastAsia="en-US"/>
                    </w:rPr>
                    <w:t>声功率级/dB</w:t>
                  </w:r>
                  <w:r>
                    <w:rPr>
                      <w:rFonts w:hint="eastAsia"/>
                      <w:color w:val="auto"/>
                      <w:highlight w:val="none"/>
                      <w:lang w:val="en-US" w:eastAsia="zh-CN"/>
                    </w:rPr>
                    <w:t>(</w:t>
                  </w:r>
                  <w:r>
                    <w:rPr>
                      <w:rFonts w:hint="default"/>
                      <w:color w:val="auto"/>
                      <w:highlight w:val="none"/>
                      <w:lang w:val="en-US" w:eastAsia="en-US"/>
                    </w:rPr>
                    <w:t>A</w:t>
                  </w:r>
                  <w:r>
                    <w:rPr>
                      <w:rFonts w:hint="eastAsia"/>
                      <w:color w:val="auto"/>
                      <w:highlight w:val="none"/>
                      <w:lang w:val="en-US" w:eastAsia="zh-CN"/>
                    </w:rPr>
                    <w:t>)</w:t>
                  </w:r>
                </w:p>
              </w:tc>
              <w:tc>
                <w:tcPr>
                  <w:tcW w:w="566" w:type="pct"/>
                  <w:vMerge w:val="restart"/>
                  <w:noWrap w:val="0"/>
                  <w:vAlign w:val="center"/>
                </w:tcPr>
                <w:p>
                  <w:pPr>
                    <w:pStyle w:val="57"/>
                    <w:bidi w:val="0"/>
                    <w:rPr>
                      <w:rFonts w:hint="default"/>
                      <w:color w:val="auto"/>
                      <w:highlight w:val="none"/>
                    </w:rPr>
                  </w:pPr>
                  <w:r>
                    <w:rPr>
                      <w:rFonts w:hint="default"/>
                      <w:color w:val="auto"/>
                      <w:highlight w:val="none"/>
                      <w:lang w:val="en-US" w:eastAsia="en-US"/>
                    </w:rPr>
                    <w:t>声源控制措施</w:t>
                  </w:r>
                </w:p>
              </w:tc>
              <w:tc>
                <w:tcPr>
                  <w:tcW w:w="960" w:type="pct"/>
                  <w:gridSpan w:val="3"/>
                  <w:noWrap w:val="0"/>
                  <w:vAlign w:val="center"/>
                </w:tcPr>
                <w:p>
                  <w:pPr>
                    <w:pStyle w:val="57"/>
                    <w:bidi w:val="0"/>
                    <w:rPr>
                      <w:rFonts w:hint="default"/>
                      <w:color w:val="auto"/>
                      <w:highlight w:val="none"/>
                    </w:rPr>
                  </w:pPr>
                  <w:r>
                    <w:rPr>
                      <w:rFonts w:hint="default"/>
                      <w:color w:val="auto"/>
                      <w:highlight w:val="none"/>
                      <w:lang w:val="en-US" w:eastAsia="en-US"/>
                    </w:rPr>
                    <w:t>空间相对位置</w:t>
                  </w:r>
                </w:p>
              </w:tc>
              <w:tc>
                <w:tcPr>
                  <w:tcW w:w="425" w:type="pct"/>
                  <w:vMerge w:val="restart"/>
                  <w:noWrap w:val="0"/>
                  <w:vAlign w:val="center"/>
                </w:tcPr>
                <w:p>
                  <w:pPr>
                    <w:pStyle w:val="57"/>
                    <w:bidi w:val="0"/>
                    <w:rPr>
                      <w:rFonts w:hint="default"/>
                      <w:color w:val="auto"/>
                      <w:highlight w:val="none"/>
                    </w:rPr>
                  </w:pPr>
                  <w:r>
                    <w:rPr>
                      <w:rFonts w:hint="default"/>
                      <w:color w:val="auto"/>
                      <w:highlight w:val="none"/>
                      <w:lang w:val="en-US" w:eastAsia="en-US"/>
                    </w:rPr>
                    <w:t>距室内边界距离/m</w:t>
                  </w:r>
                </w:p>
              </w:tc>
              <w:tc>
                <w:tcPr>
                  <w:tcW w:w="417" w:type="pct"/>
                  <w:vMerge w:val="restart"/>
                  <w:noWrap w:val="0"/>
                  <w:vAlign w:val="center"/>
                </w:tcPr>
                <w:p>
                  <w:pPr>
                    <w:pStyle w:val="57"/>
                    <w:bidi w:val="0"/>
                    <w:rPr>
                      <w:rFonts w:hint="default"/>
                      <w:color w:val="auto"/>
                      <w:highlight w:val="none"/>
                    </w:rPr>
                  </w:pPr>
                  <w:r>
                    <w:rPr>
                      <w:rFonts w:hint="default"/>
                      <w:color w:val="auto"/>
                      <w:highlight w:val="none"/>
                      <w:lang w:val="en-US" w:eastAsia="en-US"/>
                    </w:rPr>
                    <w:t>室内边界声级/dB</w:t>
                  </w:r>
                  <w:r>
                    <w:rPr>
                      <w:rFonts w:hint="eastAsia"/>
                      <w:color w:val="auto"/>
                      <w:highlight w:val="none"/>
                      <w:lang w:val="en-US" w:eastAsia="zh-CN"/>
                    </w:rPr>
                    <w:t>(</w:t>
                  </w:r>
                  <w:r>
                    <w:rPr>
                      <w:rFonts w:hint="default"/>
                      <w:color w:val="auto"/>
                      <w:highlight w:val="none"/>
                      <w:lang w:val="en-US" w:eastAsia="en-US"/>
                    </w:rPr>
                    <w:t>A</w:t>
                  </w:r>
                  <w:r>
                    <w:rPr>
                      <w:rFonts w:hint="eastAsia"/>
                      <w:color w:val="auto"/>
                      <w:highlight w:val="none"/>
                      <w:lang w:val="en-US" w:eastAsia="zh-CN"/>
                    </w:rPr>
                    <w:t>)</w:t>
                  </w:r>
                </w:p>
              </w:tc>
              <w:tc>
                <w:tcPr>
                  <w:tcW w:w="312" w:type="pct"/>
                  <w:vMerge w:val="restart"/>
                  <w:noWrap w:val="0"/>
                  <w:vAlign w:val="center"/>
                </w:tcPr>
                <w:p>
                  <w:pPr>
                    <w:pStyle w:val="57"/>
                    <w:bidi w:val="0"/>
                    <w:rPr>
                      <w:rFonts w:hint="default"/>
                      <w:color w:val="auto"/>
                      <w:highlight w:val="none"/>
                    </w:rPr>
                  </w:pPr>
                  <w:r>
                    <w:rPr>
                      <w:rFonts w:hint="default"/>
                      <w:color w:val="auto"/>
                      <w:highlight w:val="none"/>
                      <w:lang w:val="en-US" w:eastAsia="en-US"/>
                    </w:rPr>
                    <w:t>运行时段</w:t>
                  </w:r>
                </w:p>
              </w:tc>
              <w:tc>
                <w:tcPr>
                  <w:tcW w:w="476" w:type="pct"/>
                  <w:vMerge w:val="restart"/>
                  <w:noWrap w:val="0"/>
                  <w:vAlign w:val="center"/>
                </w:tcPr>
                <w:p>
                  <w:pPr>
                    <w:pStyle w:val="57"/>
                    <w:bidi w:val="0"/>
                    <w:rPr>
                      <w:rFonts w:hint="default"/>
                      <w:color w:val="auto"/>
                      <w:highlight w:val="none"/>
                    </w:rPr>
                  </w:pPr>
                  <w:r>
                    <w:rPr>
                      <w:rFonts w:hint="default"/>
                      <w:color w:val="auto"/>
                      <w:highlight w:val="none"/>
                      <w:lang w:val="en-US" w:eastAsia="en-US"/>
                    </w:rPr>
                    <w:t>建筑物插入损失/dB</w:t>
                  </w:r>
                  <w:r>
                    <w:rPr>
                      <w:rFonts w:hint="eastAsia"/>
                      <w:color w:val="auto"/>
                      <w:highlight w:val="none"/>
                      <w:lang w:val="en-US" w:eastAsia="zh-CN"/>
                    </w:rPr>
                    <w:t>(</w:t>
                  </w:r>
                  <w:r>
                    <w:rPr>
                      <w:rFonts w:hint="default"/>
                      <w:color w:val="auto"/>
                      <w:highlight w:val="none"/>
                      <w:lang w:val="en-US" w:eastAsia="en-US"/>
                    </w:rPr>
                    <w:t>A</w:t>
                  </w:r>
                  <w:r>
                    <w:rPr>
                      <w:rFonts w:hint="eastAsia"/>
                      <w:color w:val="auto"/>
                      <w:highlight w:val="none"/>
                      <w:lang w:val="en-US" w:eastAsia="zh-CN"/>
                    </w:rPr>
                    <w:t>)</w:t>
                  </w:r>
                </w:p>
              </w:tc>
              <w:tc>
                <w:tcPr>
                  <w:tcW w:w="835" w:type="pct"/>
                  <w:gridSpan w:val="2"/>
                  <w:noWrap w:val="0"/>
                  <w:vAlign w:val="center"/>
                </w:tcPr>
                <w:p>
                  <w:pPr>
                    <w:pStyle w:val="57"/>
                    <w:bidi w:val="0"/>
                    <w:rPr>
                      <w:rFonts w:hint="default"/>
                      <w:color w:val="auto"/>
                      <w:highlight w:val="none"/>
                    </w:rPr>
                  </w:pPr>
                  <w:r>
                    <w:rPr>
                      <w:rFonts w:hint="default"/>
                      <w:color w:val="auto"/>
                      <w:highlight w:val="none"/>
                      <w:lang w:val="en-US" w:eastAsia="en-US"/>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3" w:type="pct"/>
                  <w:vMerge w:val="continue"/>
                  <w:noWrap w:val="0"/>
                  <w:vAlign w:val="center"/>
                </w:tcPr>
                <w:p>
                  <w:pPr>
                    <w:pStyle w:val="57"/>
                    <w:bidi w:val="0"/>
                    <w:rPr>
                      <w:rFonts w:hint="default"/>
                      <w:color w:val="auto"/>
                      <w:highlight w:val="none"/>
                      <w:lang w:val="en-US" w:eastAsia="zh-CN"/>
                    </w:rPr>
                  </w:pPr>
                </w:p>
              </w:tc>
              <w:tc>
                <w:tcPr>
                  <w:tcW w:w="395" w:type="pct"/>
                  <w:vMerge w:val="continue"/>
                  <w:noWrap w:val="0"/>
                  <w:vAlign w:val="center"/>
                </w:tcPr>
                <w:p>
                  <w:pPr>
                    <w:pStyle w:val="57"/>
                    <w:bidi w:val="0"/>
                    <w:rPr>
                      <w:rFonts w:hint="default"/>
                      <w:color w:val="auto"/>
                      <w:highlight w:val="none"/>
                      <w:lang w:val="en-US" w:eastAsia="zh-CN"/>
                    </w:rPr>
                  </w:pPr>
                </w:p>
              </w:tc>
              <w:tc>
                <w:tcPr>
                  <w:tcW w:w="417" w:type="pct"/>
                  <w:vMerge w:val="continue"/>
                  <w:noWrap w:val="0"/>
                  <w:vAlign w:val="center"/>
                </w:tcPr>
                <w:p>
                  <w:pPr>
                    <w:pStyle w:val="57"/>
                    <w:bidi w:val="0"/>
                    <w:rPr>
                      <w:rFonts w:hint="default"/>
                      <w:color w:val="auto"/>
                      <w:highlight w:val="none"/>
                      <w:lang w:val="en-US" w:eastAsia="zh-CN"/>
                    </w:rPr>
                  </w:pPr>
                </w:p>
              </w:tc>
              <w:tc>
                <w:tcPr>
                  <w:tcW w:w="566" w:type="pct"/>
                  <w:vMerge w:val="continue"/>
                  <w:noWrap w:val="0"/>
                  <w:vAlign w:val="center"/>
                </w:tcPr>
                <w:p>
                  <w:pPr>
                    <w:pStyle w:val="57"/>
                    <w:bidi w:val="0"/>
                    <w:rPr>
                      <w:rFonts w:hint="default"/>
                      <w:color w:val="auto"/>
                      <w:highlight w:val="none"/>
                      <w:lang w:val="en-US" w:eastAsia="en-US"/>
                    </w:rPr>
                  </w:pPr>
                </w:p>
              </w:tc>
              <w:tc>
                <w:tcPr>
                  <w:tcW w:w="327" w:type="pct"/>
                  <w:noWrap w:val="0"/>
                  <w:vAlign w:val="center"/>
                </w:tcPr>
                <w:p>
                  <w:pPr>
                    <w:pStyle w:val="57"/>
                    <w:bidi w:val="0"/>
                    <w:rPr>
                      <w:rFonts w:hint="default"/>
                      <w:color w:val="auto"/>
                      <w:highlight w:val="none"/>
                      <w:lang w:val="en-US" w:eastAsia="en-US"/>
                    </w:rPr>
                  </w:pPr>
                  <w:r>
                    <w:rPr>
                      <w:rFonts w:hint="default"/>
                      <w:color w:val="auto"/>
                      <w:highlight w:val="none"/>
                      <w:lang w:eastAsia="en-US"/>
                    </w:rPr>
                    <w:t>X</w:t>
                  </w:r>
                </w:p>
              </w:tc>
              <w:tc>
                <w:tcPr>
                  <w:tcW w:w="372" w:type="pct"/>
                  <w:noWrap w:val="0"/>
                  <w:vAlign w:val="center"/>
                </w:tcPr>
                <w:p>
                  <w:pPr>
                    <w:pStyle w:val="57"/>
                    <w:bidi w:val="0"/>
                    <w:rPr>
                      <w:rFonts w:hint="default"/>
                      <w:color w:val="auto"/>
                      <w:highlight w:val="none"/>
                      <w:lang w:val="en-US" w:eastAsia="en-US"/>
                    </w:rPr>
                  </w:pPr>
                  <w:r>
                    <w:rPr>
                      <w:rFonts w:hint="default"/>
                      <w:color w:val="auto"/>
                      <w:highlight w:val="none"/>
                      <w:lang w:eastAsia="en-US"/>
                    </w:rPr>
                    <w:t>Y</w:t>
                  </w:r>
                </w:p>
              </w:tc>
              <w:tc>
                <w:tcPr>
                  <w:tcW w:w="260" w:type="pct"/>
                  <w:noWrap w:val="0"/>
                  <w:vAlign w:val="center"/>
                </w:tcPr>
                <w:p>
                  <w:pPr>
                    <w:pStyle w:val="57"/>
                    <w:bidi w:val="0"/>
                    <w:rPr>
                      <w:rFonts w:hint="default"/>
                      <w:color w:val="auto"/>
                      <w:highlight w:val="none"/>
                      <w:lang w:val="en-US" w:eastAsia="en-US"/>
                    </w:rPr>
                  </w:pPr>
                  <w:r>
                    <w:rPr>
                      <w:rFonts w:hint="default"/>
                      <w:color w:val="auto"/>
                      <w:highlight w:val="none"/>
                      <w:lang w:eastAsia="en-US"/>
                    </w:rPr>
                    <w:t>Z</w:t>
                  </w:r>
                </w:p>
              </w:tc>
              <w:tc>
                <w:tcPr>
                  <w:tcW w:w="425" w:type="pct"/>
                  <w:vMerge w:val="continue"/>
                  <w:noWrap w:val="0"/>
                  <w:vAlign w:val="center"/>
                </w:tcPr>
                <w:p>
                  <w:pPr>
                    <w:pStyle w:val="57"/>
                    <w:bidi w:val="0"/>
                    <w:rPr>
                      <w:rFonts w:hint="default"/>
                      <w:color w:val="auto"/>
                      <w:highlight w:val="none"/>
                      <w:lang w:val="en-US" w:eastAsia="en-US"/>
                    </w:rPr>
                  </w:pPr>
                </w:p>
              </w:tc>
              <w:tc>
                <w:tcPr>
                  <w:tcW w:w="417" w:type="pct"/>
                  <w:vMerge w:val="continue"/>
                  <w:noWrap w:val="0"/>
                  <w:vAlign w:val="center"/>
                </w:tcPr>
                <w:p>
                  <w:pPr>
                    <w:pStyle w:val="57"/>
                    <w:bidi w:val="0"/>
                    <w:rPr>
                      <w:rFonts w:hint="default"/>
                      <w:color w:val="auto"/>
                      <w:highlight w:val="none"/>
                      <w:lang w:val="en-US" w:eastAsia="en-US"/>
                    </w:rPr>
                  </w:pPr>
                </w:p>
              </w:tc>
              <w:tc>
                <w:tcPr>
                  <w:tcW w:w="312" w:type="pct"/>
                  <w:vMerge w:val="continue"/>
                  <w:noWrap w:val="0"/>
                  <w:vAlign w:val="center"/>
                </w:tcPr>
                <w:p>
                  <w:pPr>
                    <w:pStyle w:val="57"/>
                    <w:bidi w:val="0"/>
                    <w:rPr>
                      <w:rFonts w:hint="default"/>
                      <w:color w:val="auto"/>
                      <w:highlight w:val="none"/>
                      <w:lang w:val="en-US" w:eastAsia="en-US"/>
                    </w:rPr>
                  </w:pPr>
                </w:p>
              </w:tc>
              <w:tc>
                <w:tcPr>
                  <w:tcW w:w="476" w:type="pct"/>
                  <w:vMerge w:val="continue"/>
                  <w:noWrap w:val="0"/>
                  <w:vAlign w:val="center"/>
                </w:tcPr>
                <w:p>
                  <w:pPr>
                    <w:pStyle w:val="57"/>
                    <w:bidi w:val="0"/>
                    <w:rPr>
                      <w:rFonts w:hint="default"/>
                      <w:color w:val="auto"/>
                      <w:highlight w:val="none"/>
                      <w:lang w:val="en-US" w:eastAsia="en-US"/>
                    </w:rPr>
                  </w:pPr>
                </w:p>
              </w:tc>
              <w:tc>
                <w:tcPr>
                  <w:tcW w:w="394" w:type="pct"/>
                  <w:noWrap w:val="0"/>
                  <w:vAlign w:val="center"/>
                </w:tcPr>
                <w:p>
                  <w:pPr>
                    <w:pStyle w:val="57"/>
                    <w:bidi w:val="0"/>
                    <w:rPr>
                      <w:rFonts w:hint="default"/>
                      <w:color w:val="auto"/>
                      <w:highlight w:val="none"/>
                    </w:rPr>
                  </w:pPr>
                  <w:r>
                    <w:rPr>
                      <w:rFonts w:hint="default"/>
                      <w:color w:val="auto"/>
                      <w:highlight w:val="none"/>
                      <w:lang w:val="en-US" w:eastAsia="en-US"/>
                    </w:rPr>
                    <w:t>声压级/dB</w:t>
                  </w:r>
                  <w:r>
                    <w:rPr>
                      <w:rFonts w:hint="eastAsia"/>
                      <w:color w:val="auto"/>
                      <w:highlight w:val="none"/>
                      <w:lang w:val="en-US" w:eastAsia="zh-CN"/>
                    </w:rPr>
                    <w:t>(</w:t>
                  </w:r>
                  <w:r>
                    <w:rPr>
                      <w:rFonts w:hint="default"/>
                      <w:color w:val="auto"/>
                      <w:highlight w:val="none"/>
                      <w:lang w:val="en-US" w:eastAsia="en-US"/>
                    </w:rPr>
                    <w:t>A</w:t>
                  </w:r>
                  <w:r>
                    <w:rPr>
                      <w:rFonts w:hint="eastAsia"/>
                      <w:color w:val="auto"/>
                      <w:highlight w:val="none"/>
                      <w:lang w:val="en-US" w:eastAsia="zh-CN"/>
                    </w:rPr>
                    <w:t>)</w:t>
                  </w:r>
                </w:p>
              </w:tc>
              <w:tc>
                <w:tcPr>
                  <w:tcW w:w="440" w:type="pct"/>
                  <w:noWrap w:val="0"/>
                  <w:vAlign w:val="center"/>
                </w:tcPr>
                <w:p>
                  <w:pPr>
                    <w:pStyle w:val="57"/>
                    <w:bidi w:val="0"/>
                    <w:rPr>
                      <w:rFonts w:hint="default"/>
                      <w:color w:val="auto"/>
                      <w:highlight w:val="none"/>
                    </w:rPr>
                  </w:pPr>
                  <w:r>
                    <w:rPr>
                      <w:rFonts w:hint="default"/>
                      <w:color w:val="auto"/>
                      <w:highlight w:val="none"/>
                      <w:lang w:val="en-US" w:eastAsia="en-US"/>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3"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1</w:t>
                  </w:r>
                </w:p>
              </w:tc>
              <w:tc>
                <w:tcPr>
                  <w:tcW w:w="395" w:type="pct"/>
                  <w:noWrap w:val="0"/>
                  <w:vAlign w:val="center"/>
                </w:tcPr>
                <w:p>
                  <w:pPr>
                    <w:pStyle w:val="57"/>
                    <w:bidi w:val="0"/>
                    <w:rPr>
                      <w:rFonts w:hint="default"/>
                      <w:color w:val="auto"/>
                      <w:highlight w:val="none"/>
                      <w:lang w:val="en-US" w:eastAsia="en-US"/>
                    </w:rPr>
                  </w:pPr>
                  <w:r>
                    <w:rPr>
                      <w:rFonts w:hint="eastAsia"/>
                      <w:color w:val="auto"/>
                      <w:highlight w:val="none"/>
                      <w:lang w:val="en-US" w:eastAsia="zh-CN"/>
                    </w:rPr>
                    <w:t>茨风机1</w:t>
                  </w:r>
                </w:p>
              </w:tc>
              <w:tc>
                <w:tcPr>
                  <w:tcW w:w="417" w:type="pct"/>
                  <w:noWrap w:val="0"/>
                  <w:vAlign w:val="center"/>
                </w:tcPr>
                <w:p>
                  <w:pPr>
                    <w:pStyle w:val="57"/>
                    <w:bidi w:val="0"/>
                    <w:rPr>
                      <w:rFonts w:hint="default"/>
                      <w:color w:val="auto"/>
                      <w:highlight w:val="none"/>
                      <w:lang w:val="en-US" w:eastAsia="zh-CN"/>
                    </w:rPr>
                  </w:pPr>
                  <w:r>
                    <w:rPr>
                      <w:rFonts w:hint="default"/>
                      <w:color w:val="auto"/>
                      <w:highlight w:val="none"/>
                      <w:lang w:val="en-US" w:eastAsia="zh-CN"/>
                    </w:rPr>
                    <w:t>80</w:t>
                  </w:r>
                </w:p>
              </w:tc>
              <w:tc>
                <w:tcPr>
                  <w:tcW w:w="566" w:type="pct"/>
                  <w:vMerge w:val="restart"/>
                  <w:noWrap w:val="0"/>
                  <w:vAlign w:val="center"/>
                </w:tcPr>
                <w:p>
                  <w:pPr>
                    <w:pStyle w:val="57"/>
                    <w:bidi w:val="0"/>
                    <w:rPr>
                      <w:rFonts w:hint="default"/>
                      <w:color w:val="auto"/>
                      <w:highlight w:val="none"/>
                      <w:lang w:val="en-US" w:eastAsia="zh-CN"/>
                    </w:rPr>
                  </w:pPr>
                  <w:r>
                    <w:rPr>
                      <w:rFonts w:hint="eastAsia"/>
                      <w:color w:val="auto"/>
                      <w:highlight w:val="none"/>
                      <w:lang w:val="en-US" w:eastAsia="zh-CN"/>
                    </w:rPr>
                    <w:t>采用低噪声设备，</w:t>
                  </w:r>
                  <w:r>
                    <w:rPr>
                      <w:rFonts w:hint="default"/>
                      <w:color w:val="auto"/>
                      <w:highlight w:val="none"/>
                      <w:lang w:val="en-US" w:eastAsia="en-US"/>
                    </w:rPr>
                    <w:t>基础减</w:t>
                  </w:r>
                  <w:r>
                    <w:rPr>
                      <w:rFonts w:hint="default"/>
                      <w:color w:val="auto"/>
                      <w:highlight w:val="none"/>
                      <w:lang w:eastAsia="zh-CN"/>
                    </w:rPr>
                    <w:t>振</w:t>
                  </w:r>
                  <w:r>
                    <w:rPr>
                      <w:rFonts w:hint="default"/>
                      <w:color w:val="auto"/>
                      <w:highlight w:val="none"/>
                      <w:lang w:val="en-US" w:eastAsia="en-US"/>
                    </w:rPr>
                    <w:t>，厂房隔声</w:t>
                  </w:r>
                </w:p>
              </w:tc>
              <w:tc>
                <w:tcPr>
                  <w:tcW w:w="327"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76</w:t>
                  </w:r>
                </w:p>
              </w:tc>
              <w:tc>
                <w:tcPr>
                  <w:tcW w:w="372"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186</w:t>
                  </w:r>
                </w:p>
              </w:tc>
              <w:tc>
                <w:tcPr>
                  <w:tcW w:w="260"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1</w:t>
                  </w:r>
                </w:p>
              </w:tc>
              <w:tc>
                <w:tcPr>
                  <w:tcW w:w="425"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7</w:t>
                  </w:r>
                </w:p>
              </w:tc>
              <w:tc>
                <w:tcPr>
                  <w:tcW w:w="417"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63</w:t>
                  </w:r>
                </w:p>
              </w:tc>
              <w:tc>
                <w:tcPr>
                  <w:tcW w:w="312" w:type="pct"/>
                  <w:noWrap w:val="0"/>
                  <w:vAlign w:val="center"/>
                </w:tcPr>
                <w:p>
                  <w:pPr>
                    <w:pStyle w:val="57"/>
                    <w:bidi w:val="0"/>
                    <w:rPr>
                      <w:rFonts w:hint="default"/>
                      <w:color w:val="auto"/>
                      <w:highlight w:val="none"/>
                    </w:rPr>
                  </w:pPr>
                  <w:r>
                    <w:rPr>
                      <w:rFonts w:hint="eastAsia"/>
                      <w:color w:val="auto"/>
                      <w:highlight w:val="none"/>
                      <w:lang w:val="en-US" w:eastAsia="zh-CN"/>
                    </w:rPr>
                    <w:t>连续</w:t>
                  </w:r>
                </w:p>
              </w:tc>
              <w:tc>
                <w:tcPr>
                  <w:tcW w:w="476"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20</w:t>
                  </w:r>
                </w:p>
              </w:tc>
              <w:tc>
                <w:tcPr>
                  <w:tcW w:w="394" w:type="pct"/>
                  <w:noWrap w:val="0"/>
                  <w:vAlign w:val="center"/>
                </w:tcPr>
                <w:p>
                  <w:pPr>
                    <w:pStyle w:val="57"/>
                    <w:bidi w:val="0"/>
                    <w:rPr>
                      <w:rFonts w:hint="default"/>
                      <w:color w:val="auto"/>
                      <w:highlight w:val="none"/>
                      <w:lang w:val="en-US"/>
                    </w:rPr>
                  </w:pPr>
                  <w:r>
                    <w:rPr>
                      <w:rFonts w:hint="eastAsia"/>
                      <w:color w:val="auto"/>
                      <w:highlight w:val="none"/>
                      <w:lang w:val="en-US" w:eastAsia="zh-CN"/>
                    </w:rPr>
                    <w:t>43</w:t>
                  </w:r>
                </w:p>
              </w:tc>
              <w:tc>
                <w:tcPr>
                  <w:tcW w:w="440"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3"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2</w:t>
                  </w:r>
                </w:p>
              </w:tc>
              <w:tc>
                <w:tcPr>
                  <w:tcW w:w="395" w:type="pct"/>
                  <w:noWrap w:val="0"/>
                  <w:vAlign w:val="center"/>
                </w:tcPr>
                <w:p>
                  <w:pPr>
                    <w:pStyle w:val="57"/>
                    <w:bidi w:val="0"/>
                    <w:rPr>
                      <w:rFonts w:hint="default"/>
                      <w:color w:val="auto"/>
                      <w:highlight w:val="none"/>
                      <w:lang w:val="en-US" w:eastAsia="en-US"/>
                    </w:rPr>
                  </w:pPr>
                  <w:r>
                    <w:rPr>
                      <w:rFonts w:hint="eastAsia"/>
                      <w:color w:val="auto"/>
                      <w:highlight w:val="none"/>
                      <w:lang w:val="en-US" w:eastAsia="zh-CN"/>
                    </w:rPr>
                    <w:t>罗茨风机2</w:t>
                  </w:r>
                </w:p>
              </w:tc>
              <w:tc>
                <w:tcPr>
                  <w:tcW w:w="417" w:type="pct"/>
                  <w:noWrap w:val="0"/>
                  <w:vAlign w:val="center"/>
                </w:tcPr>
                <w:p>
                  <w:pPr>
                    <w:pStyle w:val="57"/>
                    <w:bidi w:val="0"/>
                    <w:rPr>
                      <w:rFonts w:hint="default"/>
                      <w:color w:val="auto"/>
                      <w:highlight w:val="none"/>
                      <w:lang w:val="en-US" w:eastAsia="zh-CN"/>
                    </w:rPr>
                  </w:pPr>
                  <w:r>
                    <w:rPr>
                      <w:rFonts w:hint="default"/>
                      <w:color w:val="auto"/>
                      <w:highlight w:val="none"/>
                      <w:lang w:val="en-US" w:eastAsia="zh-CN"/>
                    </w:rPr>
                    <w:t>80</w:t>
                  </w:r>
                </w:p>
              </w:tc>
              <w:tc>
                <w:tcPr>
                  <w:tcW w:w="566" w:type="pct"/>
                  <w:vMerge w:val="continue"/>
                  <w:noWrap w:val="0"/>
                  <w:vAlign w:val="center"/>
                </w:tcPr>
                <w:p>
                  <w:pPr>
                    <w:pStyle w:val="57"/>
                    <w:bidi w:val="0"/>
                    <w:rPr>
                      <w:rFonts w:hint="default"/>
                      <w:color w:val="auto"/>
                      <w:highlight w:val="none"/>
                    </w:rPr>
                  </w:pPr>
                </w:p>
              </w:tc>
              <w:tc>
                <w:tcPr>
                  <w:tcW w:w="327"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74</w:t>
                  </w:r>
                </w:p>
              </w:tc>
              <w:tc>
                <w:tcPr>
                  <w:tcW w:w="372"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189</w:t>
                  </w:r>
                </w:p>
              </w:tc>
              <w:tc>
                <w:tcPr>
                  <w:tcW w:w="260"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1</w:t>
                  </w:r>
                </w:p>
              </w:tc>
              <w:tc>
                <w:tcPr>
                  <w:tcW w:w="425"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7</w:t>
                  </w:r>
                </w:p>
              </w:tc>
              <w:tc>
                <w:tcPr>
                  <w:tcW w:w="417"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63</w:t>
                  </w:r>
                </w:p>
              </w:tc>
              <w:tc>
                <w:tcPr>
                  <w:tcW w:w="312" w:type="pct"/>
                  <w:noWrap w:val="0"/>
                  <w:vAlign w:val="center"/>
                </w:tcPr>
                <w:p>
                  <w:pPr>
                    <w:pStyle w:val="57"/>
                    <w:bidi w:val="0"/>
                    <w:rPr>
                      <w:rFonts w:hint="default"/>
                      <w:color w:val="auto"/>
                      <w:highlight w:val="none"/>
                    </w:rPr>
                  </w:pPr>
                  <w:r>
                    <w:rPr>
                      <w:rFonts w:hint="eastAsia"/>
                      <w:color w:val="auto"/>
                      <w:highlight w:val="none"/>
                      <w:lang w:val="en-US" w:eastAsia="zh-CN"/>
                    </w:rPr>
                    <w:t>连续</w:t>
                  </w:r>
                </w:p>
              </w:tc>
              <w:tc>
                <w:tcPr>
                  <w:tcW w:w="476" w:type="pct"/>
                  <w:noWrap w:val="0"/>
                  <w:vAlign w:val="center"/>
                </w:tcPr>
                <w:p>
                  <w:pPr>
                    <w:pStyle w:val="57"/>
                    <w:bidi w:val="0"/>
                    <w:rPr>
                      <w:rFonts w:hint="default"/>
                      <w:color w:val="auto"/>
                      <w:highlight w:val="none"/>
                      <w:lang w:val="en-US" w:eastAsia="zh-CN"/>
                    </w:rPr>
                  </w:pPr>
                  <w:r>
                    <w:rPr>
                      <w:rFonts w:hint="eastAsia"/>
                      <w:color w:val="auto"/>
                      <w:highlight w:val="none"/>
                      <w:lang w:val="en-US" w:eastAsia="zh-CN"/>
                    </w:rPr>
                    <w:t>20</w:t>
                  </w:r>
                </w:p>
              </w:tc>
              <w:tc>
                <w:tcPr>
                  <w:tcW w:w="394" w:type="pct"/>
                  <w:noWrap w:val="0"/>
                  <w:vAlign w:val="center"/>
                </w:tcPr>
                <w:p>
                  <w:pPr>
                    <w:pStyle w:val="57"/>
                    <w:bidi w:val="0"/>
                    <w:rPr>
                      <w:rFonts w:hint="default"/>
                      <w:color w:val="auto"/>
                      <w:highlight w:val="none"/>
                      <w:lang w:val="en-US"/>
                    </w:rPr>
                  </w:pPr>
                  <w:r>
                    <w:rPr>
                      <w:rFonts w:hint="eastAsia"/>
                      <w:color w:val="auto"/>
                      <w:highlight w:val="none"/>
                      <w:lang w:val="en-US" w:eastAsia="zh-CN"/>
                    </w:rPr>
                    <w:t>43</w:t>
                  </w:r>
                </w:p>
              </w:tc>
              <w:tc>
                <w:tcPr>
                  <w:tcW w:w="440" w:type="pct"/>
                  <w:noWrap w:val="0"/>
                  <w:vAlign w:val="center"/>
                </w:tcPr>
                <w:p>
                  <w:pPr>
                    <w:pStyle w:val="57"/>
                    <w:bidi w:val="0"/>
                    <w:rPr>
                      <w:rFonts w:hint="default"/>
                      <w:color w:val="auto"/>
                      <w:highlight w:val="none"/>
                      <w:lang w:val="en-US"/>
                    </w:rPr>
                  </w:pPr>
                  <w:r>
                    <w:rPr>
                      <w:rFonts w:hint="eastAsia"/>
                      <w:color w:val="auto"/>
                      <w:highlight w:val="none"/>
                      <w:lang w:val="en-US" w:eastAsia="zh-CN"/>
                    </w:rPr>
                    <w:t>120</w:t>
                  </w:r>
                </w:p>
              </w:tc>
            </w:tr>
          </w:tbl>
          <w:p>
            <w:pPr>
              <w:pStyle w:val="51"/>
              <w:bidi w:val="0"/>
              <w:rPr>
                <w:rFonts w:hint="default"/>
                <w:color w:val="auto"/>
                <w:highlight w:val="none"/>
                <w:lang w:val="en-US" w:eastAsia="zh-CN"/>
              </w:rPr>
            </w:pPr>
            <w:r>
              <w:rPr>
                <w:rFonts w:hint="eastAsia"/>
                <w:color w:val="auto"/>
                <w:highlight w:val="none"/>
                <w:lang w:val="en-US" w:eastAsia="zh-CN"/>
              </w:rPr>
              <w:t>注：以厂界西南角作为原点（0，0）。</w:t>
            </w:r>
          </w:p>
          <w:p>
            <w:pPr>
              <w:pStyle w:val="4"/>
              <w:bidi w:val="0"/>
              <w:rPr>
                <w:rFonts w:hint="eastAsia"/>
                <w:color w:val="auto"/>
                <w:highlight w:val="none"/>
                <w:lang w:val="en-US" w:eastAsia="zh-CN"/>
              </w:rPr>
            </w:pPr>
          </w:p>
          <w:p>
            <w:pPr>
              <w:pStyle w:val="4"/>
              <w:bidi w:val="0"/>
              <w:rPr>
                <w:rFonts w:hint="default"/>
                <w:color w:val="auto"/>
                <w:highlight w:val="none"/>
                <w:lang w:val="en-US" w:eastAsia="zh-CN"/>
              </w:rPr>
            </w:pPr>
            <w:r>
              <w:rPr>
                <w:rFonts w:hint="eastAsia"/>
                <w:color w:val="auto"/>
                <w:highlight w:val="none"/>
                <w:lang w:val="en-US" w:eastAsia="zh-CN"/>
              </w:rPr>
              <w:t xml:space="preserve">4.3.2 </w:t>
            </w:r>
            <w:r>
              <w:rPr>
                <w:rFonts w:hint="default"/>
                <w:color w:val="auto"/>
                <w:highlight w:val="none"/>
              </w:rPr>
              <w:t>厂界预测</w:t>
            </w:r>
          </w:p>
          <w:p>
            <w:pPr>
              <w:pStyle w:val="6"/>
              <w:bidi w:val="0"/>
              <w:rPr>
                <w:rFonts w:hint="default"/>
                <w:color w:val="auto"/>
                <w:highlight w:val="none"/>
              </w:rPr>
            </w:pPr>
            <w:r>
              <w:rPr>
                <w:rFonts w:hint="default"/>
                <w:color w:val="auto"/>
                <w:highlight w:val="none"/>
              </w:rPr>
              <w:t>根据《环境影响评价技术导则 声环境》（</w:t>
            </w:r>
            <w:r>
              <w:rPr>
                <w:rFonts w:hint="default"/>
                <w:color w:val="auto"/>
                <w:highlight w:val="none"/>
                <w:lang w:eastAsia="zh-CN"/>
              </w:rPr>
              <w:t>HJ2.4-2021</w:t>
            </w:r>
            <w:r>
              <w:rPr>
                <w:rFonts w:hint="default"/>
                <w:color w:val="auto"/>
                <w:highlight w:val="none"/>
              </w:rPr>
              <w:t>）中附录</w:t>
            </w:r>
            <w:r>
              <w:rPr>
                <w:rFonts w:hint="default"/>
                <w:color w:val="auto"/>
                <w:highlight w:val="none"/>
                <w:lang w:val="en-US" w:eastAsia="zh-CN"/>
              </w:rPr>
              <w:t>B</w:t>
            </w:r>
            <w:r>
              <w:rPr>
                <w:rFonts w:hint="default"/>
                <w:color w:val="auto"/>
                <w:highlight w:val="none"/>
              </w:rPr>
              <w:t>推荐的计算模式</w:t>
            </w:r>
            <w:r>
              <w:rPr>
                <w:rFonts w:hint="eastAsia"/>
                <w:color w:val="auto"/>
                <w:highlight w:val="none"/>
                <w:lang w:val="en-US" w:eastAsia="zh-CN"/>
              </w:rPr>
              <w:t>进行计算可知，</w:t>
            </w:r>
            <w:r>
              <w:rPr>
                <w:rFonts w:hint="default"/>
                <w:color w:val="auto"/>
                <w:highlight w:val="none"/>
              </w:rPr>
              <w:t>昼间和夜间各预测点的噪声预测值分别见表</w:t>
            </w:r>
            <w:r>
              <w:rPr>
                <w:rFonts w:hint="eastAsia"/>
                <w:color w:val="auto"/>
                <w:highlight w:val="none"/>
                <w:lang w:val="en-US" w:eastAsia="zh-CN"/>
              </w:rPr>
              <w:t>4.3-3</w:t>
            </w:r>
            <w:r>
              <w:rPr>
                <w:rFonts w:hint="default"/>
                <w:color w:val="auto"/>
                <w:highlight w:val="none"/>
              </w:rPr>
              <w:t>。</w:t>
            </w:r>
          </w:p>
          <w:p>
            <w:pPr>
              <w:pStyle w:val="36"/>
              <w:bidi w:val="0"/>
              <w:rPr>
                <w:rFonts w:hint="default"/>
                <w:color w:val="auto"/>
                <w:highlight w:val="none"/>
              </w:rPr>
            </w:pPr>
            <w:r>
              <w:rPr>
                <w:rFonts w:hint="default"/>
                <w:color w:val="auto"/>
                <w:highlight w:val="none"/>
              </w:rPr>
              <w:t>表</w:t>
            </w:r>
            <w:r>
              <w:rPr>
                <w:rFonts w:hint="eastAsia"/>
                <w:color w:val="auto"/>
                <w:highlight w:val="none"/>
                <w:lang w:val="en-US" w:eastAsia="zh-CN"/>
              </w:rPr>
              <w:t>4.3-3</w:t>
            </w:r>
            <w:r>
              <w:rPr>
                <w:rFonts w:hint="default"/>
                <w:color w:val="auto"/>
                <w:highlight w:val="none"/>
              </w:rPr>
              <w:t xml:space="preserve"> </w:t>
            </w:r>
            <w:r>
              <w:rPr>
                <w:rFonts w:hint="default"/>
                <w:color w:val="auto"/>
                <w:highlight w:val="none"/>
                <w:lang w:val="en-US" w:eastAsia="zh-CN"/>
              </w:rPr>
              <w:t xml:space="preserve">  </w:t>
            </w:r>
            <w:r>
              <w:rPr>
                <w:rFonts w:hint="default"/>
                <w:color w:val="auto"/>
                <w:highlight w:val="none"/>
              </w:rPr>
              <w:t>本项目</w:t>
            </w:r>
            <w:r>
              <w:rPr>
                <w:rFonts w:hint="eastAsia"/>
                <w:color w:val="auto"/>
                <w:highlight w:val="none"/>
                <w:lang w:val="en-US" w:eastAsia="zh-CN"/>
              </w:rPr>
              <w:t>厂</w:t>
            </w:r>
            <w:r>
              <w:rPr>
                <w:rFonts w:hint="default"/>
                <w:color w:val="auto"/>
                <w:highlight w:val="none"/>
              </w:rPr>
              <w:t>界噪声预测结果表   单位：dB（A）</w:t>
            </w:r>
          </w:p>
          <w:tbl>
            <w:tblPr>
              <w:tblStyle w:val="22"/>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3597"/>
              <w:gridCol w:w="360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712" w:type="pct"/>
                  <w:vMerge w:val="restart"/>
                  <w:tcBorders>
                    <w:top w:val="single" w:color="auto" w:sz="4" w:space="0"/>
                    <w:left w:val="single" w:color="auto" w:sz="4" w:space="0"/>
                    <w:tl2br w:val="nil"/>
                    <w:tr2bl w:val="nil"/>
                  </w:tcBorders>
                  <w:noWrap w:val="0"/>
                  <w:vAlign w:val="center"/>
                </w:tcPr>
                <w:p>
                  <w:pPr>
                    <w:pStyle w:val="58"/>
                    <w:bidi w:val="0"/>
                    <w:rPr>
                      <w:rFonts w:hint="default"/>
                      <w:color w:val="auto"/>
                      <w:highlight w:val="none"/>
                    </w:rPr>
                  </w:pPr>
                  <w:r>
                    <w:rPr>
                      <w:rFonts w:hint="default"/>
                      <w:color w:val="auto"/>
                      <w:highlight w:val="none"/>
                    </w:rPr>
                    <w:t>点位</w:t>
                  </w:r>
                </w:p>
              </w:tc>
              <w:tc>
                <w:tcPr>
                  <w:tcW w:w="2142" w:type="pct"/>
                  <w:tcBorders>
                    <w:top w:val="single" w:color="auto" w:sz="4" w:space="0"/>
                    <w:tl2br w:val="nil"/>
                    <w:tr2bl w:val="nil"/>
                  </w:tcBorders>
                  <w:noWrap w:val="0"/>
                  <w:vAlign w:val="center"/>
                </w:tcPr>
                <w:p>
                  <w:pPr>
                    <w:pStyle w:val="58"/>
                    <w:bidi w:val="0"/>
                    <w:rPr>
                      <w:rFonts w:hint="default"/>
                      <w:color w:val="auto"/>
                      <w:highlight w:val="none"/>
                    </w:rPr>
                  </w:pPr>
                  <w:r>
                    <w:rPr>
                      <w:rFonts w:hint="default"/>
                      <w:color w:val="auto"/>
                      <w:highlight w:val="none"/>
                    </w:rPr>
                    <w:t>昼间</w:t>
                  </w:r>
                </w:p>
              </w:tc>
              <w:tc>
                <w:tcPr>
                  <w:tcW w:w="2144" w:type="pct"/>
                  <w:tcBorders>
                    <w:top w:val="single" w:color="auto" w:sz="4" w:space="0"/>
                    <w:right w:val="single" w:color="auto" w:sz="4" w:space="0"/>
                    <w:tl2br w:val="nil"/>
                    <w:tr2bl w:val="nil"/>
                  </w:tcBorders>
                  <w:noWrap w:val="0"/>
                  <w:vAlign w:val="center"/>
                </w:tcPr>
                <w:p>
                  <w:pPr>
                    <w:pStyle w:val="58"/>
                    <w:bidi w:val="0"/>
                    <w:rPr>
                      <w:rFonts w:hint="default"/>
                      <w:color w:val="auto"/>
                      <w:highlight w:val="none"/>
                    </w:rPr>
                  </w:pPr>
                  <w:r>
                    <w:rPr>
                      <w:rFonts w:hint="default"/>
                      <w:color w:val="auto"/>
                      <w:highlight w:val="none"/>
                    </w:rPr>
                    <w:t>夜间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tcBorders>
                    <w:left w:val="single" w:color="auto" w:sz="4" w:space="0"/>
                    <w:tl2br w:val="nil"/>
                    <w:tr2bl w:val="nil"/>
                  </w:tcBorders>
                  <w:noWrap w:val="0"/>
                  <w:vAlign w:val="center"/>
                </w:tcPr>
                <w:p>
                  <w:pPr>
                    <w:pStyle w:val="58"/>
                    <w:bidi w:val="0"/>
                    <w:rPr>
                      <w:rFonts w:hint="default"/>
                      <w:color w:val="auto"/>
                      <w:highlight w:val="none"/>
                    </w:rPr>
                  </w:pPr>
                </w:p>
              </w:tc>
              <w:tc>
                <w:tcPr>
                  <w:tcW w:w="2142" w:type="pct"/>
                  <w:tcBorders>
                    <w:tl2br w:val="nil"/>
                    <w:tr2bl w:val="nil"/>
                  </w:tcBorders>
                  <w:noWrap w:val="0"/>
                  <w:vAlign w:val="center"/>
                </w:tcPr>
                <w:p>
                  <w:pPr>
                    <w:pStyle w:val="58"/>
                    <w:bidi w:val="0"/>
                    <w:rPr>
                      <w:rFonts w:hint="default"/>
                      <w:color w:val="auto"/>
                      <w:highlight w:val="none"/>
                    </w:rPr>
                  </w:pPr>
                  <w:r>
                    <w:rPr>
                      <w:rFonts w:hint="default"/>
                      <w:color w:val="auto"/>
                      <w:highlight w:val="none"/>
                    </w:rPr>
                    <w:t>贡献值</w:t>
                  </w:r>
                </w:p>
              </w:tc>
              <w:tc>
                <w:tcPr>
                  <w:tcW w:w="2144" w:type="pct"/>
                  <w:tcBorders>
                    <w:right w:val="single" w:color="auto" w:sz="4" w:space="0"/>
                    <w:tl2br w:val="nil"/>
                    <w:tr2bl w:val="nil"/>
                  </w:tcBorders>
                  <w:noWrap w:val="0"/>
                  <w:vAlign w:val="center"/>
                </w:tcPr>
                <w:p>
                  <w:pPr>
                    <w:pStyle w:val="58"/>
                    <w:bidi w:val="0"/>
                    <w:rPr>
                      <w:rFonts w:hint="default"/>
                      <w:color w:val="auto"/>
                      <w:highlight w:val="none"/>
                    </w:rPr>
                  </w:pPr>
                  <w:r>
                    <w:rPr>
                      <w:rFonts w:hint="default"/>
                      <w:color w:val="auto"/>
                      <w:highlight w:val="none"/>
                    </w:rPr>
                    <w:t>贡献值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712" w:type="pct"/>
                  <w:tcBorders>
                    <w:left w:val="single" w:color="auto" w:sz="4" w:space="0"/>
                    <w:tl2br w:val="nil"/>
                    <w:tr2bl w:val="nil"/>
                  </w:tcBorders>
                  <w:noWrap w:val="0"/>
                  <w:vAlign w:val="center"/>
                </w:tcPr>
                <w:p>
                  <w:pPr>
                    <w:pStyle w:val="58"/>
                    <w:bidi w:val="0"/>
                    <w:rPr>
                      <w:rFonts w:hint="default"/>
                      <w:color w:val="auto"/>
                      <w:highlight w:val="none"/>
                    </w:rPr>
                  </w:pPr>
                  <w:r>
                    <w:rPr>
                      <w:rFonts w:hint="default"/>
                      <w:color w:val="auto"/>
                      <w:highlight w:val="none"/>
                    </w:rPr>
                    <w:t>东厂界</w:t>
                  </w:r>
                </w:p>
              </w:tc>
              <w:tc>
                <w:tcPr>
                  <w:tcW w:w="3976" w:type="dxa"/>
                  <w:tcBorders>
                    <w:tl2br w:val="nil"/>
                    <w:tr2bl w:val="nil"/>
                  </w:tcBorders>
                  <w:noWrap w:val="0"/>
                  <w:vAlign w:val="center"/>
                </w:tcPr>
                <w:p>
                  <w:pPr>
                    <w:pStyle w:val="58"/>
                    <w:bidi w:val="0"/>
                    <w:ind w:firstLine="0" w:firstLineChars="0"/>
                    <w:rPr>
                      <w:rFonts w:hint="default"/>
                      <w:color w:val="auto"/>
                      <w:highlight w:val="none"/>
                      <w:lang w:val="en-US" w:eastAsia="zh-CN"/>
                    </w:rPr>
                  </w:pPr>
                  <w:r>
                    <w:rPr>
                      <w:rFonts w:hint="eastAsia"/>
                      <w:color w:val="auto"/>
                      <w:highlight w:val="none"/>
                      <w:lang w:val="en-US" w:eastAsia="zh-CN"/>
                    </w:rPr>
                    <w:t>24.43</w:t>
                  </w:r>
                </w:p>
              </w:tc>
              <w:tc>
                <w:tcPr>
                  <w:tcW w:w="3984" w:type="dxa"/>
                  <w:tcBorders>
                    <w:right w:val="single" w:color="auto" w:sz="4" w:space="0"/>
                    <w:tl2br w:val="nil"/>
                    <w:tr2bl w:val="nil"/>
                  </w:tcBorders>
                  <w:noWrap w:val="0"/>
                  <w:vAlign w:val="center"/>
                </w:tcPr>
                <w:p>
                  <w:pPr>
                    <w:pStyle w:val="58"/>
                    <w:bidi w:val="0"/>
                    <w:ind w:firstLine="0" w:firstLineChars="0"/>
                    <w:rPr>
                      <w:rFonts w:hint="default"/>
                      <w:color w:val="auto"/>
                      <w:highlight w:val="none"/>
                      <w:lang w:val="en-US" w:eastAsia="zh-CN"/>
                    </w:rPr>
                  </w:pPr>
                  <w:r>
                    <w:rPr>
                      <w:rFonts w:hint="eastAsia"/>
                      <w:color w:val="auto"/>
                      <w:highlight w:val="none"/>
                      <w:lang w:val="en-US" w:eastAsia="zh-CN"/>
                    </w:rPr>
                    <w:t>24.43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712" w:type="pct"/>
                  <w:tcBorders>
                    <w:left w:val="single" w:color="auto" w:sz="4" w:space="0"/>
                    <w:tl2br w:val="nil"/>
                    <w:tr2bl w:val="nil"/>
                  </w:tcBorders>
                  <w:noWrap w:val="0"/>
                  <w:vAlign w:val="center"/>
                </w:tcPr>
                <w:p>
                  <w:pPr>
                    <w:pStyle w:val="58"/>
                    <w:bidi w:val="0"/>
                    <w:rPr>
                      <w:rFonts w:hint="default"/>
                      <w:color w:val="auto"/>
                      <w:highlight w:val="none"/>
                    </w:rPr>
                  </w:pPr>
                  <w:r>
                    <w:rPr>
                      <w:rFonts w:hint="eastAsia"/>
                      <w:color w:val="auto"/>
                      <w:highlight w:val="none"/>
                      <w:lang w:val="en-US" w:eastAsia="zh-CN"/>
                    </w:rPr>
                    <w:t>东南</w:t>
                  </w:r>
                  <w:r>
                    <w:rPr>
                      <w:rFonts w:hint="default"/>
                      <w:color w:val="auto"/>
                      <w:highlight w:val="none"/>
                    </w:rPr>
                    <w:t>厂界</w:t>
                  </w:r>
                </w:p>
              </w:tc>
              <w:tc>
                <w:tcPr>
                  <w:tcW w:w="3976" w:type="dxa"/>
                  <w:tcBorders>
                    <w:tl2br w:val="nil"/>
                    <w:tr2bl w:val="nil"/>
                  </w:tcBorders>
                  <w:noWrap w:val="0"/>
                  <w:vAlign w:val="center"/>
                </w:tcPr>
                <w:p>
                  <w:pPr>
                    <w:pStyle w:val="58"/>
                    <w:bidi w:val="0"/>
                    <w:ind w:firstLine="0" w:firstLineChars="0"/>
                    <w:rPr>
                      <w:rFonts w:hint="default"/>
                      <w:color w:val="auto"/>
                      <w:highlight w:val="none"/>
                      <w:lang w:val="en-US" w:eastAsia="zh-CN"/>
                    </w:rPr>
                  </w:pPr>
                  <w:r>
                    <w:rPr>
                      <w:rFonts w:hint="eastAsia"/>
                      <w:color w:val="auto"/>
                      <w:highlight w:val="none"/>
                      <w:lang w:val="en-US" w:eastAsia="zh-CN"/>
                    </w:rPr>
                    <w:t>27.18</w:t>
                  </w:r>
                </w:p>
              </w:tc>
              <w:tc>
                <w:tcPr>
                  <w:tcW w:w="3984" w:type="dxa"/>
                  <w:tcBorders>
                    <w:right w:val="single" w:color="auto" w:sz="4" w:space="0"/>
                    <w:tl2br w:val="nil"/>
                    <w:tr2bl w:val="nil"/>
                  </w:tcBorders>
                  <w:noWrap w:val="0"/>
                  <w:vAlign w:val="center"/>
                </w:tcPr>
                <w:p>
                  <w:pPr>
                    <w:pStyle w:val="58"/>
                    <w:bidi w:val="0"/>
                    <w:ind w:firstLine="0" w:firstLineChars="0"/>
                    <w:rPr>
                      <w:rFonts w:hint="default"/>
                      <w:color w:val="auto"/>
                      <w:highlight w:val="none"/>
                      <w:lang w:val="en-US" w:eastAsia="zh-CN"/>
                    </w:rPr>
                  </w:pPr>
                  <w:r>
                    <w:rPr>
                      <w:rFonts w:hint="eastAsia"/>
                      <w:color w:val="auto"/>
                      <w:highlight w:val="none"/>
                      <w:lang w:val="en-US" w:eastAsia="zh-CN"/>
                    </w:rPr>
                    <w:t>27.18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left w:val="single" w:color="auto" w:sz="4" w:space="0"/>
                    <w:tl2br w:val="nil"/>
                    <w:tr2bl w:val="nil"/>
                  </w:tcBorders>
                  <w:noWrap w:val="0"/>
                  <w:vAlign w:val="center"/>
                </w:tcPr>
                <w:p>
                  <w:pPr>
                    <w:pStyle w:val="58"/>
                    <w:bidi w:val="0"/>
                    <w:rPr>
                      <w:rFonts w:hint="default"/>
                      <w:color w:val="auto"/>
                      <w:highlight w:val="none"/>
                    </w:rPr>
                  </w:pPr>
                  <w:r>
                    <w:rPr>
                      <w:rFonts w:hint="default"/>
                      <w:color w:val="auto"/>
                      <w:highlight w:val="none"/>
                    </w:rPr>
                    <w:t>西</w:t>
                  </w:r>
                  <w:r>
                    <w:rPr>
                      <w:rFonts w:hint="eastAsia"/>
                      <w:color w:val="auto"/>
                      <w:highlight w:val="none"/>
                      <w:lang w:val="en-US" w:eastAsia="zh-CN"/>
                    </w:rPr>
                    <w:t>南</w:t>
                  </w:r>
                  <w:r>
                    <w:rPr>
                      <w:rFonts w:hint="default"/>
                      <w:color w:val="auto"/>
                      <w:highlight w:val="none"/>
                    </w:rPr>
                    <w:t>厂界</w:t>
                  </w:r>
                </w:p>
              </w:tc>
              <w:tc>
                <w:tcPr>
                  <w:tcW w:w="3976" w:type="dxa"/>
                  <w:tcBorders>
                    <w:tl2br w:val="nil"/>
                    <w:tr2bl w:val="nil"/>
                  </w:tcBorders>
                  <w:noWrap w:val="0"/>
                  <w:vAlign w:val="center"/>
                </w:tcPr>
                <w:p>
                  <w:pPr>
                    <w:pStyle w:val="58"/>
                    <w:bidi w:val="0"/>
                    <w:ind w:firstLine="0" w:firstLineChars="0"/>
                    <w:rPr>
                      <w:rFonts w:hint="default"/>
                      <w:color w:val="auto"/>
                      <w:highlight w:val="none"/>
                      <w:lang w:val="en-US" w:eastAsia="zh-CN"/>
                    </w:rPr>
                  </w:pPr>
                  <w:r>
                    <w:rPr>
                      <w:rFonts w:hint="eastAsia"/>
                      <w:color w:val="auto"/>
                      <w:highlight w:val="none"/>
                      <w:lang w:val="en-US" w:eastAsia="zh-CN"/>
                    </w:rPr>
                    <w:t>24.97</w:t>
                  </w:r>
                </w:p>
              </w:tc>
              <w:tc>
                <w:tcPr>
                  <w:tcW w:w="3984" w:type="dxa"/>
                  <w:tcBorders>
                    <w:right w:val="single" w:color="auto" w:sz="4" w:space="0"/>
                    <w:tl2br w:val="nil"/>
                    <w:tr2bl w:val="nil"/>
                  </w:tcBorders>
                  <w:noWrap w:val="0"/>
                  <w:vAlign w:val="center"/>
                </w:tcPr>
                <w:p>
                  <w:pPr>
                    <w:pStyle w:val="58"/>
                    <w:bidi w:val="0"/>
                    <w:ind w:firstLine="0" w:firstLineChars="0"/>
                    <w:rPr>
                      <w:rFonts w:hint="default"/>
                      <w:color w:val="auto"/>
                      <w:highlight w:val="none"/>
                      <w:lang w:val="en-US" w:eastAsia="zh-CN"/>
                    </w:rPr>
                  </w:pPr>
                  <w:r>
                    <w:rPr>
                      <w:rFonts w:hint="eastAsia"/>
                      <w:color w:val="auto"/>
                      <w:highlight w:val="none"/>
                      <w:lang w:val="en-US" w:eastAsia="zh-CN"/>
                    </w:rPr>
                    <w:t>24.97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left w:val="single" w:color="auto" w:sz="4" w:space="0"/>
                    <w:tl2br w:val="nil"/>
                    <w:tr2bl w:val="nil"/>
                  </w:tcBorders>
                  <w:noWrap w:val="0"/>
                  <w:vAlign w:val="center"/>
                </w:tcPr>
                <w:p>
                  <w:pPr>
                    <w:pStyle w:val="58"/>
                    <w:bidi w:val="0"/>
                    <w:rPr>
                      <w:rFonts w:hint="default" w:eastAsia="宋体"/>
                      <w:color w:val="auto"/>
                      <w:highlight w:val="none"/>
                      <w:lang w:val="en-US" w:eastAsia="zh-CN"/>
                    </w:rPr>
                  </w:pPr>
                  <w:r>
                    <w:rPr>
                      <w:rFonts w:hint="eastAsia"/>
                      <w:color w:val="auto"/>
                      <w:highlight w:val="none"/>
                      <w:lang w:val="en-US" w:eastAsia="zh-CN"/>
                    </w:rPr>
                    <w:t>西北厂界</w:t>
                  </w:r>
                </w:p>
              </w:tc>
              <w:tc>
                <w:tcPr>
                  <w:tcW w:w="3976" w:type="dxa"/>
                  <w:tcBorders>
                    <w:tl2br w:val="nil"/>
                    <w:tr2bl w:val="nil"/>
                  </w:tcBorders>
                  <w:noWrap w:val="0"/>
                  <w:vAlign w:val="center"/>
                </w:tcPr>
                <w:p>
                  <w:pPr>
                    <w:pStyle w:val="58"/>
                    <w:bidi w:val="0"/>
                    <w:ind w:firstLine="0" w:firstLineChars="0"/>
                    <w:rPr>
                      <w:rFonts w:hint="default"/>
                      <w:color w:val="auto"/>
                      <w:highlight w:val="none"/>
                      <w:lang w:val="en-US" w:eastAsia="zh-CN"/>
                    </w:rPr>
                  </w:pPr>
                  <w:r>
                    <w:rPr>
                      <w:rFonts w:hint="eastAsia"/>
                      <w:color w:val="auto"/>
                      <w:highlight w:val="none"/>
                      <w:lang w:val="en-US" w:eastAsia="zh-CN"/>
                    </w:rPr>
                    <w:t>22.85</w:t>
                  </w:r>
                </w:p>
              </w:tc>
              <w:tc>
                <w:tcPr>
                  <w:tcW w:w="3984" w:type="dxa"/>
                  <w:tcBorders>
                    <w:right w:val="single" w:color="auto" w:sz="4" w:space="0"/>
                    <w:tl2br w:val="nil"/>
                    <w:tr2bl w:val="nil"/>
                  </w:tcBorders>
                  <w:noWrap w:val="0"/>
                  <w:vAlign w:val="center"/>
                </w:tcPr>
                <w:p>
                  <w:pPr>
                    <w:pStyle w:val="58"/>
                    <w:bidi w:val="0"/>
                    <w:ind w:firstLine="0" w:firstLineChars="0"/>
                    <w:rPr>
                      <w:rFonts w:hint="default"/>
                      <w:color w:val="auto"/>
                      <w:highlight w:val="none"/>
                      <w:lang w:val="en-US" w:eastAsia="zh-CN"/>
                    </w:rPr>
                  </w:pPr>
                  <w:r>
                    <w:rPr>
                      <w:rFonts w:hint="eastAsia"/>
                      <w:color w:val="auto"/>
                      <w:highlight w:val="none"/>
                      <w:lang w:val="en-US" w:eastAsia="zh-CN"/>
                    </w:rPr>
                    <w:t>22.85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tcBorders>
                    <w:left w:val="single" w:color="auto" w:sz="4" w:space="0"/>
                    <w:tl2br w:val="nil"/>
                    <w:tr2bl w:val="nil"/>
                  </w:tcBorders>
                  <w:noWrap w:val="0"/>
                  <w:vAlign w:val="center"/>
                </w:tcPr>
                <w:p>
                  <w:pPr>
                    <w:pStyle w:val="58"/>
                    <w:bidi w:val="0"/>
                    <w:rPr>
                      <w:rFonts w:hint="default"/>
                      <w:color w:val="auto"/>
                      <w:highlight w:val="none"/>
                    </w:rPr>
                  </w:pPr>
                  <w:r>
                    <w:rPr>
                      <w:rFonts w:hint="eastAsia"/>
                      <w:color w:val="auto"/>
                      <w:highlight w:val="none"/>
                      <w:lang w:val="en-US" w:eastAsia="zh-CN"/>
                    </w:rPr>
                    <w:t>东</w:t>
                  </w:r>
                  <w:r>
                    <w:rPr>
                      <w:rFonts w:hint="default"/>
                      <w:color w:val="auto"/>
                      <w:highlight w:val="none"/>
                    </w:rPr>
                    <w:t>北厂界</w:t>
                  </w:r>
                </w:p>
              </w:tc>
              <w:tc>
                <w:tcPr>
                  <w:tcW w:w="3976" w:type="dxa"/>
                  <w:tcBorders>
                    <w:tl2br w:val="nil"/>
                    <w:tr2bl w:val="nil"/>
                  </w:tcBorders>
                  <w:noWrap w:val="0"/>
                  <w:vAlign w:val="center"/>
                </w:tcPr>
                <w:p>
                  <w:pPr>
                    <w:pStyle w:val="58"/>
                    <w:bidi w:val="0"/>
                    <w:ind w:firstLine="0" w:firstLineChars="0"/>
                    <w:rPr>
                      <w:rFonts w:hint="default" w:eastAsia="宋体"/>
                      <w:color w:val="auto"/>
                      <w:highlight w:val="none"/>
                      <w:lang w:val="en-US" w:eastAsia="zh-CN"/>
                    </w:rPr>
                  </w:pPr>
                  <w:r>
                    <w:rPr>
                      <w:rFonts w:hint="eastAsia"/>
                      <w:color w:val="auto"/>
                      <w:highlight w:val="none"/>
                      <w:lang w:val="en-US" w:eastAsia="zh-CN"/>
                    </w:rPr>
                    <w:t>29.21</w:t>
                  </w:r>
                </w:p>
              </w:tc>
              <w:tc>
                <w:tcPr>
                  <w:tcW w:w="3984" w:type="dxa"/>
                  <w:tcBorders>
                    <w:right w:val="single" w:color="auto" w:sz="4" w:space="0"/>
                    <w:tl2br w:val="nil"/>
                    <w:tr2bl w:val="nil"/>
                  </w:tcBorders>
                  <w:noWrap w:val="0"/>
                  <w:vAlign w:val="center"/>
                </w:tcPr>
                <w:p>
                  <w:pPr>
                    <w:pStyle w:val="58"/>
                    <w:bidi w:val="0"/>
                    <w:ind w:firstLine="0" w:firstLineChars="0"/>
                    <w:rPr>
                      <w:rFonts w:hint="default" w:eastAsia="宋体"/>
                      <w:color w:val="auto"/>
                      <w:highlight w:val="none"/>
                      <w:lang w:val="en-US" w:eastAsia="zh-CN"/>
                    </w:rPr>
                  </w:pPr>
                  <w:r>
                    <w:rPr>
                      <w:rFonts w:hint="eastAsia"/>
                      <w:color w:val="auto"/>
                      <w:highlight w:val="none"/>
                      <w:lang w:val="en-US" w:eastAsia="zh-CN"/>
                    </w:rPr>
                    <w:t>29.21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left w:val="single" w:color="auto" w:sz="4" w:space="0"/>
                    <w:bottom w:val="single" w:color="auto" w:sz="4" w:space="0"/>
                    <w:right w:val="single" w:color="auto" w:sz="4" w:space="0"/>
                    <w:tl2br w:val="nil"/>
                    <w:tr2bl w:val="nil"/>
                  </w:tcBorders>
                  <w:noWrap w:val="0"/>
                  <w:vAlign w:val="center"/>
                </w:tcPr>
                <w:p>
                  <w:pPr>
                    <w:pStyle w:val="34"/>
                    <w:bidi w:val="0"/>
                    <w:rPr>
                      <w:rFonts w:hint="default"/>
                      <w:color w:val="auto"/>
                      <w:highlight w:val="none"/>
                    </w:rPr>
                  </w:pPr>
                  <w:r>
                    <w:rPr>
                      <w:rFonts w:hint="default"/>
                      <w:color w:val="auto"/>
                      <w:highlight w:val="none"/>
                    </w:rPr>
                    <w:t>《工业企业厂界环境噪声排放标准》（GB12348-2008）</w:t>
                  </w:r>
                  <w:r>
                    <w:rPr>
                      <w:rFonts w:hint="eastAsia"/>
                      <w:color w:val="auto"/>
                      <w:highlight w:val="none"/>
                      <w:lang w:val="en-US" w:eastAsia="zh-CN"/>
                    </w:rPr>
                    <w:t>2</w:t>
                  </w:r>
                  <w:r>
                    <w:rPr>
                      <w:rFonts w:hint="default"/>
                      <w:color w:val="auto"/>
                      <w:highlight w:val="none"/>
                    </w:rPr>
                    <w:t>类标准昼间：6</w:t>
                  </w:r>
                  <w:r>
                    <w:rPr>
                      <w:rFonts w:hint="eastAsia"/>
                      <w:color w:val="auto"/>
                      <w:highlight w:val="none"/>
                      <w:lang w:val="en-US" w:eastAsia="zh-CN"/>
                    </w:rPr>
                    <w:t>0</w:t>
                  </w:r>
                  <w:r>
                    <w:rPr>
                      <w:rFonts w:hint="default"/>
                      <w:color w:val="auto"/>
                      <w:highlight w:val="none"/>
                    </w:rPr>
                    <w:t>dB（A），夜间：5</w:t>
                  </w:r>
                  <w:r>
                    <w:rPr>
                      <w:rFonts w:hint="eastAsia"/>
                      <w:color w:val="auto"/>
                      <w:highlight w:val="none"/>
                      <w:lang w:val="en-US" w:eastAsia="zh-CN"/>
                    </w:rPr>
                    <w:t>0</w:t>
                  </w:r>
                  <w:r>
                    <w:rPr>
                      <w:rFonts w:hint="default"/>
                      <w:color w:val="auto"/>
                      <w:highlight w:val="none"/>
                    </w:rPr>
                    <w:t>dB（A）</w:t>
                  </w:r>
                </w:p>
              </w:tc>
            </w:tr>
          </w:tbl>
          <w:p>
            <w:pPr>
              <w:widowControl/>
              <w:adjustRightInd w:val="0"/>
              <w:jc w:val="both"/>
              <w:rPr>
                <w:color w:val="auto"/>
                <w:highlight w:val="none"/>
              </w:rPr>
            </w:pPr>
          </w:p>
          <w:p>
            <w:pPr>
              <w:pStyle w:val="37"/>
              <w:bidi w:val="0"/>
              <w:rPr>
                <w:color w:val="auto"/>
                <w:highlight w:val="none"/>
              </w:rPr>
            </w:pPr>
            <w:r>
              <w:rPr>
                <w:color w:val="auto"/>
                <w:highlight w:val="none"/>
              </w:rPr>
              <w:drawing>
                <wp:inline distT="0" distB="0" distL="114300" distR="114300">
                  <wp:extent cx="5330190" cy="4169410"/>
                  <wp:effectExtent l="9525" t="9525" r="13335" b="12065"/>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34"/>
                          <a:stretch>
                            <a:fillRect/>
                          </a:stretch>
                        </pic:blipFill>
                        <pic:spPr>
                          <a:xfrm>
                            <a:off x="0" y="0"/>
                            <a:ext cx="5330190" cy="4169410"/>
                          </a:xfrm>
                          <a:prstGeom prst="rect">
                            <a:avLst/>
                          </a:prstGeom>
                          <a:noFill/>
                          <a:ln>
                            <a:solidFill>
                              <a:schemeClr val="tx1"/>
                            </a:solidFill>
                          </a:ln>
                        </pic:spPr>
                      </pic:pic>
                    </a:graphicData>
                  </a:graphic>
                </wp:inline>
              </w:drawing>
            </w:r>
          </w:p>
          <w:p>
            <w:pPr>
              <w:pStyle w:val="37"/>
              <w:bidi w:val="0"/>
              <w:rPr>
                <w:rFonts w:hint="default"/>
                <w:color w:val="auto"/>
                <w:highlight w:val="none"/>
                <w:lang w:val="en-US" w:eastAsia="zh-CN"/>
              </w:rPr>
            </w:pPr>
            <w:r>
              <w:rPr>
                <w:rFonts w:hint="eastAsia"/>
                <w:color w:val="auto"/>
                <w:highlight w:val="none"/>
                <w:lang w:val="en-US" w:eastAsia="zh-CN"/>
              </w:rPr>
              <w:t>图4.3-1 厂界噪声预测结果</w:t>
            </w:r>
          </w:p>
          <w:p>
            <w:pPr>
              <w:pStyle w:val="6"/>
              <w:bidi w:val="0"/>
              <w:rPr>
                <w:color w:val="auto"/>
                <w:highlight w:val="none"/>
              </w:rPr>
            </w:pPr>
            <w:r>
              <w:rPr>
                <w:color w:val="auto"/>
                <w:highlight w:val="none"/>
              </w:rPr>
              <w:t>项目</w:t>
            </w:r>
            <w:r>
              <w:rPr>
                <w:rFonts w:hint="eastAsia"/>
                <w:color w:val="auto"/>
                <w:highlight w:val="none"/>
                <w:lang w:val="en-US" w:eastAsia="zh-CN"/>
              </w:rPr>
              <w:t>设备</w:t>
            </w:r>
            <w:r>
              <w:rPr>
                <w:color w:val="auto"/>
                <w:highlight w:val="none"/>
              </w:rPr>
              <w:t>噪声经建筑物隔声降噪及距离衰减后，厂界噪声满足《工业企业厂界</w:t>
            </w:r>
            <w:r>
              <w:rPr>
                <w:rFonts w:hint="eastAsia"/>
                <w:color w:val="auto"/>
                <w:highlight w:val="none"/>
              </w:rPr>
              <w:t>环境</w:t>
            </w:r>
            <w:r>
              <w:rPr>
                <w:color w:val="auto"/>
                <w:highlight w:val="none"/>
              </w:rPr>
              <w:t>噪声排放标准》（GB12348-2008）</w:t>
            </w:r>
            <w:r>
              <w:rPr>
                <w:rFonts w:hint="eastAsia"/>
                <w:color w:val="auto"/>
                <w:highlight w:val="none"/>
              </w:rPr>
              <w:t>2</w:t>
            </w:r>
            <w:r>
              <w:rPr>
                <w:color w:val="auto"/>
                <w:highlight w:val="none"/>
              </w:rPr>
              <w:t>类标准要求。</w:t>
            </w:r>
          </w:p>
          <w:p>
            <w:pPr>
              <w:pStyle w:val="6"/>
              <w:bidi w:val="0"/>
              <w:rPr>
                <w:color w:val="auto"/>
                <w:highlight w:val="none"/>
              </w:rPr>
            </w:pPr>
          </w:p>
          <w:p>
            <w:pPr>
              <w:pStyle w:val="4"/>
              <w:bidi w:val="0"/>
              <w:rPr>
                <w:rFonts w:hint="default"/>
                <w:color w:val="auto"/>
                <w:highlight w:val="none"/>
                <w:lang w:val="en-US" w:eastAsia="zh-CN"/>
              </w:rPr>
            </w:pPr>
            <w:r>
              <w:rPr>
                <w:rFonts w:hint="eastAsia"/>
                <w:color w:val="auto"/>
                <w:highlight w:val="none"/>
                <w:lang w:val="en-US" w:eastAsia="zh-CN"/>
              </w:rPr>
              <w:t>4.3.3 噪声监测计划</w:t>
            </w:r>
          </w:p>
          <w:p>
            <w:pPr>
              <w:pStyle w:val="6"/>
              <w:bidi w:val="0"/>
              <w:rPr>
                <w:color w:val="auto"/>
                <w:highlight w:val="none"/>
              </w:rPr>
            </w:pPr>
            <w:r>
              <w:rPr>
                <w:rFonts w:hint="eastAsia"/>
                <w:color w:val="auto"/>
                <w:highlight w:val="none"/>
                <w:lang w:val="en-US" w:eastAsia="zh-CN"/>
              </w:rPr>
              <w:t>根据</w:t>
            </w:r>
            <w:r>
              <w:rPr>
                <w:rFonts w:hint="eastAsia"/>
                <w:color w:val="auto"/>
                <w:highlight w:val="none"/>
                <w:lang w:eastAsia="zh-CN"/>
              </w:rPr>
              <w:t>《</w:t>
            </w:r>
            <w:r>
              <w:rPr>
                <w:rFonts w:hint="eastAsia"/>
                <w:color w:val="auto"/>
                <w:highlight w:val="none"/>
              </w:rPr>
              <w:t>排污单位自行监测技术指南 工业固体废物和危险废物治理</w:t>
            </w:r>
            <w:r>
              <w:rPr>
                <w:rFonts w:hint="eastAsia"/>
                <w:color w:val="auto"/>
                <w:highlight w:val="none"/>
                <w:lang w:eastAsia="zh-CN"/>
              </w:rPr>
              <w:t>》（</w:t>
            </w:r>
            <w:r>
              <w:rPr>
                <w:rFonts w:hint="eastAsia"/>
                <w:color w:val="auto"/>
                <w:highlight w:val="none"/>
              </w:rPr>
              <w:t>HJ1250-2022</w:t>
            </w:r>
            <w:r>
              <w:rPr>
                <w:rFonts w:hint="eastAsia"/>
                <w:color w:val="auto"/>
                <w:highlight w:val="none"/>
                <w:lang w:eastAsia="zh-CN"/>
              </w:rPr>
              <w:t>）</w:t>
            </w:r>
            <w:r>
              <w:rPr>
                <w:rFonts w:hint="eastAsia"/>
                <w:color w:val="auto"/>
                <w:highlight w:val="none"/>
                <w:lang w:val="en-US" w:eastAsia="zh-CN"/>
              </w:rPr>
              <w:t>和《排污许可证申请与核发技术规范 工业噪声》（HJ 1301-2023）</w:t>
            </w:r>
            <w:r>
              <w:rPr>
                <w:rFonts w:hint="eastAsia"/>
                <w:color w:val="auto"/>
                <w:highlight w:val="none"/>
              </w:rPr>
              <w:t>，</w:t>
            </w:r>
            <w:r>
              <w:rPr>
                <w:rFonts w:hint="eastAsia"/>
                <w:color w:val="auto"/>
                <w:highlight w:val="none"/>
                <w:lang w:val="en-US" w:eastAsia="zh-CN"/>
              </w:rPr>
              <w:t>本项目</w:t>
            </w:r>
            <w:r>
              <w:rPr>
                <w:rFonts w:hint="eastAsia"/>
                <w:color w:val="auto"/>
                <w:highlight w:val="none"/>
              </w:rPr>
              <w:t>声</w:t>
            </w:r>
            <w:r>
              <w:rPr>
                <w:color w:val="auto"/>
                <w:highlight w:val="none"/>
              </w:rPr>
              <w:t>环境监测计划见表</w:t>
            </w:r>
            <w:r>
              <w:rPr>
                <w:rFonts w:hint="eastAsia"/>
                <w:color w:val="auto"/>
                <w:highlight w:val="none"/>
              </w:rPr>
              <w:t>4.3-</w:t>
            </w:r>
            <w:r>
              <w:rPr>
                <w:rFonts w:hint="eastAsia"/>
                <w:color w:val="auto"/>
                <w:highlight w:val="none"/>
                <w:lang w:val="en-US" w:eastAsia="zh-CN"/>
              </w:rPr>
              <w:t>4</w:t>
            </w:r>
            <w:r>
              <w:rPr>
                <w:rFonts w:hint="eastAsia"/>
                <w:color w:val="auto"/>
                <w:highlight w:val="none"/>
              </w:rPr>
              <w:t>。</w:t>
            </w:r>
          </w:p>
          <w:p>
            <w:pPr>
              <w:pStyle w:val="37"/>
              <w:rPr>
                <w:color w:val="auto"/>
                <w:highlight w:val="none"/>
              </w:rPr>
            </w:pPr>
            <w:r>
              <w:rPr>
                <w:color w:val="auto"/>
                <w:highlight w:val="none"/>
              </w:rPr>
              <w:t>表</w:t>
            </w:r>
            <w:r>
              <w:rPr>
                <w:rFonts w:hint="eastAsia"/>
                <w:color w:val="auto"/>
                <w:highlight w:val="none"/>
              </w:rPr>
              <w:t>4.3-</w:t>
            </w:r>
            <w:r>
              <w:rPr>
                <w:rFonts w:hint="eastAsia"/>
                <w:color w:val="auto"/>
                <w:highlight w:val="none"/>
                <w:lang w:val="en-US" w:eastAsia="zh-CN"/>
              </w:rPr>
              <w:t>4</w:t>
            </w:r>
            <w:r>
              <w:rPr>
                <w:rFonts w:hint="eastAsia"/>
                <w:color w:val="auto"/>
                <w:highlight w:val="none"/>
              </w:rPr>
              <w:t xml:space="preserve">      声</w:t>
            </w:r>
            <w:r>
              <w:rPr>
                <w:color w:val="auto"/>
                <w:highlight w:val="none"/>
              </w:rPr>
              <w:t>环境监测计划</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9"/>
              <w:gridCol w:w="1495"/>
              <w:gridCol w:w="1569"/>
              <w:gridCol w:w="1709"/>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297" w:type="pct"/>
                  <w:vAlign w:val="center"/>
                </w:tcPr>
                <w:p>
                  <w:pPr>
                    <w:pStyle w:val="57"/>
                    <w:bidi w:val="0"/>
                    <w:rPr>
                      <w:color w:val="auto"/>
                      <w:highlight w:val="none"/>
                    </w:rPr>
                  </w:pPr>
                  <w:r>
                    <w:rPr>
                      <w:color w:val="auto"/>
                      <w:highlight w:val="none"/>
                    </w:rPr>
                    <w:t>项目</w:t>
                  </w:r>
                </w:p>
              </w:tc>
              <w:tc>
                <w:tcPr>
                  <w:tcW w:w="891" w:type="pct"/>
                  <w:vAlign w:val="center"/>
                </w:tcPr>
                <w:p>
                  <w:pPr>
                    <w:pStyle w:val="57"/>
                    <w:bidi w:val="0"/>
                    <w:rPr>
                      <w:color w:val="auto"/>
                      <w:highlight w:val="none"/>
                    </w:rPr>
                  </w:pPr>
                  <w:r>
                    <w:rPr>
                      <w:color w:val="auto"/>
                      <w:highlight w:val="none"/>
                    </w:rPr>
                    <w:t>监测点位</w:t>
                  </w:r>
                </w:p>
              </w:tc>
              <w:tc>
                <w:tcPr>
                  <w:tcW w:w="935" w:type="pct"/>
                  <w:vAlign w:val="center"/>
                </w:tcPr>
                <w:p>
                  <w:pPr>
                    <w:pStyle w:val="57"/>
                    <w:bidi w:val="0"/>
                    <w:rPr>
                      <w:color w:val="auto"/>
                      <w:highlight w:val="none"/>
                    </w:rPr>
                  </w:pPr>
                  <w:r>
                    <w:rPr>
                      <w:color w:val="auto"/>
                      <w:highlight w:val="none"/>
                    </w:rPr>
                    <w:t>监测项目</w:t>
                  </w:r>
                </w:p>
              </w:tc>
              <w:tc>
                <w:tcPr>
                  <w:tcW w:w="1018" w:type="pct"/>
                  <w:vAlign w:val="center"/>
                </w:tcPr>
                <w:p>
                  <w:pPr>
                    <w:pStyle w:val="57"/>
                    <w:bidi w:val="0"/>
                    <w:rPr>
                      <w:color w:val="auto"/>
                      <w:highlight w:val="none"/>
                    </w:rPr>
                  </w:pPr>
                  <w:r>
                    <w:rPr>
                      <w:color w:val="auto"/>
                      <w:highlight w:val="none"/>
                    </w:rPr>
                    <w:t>监测频率</w:t>
                  </w:r>
                </w:p>
              </w:tc>
              <w:tc>
                <w:tcPr>
                  <w:tcW w:w="1857" w:type="pct"/>
                  <w:vAlign w:val="center"/>
                </w:tcPr>
                <w:p>
                  <w:pPr>
                    <w:pStyle w:val="57"/>
                    <w:bidi w:val="0"/>
                    <w:rPr>
                      <w:color w:val="auto"/>
                      <w:highlight w:val="none"/>
                    </w:rPr>
                  </w:pPr>
                  <w:r>
                    <w:rPr>
                      <w:color w:val="auto"/>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297" w:type="pct"/>
                  <w:vAlign w:val="center"/>
                </w:tcPr>
                <w:p>
                  <w:pPr>
                    <w:pStyle w:val="57"/>
                    <w:bidi w:val="0"/>
                    <w:rPr>
                      <w:color w:val="auto"/>
                      <w:highlight w:val="none"/>
                    </w:rPr>
                  </w:pPr>
                  <w:r>
                    <w:rPr>
                      <w:color w:val="auto"/>
                      <w:highlight w:val="none"/>
                    </w:rPr>
                    <w:t>噪声</w:t>
                  </w:r>
                </w:p>
              </w:tc>
              <w:tc>
                <w:tcPr>
                  <w:tcW w:w="891" w:type="pct"/>
                  <w:vAlign w:val="center"/>
                </w:tcPr>
                <w:p>
                  <w:pPr>
                    <w:pStyle w:val="57"/>
                    <w:bidi w:val="0"/>
                    <w:rPr>
                      <w:color w:val="auto"/>
                      <w:highlight w:val="none"/>
                    </w:rPr>
                  </w:pPr>
                  <w:r>
                    <w:rPr>
                      <w:color w:val="auto"/>
                      <w:highlight w:val="none"/>
                    </w:rPr>
                    <w:t>厂界外1m处</w:t>
                  </w:r>
                </w:p>
              </w:tc>
              <w:tc>
                <w:tcPr>
                  <w:tcW w:w="935" w:type="pct"/>
                  <w:vAlign w:val="center"/>
                </w:tcPr>
                <w:p>
                  <w:pPr>
                    <w:pStyle w:val="57"/>
                    <w:bidi w:val="0"/>
                    <w:rPr>
                      <w:color w:val="auto"/>
                      <w:highlight w:val="none"/>
                    </w:rPr>
                  </w:pPr>
                  <w:r>
                    <w:rPr>
                      <w:color w:val="auto"/>
                      <w:highlight w:val="none"/>
                    </w:rPr>
                    <w:t>等效连续A声级</w:t>
                  </w:r>
                </w:p>
              </w:tc>
              <w:tc>
                <w:tcPr>
                  <w:tcW w:w="1018"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每季度监测1次昼间夜间厂界噪声</w:t>
                  </w:r>
                </w:p>
              </w:tc>
              <w:tc>
                <w:tcPr>
                  <w:tcW w:w="1857" w:type="pct"/>
                  <w:vAlign w:val="center"/>
                </w:tcPr>
                <w:p>
                  <w:pPr>
                    <w:pStyle w:val="57"/>
                    <w:bidi w:val="0"/>
                    <w:rPr>
                      <w:color w:val="auto"/>
                      <w:highlight w:val="none"/>
                    </w:rPr>
                  </w:pPr>
                  <w:r>
                    <w:rPr>
                      <w:color w:val="auto"/>
                      <w:highlight w:val="none"/>
                    </w:rPr>
                    <w:t>《工业企业厂界环境噪声排放标准》(GB</w:t>
                  </w:r>
                  <w:r>
                    <w:rPr>
                      <w:rFonts w:hint="eastAsia"/>
                      <w:color w:val="auto"/>
                      <w:highlight w:val="none"/>
                    </w:rPr>
                    <w:t>12348</w:t>
                  </w:r>
                  <w:r>
                    <w:rPr>
                      <w:color w:val="auto"/>
                      <w:highlight w:val="none"/>
                    </w:rPr>
                    <w:t>-2008)</w:t>
                  </w:r>
                  <w:r>
                    <w:rPr>
                      <w:rFonts w:hint="eastAsia"/>
                      <w:color w:val="auto"/>
                      <w:highlight w:val="none"/>
                    </w:rPr>
                    <w:t>2</w:t>
                  </w:r>
                  <w:r>
                    <w:rPr>
                      <w:color w:val="auto"/>
                      <w:highlight w:val="none"/>
                    </w:rPr>
                    <w:t>类标准</w:t>
                  </w:r>
                </w:p>
              </w:tc>
            </w:tr>
          </w:tbl>
          <w:p>
            <w:pPr>
              <w:pStyle w:val="3"/>
              <w:bidi w:val="0"/>
              <w:rPr>
                <w:color w:val="auto"/>
                <w:highlight w:val="none"/>
              </w:rPr>
            </w:pPr>
            <w:r>
              <w:rPr>
                <w:rFonts w:hint="eastAsia"/>
                <w:color w:val="auto"/>
                <w:highlight w:val="none"/>
              </w:rPr>
              <w:t>4.4 固体废物影响分析</w:t>
            </w:r>
          </w:p>
          <w:p>
            <w:pPr>
              <w:pStyle w:val="6"/>
              <w:bidi w:val="0"/>
              <w:rPr>
                <w:color w:val="auto"/>
                <w:highlight w:val="none"/>
              </w:rPr>
            </w:pPr>
            <w:r>
              <w:rPr>
                <w:color w:val="auto"/>
                <w:highlight w:val="none"/>
              </w:rPr>
              <w:t>本项目生产过程中产生的固废主要包括生活垃圾、</w:t>
            </w:r>
            <w:r>
              <w:rPr>
                <w:rFonts w:hint="eastAsia"/>
                <w:color w:val="auto"/>
                <w:highlight w:val="none"/>
              </w:rPr>
              <w:t>一般</w:t>
            </w:r>
            <w:r>
              <w:rPr>
                <w:color w:val="auto"/>
                <w:highlight w:val="none"/>
              </w:rPr>
              <w:t>工业固废</w:t>
            </w:r>
            <w:r>
              <w:rPr>
                <w:rFonts w:hint="eastAsia"/>
                <w:color w:val="auto"/>
                <w:highlight w:val="none"/>
              </w:rPr>
              <w:t>和危险废物</w:t>
            </w:r>
            <w:r>
              <w:rPr>
                <w:color w:val="auto"/>
                <w:highlight w:val="none"/>
              </w:rPr>
              <w:t>。</w:t>
            </w:r>
          </w:p>
          <w:p>
            <w:pPr>
              <w:pStyle w:val="6"/>
              <w:bidi w:val="0"/>
              <w:rPr>
                <w:color w:val="auto"/>
                <w:highlight w:val="none"/>
              </w:rPr>
            </w:pPr>
            <w:r>
              <w:rPr>
                <w:rFonts w:hint="eastAsia"/>
                <w:color w:val="auto"/>
                <w:highlight w:val="none"/>
              </w:rPr>
              <w:t>（1）生活垃圾</w:t>
            </w:r>
          </w:p>
          <w:p>
            <w:pPr>
              <w:pStyle w:val="6"/>
              <w:bidi w:val="0"/>
              <w:rPr>
                <w:color w:val="auto"/>
                <w:highlight w:val="none"/>
              </w:rPr>
            </w:pPr>
            <w:r>
              <w:rPr>
                <w:rFonts w:hint="eastAsia"/>
                <w:color w:val="auto"/>
                <w:highlight w:val="none"/>
              </w:rPr>
              <w:t>本项目生活垃圾产生系数按1.0kg/d·人计，新增劳动定员</w:t>
            </w:r>
            <w:r>
              <w:rPr>
                <w:rFonts w:hint="eastAsia"/>
                <w:color w:val="auto"/>
                <w:highlight w:val="none"/>
                <w:lang w:val="en-US" w:eastAsia="zh-CN"/>
              </w:rPr>
              <w:t>5</w:t>
            </w:r>
            <w:r>
              <w:rPr>
                <w:rFonts w:hint="eastAsia"/>
                <w:color w:val="auto"/>
                <w:highlight w:val="none"/>
              </w:rPr>
              <w:t>人</w:t>
            </w:r>
            <w:r>
              <w:rPr>
                <w:rFonts w:hint="eastAsia"/>
                <w:color w:val="auto"/>
                <w:highlight w:val="none"/>
                <w:lang w:eastAsia="zh-CN"/>
              </w:rPr>
              <w:t>，</w:t>
            </w:r>
            <w:r>
              <w:rPr>
                <w:rFonts w:hint="eastAsia"/>
                <w:color w:val="auto"/>
                <w:highlight w:val="none"/>
                <w:lang w:val="en-US" w:eastAsia="zh-CN"/>
              </w:rPr>
              <w:t>年运行天数300d，则</w:t>
            </w:r>
            <w:r>
              <w:rPr>
                <w:rFonts w:hint="eastAsia"/>
                <w:color w:val="auto"/>
                <w:highlight w:val="none"/>
              </w:rPr>
              <w:t>生活垃圾产生量为</w:t>
            </w:r>
            <w:r>
              <w:rPr>
                <w:rFonts w:hint="eastAsia"/>
                <w:color w:val="auto"/>
                <w:highlight w:val="none"/>
                <w:lang w:val="en-US" w:eastAsia="zh-CN"/>
              </w:rPr>
              <w:t>1.5</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分类</w:t>
            </w:r>
            <w:r>
              <w:rPr>
                <w:rFonts w:hint="eastAsia"/>
                <w:color w:val="auto"/>
                <w:highlight w:val="none"/>
              </w:rPr>
              <w:t>收集交由环卫部门</w:t>
            </w:r>
            <w:r>
              <w:rPr>
                <w:rFonts w:hint="eastAsia"/>
                <w:color w:val="auto"/>
                <w:highlight w:val="none"/>
                <w:lang w:val="en-US" w:eastAsia="zh-CN"/>
              </w:rPr>
              <w:t>处置</w:t>
            </w:r>
            <w:r>
              <w:rPr>
                <w:rFonts w:hint="eastAsia"/>
                <w:color w:val="auto"/>
                <w:highlight w:val="none"/>
              </w:rPr>
              <w:t>。</w:t>
            </w:r>
          </w:p>
          <w:p>
            <w:pPr>
              <w:pStyle w:val="6"/>
              <w:bidi w:val="0"/>
              <w:rPr>
                <w:color w:val="auto"/>
                <w:highlight w:val="none"/>
              </w:rPr>
            </w:pPr>
            <w:r>
              <w:rPr>
                <w:rFonts w:hint="eastAsia"/>
                <w:color w:val="auto"/>
                <w:highlight w:val="none"/>
              </w:rPr>
              <w:t>（2）一般工业固废</w:t>
            </w:r>
          </w:p>
          <w:p>
            <w:pPr>
              <w:pStyle w:val="6"/>
              <w:bidi w:val="0"/>
              <w:rPr>
                <w:color w:val="auto"/>
                <w:highlight w:val="none"/>
              </w:rPr>
            </w:pPr>
            <w:r>
              <w:rPr>
                <w:rFonts w:hint="eastAsia"/>
                <w:color w:val="auto"/>
                <w:highlight w:val="none"/>
              </w:rPr>
              <w:t>本项目</w:t>
            </w:r>
            <w:r>
              <w:rPr>
                <w:rFonts w:hint="eastAsia"/>
                <w:color w:val="auto"/>
                <w:highlight w:val="none"/>
                <w:lang w:val="en-US" w:eastAsia="zh-CN"/>
              </w:rPr>
              <w:t>运营期</w:t>
            </w:r>
            <w:r>
              <w:rPr>
                <w:rFonts w:hint="eastAsia"/>
                <w:color w:val="auto"/>
                <w:highlight w:val="none"/>
              </w:rPr>
              <w:t>一般工业固废主要为</w:t>
            </w:r>
            <w:r>
              <w:rPr>
                <w:rFonts w:hint="eastAsia"/>
                <w:color w:val="auto"/>
                <w:highlight w:val="none"/>
                <w:lang w:val="en-US" w:eastAsia="zh-CN"/>
              </w:rPr>
              <w:t>不合格产品、旋风除尘器和布袋除尘器收尘以及废布袋。</w:t>
            </w:r>
          </w:p>
          <w:p>
            <w:pPr>
              <w:pStyle w:val="6"/>
              <w:bidi w:val="0"/>
              <w:rPr>
                <w:rFonts w:hint="eastAsia"/>
                <w:color w:val="auto"/>
                <w:highlight w:val="none"/>
                <w:lang w:val="en-US" w:eastAsia="zh-CN"/>
              </w:rPr>
            </w:pPr>
            <w:r>
              <w:rPr>
                <w:rFonts w:hint="eastAsia"/>
                <w:color w:val="auto"/>
                <w:highlight w:val="none"/>
                <w:lang w:val="en-US" w:eastAsia="zh-CN"/>
              </w:rPr>
              <w:t>不合格产品作为原料回用；根据上文可知，干燥器废气颗粒物产生量为87t/a，旋风除尘器颗粒物处理效率按80%计算，则旋风除尘器收尘量为69.6t/a，作为原料回用；经旋风除尘器处理的废气颗粒物含量为17.4t/a，布袋除尘器颗粒物处理效率按99%计算，则布袋除尘器收尘量为17.23t/a，作为原料回用。</w:t>
            </w:r>
          </w:p>
          <w:p>
            <w:pPr>
              <w:pStyle w:val="6"/>
              <w:bidi w:val="0"/>
              <w:rPr>
                <w:rFonts w:hint="default"/>
                <w:color w:val="auto"/>
                <w:highlight w:val="none"/>
                <w:lang w:val="en-US" w:eastAsia="zh-CN"/>
              </w:rPr>
            </w:pPr>
            <w:r>
              <w:rPr>
                <w:rFonts w:hint="eastAsia"/>
                <w:color w:val="auto"/>
                <w:highlight w:val="none"/>
                <w:lang w:val="en-US" w:eastAsia="zh-CN"/>
              </w:rPr>
              <w:t>布袋除尘器按照1年更换1次，每次0.04t/次，则废布袋产生量为0.04t/a，根据《固体废物分类与代码目录》(公告2024年第4号)，这些粉尘属于“SW59 其他工业固体废物 非特定行业，</w:t>
            </w:r>
            <w:r>
              <w:rPr>
                <w:rFonts w:hint="default"/>
                <w:color w:val="auto"/>
                <w:highlight w:val="none"/>
                <w:lang w:val="en-US" w:eastAsia="zh-CN"/>
              </w:rPr>
              <w:t>废物代码为</w:t>
            </w:r>
            <w:r>
              <w:rPr>
                <w:rFonts w:hint="eastAsia"/>
                <w:color w:val="auto"/>
                <w:highlight w:val="none"/>
                <w:lang w:val="en-US" w:eastAsia="zh-CN"/>
              </w:rPr>
              <w:t>900-099-S59，定期更换后由厂家回收。</w:t>
            </w:r>
          </w:p>
          <w:p>
            <w:pPr>
              <w:pStyle w:val="6"/>
              <w:bidi w:val="0"/>
              <w:rPr>
                <w:color w:val="auto"/>
                <w:highlight w:val="none"/>
              </w:rPr>
            </w:pPr>
            <w:r>
              <w:rPr>
                <w:rFonts w:hint="eastAsia"/>
                <w:color w:val="auto"/>
                <w:highlight w:val="none"/>
              </w:rPr>
              <w:t>（3）危险废物</w:t>
            </w:r>
          </w:p>
          <w:p>
            <w:pPr>
              <w:pStyle w:val="6"/>
              <w:bidi w:val="0"/>
              <w:rPr>
                <w:color w:val="auto"/>
                <w:highlight w:val="none"/>
              </w:rPr>
            </w:pPr>
            <w:r>
              <w:rPr>
                <w:rFonts w:hint="eastAsia"/>
                <w:color w:val="auto"/>
                <w:highlight w:val="none"/>
              </w:rPr>
              <w:t>项目机械设备等维护会产生</w:t>
            </w:r>
            <w:r>
              <w:rPr>
                <w:rFonts w:hint="eastAsia"/>
                <w:color w:val="auto"/>
                <w:highlight w:val="none"/>
                <w:lang w:eastAsia="zh-CN"/>
              </w:rPr>
              <w:t>废润滑油</w:t>
            </w:r>
            <w:r>
              <w:rPr>
                <w:rFonts w:hint="eastAsia"/>
                <w:color w:val="auto"/>
                <w:highlight w:val="none"/>
              </w:rPr>
              <w:t>，</w:t>
            </w:r>
            <w:r>
              <w:rPr>
                <w:rFonts w:hint="eastAsia"/>
                <w:color w:val="auto"/>
                <w:highlight w:val="none"/>
                <w:lang w:eastAsia="zh-CN"/>
              </w:rPr>
              <w:t>废润滑油</w:t>
            </w:r>
            <w:r>
              <w:rPr>
                <w:rFonts w:hint="eastAsia"/>
                <w:color w:val="auto"/>
                <w:highlight w:val="none"/>
              </w:rPr>
              <w:t>产生量约0.</w:t>
            </w:r>
            <w:r>
              <w:rPr>
                <w:rFonts w:hint="eastAsia"/>
                <w:color w:val="auto"/>
                <w:highlight w:val="none"/>
                <w:lang w:val="en-US" w:eastAsia="zh-CN"/>
              </w:rPr>
              <w:t>1</w:t>
            </w:r>
            <w:r>
              <w:rPr>
                <w:rFonts w:hint="eastAsia"/>
                <w:color w:val="auto"/>
                <w:highlight w:val="none"/>
              </w:rPr>
              <w:t>t/a，根据《国家危险废物名录（202</w:t>
            </w:r>
            <w:r>
              <w:rPr>
                <w:rFonts w:hint="eastAsia"/>
                <w:color w:val="auto"/>
                <w:highlight w:val="none"/>
                <w:lang w:val="en-US" w:eastAsia="zh-CN"/>
              </w:rPr>
              <w:t>5</w:t>
            </w:r>
            <w:r>
              <w:rPr>
                <w:rFonts w:hint="eastAsia"/>
                <w:color w:val="auto"/>
                <w:highlight w:val="none"/>
              </w:rPr>
              <w:t>年版）》，属于危险废物</w:t>
            </w:r>
            <w:r>
              <w:rPr>
                <w:rFonts w:hint="default"/>
                <w:color w:val="auto"/>
                <w:highlight w:val="none"/>
                <w:lang w:val="en-US" w:eastAsia="zh-CN"/>
              </w:rPr>
              <w:t>HW08废矿物油与含矿物油废物，废物代码为900-214-08</w:t>
            </w:r>
            <w:r>
              <w:rPr>
                <w:rFonts w:hint="eastAsia"/>
                <w:color w:val="auto"/>
                <w:highlight w:val="none"/>
              </w:rPr>
              <w:t>“使用工业齿轮油进行机械设备润滑过程中产生的废润滑油”，依托</w:t>
            </w:r>
            <w:r>
              <w:rPr>
                <w:rFonts w:hint="eastAsia"/>
                <w:color w:val="auto"/>
                <w:highlight w:val="none"/>
                <w:lang w:eastAsia="zh-CN"/>
              </w:rPr>
              <w:t>现有工程危险废物贮存点</w:t>
            </w:r>
            <w:r>
              <w:rPr>
                <w:rFonts w:hint="eastAsia"/>
                <w:color w:val="auto"/>
                <w:highlight w:val="none"/>
              </w:rPr>
              <w:t>暂存，定期由</w:t>
            </w:r>
            <w:r>
              <w:rPr>
                <w:rFonts w:hint="eastAsia"/>
                <w:color w:val="auto"/>
                <w:highlight w:val="none"/>
                <w:lang w:eastAsia="zh-CN"/>
              </w:rPr>
              <w:t>库尔勒速润再生物资利用回收有限公司</w:t>
            </w:r>
            <w:r>
              <w:rPr>
                <w:rFonts w:hint="eastAsia"/>
                <w:color w:val="auto"/>
                <w:highlight w:val="none"/>
                <w:lang w:val="en-US" w:eastAsia="zh-CN"/>
              </w:rPr>
              <w:t>处置</w:t>
            </w:r>
            <w:r>
              <w:rPr>
                <w:rFonts w:hint="eastAsia"/>
                <w:color w:val="auto"/>
                <w:highlight w:val="none"/>
              </w:rPr>
              <w:t>。</w:t>
            </w:r>
          </w:p>
          <w:p>
            <w:pPr>
              <w:pStyle w:val="6"/>
              <w:bidi w:val="0"/>
              <w:rPr>
                <w:color w:val="auto"/>
                <w:highlight w:val="none"/>
              </w:rPr>
            </w:pPr>
            <w:r>
              <w:rPr>
                <w:rFonts w:hint="eastAsia"/>
                <w:color w:val="auto"/>
                <w:highlight w:val="none"/>
                <w:lang w:eastAsia="zh-CN"/>
              </w:rPr>
              <w:t>现有工程危险废物贮存点</w:t>
            </w:r>
            <w:r>
              <w:rPr>
                <w:rFonts w:hint="eastAsia"/>
                <w:color w:val="auto"/>
                <w:highlight w:val="none"/>
              </w:rPr>
              <w:t>于2021年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13</w:t>
            </w:r>
            <w:r>
              <w:rPr>
                <w:rFonts w:hint="eastAsia"/>
                <w:color w:val="auto"/>
                <w:highlight w:val="none"/>
              </w:rPr>
              <w:t>日完成自主竣工环境保护验收，占地为</w:t>
            </w:r>
            <w:r>
              <w:rPr>
                <w:rFonts w:hint="eastAsia"/>
                <w:color w:val="auto"/>
                <w:highlight w:val="none"/>
                <w:lang w:val="en-US" w:eastAsia="zh-CN"/>
              </w:rPr>
              <w:t>1</w:t>
            </w:r>
            <w:r>
              <w:rPr>
                <w:rFonts w:hint="eastAsia"/>
                <w:color w:val="auto"/>
                <w:highlight w:val="none"/>
              </w:rPr>
              <w:t>8m</w:t>
            </w:r>
            <w:r>
              <w:rPr>
                <w:rFonts w:hint="eastAsia"/>
                <w:color w:val="auto"/>
                <w:highlight w:val="none"/>
                <w:vertAlign w:val="superscript"/>
              </w:rPr>
              <w:t>2</w:t>
            </w:r>
            <w:r>
              <w:rPr>
                <w:rFonts w:hint="eastAsia"/>
                <w:color w:val="auto"/>
                <w:highlight w:val="none"/>
              </w:rPr>
              <w:t>，本项目实施后全厂</w:t>
            </w:r>
            <w:r>
              <w:rPr>
                <w:rFonts w:hint="eastAsia"/>
                <w:color w:val="auto"/>
                <w:highlight w:val="none"/>
                <w:lang w:eastAsia="zh-CN"/>
              </w:rPr>
              <w:t>废润滑油</w:t>
            </w:r>
            <w:r>
              <w:rPr>
                <w:rFonts w:hint="eastAsia"/>
                <w:color w:val="auto"/>
                <w:highlight w:val="none"/>
              </w:rPr>
              <w:t>产量合计为0.</w:t>
            </w:r>
            <w:r>
              <w:rPr>
                <w:rFonts w:hint="eastAsia"/>
                <w:color w:val="auto"/>
                <w:highlight w:val="none"/>
                <w:lang w:val="en-US" w:eastAsia="zh-CN"/>
              </w:rPr>
              <w:t>2</w:t>
            </w:r>
            <w:r>
              <w:rPr>
                <w:rFonts w:hint="eastAsia"/>
                <w:color w:val="auto"/>
                <w:highlight w:val="none"/>
              </w:rPr>
              <w:t>t/a（</w:t>
            </w:r>
            <w:r>
              <w:rPr>
                <w:rFonts w:hint="eastAsia"/>
                <w:color w:val="auto"/>
                <w:highlight w:val="none"/>
                <w:lang w:eastAsia="zh-CN"/>
              </w:rPr>
              <w:t>现有工程</w:t>
            </w:r>
            <w:r>
              <w:rPr>
                <w:rFonts w:hint="eastAsia"/>
                <w:color w:val="auto"/>
                <w:highlight w:val="none"/>
              </w:rPr>
              <w:t>0.</w:t>
            </w:r>
            <w:r>
              <w:rPr>
                <w:rFonts w:hint="eastAsia"/>
                <w:color w:val="auto"/>
                <w:highlight w:val="none"/>
                <w:lang w:val="en-US" w:eastAsia="zh-CN"/>
              </w:rPr>
              <w:t>1</w:t>
            </w:r>
            <w:r>
              <w:rPr>
                <w:rFonts w:hint="eastAsia"/>
                <w:color w:val="auto"/>
                <w:highlight w:val="none"/>
              </w:rPr>
              <w:t>t/a，本项目0.</w:t>
            </w:r>
            <w:r>
              <w:rPr>
                <w:rFonts w:hint="eastAsia"/>
                <w:color w:val="auto"/>
                <w:highlight w:val="none"/>
                <w:lang w:val="en-US" w:eastAsia="zh-CN"/>
              </w:rPr>
              <w:t>1</w:t>
            </w:r>
            <w:r>
              <w:rPr>
                <w:rFonts w:hint="eastAsia"/>
                <w:color w:val="auto"/>
                <w:highlight w:val="none"/>
              </w:rPr>
              <w:t>t/a），</w:t>
            </w:r>
            <w:r>
              <w:rPr>
                <w:rFonts w:hint="eastAsia"/>
                <w:color w:val="auto"/>
                <w:highlight w:val="none"/>
                <w:lang w:eastAsia="zh-CN"/>
              </w:rPr>
              <w:t>废润滑油</w:t>
            </w:r>
            <w:r>
              <w:rPr>
                <w:rFonts w:hint="eastAsia"/>
                <w:color w:val="auto"/>
                <w:highlight w:val="none"/>
              </w:rPr>
              <w:t>桶装后置于</w:t>
            </w:r>
            <w:r>
              <w:rPr>
                <w:rFonts w:hint="eastAsia"/>
                <w:color w:val="auto"/>
                <w:highlight w:val="none"/>
                <w:lang w:eastAsia="zh-CN"/>
              </w:rPr>
              <w:t>危险废物贮存点</w:t>
            </w:r>
            <w:r>
              <w:rPr>
                <w:rFonts w:hint="eastAsia"/>
                <w:color w:val="auto"/>
                <w:highlight w:val="none"/>
              </w:rPr>
              <w:t>托盘内，并设有标识，满足《危险废物贮存污染控制标准》（</w:t>
            </w:r>
            <w:r>
              <w:rPr>
                <w:color w:val="auto"/>
                <w:highlight w:val="none"/>
              </w:rPr>
              <w:t>GB18597-2023</w:t>
            </w:r>
            <w:r>
              <w:rPr>
                <w:rFonts w:hint="eastAsia"/>
                <w:color w:val="auto"/>
                <w:highlight w:val="none"/>
              </w:rPr>
              <w:t>）要求，可满足本项目</w:t>
            </w:r>
            <w:r>
              <w:rPr>
                <w:rFonts w:hint="eastAsia"/>
                <w:color w:val="auto"/>
                <w:highlight w:val="none"/>
                <w:lang w:eastAsia="zh-CN"/>
              </w:rPr>
              <w:t>废润滑油</w:t>
            </w:r>
            <w:r>
              <w:rPr>
                <w:rFonts w:hint="eastAsia"/>
                <w:color w:val="auto"/>
                <w:highlight w:val="none"/>
              </w:rPr>
              <w:t>的暂存要求。</w:t>
            </w:r>
          </w:p>
          <w:p>
            <w:pPr>
              <w:pStyle w:val="37"/>
              <w:rPr>
                <w:color w:val="auto"/>
                <w:highlight w:val="none"/>
              </w:rPr>
            </w:pPr>
            <w:r>
              <w:rPr>
                <w:rFonts w:hint="eastAsia"/>
                <w:color w:val="auto"/>
                <w:highlight w:val="none"/>
              </w:rPr>
              <w:t>表4.4-1  项目</w:t>
            </w:r>
            <w:r>
              <w:rPr>
                <w:rFonts w:hint="eastAsia"/>
                <w:color w:val="auto"/>
                <w:highlight w:val="none"/>
                <w:lang w:val="en-US" w:eastAsia="zh-CN"/>
              </w:rPr>
              <w:t>固体废物产生及处置情况</w:t>
            </w:r>
            <w:r>
              <w:rPr>
                <w:rFonts w:hint="eastAsia"/>
                <w:color w:val="auto"/>
                <w:highlight w:val="none"/>
              </w:rPr>
              <w:t>一览表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669"/>
              <w:gridCol w:w="877"/>
              <w:gridCol w:w="770"/>
              <w:gridCol w:w="1121"/>
              <w:gridCol w:w="769"/>
              <w:gridCol w:w="837"/>
              <w:gridCol w:w="510"/>
              <w:gridCol w:w="705"/>
              <w:gridCol w:w="648"/>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18" w:type="pct"/>
                  <w:tcBorders>
                    <w:tl2br w:val="nil"/>
                    <w:tr2bl w:val="nil"/>
                  </w:tcBorders>
                  <w:noWrap w:val="0"/>
                  <w:vAlign w:val="center"/>
                </w:tcPr>
                <w:p>
                  <w:pPr>
                    <w:pStyle w:val="58"/>
                    <w:bidi w:val="0"/>
                    <w:rPr>
                      <w:rFonts w:hint="default"/>
                      <w:color w:val="auto"/>
                      <w:highlight w:val="none"/>
                      <w:lang w:eastAsia="zh-CN"/>
                    </w:rPr>
                  </w:pPr>
                  <w:r>
                    <w:rPr>
                      <w:rFonts w:hint="default"/>
                      <w:color w:val="auto"/>
                      <w:highlight w:val="none"/>
                      <w:lang w:eastAsia="zh-CN"/>
                    </w:rPr>
                    <w:t>序号</w:t>
                  </w:r>
                </w:p>
              </w:tc>
              <w:tc>
                <w:tcPr>
                  <w:tcW w:w="399" w:type="pc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rPr>
                    <w:t>产污环节</w:t>
                  </w:r>
                </w:p>
              </w:tc>
              <w:tc>
                <w:tcPr>
                  <w:tcW w:w="523" w:type="pct"/>
                  <w:tcBorders>
                    <w:tl2br w:val="nil"/>
                    <w:tr2bl w:val="nil"/>
                  </w:tcBorders>
                  <w:noWrap w:val="0"/>
                  <w:vAlign w:val="center"/>
                </w:tcPr>
                <w:p>
                  <w:pPr>
                    <w:pStyle w:val="58"/>
                    <w:bidi w:val="0"/>
                    <w:rPr>
                      <w:rFonts w:hint="default"/>
                      <w:color w:val="auto"/>
                      <w:highlight w:val="none"/>
                    </w:rPr>
                  </w:pPr>
                  <w:r>
                    <w:rPr>
                      <w:rFonts w:hint="default"/>
                      <w:color w:val="auto"/>
                      <w:highlight w:val="none"/>
                    </w:rPr>
                    <w:t>废物名称</w:t>
                  </w:r>
                </w:p>
              </w:tc>
              <w:tc>
                <w:tcPr>
                  <w:tcW w:w="459" w:type="pct"/>
                  <w:tcBorders>
                    <w:tl2br w:val="nil"/>
                    <w:tr2bl w:val="nil"/>
                  </w:tcBorders>
                  <w:noWrap w:val="0"/>
                  <w:vAlign w:val="center"/>
                </w:tcPr>
                <w:p>
                  <w:pPr>
                    <w:pStyle w:val="58"/>
                    <w:bidi w:val="0"/>
                    <w:rPr>
                      <w:rFonts w:hint="default"/>
                      <w:color w:val="auto"/>
                      <w:highlight w:val="none"/>
                    </w:rPr>
                  </w:pPr>
                  <w:r>
                    <w:rPr>
                      <w:rFonts w:hint="default"/>
                      <w:color w:val="auto"/>
                      <w:highlight w:val="none"/>
                    </w:rPr>
                    <w:t>固体废物类别</w:t>
                  </w:r>
                </w:p>
              </w:tc>
              <w:tc>
                <w:tcPr>
                  <w:tcW w:w="668" w:type="pct"/>
                  <w:tcBorders>
                    <w:tl2br w:val="nil"/>
                    <w:tr2bl w:val="nil"/>
                  </w:tcBorders>
                  <w:noWrap w:val="0"/>
                  <w:vAlign w:val="center"/>
                </w:tcPr>
                <w:p>
                  <w:pPr>
                    <w:pStyle w:val="58"/>
                    <w:bidi w:val="0"/>
                    <w:rPr>
                      <w:rFonts w:hint="default"/>
                      <w:color w:val="auto"/>
                      <w:highlight w:val="none"/>
                    </w:rPr>
                  </w:pPr>
                  <w:r>
                    <w:rPr>
                      <w:rFonts w:hint="eastAsia"/>
                      <w:color w:val="auto"/>
                      <w:highlight w:val="none"/>
                      <w:lang w:val="en-US" w:eastAsia="zh-CN"/>
                    </w:rPr>
                    <w:t>固废代码/</w:t>
                  </w:r>
                  <w:r>
                    <w:rPr>
                      <w:rFonts w:hint="default"/>
                      <w:color w:val="auto"/>
                      <w:highlight w:val="none"/>
                    </w:rPr>
                    <w:t>危废类别及代码</w:t>
                  </w:r>
                </w:p>
              </w:tc>
              <w:tc>
                <w:tcPr>
                  <w:tcW w:w="458" w:type="pct"/>
                  <w:tcBorders>
                    <w:tl2br w:val="nil"/>
                    <w:tr2bl w:val="nil"/>
                  </w:tcBorders>
                  <w:noWrap w:val="0"/>
                  <w:vAlign w:val="center"/>
                </w:tcPr>
                <w:p>
                  <w:pPr>
                    <w:pStyle w:val="58"/>
                    <w:bidi w:val="0"/>
                    <w:rPr>
                      <w:rFonts w:hint="default"/>
                      <w:color w:val="auto"/>
                      <w:highlight w:val="none"/>
                    </w:rPr>
                  </w:pPr>
                  <w:r>
                    <w:rPr>
                      <w:rFonts w:hint="default"/>
                      <w:color w:val="auto"/>
                      <w:highlight w:val="none"/>
                    </w:rPr>
                    <w:t>产生量（吨）</w:t>
                  </w:r>
                </w:p>
              </w:tc>
              <w:tc>
                <w:tcPr>
                  <w:tcW w:w="499" w:type="pct"/>
                  <w:tcBorders>
                    <w:tl2br w:val="nil"/>
                    <w:tr2bl w:val="nil"/>
                  </w:tcBorders>
                  <w:noWrap w:val="0"/>
                  <w:vAlign w:val="center"/>
                </w:tcPr>
                <w:p>
                  <w:pPr>
                    <w:pStyle w:val="58"/>
                    <w:bidi w:val="0"/>
                    <w:rPr>
                      <w:rFonts w:hint="default"/>
                      <w:color w:val="auto"/>
                      <w:highlight w:val="none"/>
                    </w:rPr>
                  </w:pPr>
                  <w:r>
                    <w:rPr>
                      <w:rFonts w:hint="default"/>
                      <w:color w:val="auto"/>
                      <w:highlight w:val="none"/>
                    </w:rPr>
                    <w:t>产生装置或工序</w:t>
                  </w:r>
                </w:p>
              </w:tc>
              <w:tc>
                <w:tcPr>
                  <w:tcW w:w="304" w:type="pct"/>
                  <w:tcBorders>
                    <w:tl2br w:val="nil"/>
                    <w:tr2bl w:val="nil"/>
                  </w:tcBorders>
                  <w:noWrap w:val="0"/>
                  <w:vAlign w:val="center"/>
                </w:tcPr>
                <w:p>
                  <w:pPr>
                    <w:pStyle w:val="58"/>
                    <w:bidi w:val="0"/>
                    <w:rPr>
                      <w:rFonts w:hint="default"/>
                      <w:color w:val="auto"/>
                      <w:highlight w:val="none"/>
                    </w:rPr>
                  </w:pPr>
                  <w:r>
                    <w:rPr>
                      <w:rFonts w:hint="default"/>
                      <w:color w:val="auto"/>
                      <w:highlight w:val="none"/>
                    </w:rPr>
                    <w:t>形态</w:t>
                  </w:r>
                </w:p>
              </w:tc>
              <w:tc>
                <w:tcPr>
                  <w:tcW w:w="420" w:type="pct"/>
                  <w:tcBorders>
                    <w:tl2br w:val="nil"/>
                    <w:tr2bl w:val="nil"/>
                  </w:tcBorders>
                  <w:noWrap w:val="0"/>
                  <w:vAlign w:val="center"/>
                </w:tcPr>
                <w:p>
                  <w:pPr>
                    <w:pStyle w:val="58"/>
                    <w:bidi w:val="0"/>
                    <w:rPr>
                      <w:rFonts w:hint="default"/>
                      <w:color w:val="auto"/>
                      <w:highlight w:val="none"/>
                    </w:rPr>
                  </w:pPr>
                  <w:r>
                    <w:rPr>
                      <w:rFonts w:hint="default"/>
                      <w:color w:val="auto"/>
                      <w:highlight w:val="none"/>
                    </w:rPr>
                    <w:t>主要成分</w:t>
                  </w:r>
                </w:p>
              </w:tc>
              <w:tc>
                <w:tcPr>
                  <w:tcW w:w="386" w:type="pct"/>
                  <w:tcBorders>
                    <w:tl2br w:val="nil"/>
                    <w:tr2bl w:val="nil"/>
                  </w:tcBorders>
                  <w:noWrap w:val="0"/>
                  <w:vAlign w:val="center"/>
                </w:tcPr>
                <w:p>
                  <w:pPr>
                    <w:pStyle w:val="58"/>
                    <w:bidi w:val="0"/>
                    <w:rPr>
                      <w:rFonts w:hint="default"/>
                      <w:color w:val="auto"/>
                      <w:highlight w:val="none"/>
                    </w:rPr>
                  </w:pPr>
                  <w:r>
                    <w:rPr>
                      <w:rFonts w:hint="default"/>
                      <w:color w:val="auto"/>
                      <w:highlight w:val="none"/>
                    </w:rPr>
                    <w:t>危险</w:t>
                  </w:r>
                </w:p>
                <w:p>
                  <w:pPr>
                    <w:pStyle w:val="58"/>
                    <w:bidi w:val="0"/>
                    <w:rPr>
                      <w:rFonts w:hint="default"/>
                      <w:color w:val="auto"/>
                      <w:highlight w:val="none"/>
                    </w:rPr>
                  </w:pPr>
                  <w:r>
                    <w:rPr>
                      <w:rFonts w:hint="default"/>
                      <w:color w:val="auto"/>
                      <w:highlight w:val="none"/>
                    </w:rPr>
                    <w:t>特性</w:t>
                  </w:r>
                </w:p>
              </w:tc>
              <w:tc>
                <w:tcPr>
                  <w:tcW w:w="662" w:type="pct"/>
                  <w:tcBorders>
                    <w:tl2br w:val="nil"/>
                    <w:tr2bl w:val="nil"/>
                  </w:tcBorders>
                  <w:noWrap w:val="0"/>
                  <w:vAlign w:val="center"/>
                </w:tcPr>
                <w:p>
                  <w:pPr>
                    <w:pStyle w:val="58"/>
                    <w:bidi w:val="0"/>
                    <w:rPr>
                      <w:rFonts w:hint="default"/>
                      <w:color w:val="auto"/>
                      <w:highlight w:val="none"/>
                    </w:rPr>
                  </w:pPr>
                  <w:r>
                    <w:rPr>
                      <w:rFonts w:hint="default"/>
                      <w:color w:val="auto"/>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1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1</w:t>
                  </w:r>
                </w:p>
              </w:tc>
              <w:tc>
                <w:tcPr>
                  <w:tcW w:w="399" w:type="pct"/>
                  <w:tcBorders>
                    <w:tl2br w:val="nil"/>
                    <w:tr2bl w:val="nil"/>
                  </w:tcBorders>
                  <w:noWrap w:val="0"/>
                  <w:vAlign w:val="center"/>
                </w:tcPr>
                <w:p>
                  <w:pPr>
                    <w:pStyle w:val="58"/>
                    <w:bidi w:val="0"/>
                    <w:rPr>
                      <w:rFonts w:hint="eastAsia" w:eastAsia="宋体"/>
                      <w:color w:val="auto"/>
                      <w:highlight w:val="none"/>
                      <w:lang w:val="en-US" w:eastAsia="zh-CN"/>
                    </w:rPr>
                  </w:pPr>
                  <w:r>
                    <w:rPr>
                      <w:rFonts w:hint="eastAsia"/>
                      <w:color w:val="auto"/>
                      <w:highlight w:val="none"/>
                      <w:lang w:val="en-US" w:eastAsia="zh-CN"/>
                    </w:rPr>
                    <w:t>工艺</w:t>
                  </w:r>
                </w:p>
              </w:tc>
              <w:tc>
                <w:tcPr>
                  <w:tcW w:w="523" w:type="pct"/>
                  <w:tcBorders>
                    <w:tl2br w:val="nil"/>
                    <w:tr2bl w:val="nil"/>
                  </w:tcBorders>
                  <w:noWrap w:val="0"/>
                  <w:vAlign w:val="center"/>
                </w:tcPr>
                <w:p>
                  <w:pPr>
                    <w:pStyle w:val="58"/>
                    <w:bidi w:val="0"/>
                    <w:rPr>
                      <w:rFonts w:hint="default" w:eastAsia="宋体"/>
                      <w:color w:val="auto"/>
                      <w:highlight w:val="none"/>
                      <w:lang w:val="en-US" w:eastAsia="zh-CN"/>
                    </w:rPr>
                  </w:pPr>
                  <w:r>
                    <w:rPr>
                      <w:rFonts w:hint="eastAsia"/>
                      <w:color w:val="auto"/>
                      <w:highlight w:val="none"/>
                      <w:lang w:val="en-US" w:eastAsia="zh-CN"/>
                    </w:rPr>
                    <w:t>不合格产品</w:t>
                  </w:r>
                </w:p>
              </w:tc>
              <w:tc>
                <w:tcPr>
                  <w:tcW w:w="459" w:type="pct"/>
                  <w:tcBorders>
                    <w:tl2br w:val="nil"/>
                    <w:tr2bl w:val="nil"/>
                  </w:tcBorders>
                  <w:noWrap w:val="0"/>
                  <w:vAlign w:val="center"/>
                </w:tcPr>
                <w:p>
                  <w:pPr>
                    <w:pStyle w:val="58"/>
                    <w:bidi w:val="0"/>
                    <w:rPr>
                      <w:rFonts w:hint="default"/>
                      <w:color w:val="auto"/>
                      <w:highlight w:val="none"/>
                    </w:rPr>
                  </w:pPr>
                  <w:r>
                    <w:rPr>
                      <w:rFonts w:hint="default"/>
                      <w:color w:val="auto"/>
                      <w:highlight w:val="none"/>
                    </w:rPr>
                    <w:t>一般固废</w:t>
                  </w:r>
                </w:p>
              </w:tc>
              <w:tc>
                <w:tcPr>
                  <w:tcW w:w="66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w:t>
                  </w:r>
                </w:p>
              </w:tc>
              <w:tc>
                <w:tcPr>
                  <w:tcW w:w="458" w:type="pct"/>
                  <w:tcBorders>
                    <w:tl2br w:val="nil"/>
                    <w:tr2bl w:val="nil"/>
                  </w:tcBorders>
                  <w:noWrap w:val="0"/>
                  <w:vAlign w:val="center"/>
                </w:tcPr>
                <w:p>
                  <w:pPr>
                    <w:pStyle w:val="58"/>
                    <w:bidi w:val="0"/>
                    <w:rPr>
                      <w:rFonts w:hint="eastAsia" w:eastAsia="宋体"/>
                      <w:color w:val="auto"/>
                      <w:highlight w:val="none"/>
                      <w:lang w:val="en-US" w:eastAsia="zh-CN"/>
                    </w:rPr>
                  </w:pPr>
                  <w:r>
                    <w:rPr>
                      <w:rFonts w:hint="eastAsia"/>
                      <w:color w:val="auto"/>
                      <w:highlight w:val="none"/>
                      <w:lang w:val="en-US" w:eastAsia="zh-CN"/>
                    </w:rPr>
                    <w:t>/</w:t>
                  </w:r>
                </w:p>
              </w:tc>
              <w:tc>
                <w:tcPr>
                  <w:tcW w:w="499" w:type="pct"/>
                  <w:tcBorders>
                    <w:tl2br w:val="nil"/>
                    <w:tr2bl w:val="nil"/>
                  </w:tcBorders>
                  <w:noWrap w:val="0"/>
                  <w:vAlign w:val="center"/>
                </w:tcPr>
                <w:p>
                  <w:pPr>
                    <w:pStyle w:val="58"/>
                    <w:bidi w:val="0"/>
                    <w:rPr>
                      <w:rFonts w:hint="default"/>
                      <w:color w:val="auto"/>
                      <w:highlight w:val="none"/>
                    </w:rPr>
                  </w:pPr>
                  <w:r>
                    <w:rPr>
                      <w:rFonts w:hint="eastAsia"/>
                      <w:color w:val="auto"/>
                      <w:highlight w:val="none"/>
                      <w:lang w:val="en-US" w:eastAsia="zh-CN"/>
                    </w:rPr>
                    <w:t>/</w:t>
                  </w:r>
                </w:p>
              </w:tc>
              <w:tc>
                <w:tcPr>
                  <w:tcW w:w="304" w:type="pct"/>
                  <w:tcBorders>
                    <w:tl2br w:val="nil"/>
                    <w:tr2bl w:val="nil"/>
                  </w:tcBorders>
                  <w:noWrap w:val="0"/>
                  <w:vAlign w:val="center"/>
                </w:tcPr>
                <w:p>
                  <w:pPr>
                    <w:pStyle w:val="58"/>
                    <w:bidi w:val="0"/>
                    <w:rPr>
                      <w:rFonts w:hint="eastAsia" w:eastAsia="宋体"/>
                      <w:color w:val="auto"/>
                      <w:highlight w:val="none"/>
                      <w:lang w:val="en-US" w:eastAsia="zh-CN"/>
                    </w:rPr>
                  </w:pPr>
                  <w:r>
                    <w:rPr>
                      <w:rFonts w:hint="eastAsia"/>
                      <w:color w:val="auto"/>
                      <w:highlight w:val="none"/>
                      <w:lang w:val="en-US" w:eastAsia="zh-CN"/>
                    </w:rPr>
                    <w:t>固态</w:t>
                  </w:r>
                </w:p>
              </w:tc>
              <w:tc>
                <w:tcPr>
                  <w:tcW w:w="420" w:type="pct"/>
                  <w:tcBorders>
                    <w:tl2br w:val="nil"/>
                    <w:tr2bl w:val="nil"/>
                  </w:tcBorders>
                  <w:noWrap w:val="0"/>
                  <w:vAlign w:val="center"/>
                </w:tcPr>
                <w:p>
                  <w:pPr>
                    <w:pStyle w:val="58"/>
                    <w:bidi w:val="0"/>
                    <w:rPr>
                      <w:rFonts w:hint="eastAsia" w:eastAsia="宋体"/>
                      <w:color w:val="auto"/>
                      <w:highlight w:val="none"/>
                      <w:lang w:val="en-US" w:eastAsia="zh-CN"/>
                    </w:rPr>
                  </w:pPr>
                  <w:r>
                    <w:rPr>
                      <w:rFonts w:hint="eastAsia"/>
                      <w:color w:val="auto"/>
                      <w:highlight w:val="none"/>
                      <w:lang w:val="en-US" w:eastAsia="zh-CN"/>
                    </w:rPr>
                    <w:t>/</w:t>
                  </w:r>
                </w:p>
              </w:tc>
              <w:tc>
                <w:tcPr>
                  <w:tcW w:w="386" w:type="pct"/>
                  <w:tcBorders>
                    <w:tl2br w:val="nil"/>
                    <w:tr2bl w:val="nil"/>
                  </w:tcBorders>
                  <w:noWrap w:val="0"/>
                  <w:vAlign w:val="center"/>
                </w:tcPr>
                <w:p>
                  <w:pPr>
                    <w:pStyle w:val="58"/>
                    <w:bidi w:val="0"/>
                    <w:rPr>
                      <w:rFonts w:hint="eastAsia" w:eastAsia="宋体"/>
                      <w:color w:val="auto"/>
                      <w:highlight w:val="none"/>
                      <w:lang w:val="en-US" w:eastAsia="zh-CN"/>
                    </w:rPr>
                  </w:pPr>
                  <w:r>
                    <w:rPr>
                      <w:rFonts w:hint="eastAsia"/>
                      <w:color w:val="auto"/>
                      <w:highlight w:val="none"/>
                      <w:lang w:val="en-US" w:eastAsia="zh-CN"/>
                    </w:rPr>
                    <w:t>/</w:t>
                  </w:r>
                </w:p>
              </w:tc>
              <w:tc>
                <w:tcPr>
                  <w:tcW w:w="662" w:type="pct"/>
                  <w:vMerge w:val="restart"/>
                  <w:tcBorders>
                    <w:tl2br w:val="nil"/>
                    <w:tr2bl w:val="nil"/>
                  </w:tcBorders>
                  <w:noWrap w:val="0"/>
                  <w:vAlign w:val="center"/>
                </w:tcPr>
                <w:p>
                  <w:pPr>
                    <w:pStyle w:val="58"/>
                    <w:bidi w:val="0"/>
                    <w:rPr>
                      <w:rFonts w:hint="default" w:eastAsia="宋体"/>
                      <w:color w:val="auto"/>
                      <w:highlight w:val="none"/>
                      <w:lang w:val="en-US" w:eastAsia="zh-CN"/>
                    </w:rPr>
                  </w:pPr>
                  <w:r>
                    <w:rPr>
                      <w:rFonts w:hint="eastAsia"/>
                      <w:color w:val="auto"/>
                      <w:highlight w:val="none"/>
                      <w:lang w:val="en-US" w:eastAsia="zh-CN"/>
                    </w:rPr>
                    <w:t>作为原料回用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2</w:t>
                  </w:r>
                </w:p>
              </w:tc>
              <w:tc>
                <w:tcPr>
                  <w:tcW w:w="399" w:type="pct"/>
                  <w:vMerge w:val="restar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窑头落料干燥器</w:t>
                  </w:r>
                </w:p>
              </w:tc>
              <w:tc>
                <w:tcPr>
                  <w:tcW w:w="523"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旋风除尘器收尘</w:t>
                  </w:r>
                </w:p>
              </w:tc>
              <w:tc>
                <w:tcPr>
                  <w:tcW w:w="459" w:type="pc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rPr>
                    <w:t>一般固废</w:t>
                  </w:r>
                </w:p>
              </w:tc>
              <w:tc>
                <w:tcPr>
                  <w:tcW w:w="66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w:t>
                  </w:r>
                </w:p>
              </w:tc>
              <w:tc>
                <w:tcPr>
                  <w:tcW w:w="45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69.6</w:t>
                  </w:r>
                </w:p>
              </w:tc>
              <w:tc>
                <w:tcPr>
                  <w:tcW w:w="49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旋风除尘器</w:t>
                  </w:r>
                </w:p>
              </w:tc>
              <w:tc>
                <w:tcPr>
                  <w:tcW w:w="304" w:type="pct"/>
                  <w:tcBorders>
                    <w:tl2br w:val="nil"/>
                    <w:tr2bl w:val="nil"/>
                  </w:tcBorders>
                  <w:noWrap w:val="0"/>
                  <w:vAlign w:val="center"/>
                </w:tcPr>
                <w:p>
                  <w:pPr>
                    <w:pStyle w:val="58"/>
                    <w:bidi w:val="0"/>
                    <w:rPr>
                      <w:rFonts w:hint="default"/>
                      <w:color w:val="auto"/>
                      <w:highlight w:val="none"/>
                      <w:lang w:eastAsia="zh-CN"/>
                    </w:rPr>
                  </w:pPr>
                  <w:r>
                    <w:rPr>
                      <w:rFonts w:hint="default"/>
                      <w:color w:val="auto"/>
                      <w:highlight w:val="none"/>
                      <w:lang w:eastAsia="zh-CN"/>
                    </w:rPr>
                    <w:t>固态</w:t>
                  </w:r>
                </w:p>
              </w:tc>
              <w:tc>
                <w:tcPr>
                  <w:tcW w:w="420"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w:t>
                  </w:r>
                </w:p>
              </w:tc>
              <w:tc>
                <w:tcPr>
                  <w:tcW w:w="386" w:type="pc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w:t>
                  </w:r>
                </w:p>
              </w:tc>
              <w:tc>
                <w:tcPr>
                  <w:tcW w:w="662" w:type="pct"/>
                  <w:vMerge w:val="continue"/>
                  <w:tcBorders>
                    <w:tl2br w:val="nil"/>
                    <w:tr2bl w:val="nil"/>
                  </w:tcBorders>
                  <w:noWrap w:val="0"/>
                  <w:vAlign w:val="center"/>
                </w:tcPr>
                <w:p>
                  <w:pPr>
                    <w:pStyle w:val="58"/>
                    <w:bidi w:val="0"/>
                    <w:rPr>
                      <w:rFonts w:hint="default"/>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3</w:t>
                  </w:r>
                </w:p>
              </w:tc>
              <w:tc>
                <w:tcPr>
                  <w:tcW w:w="399" w:type="pct"/>
                  <w:vMerge w:val="continue"/>
                  <w:tcBorders>
                    <w:tl2br w:val="nil"/>
                    <w:tr2bl w:val="nil"/>
                  </w:tcBorders>
                  <w:noWrap w:val="0"/>
                  <w:vAlign w:val="center"/>
                </w:tcPr>
                <w:p>
                  <w:pPr>
                    <w:pStyle w:val="58"/>
                    <w:bidi w:val="0"/>
                    <w:rPr>
                      <w:rFonts w:hint="default"/>
                      <w:color w:val="auto"/>
                      <w:highlight w:val="none"/>
                      <w:lang w:eastAsia="zh-CN"/>
                    </w:rPr>
                  </w:pPr>
                </w:p>
              </w:tc>
              <w:tc>
                <w:tcPr>
                  <w:tcW w:w="523"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布袋除尘器收尘</w:t>
                  </w:r>
                </w:p>
              </w:tc>
              <w:tc>
                <w:tcPr>
                  <w:tcW w:w="459" w:type="pct"/>
                  <w:tcBorders>
                    <w:tl2br w:val="nil"/>
                    <w:tr2bl w:val="nil"/>
                  </w:tcBorders>
                  <w:noWrap w:val="0"/>
                  <w:vAlign w:val="center"/>
                </w:tcPr>
                <w:p>
                  <w:pPr>
                    <w:pStyle w:val="58"/>
                    <w:bidi w:val="0"/>
                    <w:rPr>
                      <w:rFonts w:hint="default"/>
                      <w:color w:val="auto"/>
                      <w:highlight w:val="none"/>
                    </w:rPr>
                  </w:pPr>
                  <w:r>
                    <w:rPr>
                      <w:rFonts w:hint="default"/>
                      <w:color w:val="auto"/>
                      <w:highlight w:val="none"/>
                    </w:rPr>
                    <w:t>一般固废</w:t>
                  </w:r>
                </w:p>
              </w:tc>
              <w:tc>
                <w:tcPr>
                  <w:tcW w:w="668" w:type="pct"/>
                  <w:tcBorders>
                    <w:tl2br w:val="nil"/>
                    <w:tr2bl w:val="nil"/>
                  </w:tcBorders>
                  <w:noWrap w:val="0"/>
                  <w:vAlign w:val="center"/>
                </w:tcPr>
                <w:p>
                  <w:pPr>
                    <w:pStyle w:val="58"/>
                    <w:bidi w:val="0"/>
                    <w:rPr>
                      <w:rFonts w:hint="eastAsia"/>
                      <w:color w:val="auto"/>
                      <w:highlight w:val="none"/>
                      <w:lang w:val="en-US" w:eastAsia="zh-CN"/>
                    </w:rPr>
                  </w:pPr>
                  <w:r>
                    <w:rPr>
                      <w:rFonts w:hint="eastAsia"/>
                      <w:color w:val="auto"/>
                      <w:highlight w:val="none"/>
                      <w:lang w:val="en-US" w:eastAsia="zh-CN"/>
                    </w:rPr>
                    <w:t>/</w:t>
                  </w:r>
                </w:p>
              </w:tc>
              <w:tc>
                <w:tcPr>
                  <w:tcW w:w="45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17.23</w:t>
                  </w:r>
                </w:p>
              </w:tc>
              <w:tc>
                <w:tcPr>
                  <w:tcW w:w="49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布袋除尘器</w:t>
                  </w:r>
                </w:p>
              </w:tc>
              <w:tc>
                <w:tcPr>
                  <w:tcW w:w="304"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固态</w:t>
                  </w:r>
                </w:p>
              </w:tc>
              <w:tc>
                <w:tcPr>
                  <w:tcW w:w="420"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w:t>
                  </w:r>
                </w:p>
              </w:tc>
              <w:tc>
                <w:tcPr>
                  <w:tcW w:w="386" w:type="pc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val="en-US" w:eastAsia="zh-CN"/>
                    </w:rPr>
                    <w:t>/</w:t>
                  </w:r>
                </w:p>
              </w:tc>
              <w:tc>
                <w:tcPr>
                  <w:tcW w:w="662" w:type="pct"/>
                  <w:vMerge w:val="continue"/>
                  <w:tcBorders>
                    <w:tl2br w:val="nil"/>
                    <w:tr2bl w:val="nil"/>
                  </w:tcBorders>
                  <w:noWrap w:val="0"/>
                  <w:vAlign w:val="center"/>
                </w:tcPr>
                <w:p>
                  <w:pPr>
                    <w:pStyle w:val="58"/>
                    <w:bidi w:val="0"/>
                    <w:rPr>
                      <w:rFonts w:hint="default"/>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4</w:t>
                  </w:r>
                </w:p>
              </w:tc>
              <w:tc>
                <w:tcPr>
                  <w:tcW w:w="39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布袋除尘器</w:t>
                  </w:r>
                </w:p>
              </w:tc>
              <w:tc>
                <w:tcPr>
                  <w:tcW w:w="523"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废布袋</w:t>
                  </w:r>
                </w:p>
              </w:tc>
              <w:tc>
                <w:tcPr>
                  <w:tcW w:w="459" w:type="pct"/>
                  <w:tcBorders>
                    <w:tl2br w:val="nil"/>
                    <w:tr2bl w:val="nil"/>
                  </w:tcBorders>
                  <w:noWrap w:val="0"/>
                  <w:vAlign w:val="center"/>
                </w:tcPr>
                <w:p>
                  <w:pPr>
                    <w:pStyle w:val="58"/>
                    <w:bidi w:val="0"/>
                    <w:rPr>
                      <w:rFonts w:hint="default" w:eastAsia="宋体"/>
                      <w:color w:val="auto"/>
                      <w:highlight w:val="none"/>
                      <w:lang w:val="en-US" w:eastAsia="zh-CN"/>
                    </w:rPr>
                  </w:pPr>
                  <w:r>
                    <w:rPr>
                      <w:rFonts w:hint="eastAsia"/>
                      <w:color w:val="auto"/>
                      <w:highlight w:val="none"/>
                      <w:lang w:val="en-US" w:eastAsia="zh-CN"/>
                    </w:rPr>
                    <w:t>一般固废</w:t>
                  </w:r>
                </w:p>
              </w:tc>
              <w:tc>
                <w:tcPr>
                  <w:tcW w:w="668" w:type="pct"/>
                  <w:tcBorders>
                    <w:tl2br w:val="nil"/>
                    <w:tr2bl w:val="nil"/>
                  </w:tcBorders>
                  <w:noWrap w:val="0"/>
                  <w:vAlign w:val="center"/>
                </w:tcPr>
                <w:p>
                  <w:pPr>
                    <w:pStyle w:val="58"/>
                    <w:bidi w:val="0"/>
                    <w:rPr>
                      <w:rFonts w:hint="eastAsia"/>
                      <w:color w:val="auto"/>
                      <w:highlight w:val="none"/>
                      <w:lang w:val="en-US" w:eastAsia="zh-CN"/>
                    </w:rPr>
                  </w:pPr>
                  <w:r>
                    <w:rPr>
                      <w:rFonts w:hint="eastAsia"/>
                      <w:color w:val="auto"/>
                      <w:highlight w:val="none"/>
                      <w:lang w:val="en-US" w:eastAsia="zh-CN"/>
                    </w:rPr>
                    <w:t>SW59 900-009-S59</w:t>
                  </w:r>
                </w:p>
              </w:tc>
              <w:tc>
                <w:tcPr>
                  <w:tcW w:w="45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0.04</w:t>
                  </w:r>
                </w:p>
              </w:tc>
              <w:tc>
                <w:tcPr>
                  <w:tcW w:w="49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布袋除尘器</w:t>
                  </w:r>
                </w:p>
              </w:tc>
              <w:tc>
                <w:tcPr>
                  <w:tcW w:w="304" w:type="pct"/>
                  <w:tcBorders>
                    <w:tl2br w:val="nil"/>
                    <w:tr2bl w:val="nil"/>
                  </w:tcBorders>
                  <w:noWrap w:val="0"/>
                  <w:vAlign w:val="center"/>
                </w:tcPr>
                <w:p>
                  <w:pPr>
                    <w:pStyle w:val="58"/>
                    <w:bidi w:val="0"/>
                    <w:rPr>
                      <w:rFonts w:hint="eastAsia"/>
                      <w:color w:val="auto"/>
                      <w:highlight w:val="none"/>
                      <w:lang w:val="en-US" w:eastAsia="zh-CN"/>
                    </w:rPr>
                  </w:pPr>
                  <w:r>
                    <w:rPr>
                      <w:rFonts w:hint="eastAsia"/>
                      <w:color w:val="auto"/>
                      <w:highlight w:val="none"/>
                      <w:lang w:val="en-US" w:eastAsia="zh-CN"/>
                    </w:rPr>
                    <w:t>固态</w:t>
                  </w:r>
                </w:p>
              </w:tc>
              <w:tc>
                <w:tcPr>
                  <w:tcW w:w="420"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w:t>
                  </w:r>
                </w:p>
              </w:tc>
              <w:tc>
                <w:tcPr>
                  <w:tcW w:w="386"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w:t>
                  </w:r>
                </w:p>
              </w:tc>
              <w:tc>
                <w:tcPr>
                  <w:tcW w:w="662"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定期更换后由厂家回收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5</w:t>
                  </w:r>
                </w:p>
              </w:tc>
              <w:tc>
                <w:tcPr>
                  <w:tcW w:w="39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设备检修</w:t>
                  </w:r>
                </w:p>
              </w:tc>
              <w:tc>
                <w:tcPr>
                  <w:tcW w:w="523"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废润滑油</w:t>
                  </w:r>
                </w:p>
              </w:tc>
              <w:tc>
                <w:tcPr>
                  <w:tcW w:w="459" w:type="pct"/>
                  <w:tcBorders>
                    <w:tl2br w:val="nil"/>
                    <w:tr2bl w:val="nil"/>
                  </w:tcBorders>
                  <w:noWrap w:val="0"/>
                  <w:vAlign w:val="center"/>
                </w:tcPr>
                <w:p>
                  <w:pPr>
                    <w:pStyle w:val="58"/>
                    <w:bidi w:val="0"/>
                    <w:rPr>
                      <w:rFonts w:hint="eastAsia" w:eastAsia="宋体"/>
                      <w:color w:val="auto"/>
                      <w:highlight w:val="none"/>
                      <w:lang w:eastAsia="zh-CN"/>
                    </w:rPr>
                  </w:pPr>
                  <w:r>
                    <w:rPr>
                      <w:rFonts w:hint="eastAsia"/>
                      <w:color w:val="auto"/>
                      <w:highlight w:val="none"/>
                      <w:lang w:val="en-US" w:eastAsia="zh-CN"/>
                    </w:rPr>
                    <w:t>危险废物</w:t>
                  </w:r>
                </w:p>
              </w:tc>
              <w:tc>
                <w:tcPr>
                  <w:tcW w:w="668" w:type="pct"/>
                  <w:tcBorders>
                    <w:tl2br w:val="nil"/>
                    <w:tr2bl w:val="nil"/>
                  </w:tcBorders>
                  <w:noWrap w:val="0"/>
                  <w:vAlign w:val="center"/>
                </w:tcPr>
                <w:p>
                  <w:pPr>
                    <w:pStyle w:val="58"/>
                    <w:bidi w:val="0"/>
                    <w:rPr>
                      <w:rFonts w:hint="eastAsia"/>
                      <w:color w:val="auto"/>
                      <w:highlight w:val="none"/>
                      <w:lang w:val="en-US" w:eastAsia="zh-CN"/>
                    </w:rPr>
                  </w:pPr>
                  <w:r>
                    <w:rPr>
                      <w:rFonts w:hint="default"/>
                      <w:color w:val="auto"/>
                      <w:highlight w:val="none"/>
                      <w:lang w:val="en-US" w:eastAsia="zh-CN"/>
                    </w:rPr>
                    <w:t>HW08</w:t>
                  </w:r>
                  <w:r>
                    <w:rPr>
                      <w:rFonts w:hint="eastAsia"/>
                      <w:color w:val="auto"/>
                      <w:highlight w:val="none"/>
                      <w:lang w:val="en-US" w:eastAsia="zh-CN"/>
                    </w:rPr>
                    <w:t xml:space="preserve"> </w:t>
                  </w:r>
                  <w:r>
                    <w:rPr>
                      <w:rFonts w:hint="default"/>
                      <w:color w:val="auto"/>
                      <w:highlight w:val="none"/>
                      <w:lang w:val="en-US" w:eastAsia="zh-CN"/>
                    </w:rPr>
                    <w:t>900-214-08</w:t>
                  </w:r>
                </w:p>
              </w:tc>
              <w:tc>
                <w:tcPr>
                  <w:tcW w:w="45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0.1</w:t>
                  </w:r>
                </w:p>
              </w:tc>
              <w:tc>
                <w:tcPr>
                  <w:tcW w:w="49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设备检修</w:t>
                  </w:r>
                </w:p>
              </w:tc>
              <w:tc>
                <w:tcPr>
                  <w:tcW w:w="304" w:type="pct"/>
                  <w:tcBorders>
                    <w:tl2br w:val="nil"/>
                    <w:tr2bl w:val="nil"/>
                  </w:tcBorders>
                  <w:noWrap w:val="0"/>
                  <w:vAlign w:val="center"/>
                </w:tcPr>
                <w:p>
                  <w:pPr>
                    <w:pStyle w:val="58"/>
                    <w:bidi w:val="0"/>
                    <w:ind w:firstLine="0" w:firstLineChars="0"/>
                    <w:rPr>
                      <w:rFonts w:hint="eastAsia"/>
                      <w:color w:val="auto"/>
                      <w:highlight w:val="none"/>
                      <w:lang w:val="en-US" w:eastAsia="zh-CN"/>
                    </w:rPr>
                  </w:pPr>
                  <w:r>
                    <w:rPr>
                      <w:rFonts w:hint="eastAsia"/>
                      <w:color w:val="auto"/>
                      <w:highlight w:val="none"/>
                      <w:lang w:val="en-US" w:eastAsia="zh-CN"/>
                    </w:rPr>
                    <w:t>液态</w:t>
                  </w:r>
                </w:p>
              </w:tc>
              <w:tc>
                <w:tcPr>
                  <w:tcW w:w="420" w:type="pct"/>
                  <w:tcBorders>
                    <w:tl2br w:val="nil"/>
                    <w:tr2bl w:val="nil"/>
                  </w:tcBorders>
                  <w:noWrap w:val="0"/>
                  <w:vAlign w:val="center"/>
                </w:tcPr>
                <w:p>
                  <w:pPr>
                    <w:pStyle w:val="58"/>
                    <w:bidi w:val="0"/>
                    <w:ind w:firstLine="0" w:firstLineChars="0"/>
                    <w:rPr>
                      <w:rFonts w:hint="default"/>
                      <w:color w:val="auto"/>
                      <w:highlight w:val="none"/>
                      <w:lang w:val="en-US" w:eastAsia="zh-CN"/>
                    </w:rPr>
                  </w:pPr>
                  <w:r>
                    <w:rPr>
                      <w:rFonts w:hint="eastAsia"/>
                      <w:color w:val="auto"/>
                      <w:highlight w:val="none"/>
                      <w:lang w:val="en-US" w:eastAsia="zh-CN"/>
                    </w:rPr>
                    <w:t>废矿物油</w:t>
                  </w:r>
                </w:p>
              </w:tc>
              <w:tc>
                <w:tcPr>
                  <w:tcW w:w="386"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T，I</w:t>
                  </w:r>
                </w:p>
              </w:tc>
              <w:tc>
                <w:tcPr>
                  <w:tcW w:w="662" w:type="pct"/>
                  <w:tcBorders>
                    <w:tl2br w:val="nil"/>
                    <w:tr2bl w:val="nil"/>
                  </w:tcBorders>
                  <w:noWrap w:val="0"/>
                  <w:vAlign w:val="center"/>
                </w:tcPr>
                <w:p>
                  <w:pPr>
                    <w:pStyle w:val="58"/>
                    <w:bidi w:val="0"/>
                    <w:rPr>
                      <w:rFonts w:hint="default"/>
                      <w:color w:val="auto"/>
                      <w:highlight w:val="none"/>
                      <w:lang w:eastAsia="zh-CN"/>
                    </w:rPr>
                  </w:pPr>
                  <w:r>
                    <w:rPr>
                      <w:rFonts w:hint="default"/>
                      <w:color w:val="auto"/>
                      <w:highlight w:val="none"/>
                      <w:lang w:val="en-US" w:eastAsia="zh-CN"/>
                    </w:rPr>
                    <w:t>依托现有危险废物贮存点</w:t>
                  </w:r>
                  <w:r>
                    <w:rPr>
                      <w:rFonts w:hint="eastAsia"/>
                      <w:color w:val="auto"/>
                      <w:highlight w:val="none"/>
                      <w:lang w:val="en-US" w:eastAsia="zh-CN"/>
                    </w:rPr>
                    <w:t>暂存</w:t>
                  </w:r>
                  <w:r>
                    <w:rPr>
                      <w:rFonts w:hint="default"/>
                      <w:color w:val="auto"/>
                      <w:highlight w:val="none"/>
                      <w:lang w:val="en-US" w:eastAsia="zh-CN"/>
                    </w:rPr>
                    <w:t>，定期由库尔勒速润再生物资利用回收有限公司处置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6</w:t>
                  </w:r>
                </w:p>
              </w:tc>
              <w:tc>
                <w:tcPr>
                  <w:tcW w:w="399"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员工生活</w:t>
                  </w:r>
                </w:p>
              </w:tc>
              <w:tc>
                <w:tcPr>
                  <w:tcW w:w="523"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生活垃圾</w:t>
                  </w:r>
                </w:p>
              </w:tc>
              <w:tc>
                <w:tcPr>
                  <w:tcW w:w="459" w:type="pc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rPr>
                    <w:t>一般固废</w:t>
                  </w:r>
                </w:p>
              </w:tc>
              <w:tc>
                <w:tcPr>
                  <w:tcW w:w="66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 xml:space="preserve">SW64 </w:t>
                  </w:r>
                  <w:r>
                    <w:rPr>
                      <w:rFonts w:hint="default"/>
                      <w:color w:val="auto"/>
                      <w:highlight w:val="none"/>
                      <w:lang w:val="en-US" w:eastAsia="zh-CN"/>
                    </w:rPr>
                    <w:t>900-099-S64</w:t>
                  </w:r>
                </w:p>
              </w:tc>
              <w:tc>
                <w:tcPr>
                  <w:tcW w:w="458"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1.5</w:t>
                  </w:r>
                </w:p>
              </w:tc>
              <w:tc>
                <w:tcPr>
                  <w:tcW w:w="499" w:type="pct"/>
                  <w:tcBorders>
                    <w:tl2br w:val="nil"/>
                    <w:tr2bl w:val="nil"/>
                  </w:tcBorders>
                  <w:noWrap w:val="0"/>
                  <w:vAlign w:val="center"/>
                </w:tcPr>
                <w:p>
                  <w:pPr>
                    <w:pStyle w:val="58"/>
                    <w:bidi w:val="0"/>
                    <w:rPr>
                      <w:rFonts w:hint="default"/>
                      <w:color w:val="auto"/>
                      <w:highlight w:val="none"/>
                      <w:lang w:val="en-US" w:eastAsia="zh-CN"/>
                    </w:rPr>
                  </w:pPr>
                  <w:r>
                    <w:rPr>
                      <w:rFonts w:hint="default"/>
                      <w:color w:val="auto"/>
                      <w:highlight w:val="none"/>
                      <w:lang w:eastAsia="zh-CN"/>
                    </w:rPr>
                    <w:t>员工生活</w:t>
                  </w:r>
                </w:p>
              </w:tc>
              <w:tc>
                <w:tcPr>
                  <w:tcW w:w="304" w:type="pct"/>
                  <w:tcBorders>
                    <w:tl2br w:val="nil"/>
                    <w:tr2bl w:val="nil"/>
                  </w:tcBorders>
                  <w:noWrap w:val="0"/>
                  <w:vAlign w:val="center"/>
                </w:tcPr>
                <w:p>
                  <w:pPr>
                    <w:pStyle w:val="58"/>
                    <w:bidi w:val="0"/>
                    <w:ind w:firstLine="0" w:firstLineChars="0"/>
                    <w:rPr>
                      <w:rFonts w:hint="default"/>
                      <w:color w:val="auto"/>
                      <w:highlight w:val="none"/>
                      <w:lang w:eastAsia="zh-CN"/>
                    </w:rPr>
                  </w:pPr>
                  <w:r>
                    <w:rPr>
                      <w:rFonts w:hint="eastAsia"/>
                      <w:color w:val="auto"/>
                      <w:highlight w:val="none"/>
                      <w:lang w:val="en-US" w:eastAsia="zh-CN"/>
                    </w:rPr>
                    <w:t>固态</w:t>
                  </w:r>
                </w:p>
              </w:tc>
              <w:tc>
                <w:tcPr>
                  <w:tcW w:w="420" w:type="pct"/>
                  <w:tcBorders>
                    <w:tl2br w:val="nil"/>
                    <w:tr2bl w:val="nil"/>
                  </w:tcBorders>
                  <w:noWrap w:val="0"/>
                  <w:vAlign w:val="center"/>
                </w:tcPr>
                <w:p>
                  <w:pPr>
                    <w:pStyle w:val="58"/>
                    <w:bidi w:val="0"/>
                    <w:ind w:firstLine="0" w:firstLineChars="0"/>
                    <w:rPr>
                      <w:rFonts w:hint="default"/>
                      <w:color w:val="auto"/>
                      <w:highlight w:val="none"/>
                      <w:lang w:val="en-US" w:eastAsia="zh-CN"/>
                    </w:rPr>
                  </w:pPr>
                  <w:r>
                    <w:rPr>
                      <w:rFonts w:hint="eastAsia"/>
                      <w:color w:val="auto"/>
                      <w:highlight w:val="none"/>
                      <w:lang w:val="en-US" w:eastAsia="zh-CN"/>
                    </w:rPr>
                    <w:t>/</w:t>
                  </w:r>
                </w:p>
              </w:tc>
              <w:tc>
                <w:tcPr>
                  <w:tcW w:w="386" w:type="pct"/>
                  <w:tcBorders>
                    <w:tl2br w:val="nil"/>
                    <w:tr2bl w:val="nil"/>
                  </w:tcBorders>
                  <w:noWrap w:val="0"/>
                  <w:vAlign w:val="center"/>
                </w:tcPr>
                <w:p>
                  <w:pPr>
                    <w:pStyle w:val="58"/>
                    <w:bidi w:val="0"/>
                    <w:rPr>
                      <w:rFonts w:hint="default"/>
                      <w:color w:val="auto"/>
                      <w:highlight w:val="none"/>
                      <w:lang w:val="en-US" w:eastAsia="zh-CN"/>
                    </w:rPr>
                  </w:pPr>
                  <w:r>
                    <w:rPr>
                      <w:rFonts w:hint="eastAsia"/>
                      <w:color w:val="auto"/>
                      <w:highlight w:val="none"/>
                      <w:lang w:val="en-US" w:eastAsia="zh-CN"/>
                    </w:rPr>
                    <w:t>/</w:t>
                  </w:r>
                </w:p>
              </w:tc>
              <w:tc>
                <w:tcPr>
                  <w:tcW w:w="662" w:type="pct"/>
                  <w:tcBorders>
                    <w:tl2br w:val="nil"/>
                    <w:tr2bl w:val="nil"/>
                  </w:tcBorders>
                  <w:noWrap w:val="0"/>
                  <w:vAlign w:val="center"/>
                </w:tcPr>
                <w:p>
                  <w:pPr>
                    <w:pStyle w:val="58"/>
                    <w:bidi w:val="0"/>
                    <w:rPr>
                      <w:rFonts w:hint="default" w:eastAsia="宋体"/>
                      <w:color w:val="auto"/>
                      <w:highlight w:val="none"/>
                      <w:lang w:val="en-US" w:eastAsia="zh-CN"/>
                    </w:rPr>
                  </w:pPr>
                  <w:r>
                    <w:rPr>
                      <w:rFonts w:hint="eastAsia"/>
                      <w:color w:val="auto"/>
                      <w:highlight w:val="none"/>
                      <w:lang w:val="en-US" w:eastAsia="zh-CN"/>
                    </w:rPr>
                    <w:t>分类收集后交由环卫部门处置</w:t>
                  </w:r>
                </w:p>
              </w:tc>
            </w:tr>
          </w:tbl>
          <w:p>
            <w:pPr>
              <w:pStyle w:val="6"/>
              <w:bidi w:val="0"/>
              <w:rPr>
                <w:rFonts w:hint="default"/>
                <w:color w:val="auto"/>
                <w:highlight w:val="none"/>
                <w:lang w:val="en-US" w:eastAsia="zh-CN"/>
              </w:rPr>
            </w:pPr>
            <w:r>
              <w:rPr>
                <w:rFonts w:hint="eastAsia"/>
                <w:color w:val="auto"/>
                <w:highlight w:val="none"/>
              </w:rPr>
              <w:t>（4）</w:t>
            </w:r>
            <w:r>
              <w:rPr>
                <w:rFonts w:hint="eastAsia"/>
                <w:color w:val="auto"/>
                <w:highlight w:val="none"/>
                <w:lang w:val="en-US" w:eastAsia="zh-CN"/>
              </w:rPr>
              <w:t>固体废物影响分析</w:t>
            </w:r>
          </w:p>
          <w:p>
            <w:pPr>
              <w:pStyle w:val="6"/>
              <w:bidi w:val="0"/>
              <w:rPr>
                <w:rFonts w:hint="default"/>
                <w:color w:val="auto"/>
                <w:highlight w:val="none"/>
                <w:lang w:val="en-US" w:eastAsia="zh-CN"/>
              </w:rPr>
            </w:pPr>
            <w:r>
              <w:rPr>
                <w:rFonts w:hint="eastAsia"/>
                <w:color w:val="auto"/>
                <w:highlight w:val="none"/>
                <w:lang w:val="en-US" w:eastAsia="zh-CN"/>
              </w:rPr>
              <w:t>1）一般工业固体废物</w:t>
            </w:r>
          </w:p>
          <w:p>
            <w:pPr>
              <w:pStyle w:val="6"/>
              <w:bidi w:val="0"/>
              <w:rPr>
                <w:rFonts w:hint="default"/>
                <w:color w:val="auto"/>
                <w:highlight w:val="none"/>
                <w:lang w:val="en-US"/>
              </w:rPr>
            </w:pPr>
            <w:r>
              <w:rPr>
                <w:rFonts w:hint="eastAsia"/>
                <w:color w:val="auto"/>
                <w:highlight w:val="none"/>
                <w:lang w:val="en-US" w:eastAsia="zh-CN"/>
              </w:rPr>
              <w:t>不合格产品作为原料回用，旋风除尘器和布袋除尘器收尘作为原料回用；布袋除尘器定期更换后产生的废布袋由厂家回收；生活垃圾分类收集后交由环卫部门处置。</w:t>
            </w:r>
          </w:p>
          <w:p>
            <w:pPr>
              <w:pStyle w:val="6"/>
              <w:bidi w:val="0"/>
              <w:rPr>
                <w:color w:val="auto"/>
                <w:highlight w:val="none"/>
              </w:rPr>
            </w:pPr>
            <w:r>
              <w:rPr>
                <w:rFonts w:hint="eastAsia"/>
                <w:color w:val="auto"/>
                <w:highlight w:val="none"/>
              </w:rPr>
              <w:t>根据《一般工业固体废物管理台账制定指南（试行）》要求，实施一般工业固体废物管理台账分级管理，记录主要固体废物的基础信息及流向信息，进一步记录固体废物产生、贮存及利用处置等详细信息，设置专人进行台账管理，防止遗失，一般工业固体废物管理台账保存期限不少于5年。</w:t>
            </w:r>
          </w:p>
          <w:p>
            <w:pPr>
              <w:pStyle w:val="6"/>
              <w:bidi w:val="0"/>
              <w:rPr>
                <w:rFonts w:hint="eastAsia"/>
                <w:color w:val="auto"/>
                <w:highlight w:val="none"/>
              </w:rPr>
            </w:pPr>
            <w:r>
              <w:rPr>
                <w:rFonts w:hint="eastAsia"/>
                <w:color w:val="auto"/>
                <w:highlight w:val="none"/>
                <w:lang w:val="en-US" w:eastAsia="zh-CN"/>
              </w:rPr>
              <w:t>2）</w:t>
            </w:r>
            <w:r>
              <w:rPr>
                <w:rFonts w:hint="eastAsia"/>
                <w:color w:val="auto"/>
                <w:highlight w:val="none"/>
              </w:rPr>
              <w:t>危险废物</w:t>
            </w:r>
          </w:p>
          <w:p>
            <w:pPr>
              <w:pStyle w:val="6"/>
              <w:bidi w:val="0"/>
              <w:rPr>
                <w:color w:val="auto"/>
                <w:highlight w:val="none"/>
              </w:rPr>
            </w:pPr>
            <w:r>
              <w:rPr>
                <w:rFonts w:hint="eastAsia"/>
                <w:color w:val="auto"/>
                <w:highlight w:val="none"/>
              </w:rPr>
              <w:t>危险废物在厂区内暂存利用</w:t>
            </w:r>
            <w:r>
              <w:rPr>
                <w:rFonts w:hint="eastAsia"/>
                <w:color w:val="auto"/>
                <w:highlight w:val="none"/>
                <w:lang w:eastAsia="zh-CN"/>
              </w:rPr>
              <w:t>现有工程危险废物贮存点</w:t>
            </w:r>
            <w:r>
              <w:rPr>
                <w:rFonts w:hint="eastAsia"/>
                <w:color w:val="auto"/>
                <w:highlight w:val="none"/>
              </w:rPr>
              <w:t>，按照《危险废物贮存污染控制标准》（GB18597-2023）。贮存、处置场应按《危险废物识别标志设置技术规范》（HJ1276-2022）规定设置环境保护图形标志并进行检查和维护。建设单位，已建立危险废物管理计划及危险废物清单台账，严格落实危险废物申报登记制度和转移制度。</w:t>
            </w:r>
          </w:p>
          <w:p>
            <w:pPr>
              <w:pStyle w:val="6"/>
              <w:bidi w:val="0"/>
              <w:rPr>
                <w:color w:val="auto"/>
                <w:highlight w:val="none"/>
              </w:rPr>
            </w:pPr>
            <w:r>
              <w:rPr>
                <w:rFonts w:hint="eastAsia"/>
                <w:color w:val="auto"/>
                <w:highlight w:val="none"/>
                <w:lang w:eastAsia="zh-CN"/>
              </w:rPr>
              <w:t>危险废物贮存点</w:t>
            </w:r>
            <w:r>
              <w:rPr>
                <w:rFonts w:hint="eastAsia"/>
                <w:color w:val="auto"/>
                <w:highlight w:val="none"/>
              </w:rPr>
              <w:t>已严格按照《危险废物贮存污染控制标准》（GB18597-2023）要求，采取防风、防晒、防雨、防漏、防渗、防腐等要求，配备照明设施等防治环境污染措施。贮存场所处粘贴危险废物标签，</w:t>
            </w:r>
            <w:r>
              <w:rPr>
                <w:rFonts w:hint="eastAsia"/>
                <w:color w:val="auto"/>
                <w:highlight w:val="none"/>
                <w:lang w:eastAsia="zh-CN"/>
              </w:rPr>
              <w:t>做好</w:t>
            </w:r>
            <w:r>
              <w:rPr>
                <w:rFonts w:hint="eastAsia"/>
                <w:color w:val="auto"/>
                <w:highlight w:val="none"/>
              </w:rPr>
              <w:t>相应的记录。贮存场所内使用密封的油桶，粘贴标签，注明种类、成分、危险类别、产地、禁忌与安全措施等。本项目离敏感点较远，符合标准要求，危险废物贮存场所对周边环境影响不大。</w:t>
            </w:r>
          </w:p>
          <w:p>
            <w:pPr>
              <w:pStyle w:val="6"/>
              <w:bidi w:val="0"/>
              <w:rPr>
                <w:color w:val="auto"/>
                <w:highlight w:val="none"/>
              </w:rPr>
            </w:pPr>
            <w:r>
              <w:rPr>
                <w:rFonts w:hint="eastAsia"/>
                <w:color w:val="auto"/>
                <w:highlight w:val="none"/>
              </w:rPr>
              <w:t>依据《危险废物转移管理办法》（部令 第23号</w:t>
            </w:r>
            <w:r>
              <w:rPr>
                <w:rFonts w:hint="eastAsia"/>
                <w:color w:val="auto"/>
                <w:highlight w:val="none"/>
                <w:lang w:eastAsia="zh-CN"/>
              </w:rPr>
              <w:t>）</w:t>
            </w:r>
            <w:r>
              <w:rPr>
                <w:rFonts w:hint="eastAsia"/>
                <w:color w:val="auto"/>
                <w:highlight w:val="none"/>
              </w:rPr>
              <w:t>要求，对承运人或者</w:t>
            </w:r>
            <w:r>
              <w:rPr>
                <w:rFonts w:hint="eastAsia"/>
                <w:color w:val="auto"/>
                <w:highlight w:val="none"/>
                <w:lang w:eastAsia="zh-CN"/>
              </w:rPr>
              <w:t>接收</w:t>
            </w:r>
            <w:r>
              <w:rPr>
                <w:rFonts w:hint="eastAsia"/>
                <w:color w:val="auto"/>
                <w:highlight w:val="none"/>
              </w:rPr>
              <w:t>人的主体资格和技术能力进行核实，依法签订书面合同，并在合同中约定运输、贮存、利用、处置危险废物的污染防治要求及相关责任；制定危险废物管理计划，明确拟转移危险废物的种类、重量（数量）和流向等信息；建立危险废物管理台账，对转移的危险废物进行计量称重，如实记录、妥善保管转移危险废物的种类、重量（数量）和</w:t>
            </w:r>
            <w:r>
              <w:rPr>
                <w:rFonts w:hint="eastAsia"/>
                <w:color w:val="auto"/>
                <w:highlight w:val="none"/>
                <w:lang w:eastAsia="zh-CN"/>
              </w:rPr>
              <w:t>接收</w:t>
            </w:r>
            <w:r>
              <w:rPr>
                <w:rFonts w:hint="eastAsia"/>
                <w:color w:val="auto"/>
                <w:highlight w:val="none"/>
              </w:rPr>
              <w:t>人等相关信息；填写、运行危险废物转移联单，在危险废物转移联单中如实填写移出人、承运人、</w:t>
            </w:r>
            <w:r>
              <w:rPr>
                <w:rFonts w:hint="eastAsia"/>
                <w:color w:val="auto"/>
                <w:highlight w:val="none"/>
                <w:lang w:eastAsia="zh-CN"/>
              </w:rPr>
              <w:t>接收</w:t>
            </w:r>
            <w:r>
              <w:rPr>
                <w:rFonts w:hint="eastAsia"/>
                <w:color w:val="auto"/>
                <w:highlight w:val="none"/>
              </w:rPr>
              <w:t>人信息，转移危险废物的种类、重量（数量）、危险特性等信息，以及突发环境事件的防范措施等。</w:t>
            </w:r>
          </w:p>
          <w:p>
            <w:pPr>
              <w:pStyle w:val="6"/>
              <w:bidi w:val="0"/>
              <w:rPr>
                <w:color w:val="auto"/>
                <w:highlight w:val="none"/>
              </w:rPr>
            </w:pPr>
            <w:r>
              <w:rPr>
                <w:rFonts w:hint="eastAsia"/>
                <w:color w:val="auto"/>
                <w:highlight w:val="none"/>
              </w:rPr>
              <w:t>依据《</w:t>
            </w:r>
            <w:r>
              <w:rPr>
                <w:color w:val="auto"/>
                <w:highlight w:val="none"/>
              </w:rPr>
              <w:t>危险废物管理计划和管理台账制定技术导则</w:t>
            </w:r>
            <w:r>
              <w:rPr>
                <w:rFonts w:hint="eastAsia"/>
                <w:color w:val="auto"/>
                <w:highlight w:val="none"/>
              </w:rPr>
              <w:t>》（HJ1259-2022）要求，做好台账管理，</w:t>
            </w:r>
            <w:r>
              <w:rPr>
                <w:color w:val="auto"/>
                <w:highlight w:val="none"/>
              </w:rPr>
              <w:t>产生危险废物的单位应建立危险废物管理台账，落实危险废物管理台账记录的责任人，明确工作职责，并对危险废物管理台账的真实性、准确性和完整性负法律责任</w:t>
            </w:r>
            <w:r>
              <w:rPr>
                <w:rFonts w:hint="eastAsia"/>
                <w:color w:val="auto"/>
                <w:highlight w:val="none"/>
              </w:rPr>
              <w:t>；</w:t>
            </w:r>
            <w:r>
              <w:rPr>
                <w:color w:val="auto"/>
                <w:highlight w:val="none"/>
              </w:rPr>
              <w:t>产生危险废物的单位应根据危险废物产生、贮存、利用、处置等环节的动态流向，如实建立各环节的危险废物管理台账</w:t>
            </w:r>
            <w:r>
              <w:rPr>
                <w:rFonts w:hint="eastAsia"/>
                <w:color w:val="auto"/>
                <w:highlight w:val="none"/>
              </w:rPr>
              <w:t>；</w:t>
            </w:r>
            <w:r>
              <w:rPr>
                <w:color w:val="auto"/>
                <w:highlight w:val="none"/>
              </w:rPr>
              <w:t>危险废物管理台账分为电子管理台账和纸质管理台账两种形式。产生危险废物的单位可通过国家危险废物信息管理系统、企业自建信息管理系统或第三方平台等方式记录电子管理台账。</w:t>
            </w:r>
          </w:p>
          <w:p>
            <w:pPr>
              <w:pStyle w:val="6"/>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lang w:val="en-US" w:eastAsia="zh-CN"/>
              </w:rPr>
              <w:t>危险废物贮存点依托可行性分析</w:t>
            </w:r>
          </w:p>
          <w:p>
            <w:pPr>
              <w:pStyle w:val="6"/>
              <w:bidi w:val="0"/>
              <w:rPr>
                <w:rFonts w:hint="default"/>
                <w:color w:val="auto"/>
                <w:highlight w:val="none"/>
                <w:lang w:val="en-US" w:eastAsia="zh-CN"/>
              </w:rPr>
            </w:pPr>
            <w:r>
              <w:rPr>
                <w:rFonts w:hint="eastAsia"/>
                <w:color w:val="auto"/>
                <w:highlight w:val="none"/>
                <w:lang w:val="en-US" w:eastAsia="zh-CN"/>
              </w:rPr>
              <w:t>现有工程危险废物贮存点18m</w:t>
            </w:r>
            <w:r>
              <w:rPr>
                <w:rFonts w:hint="eastAsia"/>
                <w:color w:val="auto"/>
                <w:highlight w:val="none"/>
                <w:vertAlign w:val="superscript"/>
                <w:lang w:val="en-US" w:eastAsia="zh-CN"/>
              </w:rPr>
              <w:t>2</w:t>
            </w:r>
            <w:r>
              <w:rPr>
                <w:rFonts w:hint="eastAsia"/>
                <w:color w:val="auto"/>
                <w:highlight w:val="none"/>
                <w:lang w:val="en-US" w:eastAsia="zh-CN"/>
              </w:rPr>
              <w:t>，采用“防渗膜+地面硬化”防渗方式，同时废润滑油、废液压油存放铁质桶内（共4个200L铁桶），并设有托盘；存放种类为废润滑油和废液压油，与本项目产生废润滑油属于同类物质，最大贮存量0.64t，同时现有工程产生量为0.1t/a，本项目产生量0.1t/a，故本项目可以依托现有危险废物贮存点。</w:t>
            </w:r>
          </w:p>
          <w:p>
            <w:pPr>
              <w:pStyle w:val="3"/>
              <w:bidi w:val="0"/>
              <w:rPr>
                <w:color w:val="auto"/>
                <w:highlight w:val="none"/>
              </w:rPr>
            </w:pPr>
            <w:r>
              <w:rPr>
                <w:rFonts w:hint="eastAsia"/>
                <w:color w:val="auto"/>
                <w:highlight w:val="none"/>
              </w:rPr>
              <w:t>4.5 地下水环境影响分析</w:t>
            </w:r>
          </w:p>
          <w:p>
            <w:pPr>
              <w:pStyle w:val="4"/>
              <w:bidi w:val="0"/>
              <w:rPr>
                <w:color w:val="auto"/>
                <w:highlight w:val="none"/>
              </w:rPr>
            </w:pPr>
            <w:r>
              <w:rPr>
                <w:rFonts w:hint="eastAsia"/>
                <w:color w:val="auto"/>
                <w:highlight w:val="none"/>
              </w:rPr>
              <w:t>4.5.1 项目概况及可能影响地下水的途径</w:t>
            </w:r>
          </w:p>
          <w:p>
            <w:pPr>
              <w:pStyle w:val="6"/>
              <w:bidi w:val="0"/>
              <w:rPr>
                <w:color w:val="auto"/>
                <w:highlight w:val="none"/>
              </w:rPr>
            </w:pPr>
            <w:r>
              <w:rPr>
                <w:rFonts w:hint="eastAsia"/>
                <w:color w:val="auto"/>
                <w:highlight w:val="none"/>
              </w:rPr>
              <w:t>（1）项目概况</w:t>
            </w:r>
          </w:p>
          <w:p>
            <w:pPr>
              <w:pStyle w:val="6"/>
              <w:bidi w:val="0"/>
              <w:rPr>
                <w:color w:val="auto"/>
                <w:highlight w:val="none"/>
              </w:rPr>
            </w:pPr>
            <w:r>
              <w:rPr>
                <w:rFonts w:hint="eastAsia"/>
                <w:color w:val="auto"/>
                <w:highlight w:val="none"/>
                <w:lang w:val="en-US" w:eastAsia="zh-CN"/>
              </w:rPr>
              <w:t>项目新建6万吨电磁回转窑生产线</w:t>
            </w:r>
            <w:r>
              <w:rPr>
                <w:rFonts w:hint="eastAsia"/>
                <w:color w:val="auto"/>
                <w:highlight w:val="none"/>
                <w:vertAlign w:val="baseline"/>
                <w:lang w:val="en-US" w:eastAsia="zh-CN"/>
              </w:rPr>
              <w:t>及附属配套设施。</w:t>
            </w:r>
          </w:p>
          <w:p>
            <w:pPr>
              <w:pStyle w:val="6"/>
              <w:bidi w:val="0"/>
              <w:rPr>
                <w:color w:val="auto"/>
                <w:highlight w:val="none"/>
              </w:rPr>
            </w:pPr>
            <w:r>
              <w:rPr>
                <w:rFonts w:hint="eastAsia"/>
                <w:color w:val="auto"/>
                <w:highlight w:val="none"/>
              </w:rPr>
              <w:t>（2）项目可能影响地下水的途径</w:t>
            </w:r>
          </w:p>
          <w:p>
            <w:pPr>
              <w:pStyle w:val="6"/>
              <w:bidi w:val="0"/>
              <w:rPr>
                <w:color w:val="auto"/>
                <w:highlight w:val="none"/>
              </w:rPr>
            </w:pPr>
            <w:r>
              <w:rPr>
                <w:rFonts w:hint="eastAsia"/>
                <w:color w:val="auto"/>
                <w:highlight w:val="none"/>
              </w:rPr>
              <w:t>通过分析，本项目可能对地下水造成影响的生产单元和环节主要</w:t>
            </w:r>
            <w:r>
              <w:rPr>
                <w:rFonts w:hint="eastAsia"/>
                <w:color w:val="auto"/>
                <w:highlight w:val="none"/>
                <w:lang w:val="en-US" w:eastAsia="zh-CN"/>
              </w:rPr>
              <w:t>为依托工程</w:t>
            </w:r>
            <w:r>
              <w:rPr>
                <w:rFonts w:hint="eastAsia"/>
                <w:color w:val="auto"/>
                <w:highlight w:val="none"/>
                <w:lang w:eastAsia="zh-CN"/>
              </w:rPr>
              <w:t>危险废物贮存点</w:t>
            </w:r>
            <w:r>
              <w:rPr>
                <w:rFonts w:hint="eastAsia"/>
                <w:color w:val="auto"/>
                <w:highlight w:val="none"/>
              </w:rPr>
              <w:t>，在防渗措施不到位，地面发生破损时，可能对区域地下水水质造成影响。</w:t>
            </w:r>
          </w:p>
          <w:p>
            <w:pPr>
              <w:pStyle w:val="6"/>
              <w:bidi w:val="0"/>
              <w:rPr>
                <w:color w:val="auto"/>
                <w:highlight w:val="none"/>
              </w:rPr>
            </w:pPr>
            <w:r>
              <w:rPr>
                <w:rFonts w:hint="eastAsia"/>
                <w:color w:val="auto"/>
                <w:highlight w:val="none"/>
              </w:rPr>
              <w:t>1）地下水环境保护措施原则</w:t>
            </w:r>
          </w:p>
          <w:p>
            <w:pPr>
              <w:pStyle w:val="6"/>
              <w:bidi w:val="0"/>
              <w:rPr>
                <w:color w:val="auto"/>
                <w:highlight w:val="none"/>
              </w:rPr>
            </w:pPr>
            <w:r>
              <w:rPr>
                <w:rFonts w:hint="eastAsia"/>
                <w:color w:val="auto"/>
                <w:highlight w:val="none"/>
              </w:rPr>
              <w:t>针对项目可能发生的地下水污染，地下水环境保护措施按照“源头控制、分区防控、污染监测、应急响应”相结合的原则，从污染物的产生、入渗、扩散、应急响应全阶段进行控制。</w:t>
            </w:r>
          </w:p>
          <w:p>
            <w:pPr>
              <w:pStyle w:val="6"/>
              <w:bidi w:val="0"/>
              <w:rPr>
                <w:color w:val="auto"/>
                <w:highlight w:val="none"/>
              </w:rPr>
            </w:pPr>
            <w:r>
              <w:rPr>
                <w:rFonts w:hint="eastAsia"/>
                <w:color w:val="auto"/>
                <w:highlight w:val="none"/>
              </w:rPr>
              <w:t>①源头控制措施：主要包括危废的收集、贮存和转运过程，采取相应措施，防止和降低污染物跑、冒、滴、漏，将污染物泄漏的环境风险事故降到最低程度，做到污染物“早发现、早处理”。</w:t>
            </w:r>
          </w:p>
          <w:p>
            <w:pPr>
              <w:pStyle w:val="6"/>
              <w:bidi w:val="0"/>
              <w:rPr>
                <w:color w:val="auto"/>
                <w:highlight w:val="none"/>
              </w:rPr>
            </w:pPr>
            <w:r>
              <w:rPr>
                <w:rFonts w:hint="eastAsia"/>
                <w:color w:val="auto"/>
                <w:highlight w:val="none"/>
              </w:rPr>
              <w:t>②分区防控措施：</w:t>
            </w:r>
            <w:r>
              <w:rPr>
                <w:rFonts w:hint="eastAsia"/>
                <w:color w:val="auto"/>
                <w:highlight w:val="none"/>
                <w:lang w:val="en-US" w:eastAsia="zh-CN"/>
              </w:rPr>
              <w:t>项目区地面已进行水泥硬化，属于简单防渗区；现有危险废物贮存点采用“防渗膜+地面硬化+铁质桶装+托盘”</w:t>
            </w:r>
            <w:r>
              <w:rPr>
                <w:rFonts w:hint="eastAsia"/>
                <w:color w:val="auto"/>
                <w:highlight w:val="none"/>
              </w:rPr>
              <w:t>防渗措施</w:t>
            </w:r>
            <w:r>
              <w:rPr>
                <w:rFonts w:hint="eastAsia"/>
                <w:color w:val="auto"/>
                <w:highlight w:val="none"/>
                <w:lang w:val="en-US" w:eastAsia="zh-CN"/>
              </w:rPr>
              <w:t>，属于重点防渗区</w:t>
            </w:r>
            <w:r>
              <w:rPr>
                <w:rFonts w:hint="eastAsia"/>
                <w:color w:val="auto"/>
                <w:highlight w:val="none"/>
              </w:rPr>
              <w:t>。</w:t>
            </w:r>
          </w:p>
          <w:p>
            <w:pPr>
              <w:pStyle w:val="6"/>
              <w:bidi w:val="0"/>
              <w:rPr>
                <w:color w:val="auto"/>
                <w:highlight w:val="none"/>
              </w:rPr>
            </w:pPr>
            <w:r>
              <w:rPr>
                <w:rFonts w:hint="eastAsia"/>
                <w:color w:val="auto"/>
                <w:highlight w:val="none"/>
              </w:rPr>
              <w:t>③污染监测措施：制定</w:t>
            </w:r>
            <w:r>
              <w:rPr>
                <w:rFonts w:hint="eastAsia"/>
                <w:color w:val="auto"/>
                <w:highlight w:val="none"/>
                <w:lang w:val="en-US" w:eastAsia="zh-CN"/>
              </w:rPr>
              <w:t>危险废物暂存点定期巡检制度</w:t>
            </w:r>
            <w:r>
              <w:rPr>
                <w:color w:val="auto"/>
                <w:highlight w:val="none"/>
              </w:rPr>
              <w:t>。</w:t>
            </w:r>
          </w:p>
          <w:p>
            <w:pPr>
              <w:pStyle w:val="6"/>
              <w:bidi w:val="0"/>
              <w:rPr>
                <w:color w:val="auto"/>
                <w:highlight w:val="none"/>
              </w:rPr>
            </w:pPr>
            <w:r>
              <w:rPr>
                <w:rFonts w:hint="eastAsia"/>
                <w:color w:val="auto"/>
                <w:highlight w:val="none"/>
              </w:rPr>
              <w:t>④应急响应措施：一旦发现地下水污染事故，立即启动应急预案、采取应急措施控制地下水污染，并使污染得到治理。</w:t>
            </w:r>
          </w:p>
          <w:p>
            <w:pPr>
              <w:pStyle w:val="6"/>
              <w:bidi w:val="0"/>
              <w:rPr>
                <w:color w:val="auto"/>
                <w:highlight w:val="none"/>
              </w:rPr>
            </w:pPr>
            <w:r>
              <w:rPr>
                <w:rFonts w:hint="eastAsia"/>
                <w:color w:val="auto"/>
                <w:highlight w:val="none"/>
              </w:rPr>
              <w:t>2）应急措施</w:t>
            </w:r>
          </w:p>
          <w:p>
            <w:pPr>
              <w:pStyle w:val="6"/>
              <w:bidi w:val="0"/>
              <w:rPr>
                <w:color w:val="auto"/>
                <w:highlight w:val="none"/>
              </w:rPr>
            </w:pPr>
            <w:r>
              <w:rPr>
                <w:rFonts w:hint="eastAsia"/>
                <w:color w:val="auto"/>
                <w:highlight w:val="none"/>
                <w:lang w:val="en-US" w:eastAsia="zh-CN"/>
              </w:rPr>
              <w:t>考虑到现有危险废物贮存点已采用“防渗膜+地面硬化+铁质桶装+托盘”的防渗措施，发生桶泄漏后，及时采用消防砂覆盖，并装桶后交由</w:t>
            </w:r>
            <w:r>
              <w:rPr>
                <w:rFonts w:hint="eastAsia"/>
                <w:color w:val="auto"/>
                <w:highlight w:val="none"/>
                <w:lang w:eastAsia="zh-CN"/>
              </w:rPr>
              <w:t>库尔勒速润再生物资利用回收有限公司</w:t>
            </w:r>
            <w:r>
              <w:rPr>
                <w:rFonts w:hint="eastAsia"/>
                <w:color w:val="auto"/>
                <w:highlight w:val="none"/>
                <w:lang w:val="en-US" w:eastAsia="zh-CN"/>
              </w:rPr>
              <w:t>处置</w:t>
            </w:r>
            <w:r>
              <w:rPr>
                <w:rFonts w:hint="eastAsia"/>
                <w:color w:val="auto"/>
                <w:highlight w:val="none"/>
              </w:rPr>
              <w:t>。</w:t>
            </w:r>
          </w:p>
          <w:p>
            <w:pPr>
              <w:pStyle w:val="6"/>
              <w:bidi w:val="0"/>
              <w:rPr>
                <w:color w:val="auto"/>
                <w:highlight w:val="none"/>
              </w:rPr>
            </w:pPr>
            <w:r>
              <w:rPr>
                <w:rFonts w:hint="eastAsia"/>
                <w:color w:val="auto"/>
                <w:highlight w:val="none"/>
              </w:rPr>
              <w:t>（3）地下水环境影响评价</w:t>
            </w:r>
          </w:p>
          <w:p>
            <w:pPr>
              <w:pStyle w:val="6"/>
              <w:bidi w:val="0"/>
              <w:rPr>
                <w:color w:val="auto"/>
                <w:highlight w:val="none"/>
              </w:rPr>
            </w:pPr>
            <w:r>
              <w:rPr>
                <w:rFonts w:hint="eastAsia"/>
                <w:color w:val="auto"/>
                <w:highlight w:val="none"/>
              </w:rPr>
              <w:t>本项目正常运营过程中不会对所在区域地下水位产生影响，潜在影响主要来自</w:t>
            </w:r>
            <w:r>
              <w:rPr>
                <w:rFonts w:hint="eastAsia"/>
                <w:color w:val="auto"/>
                <w:highlight w:val="none"/>
                <w:lang w:val="en-US" w:eastAsia="zh-CN"/>
              </w:rPr>
              <w:t>废润滑油桶</w:t>
            </w:r>
            <w:r>
              <w:rPr>
                <w:rFonts w:hint="eastAsia"/>
                <w:color w:val="auto"/>
                <w:highlight w:val="none"/>
              </w:rPr>
              <w:t>破损</w:t>
            </w:r>
            <w:r>
              <w:rPr>
                <w:rFonts w:hint="eastAsia"/>
                <w:color w:val="auto"/>
                <w:highlight w:val="none"/>
                <w:lang w:eastAsia="zh-CN"/>
              </w:rPr>
              <w:t>，</w:t>
            </w:r>
            <w:r>
              <w:rPr>
                <w:rFonts w:hint="eastAsia"/>
                <w:color w:val="auto"/>
                <w:highlight w:val="none"/>
              </w:rPr>
              <w:t>通过破损口外溢进入地下，进而对地下水水质产生影响。</w:t>
            </w:r>
          </w:p>
          <w:p>
            <w:pPr>
              <w:pStyle w:val="6"/>
              <w:bidi w:val="0"/>
              <w:rPr>
                <w:color w:val="auto"/>
                <w:highlight w:val="none"/>
              </w:rPr>
            </w:pPr>
            <w:r>
              <w:rPr>
                <w:rFonts w:hint="eastAsia"/>
                <w:color w:val="auto"/>
                <w:highlight w:val="none"/>
              </w:rPr>
              <w:t>建设单位需加强</w:t>
            </w:r>
            <w:r>
              <w:rPr>
                <w:rFonts w:hint="eastAsia"/>
                <w:color w:val="auto"/>
                <w:highlight w:val="none"/>
                <w:lang w:eastAsia="zh-CN"/>
              </w:rPr>
              <w:t>危险废物贮存点</w:t>
            </w:r>
            <w:r>
              <w:rPr>
                <w:rFonts w:hint="eastAsia"/>
                <w:color w:val="auto"/>
                <w:highlight w:val="none"/>
              </w:rPr>
              <w:t>日常管理，严格防渗防漏，避免由于</w:t>
            </w:r>
            <w:r>
              <w:rPr>
                <w:rFonts w:hint="eastAsia"/>
                <w:color w:val="auto"/>
                <w:highlight w:val="none"/>
                <w:lang w:val="en-US" w:eastAsia="zh-CN"/>
              </w:rPr>
              <w:t>桶破损、机械破损等</w:t>
            </w:r>
            <w:r>
              <w:rPr>
                <w:rFonts w:hint="eastAsia"/>
                <w:color w:val="auto"/>
                <w:highlight w:val="none"/>
              </w:rPr>
              <w:t>原因对地下水环境产生不利影响。</w:t>
            </w:r>
          </w:p>
          <w:p>
            <w:pPr>
              <w:pStyle w:val="3"/>
              <w:bidi w:val="0"/>
              <w:rPr>
                <w:color w:val="auto"/>
                <w:highlight w:val="none"/>
              </w:rPr>
            </w:pPr>
            <w:r>
              <w:rPr>
                <w:rFonts w:hint="eastAsia"/>
                <w:color w:val="auto"/>
                <w:highlight w:val="none"/>
              </w:rPr>
              <w:t>4.6 土壤环境影响分析</w:t>
            </w:r>
          </w:p>
          <w:p>
            <w:pPr>
              <w:pStyle w:val="6"/>
              <w:bidi w:val="0"/>
              <w:rPr>
                <w:color w:val="auto"/>
                <w:highlight w:val="none"/>
              </w:rPr>
            </w:pPr>
            <w:r>
              <w:rPr>
                <w:rFonts w:hint="eastAsia"/>
                <w:color w:val="auto"/>
                <w:highlight w:val="none"/>
              </w:rPr>
              <w:t>（1）土壤环境影响类型与途径</w:t>
            </w:r>
          </w:p>
          <w:p>
            <w:pPr>
              <w:pStyle w:val="6"/>
              <w:bidi w:val="0"/>
              <w:rPr>
                <w:color w:val="auto"/>
                <w:highlight w:val="none"/>
              </w:rPr>
            </w:pPr>
            <w:r>
              <w:rPr>
                <w:rFonts w:hint="eastAsia"/>
                <w:color w:val="auto"/>
                <w:highlight w:val="none"/>
              </w:rPr>
              <w:t>本项目土壤影响主要为污染影响型。本项目营运期对周边土壤环境主要影响途径为风险事故状态下</w:t>
            </w:r>
            <w:r>
              <w:rPr>
                <w:rFonts w:hint="eastAsia"/>
                <w:color w:val="auto"/>
                <w:highlight w:val="none"/>
                <w:lang w:eastAsia="zh-CN"/>
              </w:rPr>
              <w:t>废润滑油</w:t>
            </w:r>
            <w:r>
              <w:rPr>
                <w:rFonts w:hint="eastAsia"/>
                <w:color w:val="auto"/>
                <w:highlight w:val="none"/>
              </w:rPr>
              <w:t>泄漏产生地面漫流、垂直入渗对土壤产生影响，具体见下表。</w:t>
            </w:r>
          </w:p>
          <w:p>
            <w:pPr>
              <w:pStyle w:val="36"/>
              <w:bidi w:val="0"/>
              <w:rPr>
                <w:color w:val="auto"/>
                <w:highlight w:val="none"/>
              </w:rPr>
            </w:pPr>
            <w:r>
              <w:rPr>
                <w:rFonts w:hint="eastAsia"/>
                <w:color w:val="auto"/>
                <w:highlight w:val="none"/>
              </w:rPr>
              <w:t>表4.6-1   建设项目土壤环境影响类型与影响途径表</w:t>
            </w:r>
          </w:p>
          <w:tbl>
            <w:tblPr>
              <w:tblStyle w:val="22"/>
              <w:tblW w:w="793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87"/>
              <w:gridCol w:w="1587"/>
              <w:gridCol w:w="1588"/>
              <w:gridCol w:w="1588"/>
              <w:gridCol w:w="15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1812" w:type="dxa"/>
                  <w:vMerge w:val="restart"/>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rFonts w:hint="eastAsia"/>
                      <w:color w:val="auto"/>
                      <w:highlight w:val="none"/>
                    </w:rPr>
                    <w:t>不同时段</w:t>
                  </w:r>
                </w:p>
              </w:tc>
              <w:tc>
                <w:tcPr>
                  <w:tcW w:w="7248" w:type="dxa"/>
                  <w:gridSpan w:val="4"/>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rFonts w:hint="eastAsia"/>
                      <w:color w:val="auto"/>
                      <w:highlight w:val="none"/>
                    </w:rPr>
                    <w:t>污染影响型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91" w:type="dxa"/>
                  <w:vMerge w:val="continue"/>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rFonts w:hint="eastAsia"/>
                      <w:color w:val="auto"/>
                      <w:highlight w:val="none"/>
                    </w:rPr>
                    <w:t>大气沉降</w:t>
                  </w: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rFonts w:hint="eastAsia"/>
                      <w:color w:val="auto"/>
                      <w:highlight w:val="none"/>
                    </w:rPr>
                    <w:t>地面漫流</w:t>
                  </w: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rFonts w:hint="eastAsia"/>
                      <w:color w:val="auto"/>
                      <w:highlight w:val="none"/>
                    </w:rPr>
                    <w:t>垂直入渗</w:t>
                  </w: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rFonts w:hint="eastAsia"/>
                      <w:color w:val="auto"/>
                      <w:highlight w:val="none"/>
                    </w:rPr>
                    <w:t>其他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rFonts w:hint="eastAsia"/>
                      <w:color w:val="auto"/>
                      <w:highlight w:val="none"/>
                    </w:rPr>
                    <w:t>建设期</w:t>
                  </w: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color w:val="auto"/>
                      <w:highlight w:val="none"/>
                    </w:rPr>
                    <w:t>--</w:t>
                  </w: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color w:val="auto"/>
                      <w:highlight w:val="none"/>
                    </w:rPr>
                    <w:t>--</w:t>
                  </w: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color w:val="auto"/>
                      <w:highlight w:val="none"/>
                    </w:rPr>
                    <w:t>--</w:t>
                  </w: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rFonts w:hint="eastAsia"/>
                      <w:color w:val="auto"/>
                      <w:highlight w:val="none"/>
                    </w:rPr>
                    <w:t>运营期</w:t>
                  </w: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color w:val="auto"/>
                      <w:highlight w:val="none"/>
                    </w:rPr>
                    <w:t>--</w:t>
                  </w: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color w:val="auto"/>
                      <w:highlight w:val="none"/>
                    </w:rPr>
                    <w:sym w:font="Wingdings 2" w:char="F050"/>
                  </w: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color w:val="auto"/>
                      <w:highlight w:val="none"/>
                    </w:rPr>
                    <w:sym w:font="Wingdings 2" w:char="F050"/>
                  </w:r>
                </w:p>
              </w:tc>
              <w:tc>
                <w:tcPr>
                  <w:tcW w:w="1812" w:type="dxa"/>
                  <w:tcBorders>
                    <w:top w:val="single" w:color="auto" w:sz="4" w:space="0"/>
                    <w:left w:val="single" w:color="auto" w:sz="4" w:space="0"/>
                    <w:bottom w:val="single" w:color="auto" w:sz="4" w:space="0"/>
                    <w:right w:val="single" w:color="auto" w:sz="4" w:space="0"/>
                  </w:tcBorders>
                  <w:vAlign w:val="center"/>
                </w:tcPr>
                <w:p>
                  <w:pPr>
                    <w:pStyle w:val="57"/>
                    <w:bidi w:val="0"/>
                    <w:rPr>
                      <w:color w:val="auto"/>
                      <w:highlight w:val="none"/>
                    </w:rPr>
                  </w:pPr>
                  <w:r>
                    <w:rPr>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9060" w:type="dxa"/>
                  <w:gridSpan w:val="5"/>
                  <w:tcBorders>
                    <w:top w:val="single" w:color="auto" w:sz="4" w:space="0"/>
                    <w:left w:val="single" w:color="auto" w:sz="4" w:space="0"/>
                    <w:bottom w:val="single" w:color="auto" w:sz="4" w:space="0"/>
                    <w:right w:val="single" w:color="auto" w:sz="4" w:space="0"/>
                  </w:tcBorders>
                  <w:vAlign w:val="center"/>
                </w:tcPr>
                <w:p>
                  <w:pPr>
                    <w:pStyle w:val="34"/>
                    <w:bidi w:val="0"/>
                    <w:rPr>
                      <w:color w:val="auto"/>
                      <w:highlight w:val="none"/>
                    </w:rPr>
                  </w:pPr>
                  <w:r>
                    <w:rPr>
                      <w:rFonts w:hint="eastAsia"/>
                      <w:color w:val="auto"/>
                      <w:highlight w:val="none"/>
                    </w:rPr>
                    <w:t>注：在可能产生的土壤环境影响类型处打</w:t>
                  </w:r>
                  <w:r>
                    <w:rPr>
                      <w:color w:val="auto"/>
                      <w:highlight w:val="none"/>
                    </w:rPr>
                    <w:t>“</w:t>
                  </w:r>
                  <w:r>
                    <w:rPr>
                      <w:color w:val="auto"/>
                      <w:highlight w:val="none"/>
                    </w:rPr>
                    <w:sym w:font="Wingdings 2" w:char="F050"/>
                  </w:r>
                  <w:r>
                    <w:rPr>
                      <w:rFonts w:hint="eastAsia"/>
                      <w:color w:val="auto"/>
                      <w:highlight w:val="none"/>
                    </w:rPr>
                    <w:t>”。</w:t>
                  </w:r>
                </w:p>
              </w:tc>
            </w:tr>
          </w:tbl>
          <w:p>
            <w:pPr>
              <w:pStyle w:val="6"/>
              <w:bidi w:val="0"/>
              <w:rPr>
                <w:color w:val="auto"/>
                <w:highlight w:val="none"/>
              </w:rPr>
            </w:pPr>
            <w:r>
              <w:rPr>
                <w:rFonts w:hint="eastAsia"/>
                <w:color w:val="auto"/>
                <w:highlight w:val="none"/>
              </w:rPr>
              <w:t>（2）土壤环境影响因子识别</w:t>
            </w:r>
          </w:p>
          <w:p>
            <w:pPr>
              <w:pStyle w:val="6"/>
              <w:bidi w:val="0"/>
              <w:rPr>
                <w:color w:val="auto"/>
                <w:highlight w:val="none"/>
              </w:rPr>
            </w:pPr>
            <w:r>
              <w:rPr>
                <w:rFonts w:hint="eastAsia"/>
                <w:color w:val="auto"/>
                <w:highlight w:val="none"/>
              </w:rPr>
              <w:t>根据本项目情况，参考《环境影响评价技术导则土壤环境（试行）》（HJ964-2018）要求，本项目建设主要的影响源及影响因子见下表。</w:t>
            </w:r>
          </w:p>
          <w:p>
            <w:pPr>
              <w:pStyle w:val="36"/>
              <w:bidi w:val="0"/>
              <w:rPr>
                <w:color w:val="auto"/>
                <w:highlight w:val="none"/>
              </w:rPr>
            </w:pPr>
            <w:r>
              <w:rPr>
                <w:rFonts w:hint="eastAsia"/>
                <w:color w:val="auto"/>
                <w:highlight w:val="none"/>
              </w:rPr>
              <w:t>表4.6-2        建设项目土壤影响源及影响因子识别表</w:t>
            </w:r>
          </w:p>
          <w:tbl>
            <w:tblPr>
              <w:tblStyle w:val="2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631"/>
              <w:gridCol w:w="1174"/>
              <w:gridCol w:w="1164"/>
              <w:gridCol w:w="1191"/>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0" w:type="dxa"/>
                  <w:vAlign w:val="center"/>
                </w:tcPr>
                <w:p>
                  <w:pPr>
                    <w:pStyle w:val="57"/>
                    <w:bidi w:val="0"/>
                    <w:rPr>
                      <w:color w:val="auto"/>
                      <w:highlight w:val="none"/>
                    </w:rPr>
                  </w:pPr>
                  <w:r>
                    <w:rPr>
                      <w:rFonts w:hint="eastAsia"/>
                      <w:color w:val="auto"/>
                      <w:highlight w:val="none"/>
                    </w:rPr>
                    <w:t>污染源</w:t>
                  </w:r>
                </w:p>
              </w:tc>
              <w:tc>
                <w:tcPr>
                  <w:tcW w:w="1631" w:type="dxa"/>
                  <w:vAlign w:val="center"/>
                </w:tcPr>
                <w:p>
                  <w:pPr>
                    <w:pStyle w:val="57"/>
                    <w:bidi w:val="0"/>
                    <w:rPr>
                      <w:color w:val="auto"/>
                      <w:highlight w:val="none"/>
                    </w:rPr>
                  </w:pPr>
                  <w:r>
                    <w:rPr>
                      <w:rFonts w:hint="eastAsia"/>
                      <w:color w:val="auto"/>
                      <w:highlight w:val="none"/>
                    </w:rPr>
                    <w:t>工艺流程</w:t>
                  </w:r>
                  <w:r>
                    <w:rPr>
                      <w:color w:val="auto"/>
                      <w:highlight w:val="none"/>
                    </w:rPr>
                    <w:t>/</w:t>
                  </w:r>
                  <w:r>
                    <w:rPr>
                      <w:rFonts w:hint="eastAsia"/>
                      <w:color w:val="auto"/>
                      <w:highlight w:val="none"/>
                    </w:rPr>
                    <w:t>节点</w:t>
                  </w:r>
                </w:p>
              </w:tc>
              <w:tc>
                <w:tcPr>
                  <w:tcW w:w="1174" w:type="dxa"/>
                  <w:vAlign w:val="center"/>
                </w:tcPr>
                <w:p>
                  <w:pPr>
                    <w:pStyle w:val="57"/>
                    <w:bidi w:val="0"/>
                    <w:rPr>
                      <w:color w:val="auto"/>
                      <w:highlight w:val="none"/>
                    </w:rPr>
                  </w:pPr>
                  <w:r>
                    <w:rPr>
                      <w:rFonts w:hint="eastAsia"/>
                      <w:color w:val="auto"/>
                      <w:highlight w:val="none"/>
                    </w:rPr>
                    <w:t>污染途径</w:t>
                  </w:r>
                </w:p>
              </w:tc>
              <w:tc>
                <w:tcPr>
                  <w:tcW w:w="1164" w:type="dxa"/>
                  <w:vAlign w:val="center"/>
                </w:tcPr>
                <w:p>
                  <w:pPr>
                    <w:pStyle w:val="57"/>
                    <w:bidi w:val="0"/>
                    <w:rPr>
                      <w:color w:val="auto"/>
                      <w:highlight w:val="none"/>
                    </w:rPr>
                  </w:pPr>
                  <w:r>
                    <w:rPr>
                      <w:rFonts w:hint="eastAsia"/>
                      <w:color w:val="auto"/>
                      <w:highlight w:val="none"/>
                    </w:rPr>
                    <w:t>污染物指标</w:t>
                  </w:r>
                </w:p>
              </w:tc>
              <w:tc>
                <w:tcPr>
                  <w:tcW w:w="1191" w:type="dxa"/>
                  <w:vAlign w:val="center"/>
                </w:tcPr>
                <w:p>
                  <w:pPr>
                    <w:pStyle w:val="57"/>
                    <w:bidi w:val="0"/>
                    <w:rPr>
                      <w:color w:val="auto"/>
                      <w:highlight w:val="none"/>
                    </w:rPr>
                  </w:pPr>
                  <w:r>
                    <w:rPr>
                      <w:rFonts w:hint="eastAsia"/>
                      <w:color w:val="auto"/>
                      <w:highlight w:val="none"/>
                    </w:rPr>
                    <w:t>特征因子</w:t>
                  </w:r>
                </w:p>
              </w:tc>
              <w:tc>
                <w:tcPr>
                  <w:tcW w:w="1598" w:type="dxa"/>
                  <w:vAlign w:val="center"/>
                </w:tcPr>
                <w:p>
                  <w:pPr>
                    <w:pStyle w:val="57"/>
                    <w:bidi w:val="0"/>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0" w:type="dxa"/>
                  <w:vMerge w:val="restart"/>
                  <w:vAlign w:val="center"/>
                </w:tcPr>
                <w:p>
                  <w:pPr>
                    <w:pStyle w:val="57"/>
                    <w:bidi w:val="0"/>
                    <w:rPr>
                      <w:rFonts w:hint="eastAsia" w:eastAsia="宋体"/>
                      <w:color w:val="auto"/>
                      <w:highlight w:val="none"/>
                      <w:lang w:eastAsia="zh-CN"/>
                    </w:rPr>
                  </w:pPr>
                  <w:r>
                    <w:rPr>
                      <w:rFonts w:hint="eastAsia"/>
                      <w:color w:val="auto"/>
                      <w:highlight w:val="none"/>
                      <w:lang w:eastAsia="zh-CN"/>
                    </w:rPr>
                    <w:t>危险废物贮存点</w:t>
                  </w:r>
                </w:p>
              </w:tc>
              <w:tc>
                <w:tcPr>
                  <w:tcW w:w="1631" w:type="dxa"/>
                  <w:vMerge w:val="restart"/>
                  <w:vAlign w:val="center"/>
                </w:tcPr>
                <w:p>
                  <w:pPr>
                    <w:pStyle w:val="57"/>
                    <w:bidi w:val="0"/>
                    <w:rPr>
                      <w:color w:val="auto"/>
                      <w:highlight w:val="none"/>
                    </w:rPr>
                  </w:pPr>
                  <w:r>
                    <w:rPr>
                      <w:rFonts w:hint="eastAsia"/>
                      <w:color w:val="auto"/>
                      <w:highlight w:val="none"/>
                      <w:lang w:eastAsia="zh-CN"/>
                    </w:rPr>
                    <w:t>废润滑油</w:t>
                  </w:r>
                  <w:r>
                    <w:rPr>
                      <w:rFonts w:hint="eastAsia"/>
                      <w:color w:val="auto"/>
                      <w:highlight w:val="none"/>
                    </w:rPr>
                    <w:t>储罐</w:t>
                  </w:r>
                </w:p>
              </w:tc>
              <w:tc>
                <w:tcPr>
                  <w:tcW w:w="1174" w:type="dxa"/>
                  <w:vAlign w:val="center"/>
                </w:tcPr>
                <w:p>
                  <w:pPr>
                    <w:pStyle w:val="57"/>
                    <w:bidi w:val="0"/>
                    <w:rPr>
                      <w:color w:val="auto"/>
                      <w:highlight w:val="none"/>
                    </w:rPr>
                  </w:pPr>
                  <w:r>
                    <w:rPr>
                      <w:rFonts w:hint="eastAsia"/>
                      <w:color w:val="auto"/>
                      <w:highlight w:val="none"/>
                    </w:rPr>
                    <w:t>地面漫流</w:t>
                  </w:r>
                </w:p>
              </w:tc>
              <w:tc>
                <w:tcPr>
                  <w:tcW w:w="1164" w:type="dxa"/>
                  <w:vMerge w:val="restart"/>
                  <w:vAlign w:val="center"/>
                </w:tcPr>
                <w:p>
                  <w:pPr>
                    <w:pStyle w:val="57"/>
                    <w:bidi w:val="0"/>
                    <w:rPr>
                      <w:rFonts w:hint="eastAsia" w:eastAsia="宋体"/>
                      <w:color w:val="auto"/>
                      <w:highlight w:val="none"/>
                      <w:lang w:eastAsia="zh-CN"/>
                    </w:rPr>
                  </w:pPr>
                  <w:r>
                    <w:rPr>
                      <w:rFonts w:hint="eastAsia"/>
                      <w:color w:val="auto"/>
                      <w:highlight w:val="none"/>
                      <w:lang w:eastAsia="zh-CN"/>
                    </w:rPr>
                    <w:t>废润滑油</w:t>
                  </w:r>
                </w:p>
              </w:tc>
              <w:tc>
                <w:tcPr>
                  <w:tcW w:w="1191" w:type="dxa"/>
                  <w:vMerge w:val="restart"/>
                  <w:vAlign w:val="center"/>
                </w:tcPr>
                <w:p>
                  <w:pPr>
                    <w:pStyle w:val="57"/>
                    <w:bidi w:val="0"/>
                    <w:rPr>
                      <w:rFonts w:hint="eastAsia" w:eastAsia="宋体"/>
                      <w:color w:val="auto"/>
                      <w:highlight w:val="none"/>
                      <w:lang w:eastAsia="zh-CN"/>
                    </w:rPr>
                  </w:pPr>
                  <w:r>
                    <w:rPr>
                      <w:rFonts w:hint="eastAsia"/>
                      <w:color w:val="auto"/>
                      <w:highlight w:val="none"/>
                      <w:lang w:val="en-US" w:eastAsia="zh-CN"/>
                    </w:rPr>
                    <w:t>石油烃</w:t>
                  </w:r>
                </w:p>
              </w:tc>
              <w:tc>
                <w:tcPr>
                  <w:tcW w:w="1598" w:type="dxa"/>
                  <w:vMerge w:val="restart"/>
                  <w:vAlign w:val="center"/>
                </w:tcPr>
                <w:p>
                  <w:pPr>
                    <w:pStyle w:val="57"/>
                    <w:bidi w:val="0"/>
                    <w:rPr>
                      <w:color w:val="auto"/>
                      <w:highlight w:val="none"/>
                    </w:rPr>
                  </w:pPr>
                  <w:r>
                    <w:rPr>
                      <w:rFonts w:hint="eastAsia"/>
                      <w:color w:val="auto"/>
                      <w:highlight w:val="none"/>
                    </w:rPr>
                    <w:t>事故工况，储罐破损且防渗破损失效时出现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0" w:type="dxa"/>
                  <w:vMerge w:val="continue"/>
                  <w:vAlign w:val="center"/>
                </w:tcPr>
                <w:p>
                  <w:pPr>
                    <w:pStyle w:val="57"/>
                    <w:bidi w:val="0"/>
                    <w:rPr>
                      <w:color w:val="auto"/>
                      <w:highlight w:val="none"/>
                    </w:rPr>
                  </w:pPr>
                </w:p>
              </w:tc>
              <w:tc>
                <w:tcPr>
                  <w:tcW w:w="1631" w:type="dxa"/>
                  <w:vMerge w:val="continue"/>
                  <w:vAlign w:val="center"/>
                </w:tcPr>
                <w:p>
                  <w:pPr>
                    <w:pStyle w:val="57"/>
                    <w:bidi w:val="0"/>
                    <w:rPr>
                      <w:color w:val="auto"/>
                      <w:highlight w:val="none"/>
                    </w:rPr>
                  </w:pPr>
                </w:p>
              </w:tc>
              <w:tc>
                <w:tcPr>
                  <w:tcW w:w="1174" w:type="dxa"/>
                  <w:vAlign w:val="center"/>
                </w:tcPr>
                <w:p>
                  <w:pPr>
                    <w:pStyle w:val="57"/>
                    <w:bidi w:val="0"/>
                    <w:rPr>
                      <w:color w:val="auto"/>
                      <w:highlight w:val="none"/>
                    </w:rPr>
                  </w:pPr>
                  <w:r>
                    <w:rPr>
                      <w:rFonts w:hint="eastAsia"/>
                      <w:color w:val="auto"/>
                      <w:highlight w:val="none"/>
                    </w:rPr>
                    <w:t>垂直入渗</w:t>
                  </w:r>
                </w:p>
              </w:tc>
              <w:tc>
                <w:tcPr>
                  <w:tcW w:w="1164" w:type="dxa"/>
                  <w:vMerge w:val="continue"/>
                  <w:vAlign w:val="center"/>
                </w:tcPr>
                <w:p>
                  <w:pPr>
                    <w:pStyle w:val="57"/>
                    <w:bidi w:val="0"/>
                    <w:rPr>
                      <w:color w:val="auto"/>
                      <w:highlight w:val="none"/>
                    </w:rPr>
                  </w:pPr>
                </w:p>
              </w:tc>
              <w:tc>
                <w:tcPr>
                  <w:tcW w:w="1191" w:type="dxa"/>
                  <w:vMerge w:val="continue"/>
                  <w:vAlign w:val="center"/>
                </w:tcPr>
                <w:p>
                  <w:pPr>
                    <w:pStyle w:val="57"/>
                    <w:bidi w:val="0"/>
                    <w:rPr>
                      <w:color w:val="auto"/>
                      <w:highlight w:val="none"/>
                    </w:rPr>
                  </w:pPr>
                </w:p>
              </w:tc>
              <w:tc>
                <w:tcPr>
                  <w:tcW w:w="1598" w:type="dxa"/>
                  <w:vMerge w:val="continue"/>
                  <w:vAlign w:val="center"/>
                </w:tcPr>
                <w:p>
                  <w:pPr>
                    <w:pStyle w:val="57"/>
                    <w:bidi w:val="0"/>
                    <w:rPr>
                      <w:color w:val="auto"/>
                      <w:highlight w:val="none"/>
                    </w:rPr>
                  </w:pPr>
                </w:p>
              </w:tc>
            </w:tr>
          </w:tbl>
          <w:p>
            <w:pPr>
              <w:pStyle w:val="6"/>
              <w:bidi w:val="0"/>
              <w:rPr>
                <w:color w:val="auto"/>
                <w:highlight w:val="none"/>
              </w:rPr>
            </w:pPr>
            <w:r>
              <w:rPr>
                <w:rFonts w:hint="eastAsia"/>
                <w:color w:val="auto"/>
                <w:highlight w:val="none"/>
              </w:rPr>
              <w:t>（3）土壤环境影响分析</w:t>
            </w:r>
          </w:p>
          <w:p>
            <w:pPr>
              <w:pStyle w:val="6"/>
              <w:bidi w:val="0"/>
              <w:rPr>
                <w:color w:val="auto"/>
                <w:highlight w:val="none"/>
              </w:rPr>
            </w:pPr>
            <w:r>
              <w:rPr>
                <w:rFonts w:hint="eastAsia"/>
                <w:color w:val="auto"/>
                <w:highlight w:val="none"/>
              </w:rPr>
              <w:t>本项目正常情况下不会对土壤造成地面漫流、垂直入渗影响，对周边土壤环境影响较小。但地面漫流及垂直入渗型影响可能在防渗破损失效、排污管道堵塞、</w:t>
            </w:r>
            <w:r>
              <w:rPr>
                <w:rFonts w:hint="eastAsia"/>
                <w:color w:val="auto"/>
                <w:highlight w:val="none"/>
                <w:lang w:eastAsia="zh-CN"/>
              </w:rPr>
              <w:t>废润滑油</w:t>
            </w:r>
            <w:r>
              <w:rPr>
                <w:rFonts w:hint="eastAsia"/>
                <w:color w:val="auto"/>
                <w:highlight w:val="none"/>
              </w:rPr>
              <w:t>储罐事故破损等情况（即事故情况）下出现，发生这类事故一般对受污染地块土壤环境影响较大，必须采取严格的防范措施避免此类事故的发生。本项目利用现有</w:t>
            </w:r>
            <w:r>
              <w:rPr>
                <w:rFonts w:hint="eastAsia"/>
                <w:color w:val="auto"/>
                <w:highlight w:val="none"/>
                <w:lang w:eastAsia="zh-CN"/>
              </w:rPr>
              <w:t>危险废物贮存点</w:t>
            </w:r>
            <w:r>
              <w:rPr>
                <w:rFonts w:hint="eastAsia"/>
                <w:color w:val="auto"/>
                <w:highlight w:val="none"/>
              </w:rPr>
              <w:t>，已设置</w:t>
            </w:r>
            <w:r>
              <w:rPr>
                <w:rFonts w:hint="eastAsia"/>
                <w:color w:val="auto"/>
                <w:highlight w:val="none"/>
                <w:lang w:val="en-US" w:eastAsia="zh-CN"/>
              </w:rPr>
              <w:t>托盘</w:t>
            </w:r>
            <w:r>
              <w:rPr>
                <w:rFonts w:hint="eastAsia"/>
                <w:color w:val="auto"/>
                <w:highlight w:val="none"/>
              </w:rPr>
              <w:t>，并制定巡检制度，发生事故时风险可控，且企业可启动应急预案及时处理。事故情况下一般可将对土壤的影响控制在厂区内，及时采取风险措施后对周边土壤环境影响较小。</w:t>
            </w:r>
          </w:p>
          <w:p>
            <w:pPr>
              <w:pStyle w:val="6"/>
              <w:bidi w:val="0"/>
              <w:rPr>
                <w:color w:val="auto"/>
                <w:highlight w:val="none"/>
              </w:rPr>
            </w:pPr>
            <w:r>
              <w:rPr>
                <w:rFonts w:hint="eastAsia"/>
                <w:color w:val="auto"/>
                <w:highlight w:val="none"/>
              </w:rPr>
              <w:t>（4）土壤环境保护措施</w:t>
            </w:r>
          </w:p>
          <w:p>
            <w:pPr>
              <w:pStyle w:val="6"/>
              <w:bidi w:val="0"/>
              <w:rPr>
                <w:color w:val="auto"/>
                <w:highlight w:val="none"/>
              </w:rPr>
            </w:pPr>
            <w:r>
              <w:rPr>
                <w:rFonts w:hint="eastAsia"/>
                <w:color w:val="auto"/>
                <w:highlight w:val="none"/>
              </w:rPr>
              <w:t>①源头控制措施</w:t>
            </w:r>
          </w:p>
          <w:p>
            <w:pPr>
              <w:pStyle w:val="6"/>
              <w:bidi w:val="0"/>
              <w:rPr>
                <w:color w:val="auto"/>
                <w:highlight w:val="none"/>
              </w:rPr>
            </w:pPr>
            <w:r>
              <w:rPr>
                <w:rFonts w:hint="eastAsia"/>
                <w:color w:val="auto"/>
                <w:highlight w:val="none"/>
              </w:rPr>
              <w:t>本项目应严格落实本报告提出的风险防控措施，从源头上降低事故发生的概率。</w:t>
            </w:r>
          </w:p>
          <w:p>
            <w:pPr>
              <w:pStyle w:val="6"/>
              <w:bidi w:val="0"/>
              <w:rPr>
                <w:color w:val="auto"/>
                <w:highlight w:val="none"/>
              </w:rPr>
            </w:pPr>
            <w:r>
              <w:rPr>
                <w:rFonts w:hint="eastAsia"/>
                <w:color w:val="auto"/>
                <w:highlight w:val="none"/>
              </w:rPr>
              <w:t>②过程防控措施</w:t>
            </w:r>
          </w:p>
          <w:p>
            <w:pPr>
              <w:pStyle w:val="6"/>
              <w:bidi w:val="0"/>
              <w:rPr>
                <w:color w:val="auto"/>
                <w:highlight w:val="none"/>
              </w:rPr>
            </w:pPr>
            <w:r>
              <w:rPr>
                <w:rFonts w:hint="eastAsia"/>
                <w:color w:val="auto"/>
                <w:highlight w:val="none"/>
                <w:lang w:eastAsia="zh-CN"/>
              </w:rPr>
              <w:t>危险废物贮存点</w:t>
            </w:r>
            <w:r>
              <w:rPr>
                <w:rFonts w:hint="eastAsia"/>
                <w:color w:val="auto"/>
                <w:highlight w:val="none"/>
              </w:rPr>
              <w:t>设置</w:t>
            </w:r>
            <w:r>
              <w:rPr>
                <w:rFonts w:hint="eastAsia"/>
                <w:color w:val="auto"/>
                <w:highlight w:val="none"/>
                <w:lang w:val="en-US" w:eastAsia="zh-CN"/>
              </w:rPr>
              <w:t>托盘</w:t>
            </w:r>
            <w:r>
              <w:rPr>
                <w:rFonts w:hint="eastAsia"/>
                <w:color w:val="auto"/>
                <w:highlight w:val="none"/>
              </w:rPr>
              <w:t>，并制定巡检制度，针对本项目可能产生的地面漫流及垂直入渗影响源，应严格落实突发环境事件应急预案中提出的各项污染防控措施。</w:t>
            </w:r>
          </w:p>
          <w:p>
            <w:pPr>
              <w:pStyle w:val="3"/>
              <w:bidi w:val="0"/>
              <w:rPr>
                <w:color w:val="auto"/>
                <w:highlight w:val="none"/>
              </w:rPr>
            </w:pPr>
            <w:r>
              <w:rPr>
                <w:rFonts w:hint="eastAsia"/>
                <w:color w:val="auto"/>
                <w:highlight w:val="none"/>
              </w:rPr>
              <w:t>4.7 环境风险分析</w:t>
            </w:r>
          </w:p>
          <w:p>
            <w:pPr>
              <w:pStyle w:val="4"/>
              <w:bidi w:val="0"/>
              <w:rPr>
                <w:color w:val="auto"/>
                <w:highlight w:val="none"/>
              </w:rPr>
            </w:pPr>
            <w:r>
              <w:rPr>
                <w:rFonts w:hint="eastAsia"/>
                <w:color w:val="auto"/>
                <w:highlight w:val="none"/>
              </w:rPr>
              <w:t>4.7.1 风险识别</w:t>
            </w:r>
          </w:p>
          <w:p>
            <w:pPr>
              <w:pStyle w:val="6"/>
              <w:bidi w:val="0"/>
              <w:rPr>
                <w:color w:val="auto"/>
                <w:highlight w:val="none"/>
              </w:rPr>
            </w:pPr>
            <w:r>
              <w:rPr>
                <w:rFonts w:hint="eastAsia"/>
                <w:color w:val="auto"/>
                <w:highlight w:val="none"/>
                <w:lang w:val="en-US" w:eastAsia="zh-CN"/>
              </w:rPr>
              <w:t>对照《建设项目环境风险评价技术导则》（HJ169-2018）附录，</w:t>
            </w:r>
            <w:r>
              <w:rPr>
                <w:color w:val="auto"/>
                <w:highlight w:val="none"/>
              </w:rPr>
              <w:t>本项目运营</w:t>
            </w:r>
            <w:r>
              <w:rPr>
                <w:rFonts w:hint="eastAsia"/>
                <w:color w:val="auto"/>
                <w:highlight w:val="none"/>
                <w:lang w:val="en-US" w:eastAsia="zh-CN"/>
              </w:rPr>
              <w:t>期</w:t>
            </w:r>
            <w:r>
              <w:rPr>
                <w:color w:val="auto"/>
                <w:highlight w:val="none"/>
              </w:rPr>
              <w:t>中可能存在的</w:t>
            </w:r>
            <w:r>
              <w:rPr>
                <w:rFonts w:hint="eastAsia"/>
                <w:color w:val="auto"/>
                <w:highlight w:val="none"/>
              </w:rPr>
              <w:t>风险源主要</w:t>
            </w:r>
            <w:r>
              <w:rPr>
                <w:rFonts w:hint="eastAsia"/>
                <w:color w:val="auto"/>
                <w:highlight w:val="none"/>
                <w:lang w:val="en-US" w:eastAsia="zh-CN"/>
              </w:rPr>
              <w:t>为</w:t>
            </w:r>
            <w:r>
              <w:rPr>
                <w:rFonts w:hint="eastAsia"/>
                <w:color w:val="auto"/>
                <w:highlight w:val="none"/>
                <w:lang w:eastAsia="zh-CN"/>
              </w:rPr>
              <w:t>危险废物贮存点，</w:t>
            </w:r>
            <w:r>
              <w:rPr>
                <w:rFonts w:hint="eastAsia"/>
                <w:color w:val="auto"/>
                <w:highlight w:val="none"/>
                <w:lang w:val="en-US" w:eastAsia="zh-CN"/>
              </w:rPr>
              <w:t>环境风险类型为</w:t>
            </w:r>
            <w:r>
              <w:rPr>
                <w:rFonts w:hint="eastAsia"/>
                <w:color w:val="auto"/>
                <w:highlight w:val="none"/>
                <w:lang w:eastAsia="zh-CN"/>
              </w:rPr>
              <w:t>废润滑油</w:t>
            </w:r>
            <w:r>
              <w:rPr>
                <w:rFonts w:hint="eastAsia"/>
                <w:color w:val="auto"/>
                <w:highlight w:val="none"/>
              </w:rPr>
              <w:t>泄漏、火灾</w:t>
            </w:r>
            <w:r>
              <w:rPr>
                <w:rFonts w:hint="eastAsia"/>
                <w:color w:val="auto"/>
                <w:highlight w:val="none"/>
                <w:lang w:val="en-US" w:eastAsia="zh-CN"/>
              </w:rPr>
              <w:t>爆炸等引发的伴生/次生污染物排放</w:t>
            </w:r>
            <w:r>
              <w:rPr>
                <w:color w:val="auto"/>
                <w:highlight w:val="none"/>
              </w:rPr>
              <w:t>。</w:t>
            </w:r>
          </w:p>
          <w:p>
            <w:pPr>
              <w:pStyle w:val="4"/>
              <w:bidi w:val="0"/>
              <w:rPr>
                <w:color w:val="auto"/>
                <w:highlight w:val="none"/>
              </w:rPr>
            </w:pPr>
            <w:r>
              <w:rPr>
                <w:rFonts w:hint="eastAsia"/>
                <w:color w:val="auto"/>
                <w:highlight w:val="none"/>
              </w:rPr>
              <w:t>4.7.2 环境风险潜势</w:t>
            </w:r>
          </w:p>
          <w:p>
            <w:pPr>
              <w:pStyle w:val="6"/>
              <w:bidi w:val="0"/>
              <w:rPr>
                <w:color w:val="auto"/>
                <w:highlight w:val="none"/>
              </w:rPr>
            </w:pPr>
            <w:r>
              <w:rPr>
                <w:color w:val="auto"/>
                <w:highlight w:val="none"/>
              </w:rPr>
              <w:t>根据《建设项目环境风险评价技术导则》(HJ169-2018)附录B 危险物质及临界量，计算危险物质的总量与其临界量比值Q。</w:t>
            </w:r>
          </w:p>
          <w:p>
            <w:pPr>
              <w:pStyle w:val="36"/>
              <w:bidi w:val="0"/>
              <w:rPr>
                <w:color w:val="auto"/>
                <w:highlight w:val="none"/>
              </w:rPr>
            </w:pPr>
            <w:r>
              <w:rPr>
                <w:color w:val="auto"/>
                <w:highlight w:val="none"/>
              </w:rPr>
              <w:t>表</w:t>
            </w:r>
            <w:r>
              <w:rPr>
                <w:rFonts w:hint="eastAsia"/>
                <w:color w:val="auto"/>
                <w:highlight w:val="none"/>
              </w:rPr>
              <w:t>4.7-1</w:t>
            </w:r>
            <w:r>
              <w:rPr>
                <w:rFonts w:hint="eastAsia"/>
                <w:color w:val="auto"/>
                <w:highlight w:val="none"/>
                <w:lang w:val="en-US" w:eastAsia="zh-CN"/>
              </w:rPr>
              <w:t xml:space="preserve"> </w:t>
            </w:r>
            <w:r>
              <w:rPr>
                <w:color w:val="auto"/>
                <w:highlight w:val="none"/>
              </w:rPr>
              <w:t>项目重大环境风险源辨识一览表</w:t>
            </w:r>
          </w:p>
          <w:tbl>
            <w:tblPr>
              <w:tblStyle w:val="22"/>
              <w:tblW w:w="8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610"/>
              <w:gridCol w:w="2132"/>
              <w:gridCol w:w="1089"/>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99" w:type="pct"/>
                  <w:vAlign w:val="center"/>
                </w:tcPr>
                <w:p>
                  <w:pPr>
                    <w:pStyle w:val="57"/>
                    <w:bidi w:val="0"/>
                    <w:rPr>
                      <w:color w:val="auto"/>
                      <w:highlight w:val="none"/>
                    </w:rPr>
                  </w:pPr>
                  <w:r>
                    <w:rPr>
                      <w:color w:val="auto"/>
                      <w:highlight w:val="none"/>
                    </w:rPr>
                    <w:t>风险物质名称</w:t>
                  </w:r>
                </w:p>
              </w:tc>
              <w:tc>
                <w:tcPr>
                  <w:tcW w:w="999" w:type="pct"/>
                  <w:vAlign w:val="center"/>
                </w:tcPr>
                <w:p>
                  <w:pPr>
                    <w:pStyle w:val="57"/>
                    <w:bidi w:val="0"/>
                    <w:rPr>
                      <w:color w:val="auto"/>
                      <w:highlight w:val="none"/>
                    </w:rPr>
                  </w:pPr>
                  <w:r>
                    <w:rPr>
                      <w:color w:val="auto"/>
                      <w:highlight w:val="none"/>
                    </w:rPr>
                    <w:t>临界量Q（t）</w:t>
                  </w:r>
                </w:p>
              </w:tc>
              <w:tc>
                <w:tcPr>
                  <w:tcW w:w="1323" w:type="pct"/>
                  <w:vAlign w:val="center"/>
                </w:tcPr>
                <w:p>
                  <w:pPr>
                    <w:pStyle w:val="57"/>
                    <w:bidi w:val="0"/>
                    <w:rPr>
                      <w:color w:val="auto"/>
                      <w:highlight w:val="none"/>
                    </w:rPr>
                  </w:pPr>
                  <w:r>
                    <w:rPr>
                      <w:rFonts w:hint="eastAsia"/>
                      <w:color w:val="auto"/>
                      <w:highlight w:val="none"/>
                      <w:lang w:val="en-US" w:eastAsia="zh-CN"/>
                    </w:rPr>
                    <w:t>最大</w:t>
                  </w:r>
                  <w:r>
                    <w:rPr>
                      <w:color w:val="auto"/>
                      <w:highlight w:val="none"/>
                    </w:rPr>
                    <w:t>存在量q（t）</w:t>
                  </w:r>
                </w:p>
              </w:tc>
              <w:tc>
                <w:tcPr>
                  <w:tcW w:w="676" w:type="pct"/>
                  <w:vAlign w:val="center"/>
                </w:tcPr>
                <w:p>
                  <w:pPr>
                    <w:pStyle w:val="57"/>
                    <w:bidi w:val="0"/>
                    <w:rPr>
                      <w:color w:val="auto"/>
                      <w:highlight w:val="none"/>
                    </w:rPr>
                  </w:pPr>
                  <w:r>
                    <w:rPr>
                      <w:color w:val="auto"/>
                      <w:highlight w:val="none"/>
                    </w:rPr>
                    <w:t>q/Q</w:t>
                  </w:r>
                </w:p>
              </w:tc>
              <w:tc>
                <w:tcPr>
                  <w:tcW w:w="1000" w:type="pct"/>
                  <w:vAlign w:val="center"/>
                </w:tcPr>
                <w:p>
                  <w:pPr>
                    <w:pStyle w:val="57"/>
                    <w:bidi w:val="0"/>
                    <w:rPr>
                      <w:color w:val="auto"/>
                      <w:highlight w:val="none"/>
                    </w:rPr>
                  </w:pPr>
                  <w:r>
                    <w:rPr>
                      <w:color w:val="auto"/>
                      <w:highlight w:val="none"/>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vAlign w:val="center"/>
                </w:tcPr>
                <w:p>
                  <w:pPr>
                    <w:pStyle w:val="57"/>
                    <w:bidi w:val="0"/>
                    <w:rPr>
                      <w:rFonts w:hint="eastAsia" w:eastAsia="宋体"/>
                      <w:color w:val="auto"/>
                      <w:highlight w:val="none"/>
                      <w:lang w:eastAsia="zh-CN"/>
                    </w:rPr>
                  </w:pPr>
                  <w:r>
                    <w:rPr>
                      <w:rFonts w:hint="eastAsia"/>
                      <w:color w:val="auto"/>
                      <w:highlight w:val="none"/>
                      <w:lang w:eastAsia="zh-CN"/>
                    </w:rPr>
                    <w:t>废润滑油</w:t>
                  </w:r>
                </w:p>
              </w:tc>
              <w:tc>
                <w:tcPr>
                  <w:tcW w:w="999" w:type="pct"/>
                  <w:vAlign w:val="center"/>
                </w:tcPr>
                <w:p>
                  <w:pPr>
                    <w:pStyle w:val="57"/>
                    <w:bidi w:val="0"/>
                    <w:rPr>
                      <w:color w:val="auto"/>
                      <w:highlight w:val="none"/>
                    </w:rPr>
                  </w:pPr>
                  <w:r>
                    <w:rPr>
                      <w:rFonts w:hint="eastAsia"/>
                      <w:color w:val="auto"/>
                      <w:highlight w:val="none"/>
                    </w:rPr>
                    <w:t>2500</w:t>
                  </w:r>
                </w:p>
              </w:tc>
              <w:tc>
                <w:tcPr>
                  <w:tcW w:w="1323" w:type="pct"/>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0.64</w:t>
                  </w:r>
                </w:p>
              </w:tc>
              <w:tc>
                <w:tcPr>
                  <w:tcW w:w="676" w:type="pct"/>
                  <w:vAlign w:val="center"/>
                </w:tcPr>
                <w:p>
                  <w:pPr>
                    <w:pStyle w:val="57"/>
                    <w:bidi w:val="0"/>
                    <w:rPr>
                      <w:rFonts w:hint="default" w:eastAsia="宋体"/>
                      <w:color w:val="auto"/>
                      <w:highlight w:val="none"/>
                      <w:lang w:val="en-US" w:eastAsia="zh-CN"/>
                    </w:rPr>
                  </w:pPr>
                  <w:r>
                    <w:rPr>
                      <w:color w:val="auto"/>
                      <w:highlight w:val="none"/>
                    </w:rPr>
                    <w:t>0.</w:t>
                  </w:r>
                  <w:r>
                    <w:rPr>
                      <w:rFonts w:hint="eastAsia"/>
                      <w:color w:val="auto"/>
                      <w:highlight w:val="none"/>
                    </w:rPr>
                    <w:t>00</w:t>
                  </w:r>
                  <w:r>
                    <w:rPr>
                      <w:rFonts w:hint="eastAsia"/>
                      <w:color w:val="auto"/>
                      <w:highlight w:val="none"/>
                      <w:lang w:val="en-US" w:eastAsia="zh-CN"/>
                    </w:rPr>
                    <w:t>03</w:t>
                  </w:r>
                </w:p>
              </w:tc>
              <w:tc>
                <w:tcPr>
                  <w:tcW w:w="1000" w:type="pct"/>
                  <w:vAlign w:val="center"/>
                </w:tcPr>
                <w:p>
                  <w:pPr>
                    <w:pStyle w:val="57"/>
                    <w:bidi w:val="0"/>
                    <w:rPr>
                      <w:color w:val="auto"/>
                      <w:highlight w:val="none"/>
                    </w:rPr>
                  </w:pPr>
                  <w:r>
                    <w:rPr>
                      <w:color w:val="auto"/>
                      <w:highlight w:val="none"/>
                    </w:rPr>
                    <w:t>＜1</w:t>
                  </w:r>
                </w:p>
              </w:tc>
            </w:tr>
          </w:tbl>
          <w:p>
            <w:pPr>
              <w:pStyle w:val="6"/>
              <w:bidi w:val="0"/>
              <w:rPr>
                <w:color w:val="auto"/>
                <w:highlight w:val="none"/>
              </w:rPr>
            </w:pPr>
          </w:p>
          <w:p>
            <w:pPr>
              <w:pStyle w:val="6"/>
              <w:bidi w:val="0"/>
              <w:rPr>
                <w:color w:val="auto"/>
                <w:highlight w:val="none"/>
              </w:rPr>
            </w:pPr>
            <w:r>
              <w:rPr>
                <w:color w:val="auto"/>
                <w:highlight w:val="none"/>
              </w:rPr>
              <w:t>计算公式如下：</w:t>
            </w:r>
          </w:p>
          <w:p>
            <w:pPr>
              <w:pStyle w:val="37"/>
              <w:bidi w:val="0"/>
              <w:rPr>
                <w:color w:val="auto"/>
                <w:highlight w:val="none"/>
              </w:rPr>
            </w:pPr>
            <w:r>
              <w:rPr>
                <w:color w:val="auto"/>
                <w:highlight w:val="none"/>
              </w:rPr>
              <w:object>
                <v:shape id="_x0000_i1027" o:spt="75" type="#_x0000_t75" style="height:36pt;width:108pt;" o:ole="t" filled="f" o:preferrelative="t" stroked="f" coordsize="21600,21600">
                  <v:path/>
                  <v:fill on="f" focussize="0,0"/>
                  <v:stroke on="f" joinstyle="miter"/>
                  <v:imagedata r:id="rId36" o:title=""/>
                  <o:lock v:ext="edit" aspectratio="t"/>
                  <w10:wrap type="none"/>
                  <w10:anchorlock/>
                </v:shape>
                <o:OLEObject Type="Embed" ProgID="Equation.DSMT4" ShapeID="_x0000_i1027" DrawAspect="Content" ObjectID="_1468075727" r:id="rId35">
                  <o:LockedField>false</o:LockedField>
                </o:OLEObject>
              </w:object>
            </w:r>
          </w:p>
          <w:p>
            <w:pPr>
              <w:pStyle w:val="6"/>
              <w:bidi w:val="0"/>
              <w:rPr>
                <w:color w:val="auto"/>
                <w:highlight w:val="none"/>
              </w:rPr>
            </w:pPr>
            <w:r>
              <w:rPr>
                <w:color w:val="auto"/>
                <w:highlight w:val="none"/>
              </w:rPr>
              <w:t>式中：</w:t>
            </w:r>
          </w:p>
          <w:p>
            <w:pPr>
              <w:pStyle w:val="6"/>
              <w:bidi w:val="0"/>
              <w:rPr>
                <w:color w:val="auto"/>
                <w:highlight w:val="none"/>
              </w:rPr>
            </w:pPr>
            <w:r>
              <w:rPr>
                <w:color w:val="auto"/>
                <w:highlight w:val="none"/>
              </w:rPr>
              <w:t>q</w:t>
            </w:r>
            <w:r>
              <w:rPr>
                <w:color w:val="auto"/>
                <w:highlight w:val="none"/>
                <w:vertAlign w:val="subscript"/>
              </w:rPr>
              <w:t>1</w:t>
            </w:r>
            <w:r>
              <w:rPr>
                <w:color w:val="auto"/>
                <w:highlight w:val="none"/>
              </w:rPr>
              <w:t>、q</w:t>
            </w:r>
            <w:r>
              <w:rPr>
                <w:color w:val="auto"/>
                <w:highlight w:val="none"/>
                <w:vertAlign w:val="subscript"/>
              </w:rPr>
              <w:t>2</w:t>
            </w:r>
            <w:r>
              <w:rPr>
                <w:color w:val="auto"/>
                <w:highlight w:val="none"/>
              </w:rPr>
              <w:t>、</w:t>
            </w:r>
            <w:r>
              <w:rPr>
                <w:rFonts w:hint="eastAsia"/>
                <w:color w:val="auto"/>
                <w:highlight w:val="none"/>
              </w:rPr>
              <w:t>…</w:t>
            </w:r>
            <w:r>
              <w:rPr>
                <w:color w:val="auto"/>
                <w:highlight w:val="none"/>
              </w:rPr>
              <w:t>q</w:t>
            </w:r>
            <w:r>
              <w:rPr>
                <w:color w:val="auto"/>
                <w:highlight w:val="none"/>
                <w:vertAlign w:val="subscript"/>
              </w:rPr>
              <w:t>n</w:t>
            </w:r>
            <w:r>
              <w:rPr>
                <w:color w:val="auto"/>
                <w:highlight w:val="none"/>
              </w:rPr>
              <w:t>——每种环境风险物质的最大存在总量，t；</w:t>
            </w:r>
          </w:p>
          <w:p>
            <w:pPr>
              <w:pStyle w:val="6"/>
              <w:bidi w:val="0"/>
              <w:rPr>
                <w:color w:val="auto"/>
                <w:highlight w:val="none"/>
              </w:rPr>
            </w:pPr>
            <w:r>
              <w:rPr>
                <w:color w:val="auto"/>
                <w:highlight w:val="none"/>
              </w:rPr>
              <w:t>Q</w:t>
            </w:r>
            <w:r>
              <w:rPr>
                <w:color w:val="auto"/>
                <w:highlight w:val="none"/>
                <w:vertAlign w:val="subscript"/>
              </w:rPr>
              <w:t>1</w:t>
            </w:r>
            <w:r>
              <w:rPr>
                <w:color w:val="auto"/>
                <w:highlight w:val="none"/>
              </w:rPr>
              <w:t>、Q</w:t>
            </w:r>
            <w:r>
              <w:rPr>
                <w:color w:val="auto"/>
                <w:highlight w:val="none"/>
                <w:vertAlign w:val="subscript"/>
              </w:rPr>
              <w:t>2</w:t>
            </w:r>
            <w:r>
              <w:rPr>
                <w:color w:val="auto"/>
                <w:highlight w:val="none"/>
              </w:rPr>
              <w:t>、</w:t>
            </w:r>
            <w:r>
              <w:rPr>
                <w:rFonts w:hint="eastAsia"/>
                <w:color w:val="auto"/>
                <w:highlight w:val="none"/>
              </w:rPr>
              <w:t>…</w:t>
            </w:r>
            <w:r>
              <w:rPr>
                <w:color w:val="auto"/>
                <w:highlight w:val="none"/>
              </w:rPr>
              <w:t>Q</w:t>
            </w:r>
            <w:r>
              <w:rPr>
                <w:color w:val="auto"/>
                <w:highlight w:val="none"/>
                <w:vertAlign w:val="subscript"/>
              </w:rPr>
              <w:t>n</w:t>
            </w:r>
            <w:r>
              <w:rPr>
                <w:color w:val="auto"/>
                <w:highlight w:val="none"/>
              </w:rPr>
              <w:t>——每种环境风险物质相对应的临界量，t。</w:t>
            </w:r>
          </w:p>
          <w:p>
            <w:pPr>
              <w:pStyle w:val="6"/>
              <w:bidi w:val="0"/>
              <w:rPr>
                <w:color w:val="auto"/>
                <w:highlight w:val="none"/>
              </w:rPr>
            </w:pPr>
            <w:r>
              <w:rPr>
                <w:color w:val="auto"/>
                <w:highlight w:val="none"/>
              </w:rPr>
              <w:t>当Q＜1时，该项目环境风险潜势为</w:t>
            </w:r>
            <w:r>
              <w:rPr>
                <w:rFonts w:hint="eastAsia"/>
                <w:color w:val="auto"/>
                <w:highlight w:val="none"/>
              </w:rPr>
              <w:t>Ⅰ</w:t>
            </w:r>
            <w:r>
              <w:rPr>
                <w:color w:val="auto"/>
                <w:highlight w:val="none"/>
              </w:rPr>
              <w:t>。</w:t>
            </w:r>
          </w:p>
          <w:p>
            <w:pPr>
              <w:pStyle w:val="6"/>
              <w:bidi w:val="0"/>
              <w:rPr>
                <w:color w:val="auto"/>
                <w:highlight w:val="none"/>
              </w:rPr>
            </w:pPr>
            <w:r>
              <w:rPr>
                <w:color w:val="auto"/>
                <w:highlight w:val="none"/>
              </w:rPr>
              <w:t>当Q≥1时，将Q值划分为：a.1≤Q＜10；b.10≤Q＜100；c.Q≥100。</w:t>
            </w:r>
          </w:p>
          <w:p>
            <w:pPr>
              <w:pStyle w:val="6"/>
              <w:bidi w:val="0"/>
              <w:rPr>
                <w:rFonts w:hint="eastAsia"/>
                <w:color w:val="auto"/>
                <w:highlight w:val="none"/>
              </w:rPr>
            </w:pPr>
            <w:r>
              <w:rPr>
                <w:color w:val="auto"/>
                <w:highlight w:val="none"/>
              </w:rPr>
              <w:t>由表</w:t>
            </w:r>
            <w:r>
              <w:rPr>
                <w:rFonts w:hint="eastAsia"/>
                <w:color w:val="auto"/>
                <w:highlight w:val="none"/>
              </w:rPr>
              <w:t>4.</w:t>
            </w:r>
            <w:r>
              <w:rPr>
                <w:rFonts w:hint="eastAsia"/>
                <w:color w:val="auto"/>
                <w:highlight w:val="none"/>
                <w:lang w:val="en-US" w:eastAsia="zh-CN"/>
              </w:rPr>
              <w:t>7</w:t>
            </w:r>
            <w:r>
              <w:rPr>
                <w:rFonts w:hint="eastAsia"/>
                <w:color w:val="auto"/>
                <w:highlight w:val="none"/>
              </w:rPr>
              <w:t>-1可知，</w:t>
            </w:r>
            <w:r>
              <w:rPr>
                <w:color w:val="auto"/>
                <w:highlight w:val="none"/>
              </w:rPr>
              <w:t>本项目Q值为Q=</w:t>
            </w:r>
            <w:r>
              <w:rPr>
                <w:rFonts w:hint="eastAsia"/>
                <w:color w:val="auto"/>
                <w:highlight w:val="none"/>
              </w:rPr>
              <w:t>0.00</w:t>
            </w:r>
            <w:r>
              <w:rPr>
                <w:rFonts w:hint="eastAsia"/>
                <w:color w:val="auto"/>
                <w:highlight w:val="none"/>
                <w:lang w:val="en-US" w:eastAsia="zh-CN"/>
              </w:rPr>
              <w:t>03</w:t>
            </w:r>
            <w:r>
              <w:rPr>
                <w:color w:val="auto"/>
                <w:highlight w:val="none"/>
              </w:rPr>
              <w:t>＜1，根据《建设项目环境风险评价技术导则》(HJ/T169-2018))附录C要求，当Q＜1时，项目环境风险潜势为</w:t>
            </w:r>
            <w:r>
              <w:rPr>
                <w:rFonts w:hint="eastAsia"/>
                <w:color w:val="auto"/>
                <w:highlight w:val="none"/>
              </w:rPr>
              <w:t>Ⅰ。</w:t>
            </w:r>
          </w:p>
          <w:p>
            <w:pPr>
              <w:pStyle w:val="4"/>
              <w:bidi w:val="0"/>
              <w:rPr>
                <w:color w:val="auto"/>
                <w:highlight w:val="none"/>
              </w:rPr>
            </w:pPr>
            <w:r>
              <w:rPr>
                <w:rFonts w:hint="eastAsia"/>
                <w:color w:val="auto"/>
                <w:highlight w:val="none"/>
              </w:rPr>
              <w:t>4.7</w:t>
            </w:r>
            <w:r>
              <w:rPr>
                <w:color w:val="auto"/>
                <w:highlight w:val="none"/>
              </w:rPr>
              <w:t>.3评价工作等级</w:t>
            </w:r>
          </w:p>
          <w:p>
            <w:pPr>
              <w:pStyle w:val="6"/>
              <w:bidi w:val="0"/>
              <w:rPr>
                <w:color w:val="auto"/>
                <w:highlight w:val="none"/>
              </w:rPr>
            </w:pPr>
            <w:r>
              <w:rPr>
                <w:color w:val="auto"/>
                <w:highlight w:val="none"/>
              </w:rPr>
              <w:t>按照《建设项目环境风险评价技术导则》（HJ169-2018），确定本项目环境风险评价工作等级为简单分析。</w:t>
            </w:r>
          </w:p>
          <w:p>
            <w:pPr>
              <w:pStyle w:val="36"/>
              <w:bidi w:val="0"/>
              <w:rPr>
                <w:color w:val="auto"/>
                <w:highlight w:val="none"/>
              </w:rPr>
            </w:pPr>
            <w:r>
              <w:rPr>
                <w:color w:val="auto"/>
                <w:highlight w:val="none"/>
              </w:rPr>
              <w:t>表</w:t>
            </w:r>
            <w:r>
              <w:rPr>
                <w:rFonts w:hint="eastAsia"/>
                <w:color w:val="auto"/>
                <w:highlight w:val="none"/>
              </w:rPr>
              <w:t xml:space="preserve">4.7-2  </w:t>
            </w:r>
            <w:r>
              <w:rPr>
                <w:color w:val="auto"/>
                <w:highlight w:val="none"/>
              </w:rPr>
              <w:t>评价工作等级划分</w:t>
            </w:r>
          </w:p>
          <w:tbl>
            <w:tblPr>
              <w:tblStyle w:val="22"/>
              <w:tblW w:w="4997" w:type="pct"/>
              <w:tblInd w:w="0" w:type="dxa"/>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675"/>
              <w:gridCol w:w="1675"/>
              <w:gridCol w:w="1677"/>
              <w:gridCol w:w="1675"/>
              <w:gridCol w:w="1683"/>
            </w:tblGrid>
            <w:tr>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PrEx>
              <w:trPr>
                <w:trHeight w:val="340" w:hRule="atLeast"/>
              </w:trPr>
              <w:tc>
                <w:tcPr>
                  <w:tcW w:w="999" w:type="pct"/>
                  <w:tcBorders>
                    <w:top w:val="single" w:color="auto" w:sz="4" w:space="0"/>
                    <w:left w:val="single" w:color="auto" w:sz="4" w:space="0"/>
                    <w:bottom w:val="single" w:color="auto" w:sz="4" w:space="0"/>
                    <w:right w:val="single" w:color="auto" w:sz="4" w:space="0"/>
                  </w:tcBorders>
                  <w:vAlign w:val="center"/>
                </w:tcPr>
                <w:p>
                  <w:pPr>
                    <w:pStyle w:val="57"/>
                    <w:bidi w:val="0"/>
                    <w:ind w:left="0" w:leftChars="0" w:right="0" w:rightChars="0" w:firstLine="0" w:firstLineChars="0"/>
                    <w:jc w:val="center"/>
                    <w:rPr>
                      <w:color w:val="auto"/>
                      <w:highlight w:val="none"/>
                    </w:rPr>
                  </w:pPr>
                  <w:r>
                    <w:rPr>
                      <w:color w:val="auto"/>
                      <w:highlight w:val="none"/>
                    </w:rPr>
                    <w:t>环境风险潜势</w:t>
                  </w:r>
                </w:p>
              </w:tc>
              <w:tc>
                <w:tcPr>
                  <w:tcW w:w="999" w:type="pct"/>
                  <w:tcBorders>
                    <w:top w:val="single" w:color="auto" w:sz="4" w:space="0"/>
                    <w:left w:val="single" w:color="auto" w:sz="4" w:space="0"/>
                    <w:bottom w:val="single" w:color="auto" w:sz="4" w:space="0"/>
                    <w:right w:val="single" w:color="auto" w:sz="4" w:space="0"/>
                  </w:tcBorders>
                  <w:vAlign w:val="center"/>
                </w:tcPr>
                <w:p>
                  <w:pPr>
                    <w:pStyle w:val="57"/>
                    <w:bidi w:val="0"/>
                    <w:ind w:left="0" w:leftChars="0" w:right="0" w:rightChars="0" w:firstLine="0" w:firstLineChars="0"/>
                    <w:jc w:val="center"/>
                    <w:rPr>
                      <w:color w:val="auto"/>
                      <w:highlight w:val="none"/>
                    </w:rPr>
                  </w:pPr>
                  <w:r>
                    <w:rPr>
                      <w:rFonts w:hint="eastAsia"/>
                      <w:color w:val="auto"/>
                      <w:highlight w:val="none"/>
                    </w:rPr>
                    <w:t>Ⅳ</w:t>
                  </w:r>
                  <w:r>
                    <w:rPr>
                      <w:color w:val="auto"/>
                      <w:highlight w:val="none"/>
                    </w:rPr>
                    <w:t>、</w:t>
                  </w:r>
                  <w:r>
                    <w:rPr>
                      <w:rFonts w:hint="eastAsia"/>
                      <w:color w:val="auto"/>
                      <w:highlight w:val="none"/>
                    </w:rPr>
                    <w:t>Ⅳ</w:t>
                  </w:r>
                  <w:r>
                    <w:rPr>
                      <w:color w:val="auto"/>
                      <w:highlight w:val="none"/>
                    </w:rPr>
                    <w:t>+</w:t>
                  </w:r>
                </w:p>
              </w:tc>
              <w:tc>
                <w:tcPr>
                  <w:tcW w:w="1000" w:type="pct"/>
                  <w:tcBorders>
                    <w:top w:val="single" w:color="auto" w:sz="4" w:space="0"/>
                    <w:left w:val="single" w:color="auto" w:sz="4" w:space="0"/>
                    <w:bottom w:val="single" w:color="auto" w:sz="4" w:space="0"/>
                    <w:right w:val="single" w:color="auto" w:sz="4" w:space="0"/>
                  </w:tcBorders>
                  <w:vAlign w:val="center"/>
                </w:tcPr>
                <w:p>
                  <w:pPr>
                    <w:pStyle w:val="57"/>
                    <w:bidi w:val="0"/>
                    <w:ind w:left="0" w:leftChars="0" w:right="0" w:rightChars="0" w:firstLine="0" w:firstLineChars="0"/>
                    <w:jc w:val="center"/>
                    <w:rPr>
                      <w:color w:val="auto"/>
                      <w:highlight w:val="none"/>
                    </w:rPr>
                  </w:pPr>
                  <w:r>
                    <w:rPr>
                      <w:rFonts w:hint="eastAsia"/>
                      <w:color w:val="auto"/>
                      <w:highlight w:val="none"/>
                    </w:rPr>
                    <w:t>Ⅲ</w:t>
                  </w:r>
                </w:p>
              </w:tc>
              <w:tc>
                <w:tcPr>
                  <w:tcW w:w="999" w:type="pct"/>
                  <w:tcBorders>
                    <w:top w:val="single" w:color="auto" w:sz="4" w:space="0"/>
                    <w:left w:val="single" w:color="auto" w:sz="4" w:space="0"/>
                    <w:bottom w:val="single" w:color="auto" w:sz="4" w:space="0"/>
                    <w:right w:val="single" w:color="auto" w:sz="4" w:space="0"/>
                  </w:tcBorders>
                  <w:vAlign w:val="center"/>
                </w:tcPr>
                <w:p>
                  <w:pPr>
                    <w:pStyle w:val="57"/>
                    <w:bidi w:val="0"/>
                    <w:ind w:left="0" w:leftChars="0" w:right="0" w:rightChars="0" w:firstLine="0" w:firstLineChars="0"/>
                    <w:jc w:val="center"/>
                    <w:rPr>
                      <w:color w:val="auto"/>
                      <w:highlight w:val="none"/>
                    </w:rPr>
                  </w:pPr>
                  <w:r>
                    <w:rPr>
                      <w:rFonts w:hint="eastAsia"/>
                      <w:color w:val="auto"/>
                      <w:highlight w:val="none"/>
                    </w:rPr>
                    <w:t>Ⅱ</w:t>
                  </w:r>
                </w:p>
              </w:tc>
              <w:tc>
                <w:tcPr>
                  <w:tcW w:w="999" w:type="pct"/>
                  <w:tcBorders>
                    <w:top w:val="single" w:color="auto" w:sz="4" w:space="0"/>
                    <w:left w:val="single" w:color="auto" w:sz="4" w:space="0"/>
                    <w:bottom w:val="single" w:color="auto" w:sz="4" w:space="0"/>
                    <w:right w:val="single" w:color="auto" w:sz="4" w:space="0"/>
                  </w:tcBorders>
                  <w:vAlign w:val="center"/>
                </w:tcPr>
                <w:p>
                  <w:pPr>
                    <w:pStyle w:val="57"/>
                    <w:bidi w:val="0"/>
                    <w:ind w:left="0" w:leftChars="0" w:right="0" w:rightChars="0" w:firstLine="0" w:firstLineChars="0"/>
                    <w:jc w:val="center"/>
                    <w:rPr>
                      <w:color w:val="auto"/>
                      <w:highlight w:val="none"/>
                    </w:rPr>
                  </w:pPr>
                  <w:r>
                    <w:rPr>
                      <w:rFonts w:hint="eastAsia"/>
                      <w:color w:val="auto"/>
                      <w:highlight w:val="none"/>
                    </w:rPr>
                    <w:t>Ⅰ</w:t>
                  </w:r>
                </w:p>
              </w:tc>
            </w:tr>
            <w:tr>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99" w:type="pct"/>
                  <w:tcBorders>
                    <w:top w:val="single" w:color="auto" w:sz="4" w:space="0"/>
                    <w:left w:val="single" w:color="auto" w:sz="4" w:space="0"/>
                    <w:bottom w:val="single" w:color="auto" w:sz="4" w:space="0"/>
                    <w:right w:val="single" w:color="auto" w:sz="4" w:space="0"/>
                  </w:tcBorders>
                  <w:vAlign w:val="center"/>
                </w:tcPr>
                <w:p>
                  <w:pPr>
                    <w:pStyle w:val="57"/>
                    <w:bidi w:val="0"/>
                    <w:ind w:left="0" w:leftChars="0" w:right="0" w:rightChars="0" w:firstLine="0" w:firstLineChars="0"/>
                    <w:jc w:val="center"/>
                    <w:rPr>
                      <w:color w:val="auto"/>
                      <w:highlight w:val="none"/>
                    </w:rPr>
                  </w:pPr>
                  <w:r>
                    <w:rPr>
                      <w:color w:val="auto"/>
                      <w:highlight w:val="none"/>
                    </w:rPr>
                    <w:t>评价工作等级</w:t>
                  </w:r>
                </w:p>
              </w:tc>
              <w:tc>
                <w:tcPr>
                  <w:tcW w:w="999" w:type="pct"/>
                  <w:tcBorders>
                    <w:top w:val="single" w:color="auto" w:sz="4" w:space="0"/>
                    <w:left w:val="single" w:color="auto" w:sz="4" w:space="0"/>
                    <w:bottom w:val="single" w:color="auto" w:sz="4" w:space="0"/>
                    <w:right w:val="single" w:color="auto" w:sz="4" w:space="0"/>
                  </w:tcBorders>
                  <w:vAlign w:val="center"/>
                </w:tcPr>
                <w:p>
                  <w:pPr>
                    <w:pStyle w:val="57"/>
                    <w:bidi w:val="0"/>
                    <w:ind w:left="0" w:leftChars="0" w:right="0" w:rightChars="0" w:firstLine="0" w:firstLineChars="0"/>
                    <w:jc w:val="center"/>
                    <w:rPr>
                      <w:color w:val="auto"/>
                      <w:highlight w:val="none"/>
                    </w:rPr>
                  </w:pPr>
                  <w:r>
                    <w:rPr>
                      <w:color w:val="auto"/>
                      <w:highlight w:val="none"/>
                    </w:rPr>
                    <w:t>一</w:t>
                  </w:r>
                </w:p>
              </w:tc>
              <w:tc>
                <w:tcPr>
                  <w:tcW w:w="1000" w:type="pct"/>
                  <w:tcBorders>
                    <w:top w:val="single" w:color="auto" w:sz="4" w:space="0"/>
                    <w:left w:val="single" w:color="auto" w:sz="4" w:space="0"/>
                    <w:bottom w:val="single" w:color="auto" w:sz="4" w:space="0"/>
                    <w:right w:val="single" w:color="auto" w:sz="4" w:space="0"/>
                  </w:tcBorders>
                  <w:vAlign w:val="center"/>
                </w:tcPr>
                <w:p>
                  <w:pPr>
                    <w:pStyle w:val="57"/>
                    <w:bidi w:val="0"/>
                    <w:ind w:left="0" w:leftChars="0" w:right="0" w:rightChars="0" w:firstLine="0" w:firstLineChars="0"/>
                    <w:jc w:val="center"/>
                    <w:rPr>
                      <w:color w:val="auto"/>
                      <w:highlight w:val="none"/>
                    </w:rPr>
                  </w:pPr>
                  <w:r>
                    <w:rPr>
                      <w:color w:val="auto"/>
                      <w:highlight w:val="none"/>
                    </w:rPr>
                    <w:t>二</w:t>
                  </w:r>
                </w:p>
              </w:tc>
              <w:tc>
                <w:tcPr>
                  <w:tcW w:w="999" w:type="pct"/>
                  <w:tcBorders>
                    <w:top w:val="single" w:color="auto" w:sz="4" w:space="0"/>
                    <w:left w:val="single" w:color="auto" w:sz="4" w:space="0"/>
                    <w:bottom w:val="single" w:color="auto" w:sz="4" w:space="0"/>
                    <w:right w:val="single" w:color="auto" w:sz="4" w:space="0"/>
                  </w:tcBorders>
                  <w:vAlign w:val="center"/>
                </w:tcPr>
                <w:p>
                  <w:pPr>
                    <w:pStyle w:val="57"/>
                    <w:bidi w:val="0"/>
                    <w:ind w:left="0" w:leftChars="0" w:right="0" w:rightChars="0" w:firstLine="0" w:firstLineChars="0"/>
                    <w:jc w:val="center"/>
                    <w:rPr>
                      <w:color w:val="auto"/>
                      <w:highlight w:val="none"/>
                    </w:rPr>
                  </w:pPr>
                  <w:r>
                    <w:rPr>
                      <w:color w:val="auto"/>
                      <w:highlight w:val="none"/>
                    </w:rPr>
                    <w:t>三</w:t>
                  </w:r>
                </w:p>
              </w:tc>
              <w:tc>
                <w:tcPr>
                  <w:tcW w:w="999" w:type="pct"/>
                  <w:tcBorders>
                    <w:top w:val="single" w:color="auto" w:sz="4" w:space="0"/>
                    <w:left w:val="single" w:color="auto" w:sz="4" w:space="0"/>
                    <w:bottom w:val="single" w:color="auto" w:sz="4" w:space="0"/>
                    <w:right w:val="single" w:color="auto" w:sz="4" w:space="0"/>
                  </w:tcBorders>
                  <w:vAlign w:val="center"/>
                </w:tcPr>
                <w:p>
                  <w:pPr>
                    <w:pStyle w:val="57"/>
                    <w:bidi w:val="0"/>
                    <w:ind w:left="0" w:leftChars="0" w:right="0" w:rightChars="0" w:firstLine="0" w:firstLineChars="0"/>
                    <w:jc w:val="center"/>
                    <w:rPr>
                      <w:color w:val="auto"/>
                      <w:highlight w:val="none"/>
                    </w:rPr>
                  </w:pPr>
                  <w:r>
                    <w:rPr>
                      <w:color w:val="auto"/>
                      <w:highlight w:val="none"/>
                    </w:rPr>
                    <w:t>简单分析a</w:t>
                  </w:r>
                </w:p>
              </w:tc>
            </w:tr>
            <w:tr>
              <w:tblPrEx>
                <w:tblBorders>
                  <w:top w:val="single" w:color="auto" w:sz="12" w:space="0"/>
                  <w:left w:val="dotted" w:color="auto" w:sz="4" w:space="0"/>
                  <w:bottom w:val="single" w:color="auto" w:sz="12" w:space="0"/>
                  <w:right w:val="dotted" w:color="auto" w:sz="4" w:space="0"/>
                  <w:insideH w:val="single" w:color="auto" w:sz="8" w:space="0"/>
                  <w:insideV w:val="single" w:color="auto" w:sz="8" w:space="0"/>
                </w:tblBorders>
              </w:tblPrEx>
              <w:trPr>
                <w:trHeight w:val="340" w:hRule="atLeast"/>
              </w:trPr>
              <w:tc>
                <w:tcPr>
                  <w:tcW w:w="5000" w:type="pct"/>
                  <w:gridSpan w:val="5"/>
                  <w:tcBorders>
                    <w:top w:val="single" w:color="auto" w:sz="4" w:space="0"/>
                    <w:left w:val="single" w:color="auto" w:sz="4" w:space="0"/>
                    <w:bottom w:val="single" w:color="auto" w:sz="4" w:space="0"/>
                    <w:right w:val="single" w:color="auto" w:sz="4" w:space="0"/>
                  </w:tcBorders>
                  <w:vAlign w:val="top"/>
                </w:tcPr>
                <w:p>
                  <w:pPr>
                    <w:pStyle w:val="34"/>
                    <w:bidi w:val="0"/>
                    <w:rPr>
                      <w:color w:val="auto"/>
                      <w:highlight w:val="none"/>
                    </w:rPr>
                  </w:pPr>
                  <w:r>
                    <w:rPr>
                      <w:color w:val="auto"/>
                      <w:highlight w:val="none"/>
                    </w:rPr>
                    <w:t>a是相对于详细评价工作内容而言，在描述危险物质、环境影响途径、环境危害后果、风险防范措施等方面给出定性的说明。</w:t>
                  </w:r>
                </w:p>
              </w:tc>
            </w:tr>
          </w:tbl>
          <w:p>
            <w:pPr>
              <w:pStyle w:val="4"/>
              <w:bidi w:val="0"/>
              <w:rPr>
                <w:color w:val="auto"/>
                <w:highlight w:val="none"/>
              </w:rPr>
            </w:pPr>
            <w:r>
              <w:rPr>
                <w:rFonts w:hint="eastAsia"/>
                <w:color w:val="auto"/>
                <w:highlight w:val="none"/>
              </w:rPr>
              <w:t>4.7</w:t>
            </w:r>
            <w:r>
              <w:rPr>
                <w:color w:val="auto"/>
                <w:highlight w:val="none"/>
              </w:rPr>
              <w:t>.</w:t>
            </w:r>
            <w:r>
              <w:rPr>
                <w:rFonts w:hint="eastAsia"/>
                <w:color w:val="auto"/>
                <w:highlight w:val="none"/>
              </w:rPr>
              <w:t>4</w:t>
            </w:r>
            <w:r>
              <w:rPr>
                <w:color w:val="auto"/>
                <w:highlight w:val="none"/>
              </w:rPr>
              <w:t>环境事故风险分析</w:t>
            </w:r>
          </w:p>
          <w:p>
            <w:pPr>
              <w:pStyle w:val="6"/>
              <w:bidi w:val="0"/>
              <w:rPr>
                <w:color w:val="auto"/>
                <w:highlight w:val="none"/>
              </w:rPr>
            </w:pPr>
            <w:r>
              <w:rPr>
                <w:rFonts w:hint="eastAsia"/>
                <w:color w:val="auto"/>
                <w:highlight w:val="none"/>
                <w:lang w:eastAsia="zh-CN"/>
              </w:rPr>
              <w:t>危险废物贮存点废润滑油</w:t>
            </w:r>
            <w:r>
              <w:rPr>
                <w:rFonts w:hint="eastAsia"/>
                <w:color w:val="auto"/>
                <w:highlight w:val="none"/>
              </w:rPr>
              <w:t>发生泄漏外溢，处置不及时易造成土壤和地下水的污染，遇明火易引发火灾、爆炸事故，对大气环境造成污染。</w:t>
            </w:r>
          </w:p>
          <w:p>
            <w:pPr>
              <w:pStyle w:val="4"/>
              <w:bidi w:val="0"/>
              <w:rPr>
                <w:color w:val="auto"/>
                <w:highlight w:val="none"/>
              </w:rPr>
            </w:pPr>
            <w:r>
              <w:rPr>
                <w:rFonts w:hint="eastAsia"/>
                <w:color w:val="auto"/>
                <w:highlight w:val="none"/>
              </w:rPr>
              <w:t>4.7.5</w:t>
            </w:r>
            <w:r>
              <w:rPr>
                <w:color w:val="auto"/>
                <w:highlight w:val="none"/>
              </w:rPr>
              <w:t>风险事故环境污染影响分析</w:t>
            </w:r>
          </w:p>
          <w:p>
            <w:pPr>
              <w:pStyle w:val="6"/>
              <w:bidi w:val="0"/>
              <w:rPr>
                <w:rFonts w:hint="eastAsia"/>
                <w:color w:val="auto"/>
                <w:highlight w:val="none"/>
                <w:lang w:eastAsia="zh-CN"/>
              </w:rPr>
            </w:pPr>
            <w:r>
              <w:rPr>
                <w:rFonts w:hint="eastAsia"/>
                <w:color w:val="auto"/>
                <w:highlight w:val="none"/>
                <w:lang w:eastAsia="zh-CN"/>
              </w:rPr>
              <w:t>废润滑油</w:t>
            </w:r>
            <w:r>
              <w:rPr>
                <w:color w:val="auto"/>
                <w:highlight w:val="none"/>
              </w:rPr>
              <w:t>泄漏、火灾事故可能造成附近</w:t>
            </w:r>
            <w:r>
              <w:rPr>
                <w:rFonts w:hint="eastAsia"/>
                <w:color w:val="auto"/>
                <w:highlight w:val="none"/>
              </w:rPr>
              <w:t>土壤和大气</w:t>
            </w:r>
            <w:r>
              <w:rPr>
                <w:color w:val="auto"/>
                <w:highlight w:val="none"/>
              </w:rPr>
              <w:t>等受到污染</w:t>
            </w:r>
            <w:r>
              <w:rPr>
                <w:rFonts w:hint="eastAsia"/>
                <w:color w:val="auto"/>
                <w:highlight w:val="none"/>
                <w:lang w:eastAsia="zh-CN"/>
              </w:rPr>
              <w:t>。</w:t>
            </w:r>
          </w:p>
          <w:p>
            <w:pPr>
              <w:pStyle w:val="6"/>
              <w:bidi w:val="0"/>
              <w:rPr>
                <w:color w:val="auto"/>
                <w:highlight w:val="none"/>
              </w:rPr>
            </w:pPr>
            <w:r>
              <w:rPr>
                <w:rFonts w:hint="eastAsia"/>
                <w:color w:val="auto"/>
                <w:highlight w:val="none"/>
                <w:lang w:eastAsia="zh-CN"/>
              </w:rPr>
              <w:t>废润滑油</w:t>
            </w:r>
            <w:r>
              <w:rPr>
                <w:color w:val="auto"/>
                <w:highlight w:val="none"/>
              </w:rPr>
              <w:t>泄漏事故一旦发生，所泄漏的</w:t>
            </w:r>
            <w:r>
              <w:rPr>
                <w:rFonts w:hint="eastAsia"/>
                <w:color w:val="auto"/>
                <w:highlight w:val="none"/>
                <w:lang w:eastAsia="zh-CN"/>
              </w:rPr>
              <w:t>废润滑油</w:t>
            </w:r>
            <w:r>
              <w:rPr>
                <w:rFonts w:hint="eastAsia"/>
                <w:color w:val="auto"/>
                <w:highlight w:val="none"/>
              </w:rPr>
              <w:t>有引发火灾爆炸事故的危险</w:t>
            </w:r>
            <w:r>
              <w:rPr>
                <w:rFonts w:hint="eastAsia"/>
                <w:color w:val="auto"/>
                <w:highlight w:val="none"/>
                <w:lang w:eastAsia="zh-CN"/>
              </w:rPr>
              <w:t>；</w:t>
            </w:r>
            <w:r>
              <w:rPr>
                <w:color w:val="auto"/>
                <w:highlight w:val="none"/>
              </w:rPr>
              <w:t>火灾事故发生后，燃烧产生有毒有害气体对附近</w:t>
            </w:r>
            <w:r>
              <w:rPr>
                <w:rFonts w:hint="eastAsia"/>
                <w:color w:val="auto"/>
                <w:highlight w:val="none"/>
              </w:rPr>
              <w:t>人员</w:t>
            </w:r>
            <w:r>
              <w:rPr>
                <w:color w:val="auto"/>
                <w:highlight w:val="none"/>
              </w:rPr>
              <w:t>健康产生影响</w:t>
            </w:r>
            <w:r>
              <w:rPr>
                <w:rFonts w:hint="eastAsia"/>
                <w:color w:val="auto"/>
                <w:highlight w:val="none"/>
                <w:lang w:eastAsia="zh-CN"/>
              </w:rPr>
              <w:t>，</w:t>
            </w:r>
            <w:r>
              <w:rPr>
                <w:color w:val="auto"/>
                <w:highlight w:val="none"/>
              </w:rPr>
              <w:t>发生火灾时需消防水灭火，产生的消防废水可能会进入外界地表水环境，对地表水造成污染</w:t>
            </w:r>
            <w:r>
              <w:rPr>
                <w:rFonts w:hint="eastAsia"/>
                <w:color w:val="auto"/>
                <w:highlight w:val="none"/>
              </w:rPr>
              <w:t>，亦或是下渗进入土壤和地下水中，造成土壤和地下水的污染</w:t>
            </w:r>
            <w:r>
              <w:rPr>
                <w:color w:val="auto"/>
                <w:highlight w:val="none"/>
              </w:rPr>
              <w:t>。</w:t>
            </w:r>
          </w:p>
          <w:p>
            <w:pPr>
              <w:pStyle w:val="6"/>
              <w:bidi w:val="0"/>
              <w:rPr>
                <w:rFonts w:hint="eastAsia"/>
                <w:color w:val="auto"/>
                <w:highlight w:val="none"/>
              </w:rPr>
            </w:pPr>
            <w:r>
              <w:rPr>
                <w:color w:val="auto"/>
                <w:highlight w:val="none"/>
              </w:rPr>
              <w:t>因此，</w:t>
            </w:r>
            <w:r>
              <w:rPr>
                <w:rFonts w:hint="eastAsia"/>
                <w:color w:val="auto"/>
                <w:highlight w:val="none"/>
                <w:lang w:eastAsia="zh-CN"/>
              </w:rPr>
              <w:t>危险废物贮存点</w:t>
            </w:r>
            <w:r>
              <w:rPr>
                <w:color w:val="auto"/>
                <w:highlight w:val="none"/>
              </w:rPr>
              <w:t>设置</w:t>
            </w:r>
            <w:r>
              <w:rPr>
                <w:rFonts w:hint="eastAsia"/>
                <w:color w:val="auto"/>
                <w:highlight w:val="none"/>
                <w:lang w:val="en-US" w:eastAsia="zh-CN"/>
              </w:rPr>
              <w:t>托盘</w:t>
            </w:r>
            <w:r>
              <w:rPr>
                <w:rFonts w:hint="eastAsia"/>
                <w:color w:val="auto"/>
                <w:highlight w:val="none"/>
              </w:rPr>
              <w:t>，</w:t>
            </w:r>
            <w:r>
              <w:rPr>
                <w:color w:val="auto"/>
                <w:highlight w:val="none"/>
              </w:rPr>
              <w:t>一旦发生溢出与渗漏事故，油类物质将控制在</w:t>
            </w:r>
            <w:r>
              <w:rPr>
                <w:rFonts w:hint="eastAsia"/>
                <w:color w:val="auto"/>
                <w:highlight w:val="none"/>
                <w:lang w:val="en-US" w:eastAsia="zh-CN"/>
              </w:rPr>
              <w:t>托盘</w:t>
            </w:r>
            <w:r>
              <w:rPr>
                <w:color w:val="auto"/>
                <w:highlight w:val="none"/>
              </w:rPr>
              <w:t>内，对地下水基本不会造成影响</w:t>
            </w:r>
            <w:r>
              <w:rPr>
                <w:rFonts w:hint="eastAsia"/>
                <w:color w:val="auto"/>
                <w:highlight w:val="none"/>
              </w:rPr>
              <w:t>。</w:t>
            </w:r>
          </w:p>
          <w:p>
            <w:pPr>
              <w:pStyle w:val="6"/>
              <w:bidi w:val="0"/>
              <w:rPr>
                <w:rFonts w:hint="eastAsia"/>
                <w:color w:val="auto"/>
                <w:highlight w:val="none"/>
              </w:rPr>
            </w:pPr>
          </w:p>
          <w:p>
            <w:pPr>
              <w:pStyle w:val="4"/>
              <w:bidi w:val="0"/>
              <w:rPr>
                <w:color w:val="auto"/>
                <w:highlight w:val="none"/>
              </w:rPr>
            </w:pPr>
            <w:r>
              <w:rPr>
                <w:rFonts w:hint="eastAsia"/>
                <w:color w:val="auto"/>
                <w:highlight w:val="none"/>
              </w:rPr>
              <w:t>4.7.6</w:t>
            </w:r>
            <w:r>
              <w:rPr>
                <w:color w:val="auto"/>
                <w:highlight w:val="none"/>
              </w:rPr>
              <w:t>风险事故防范措施</w:t>
            </w:r>
          </w:p>
          <w:p>
            <w:pPr>
              <w:pStyle w:val="5"/>
              <w:bidi w:val="0"/>
              <w:rPr>
                <w:color w:val="auto"/>
                <w:highlight w:val="none"/>
              </w:rPr>
            </w:pPr>
            <w:r>
              <w:rPr>
                <w:rFonts w:hint="eastAsia"/>
                <w:color w:val="auto"/>
                <w:highlight w:val="none"/>
              </w:rPr>
              <w:t>4.7.6.1</w:t>
            </w:r>
            <w:r>
              <w:rPr>
                <w:color w:val="auto"/>
                <w:highlight w:val="none"/>
              </w:rPr>
              <w:t>泄漏事故风险防范措施</w:t>
            </w:r>
          </w:p>
          <w:p>
            <w:pPr>
              <w:pStyle w:val="6"/>
              <w:bidi w:val="0"/>
              <w:rPr>
                <w:rFonts w:hint="eastAsia"/>
                <w:color w:val="auto"/>
                <w:highlight w:val="none"/>
                <w:lang w:val="en-US" w:eastAsia="zh-CN"/>
              </w:rPr>
            </w:pPr>
            <w:r>
              <w:rPr>
                <w:rFonts w:hint="eastAsia"/>
                <w:color w:val="auto"/>
                <w:highlight w:val="none"/>
                <w:lang w:val="en-US" w:eastAsia="zh-CN"/>
              </w:rPr>
              <w:t>危险废物贮存点内，废润滑油由铁质桶装，并移至托盘内；</w:t>
            </w:r>
          </w:p>
          <w:p>
            <w:pPr>
              <w:pStyle w:val="6"/>
              <w:bidi w:val="0"/>
              <w:rPr>
                <w:rFonts w:hint="default" w:eastAsia="宋体"/>
                <w:color w:val="auto"/>
                <w:highlight w:val="none"/>
                <w:lang w:val="en-US" w:eastAsia="zh-CN"/>
              </w:rPr>
            </w:pPr>
            <w:r>
              <w:rPr>
                <w:rFonts w:hint="eastAsia"/>
                <w:color w:val="auto"/>
                <w:highlight w:val="none"/>
                <w:lang w:val="en-US" w:eastAsia="zh-CN"/>
              </w:rPr>
              <w:t>制定定期巡检制度，做到泄漏事故“早发现、早处理”；</w:t>
            </w:r>
          </w:p>
          <w:p>
            <w:pPr>
              <w:pStyle w:val="6"/>
              <w:bidi w:val="0"/>
              <w:rPr>
                <w:rFonts w:hint="eastAsia" w:eastAsia="宋体"/>
                <w:color w:val="auto"/>
                <w:highlight w:val="none"/>
                <w:lang w:eastAsia="zh-CN"/>
              </w:rPr>
            </w:pPr>
            <w:r>
              <w:rPr>
                <w:color w:val="auto"/>
                <w:highlight w:val="none"/>
              </w:rPr>
              <w:t>装卸</w:t>
            </w:r>
            <w:r>
              <w:rPr>
                <w:rFonts w:hint="eastAsia"/>
                <w:color w:val="auto"/>
                <w:highlight w:val="none"/>
                <w:lang w:eastAsia="zh-CN"/>
              </w:rPr>
              <w:t>废润滑油</w:t>
            </w:r>
            <w:r>
              <w:rPr>
                <w:color w:val="auto"/>
                <w:highlight w:val="none"/>
              </w:rPr>
              <w:t>应当按照有关规定进行，做到轻装、轻卸。严禁摔、碰、撞、击、拖拉、倾斜和滚动</w:t>
            </w:r>
            <w:r>
              <w:rPr>
                <w:rFonts w:hint="eastAsia"/>
                <w:color w:val="auto"/>
                <w:highlight w:val="none"/>
                <w:lang w:eastAsia="zh-CN"/>
              </w:rPr>
              <w:t>；</w:t>
            </w:r>
          </w:p>
          <w:p>
            <w:pPr>
              <w:pStyle w:val="6"/>
              <w:bidi w:val="0"/>
              <w:rPr>
                <w:color w:val="auto"/>
                <w:highlight w:val="none"/>
              </w:rPr>
            </w:pPr>
            <w:r>
              <w:rPr>
                <w:color w:val="auto"/>
                <w:highlight w:val="none"/>
              </w:rPr>
              <w:t>要配备齐全的消防器材，包括消防灭火器、</w:t>
            </w:r>
            <w:r>
              <w:rPr>
                <w:rFonts w:hint="eastAsia"/>
                <w:color w:val="auto"/>
                <w:highlight w:val="none"/>
                <w:lang w:val="en-US" w:eastAsia="zh-CN"/>
              </w:rPr>
              <w:t>消防砂</w:t>
            </w:r>
            <w:r>
              <w:rPr>
                <w:color w:val="auto"/>
                <w:highlight w:val="none"/>
              </w:rPr>
              <w:t>等应急</w:t>
            </w:r>
            <w:r>
              <w:rPr>
                <w:rFonts w:hint="eastAsia"/>
                <w:color w:val="auto"/>
                <w:highlight w:val="none"/>
              </w:rPr>
              <w:t>物资</w:t>
            </w:r>
            <w:r>
              <w:rPr>
                <w:color w:val="auto"/>
                <w:highlight w:val="none"/>
              </w:rPr>
              <w:t>，使职工对</w:t>
            </w:r>
            <w:r>
              <w:rPr>
                <w:rFonts w:hint="eastAsia"/>
                <w:color w:val="auto"/>
                <w:highlight w:val="none"/>
                <w:lang w:val="en-US" w:eastAsia="zh-CN"/>
              </w:rPr>
              <w:t>废润滑油</w:t>
            </w:r>
            <w:r>
              <w:rPr>
                <w:color w:val="auto"/>
                <w:highlight w:val="none"/>
              </w:rPr>
              <w:t>泄漏应急措施有基本了解。</w:t>
            </w:r>
          </w:p>
          <w:p>
            <w:pPr>
              <w:pStyle w:val="5"/>
              <w:bidi w:val="0"/>
              <w:rPr>
                <w:color w:val="auto"/>
                <w:highlight w:val="none"/>
              </w:rPr>
            </w:pPr>
            <w:r>
              <w:rPr>
                <w:rFonts w:hint="eastAsia"/>
                <w:color w:val="auto"/>
                <w:highlight w:val="none"/>
              </w:rPr>
              <w:t>4.7.6.2</w:t>
            </w:r>
            <w:r>
              <w:rPr>
                <w:rFonts w:hint="eastAsia"/>
                <w:color w:val="auto"/>
                <w:highlight w:val="none"/>
                <w:lang w:val="en-US" w:eastAsia="zh-CN"/>
              </w:rPr>
              <w:t xml:space="preserve"> </w:t>
            </w:r>
            <w:r>
              <w:rPr>
                <w:color w:val="auto"/>
                <w:highlight w:val="none"/>
              </w:rPr>
              <w:t>火灾</w:t>
            </w:r>
            <w:r>
              <w:rPr>
                <w:rFonts w:hint="eastAsia"/>
                <w:color w:val="auto"/>
                <w:highlight w:val="none"/>
                <w:lang w:val="en-US" w:eastAsia="zh-CN"/>
              </w:rPr>
              <w:t>爆炸</w:t>
            </w:r>
            <w:r>
              <w:rPr>
                <w:color w:val="auto"/>
                <w:highlight w:val="none"/>
              </w:rPr>
              <w:t xml:space="preserve">事故风险防范措施 </w:t>
            </w:r>
          </w:p>
          <w:p>
            <w:pPr>
              <w:pStyle w:val="6"/>
              <w:bidi w:val="0"/>
              <w:rPr>
                <w:color w:val="auto"/>
                <w:highlight w:val="none"/>
              </w:rPr>
            </w:pPr>
            <w:r>
              <w:rPr>
                <w:color w:val="auto"/>
                <w:highlight w:val="none"/>
              </w:rPr>
              <w:t>建立健全并严格执行防火防爆的规章制度，严格遵守各项</w:t>
            </w:r>
            <w:r>
              <w:rPr>
                <w:rFonts w:hint="eastAsia"/>
                <w:color w:val="auto"/>
                <w:highlight w:val="none"/>
                <w:lang w:eastAsia="zh-CN"/>
              </w:rPr>
              <w:t>操作规程</w:t>
            </w:r>
            <w:r>
              <w:rPr>
                <w:color w:val="auto"/>
                <w:highlight w:val="none"/>
              </w:rPr>
              <w:t>。</w:t>
            </w:r>
          </w:p>
          <w:p>
            <w:pPr>
              <w:pStyle w:val="6"/>
              <w:bidi w:val="0"/>
              <w:rPr>
                <w:color w:val="auto"/>
                <w:highlight w:val="none"/>
              </w:rPr>
            </w:pPr>
            <w:r>
              <w:rPr>
                <w:color w:val="auto"/>
                <w:highlight w:val="none"/>
              </w:rPr>
              <w:t>根据建筑设计防火规范、建筑灭火器配置设计规范等规范要求，企业应定期对</w:t>
            </w:r>
            <w:r>
              <w:rPr>
                <w:rFonts w:hint="eastAsia"/>
                <w:color w:val="auto"/>
                <w:highlight w:val="none"/>
                <w:lang w:val="en-US" w:eastAsia="zh-CN"/>
              </w:rPr>
              <w:t>消防</w:t>
            </w:r>
            <w:r>
              <w:rPr>
                <w:color w:val="auto"/>
                <w:highlight w:val="none"/>
              </w:rPr>
              <w:t>器材进行检测与更换，确保其完好状态。</w:t>
            </w:r>
          </w:p>
          <w:p>
            <w:pPr>
              <w:pStyle w:val="6"/>
              <w:bidi w:val="0"/>
              <w:rPr>
                <w:color w:val="auto"/>
                <w:highlight w:val="none"/>
              </w:rPr>
            </w:pPr>
            <w:r>
              <w:rPr>
                <w:rFonts w:hint="eastAsia"/>
                <w:color w:val="auto"/>
                <w:highlight w:val="none"/>
                <w:lang w:val="en-US" w:eastAsia="zh-CN"/>
              </w:rPr>
              <w:t>危险废物贮存点</w:t>
            </w:r>
            <w:r>
              <w:rPr>
                <w:rFonts w:hint="eastAsia"/>
                <w:color w:val="auto"/>
                <w:highlight w:val="none"/>
              </w:rPr>
              <w:t>应有</w:t>
            </w:r>
            <w:r>
              <w:rPr>
                <w:color w:val="auto"/>
                <w:highlight w:val="none"/>
              </w:rPr>
              <w:t>明显的标识，严禁吸烟和使用明火，</w:t>
            </w:r>
            <w:r>
              <w:rPr>
                <w:rFonts w:hint="eastAsia"/>
                <w:color w:val="auto"/>
                <w:highlight w:val="none"/>
              </w:rPr>
              <w:t>预防</w:t>
            </w:r>
            <w:r>
              <w:rPr>
                <w:color w:val="auto"/>
                <w:highlight w:val="none"/>
              </w:rPr>
              <w:t>火灾或爆炸事故的发生。</w:t>
            </w:r>
          </w:p>
          <w:p>
            <w:pPr>
              <w:pStyle w:val="5"/>
              <w:rPr>
                <w:color w:val="auto"/>
                <w:highlight w:val="none"/>
              </w:rPr>
            </w:pPr>
            <w:r>
              <w:rPr>
                <w:rFonts w:hint="eastAsia"/>
                <w:color w:val="auto"/>
                <w:highlight w:val="none"/>
              </w:rPr>
              <w:t>4.7.6.4 应急处置措施</w:t>
            </w:r>
          </w:p>
          <w:p>
            <w:pPr>
              <w:pStyle w:val="6"/>
              <w:bidi w:val="0"/>
              <w:rPr>
                <w:color w:val="auto"/>
                <w:highlight w:val="none"/>
              </w:rPr>
            </w:pPr>
            <w:r>
              <w:rPr>
                <w:color w:val="auto"/>
                <w:highlight w:val="none"/>
              </w:rPr>
              <w:t>在实际运营过程中，按照已编制的《</w:t>
            </w:r>
            <w:r>
              <w:rPr>
                <w:rFonts w:hint="eastAsia"/>
                <w:color w:val="auto"/>
                <w:highlight w:val="none"/>
              </w:rPr>
              <w:t>巴州敏宇化工有限公司突发环境</w:t>
            </w:r>
            <w:r>
              <w:rPr>
                <w:color w:val="auto"/>
                <w:highlight w:val="none"/>
              </w:rPr>
              <w:t>事件应急预案》（备案编号</w:t>
            </w:r>
            <w:r>
              <w:rPr>
                <w:rFonts w:hint="eastAsia"/>
                <w:color w:val="auto"/>
                <w:highlight w:val="none"/>
              </w:rPr>
              <w:t>6</w:t>
            </w:r>
            <w:r>
              <w:rPr>
                <w:rFonts w:hint="eastAsia"/>
                <w:color w:val="auto"/>
                <w:highlight w:val="none"/>
                <w:lang w:val="en-US" w:eastAsia="zh-CN"/>
              </w:rPr>
              <w:t>5</w:t>
            </w:r>
            <w:r>
              <w:rPr>
                <w:rFonts w:hint="eastAsia"/>
                <w:color w:val="auto"/>
                <w:highlight w:val="none"/>
              </w:rPr>
              <w:t>2801</w:t>
            </w:r>
            <w:r>
              <w:rPr>
                <w:rFonts w:hint="eastAsia"/>
                <w:color w:val="auto"/>
                <w:highlight w:val="none"/>
                <w:lang w:val="en-US" w:eastAsia="zh-CN"/>
              </w:rPr>
              <w:t>-2</w:t>
            </w:r>
            <w:r>
              <w:rPr>
                <w:rFonts w:hint="eastAsia"/>
                <w:color w:val="auto"/>
                <w:highlight w:val="none"/>
              </w:rPr>
              <w:t>022-l-006</w:t>
            </w:r>
            <w:r>
              <w:rPr>
                <w:rFonts w:hint="eastAsia"/>
                <w:color w:val="auto"/>
                <w:highlight w:val="none"/>
                <w:lang w:val="en-US" w:eastAsia="zh-CN"/>
              </w:rPr>
              <w:t>-</w:t>
            </w:r>
            <w:r>
              <w:rPr>
                <w:rFonts w:hint="eastAsia"/>
                <w:color w:val="auto"/>
                <w:highlight w:val="none"/>
              </w:rPr>
              <w:t>L</w:t>
            </w:r>
            <w:r>
              <w:rPr>
                <w:color w:val="auto"/>
                <w:highlight w:val="none"/>
              </w:rPr>
              <w:t>），并</w:t>
            </w:r>
            <w:r>
              <w:rPr>
                <w:rFonts w:hint="eastAsia"/>
                <w:color w:val="auto"/>
                <w:highlight w:val="none"/>
              </w:rPr>
              <w:t>结合实际情况，开展环境应急预案的培训、宣传和必要的应急演练。</w:t>
            </w:r>
            <w:r>
              <w:rPr>
                <w:color w:val="auto"/>
                <w:highlight w:val="none"/>
              </w:rPr>
              <w:t>发现</w:t>
            </w:r>
            <w:r>
              <w:rPr>
                <w:rFonts w:hint="eastAsia"/>
                <w:color w:val="auto"/>
                <w:highlight w:val="none"/>
              </w:rPr>
              <w:t>应急管理组织指挥体系与职责发生重大变化的，环境应急监测预警及报告机制、应对流程和措施、应急保障措施发生重大变化的，以及《关于印发〈企业事业单位突发环境事件应急预案备案管理办法（试行）〉的通知》（环发﹝</w:t>
            </w:r>
            <w:r>
              <w:rPr>
                <w:color w:val="auto"/>
                <w:highlight w:val="none"/>
              </w:rPr>
              <w:t>2015﹞4号）</w:t>
            </w:r>
            <w:r>
              <w:rPr>
                <w:rFonts w:hint="eastAsia"/>
                <w:color w:val="auto"/>
                <w:highlight w:val="none"/>
              </w:rPr>
              <w:t>对应</w:t>
            </w:r>
            <w:r>
              <w:rPr>
                <w:color w:val="auto"/>
                <w:highlight w:val="none"/>
              </w:rPr>
              <w:t>的需要修订应急预案的情景时，及时对应急预案进行修订。</w:t>
            </w:r>
          </w:p>
          <w:p>
            <w:pPr>
              <w:pStyle w:val="3"/>
              <w:bidi w:val="0"/>
              <w:rPr>
                <w:rFonts w:hint="default"/>
                <w:color w:val="auto"/>
                <w:highlight w:val="none"/>
                <w:lang w:val="en-US" w:eastAsia="zh-CN"/>
              </w:rPr>
            </w:pPr>
            <w:r>
              <w:rPr>
                <w:rFonts w:hint="eastAsia"/>
                <w:color w:val="auto"/>
                <w:highlight w:val="none"/>
                <w:lang w:val="en-US" w:eastAsia="zh-CN"/>
              </w:rPr>
              <w:t xml:space="preserve">4.8 </w:t>
            </w:r>
            <w:r>
              <w:rPr>
                <w:rFonts w:hint="default"/>
                <w:color w:val="auto"/>
                <w:highlight w:val="none"/>
                <w:lang w:val="en-US" w:eastAsia="zh-CN"/>
              </w:rPr>
              <w:t>排污口规范化管理</w:t>
            </w:r>
          </w:p>
          <w:p>
            <w:pPr>
              <w:pStyle w:val="6"/>
              <w:bidi w:val="0"/>
              <w:rPr>
                <w:rFonts w:hint="default"/>
                <w:color w:val="auto"/>
                <w:highlight w:val="none"/>
              </w:rPr>
            </w:pPr>
            <w:r>
              <w:rPr>
                <w:rFonts w:hint="default"/>
                <w:color w:val="auto"/>
                <w:highlight w:val="none"/>
                <w:lang w:val="en-US" w:eastAsia="zh-CN"/>
              </w:rPr>
              <w:t>企业遵照国家对排污口规范的要求，</w:t>
            </w:r>
            <w:r>
              <w:rPr>
                <w:rFonts w:hint="eastAsia"/>
                <w:color w:val="auto"/>
                <w:highlight w:val="none"/>
                <w:lang w:val="en-US" w:eastAsia="zh-CN"/>
              </w:rPr>
              <w:t>“</w:t>
            </w:r>
            <w:r>
              <w:rPr>
                <w:rFonts w:hint="default"/>
                <w:color w:val="auto"/>
                <w:highlight w:val="none"/>
                <w:lang w:val="en-US" w:eastAsia="zh-CN"/>
              </w:rPr>
              <w:t>三废</w:t>
            </w:r>
            <w:r>
              <w:rPr>
                <w:rFonts w:hint="eastAsia"/>
                <w:color w:val="auto"/>
                <w:highlight w:val="none"/>
                <w:lang w:val="en-US" w:eastAsia="zh-CN"/>
              </w:rPr>
              <w:t>”</w:t>
            </w:r>
            <w:r>
              <w:rPr>
                <w:rFonts w:hint="default"/>
                <w:color w:val="auto"/>
                <w:highlight w:val="none"/>
                <w:lang w:val="en-US" w:eastAsia="zh-CN"/>
              </w:rPr>
              <w:t>及噪声排放点设置明显标志，分别按《排污单位污染物排放口二维码标识技术规范》 （HJ1297—2023）、《</w:t>
            </w:r>
            <w:r>
              <w:rPr>
                <w:rFonts w:hint="default"/>
                <w:color w:val="auto"/>
                <w:highlight w:val="none"/>
                <w:lang w:val="en-US" w:eastAsia="zh-CN"/>
              </w:rPr>
              <w:fldChar w:fldCharType="begin"/>
            </w:r>
            <w:r>
              <w:rPr>
                <w:rFonts w:hint="default"/>
                <w:color w:val="auto"/>
                <w:highlight w:val="none"/>
                <w:lang w:val="en-US" w:eastAsia="zh-CN"/>
              </w:rPr>
              <w:instrText xml:space="preserve"> HYPERLINK "http://std.sacinfo.org.cn/home/javascript:;" </w:instrText>
            </w:r>
            <w:r>
              <w:rPr>
                <w:rFonts w:hint="default"/>
                <w:color w:val="auto"/>
                <w:highlight w:val="none"/>
                <w:lang w:val="en-US" w:eastAsia="zh-CN"/>
              </w:rPr>
              <w:fldChar w:fldCharType="separate"/>
            </w:r>
            <w:r>
              <w:rPr>
                <w:rFonts w:hint="default"/>
                <w:color w:val="auto"/>
                <w:highlight w:val="none"/>
                <w:lang w:val="en-US" w:eastAsia="zh-CN"/>
              </w:rPr>
              <w:t>环境保护图形标志 排放口（</w:t>
            </w:r>
            <w:r>
              <w:rPr>
                <w:rFonts w:hint="default"/>
                <w:color w:val="auto"/>
                <w:highlight w:val="none"/>
                <w:lang w:val="en-US" w:eastAsia="zh-CN"/>
              </w:rPr>
              <w:fldChar w:fldCharType="end"/>
            </w:r>
            <w:r>
              <w:rPr>
                <w:rFonts w:hint="default"/>
                <w:color w:val="auto"/>
                <w:highlight w:val="none"/>
                <w:lang w:val="en-US" w:eastAsia="zh-CN"/>
              </w:rPr>
              <w:t>源）》（GB15562.1-1995）、《</w:t>
            </w:r>
            <w:r>
              <w:rPr>
                <w:rFonts w:hint="default"/>
                <w:color w:val="auto"/>
                <w:highlight w:val="none"/>
                <w:lang w:val="en-US" w:eastAsia="zh-CN"/>
              </w:rPr>
              <w:fldChar w:fldCharType="begin"/>
            </w:r>
            <w:r>
              <w:rPr>
                <w:rFonts w:hint="default"/>
                <w:color w:val="auto"/>
                <w:highlight w:val="none"/>
                <w:lang w:val="en-US" w:eastAsia="zh-CN"/>
              </w:rPr>
              <w:instrText xml:space="preserve"> HYPERLINK "http://std.sacinfo.org.cn/home/javascript:;" </w:instrText>
            </w:r>
            <w:r>
              <w:rPr>
                <w:rFonts w:hint="default"/>
                <w:color w:val="auto"/>
                <w:highlight w:val="none"/>
                <w:lang w:val="en-US" w:eastAsia="zh-CN"/>
              </w:rPr>
              <w:fldChar w:fldCharType="separate"/>
            </w:r>
            <w:r>
              <w:rPr>
                <w:rFonts w:hint="default"/>
                <w:color w:val="auto"/>
                <w:highlight w:val="none"/>
                <w:lang w:val="en-US" w:eastAsia="zh-CN"/>
              </w:rPr>
              <w:t>环境保护图形标志 固体废物贮存（处置）场</w:t>
            </w:r>
            <w:r>
              <w:rPr>
                <w:rFonts w:hint="default"/>
                <w:color w:val="auto"/>
                <w:highlight w:val="none"/>
                <w:lang w:val="en-US" w:eastAsia="zh-CN"/>
              </w:rPr>
              <w:fldChar w:fldCharType="end"/>
            </w:r>
            <w:r>
              <w:rPr>
                <w:rFonts w:hint="default"/>
                <w:color w:val="auto"/>
                <w:highlight w:val="none"/>
                <w:lang w:val="en-US" w:eastAsia="zh-CN"/>
              </w:rPr>
              <w:t>》（GB15562.2-1995）（2023年修改）、《危险废物识别标志设置技术规范》（HJ1276-2022）执行</w:t>
            </w:r>
            <w:r>
              <w:rPr>
                <w:rFonts w:hint="default"/>
                <w:color w:val="auto"/>
                <w:highlight w:val="none"/>
              </w:rPr>
              <w:t>，如</w:t>
            </w:r>
            <w:r>
              <w:rPr>
                <w:rFonts w:hint="default"/>
                <w:color w:val="auto"/>
                <w:highlight w:val="none"/>
                <w:lang w:eastAsia="zh-CN"/>
              </w:rPr>
              <w:t>表</w:t>
            </w:r>
            <w:r>
              <w:rPr>
                <w:rFonts w:hint="eastAsia"/>
                <w:color w:val="auto"/>
                <w:highlight w:val="none"/>
                <w:lang w:val="en-US" w:eastAsia="zh-CN"/>
              </w:rPr>
              <w:t>4.8</w:t>
            </w:r>
            <w:r>
              <w:rPr>
                <w:rFonts w:hint="default"/>
                <w:color w:val="auto"/>
                <w:highlight w:val="none"/>
              </w:rPr>
              <w:t>-1所示。</w:t>
            </w:r>
          </w:p>
          <w:p>
            <w:pPr>
              <w:pStyle w:val="36"/>
              <w:bidi w:val="0"/>
              <w:rPr>
                <w:rFonts w:hint="default"/>
                <w:color w:val="auto"/>
                <w:highlight w:val="none"/>
              </w:rPr>
            </w:pPr>
            <w:r>
              <w:rPr>
                <w:rFonts w:hint="default"/>
                <w:color w:val="auto"/>
                <w:highlight w:val="none"/>
              </w:rPr>
              <w:t>表</w:t>
            </w:r>
            <w:r>
              <w:rPr>
                <w:rFonts w:hint="eastAsia"/>
                <w:color w:val="auto"/>
                <w:highlight w:val="none"/>
                <w:lang w:val="en-US" w:eastAsia="zh-CN"/>
              </w:rPr>
              <w:t>4</w:t>
            </w:r>
            <w:r>
              <w:rPr>
                <w:rFonts w:hint="default"/>
                <w:color w:val="auto"/>
                <w:highlight w:val="none"/>
              </w:rPr>
              <w:t>.</w:t>
            </w:r>
            <w:r>
              <w:rPr>
                <w:rFonts w:hint="eastAsia"/>
                <w:color w:val="auto"/>
                <w:highlight w:val="none"/>
                <w:lang w:val="en-US" w:eastAsia="zh-CN"/>
              </w:rPr>
              <w:t>8</w:t>
            </w:r>
            <w:r>
              <w:rPr>
                <w:rFonts w:hint="default"/>
                <w:color w:val="auto"/>
                <w:highlight w:val="none"/>
              </w:rPr>
              <w:t xml:space="preserve">-1 </w:t>
            </w:r>
            <w:r>
              <w:rPr>
                <w:rFonts w:hint="default"/>
                <w:color w:val="auto"/>
                <w:highlight w:val="none"/>
                <w:lang w:val="en-US" w:eastAsia="zh-CN"/>
              </w:rPr>
              <w:t xml:space="preserve">  </w:t>
            </w:r>
            <w:r>
              <w:rPr>
                <w:rFonts w:hint="default"/>
                <w:color w:val="auto"/>
                <w:highlight w:val="none"/>
              </w:rPr>
              <w:t>厂区排污口图形标志一览表</w:t>
            </w:r>
          </w:p>
          <w:tbl>
            <w:tblPr>
              <w:tblStyle w:val="22"/>
              <w:tblW w:w="5055"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813"/>
              <w:gridCol w:w="1857"/>
              <w:gridCol w:w="1"/>
              <w:gridCol w:w="1385"/>
              <w:gridCol w:w="2959"/>
              <w:gridCol w:w="1"/>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gridAfter w:val="1"/>
                <w:wAfter w:w="1" w:type="dxa"/>
                <w:trHeight w:val="284" w:hRule="atLeast"/>
              </w:trPr>
              <w:tc>
                <w:tcPr>
                  <w:tcW w:w="269"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序号</w:t>
                  </w:r>
                </w:p>
              </w:tc>
              <w:tc>
                <w:tcPr>
                  <w:tcW w:w="1069"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提示图形符号</w:t>
                  </w:r>
                </w:p>
              </w:tc>
              <w:tc>
                <w:tcPr>
                  <w:tcW w:w="1095"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警告图形符号</w:t>
                  </w:r>
                </w:p>
              </w:tc>
              <w:tc>
                <w:tcPr>
                  <w:tcW w:w="817" w:type="pct"/>
                  <w:gridSpan w:val="2"/>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名称</w:t>
                  </w:r>
                </w:p>
              </w:tc>
              <w:tc>
                <w:tcPr>
                  <w:tcW w:w="174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功能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447" w:hRule="atLeast"/>
              </w:trPr>
              <w:tc>
                <w:tcPr>
                  <w:tcW w:w="269"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069"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drawing>
                      <wp:inline distT="0" distB="0" distL="114300" distR="114300">
                        <wp:extent cx="897255" cy="912495"/>
                        <wp:effectExtent l="0" t="0" r="17145" b="19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7"/>
                                <a:stretch>
                                  <a:fillRect/>
                                </a:stretch>
                              </pic:blipFill>
                              <pic:spPr>
                                <a:xfrm>
                                  <a:off x="0" y="0"/>
                                  <a:ext cx="897255" cy="912495"/>
                                </a:xfrm>
                                <a:prstGeom prst="rect">
                                  <a:avLst/>
                                </a:prstGeom>
                                <a:noFill/>
                                <a:ln>
                                  <a:noFill/>
                                </a:ln>
                              </pic:spPr>
                            </pic:pic>
                          </a:graphicData>
                        </a:graphic>
                      </wp:inline>
                    </w:drawing>
                  </w:r>
                </w:p>
              </w:tc>
              <w:tc>
                <w:tcPr>
                  <w:tcW w:w="1095"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drawing>
                      <wp:inline distT="0" distB="0" distL="114300" distR="114300">
                        <wp:extent cx="1035050" cy="877570"/>
                        <wp:effectExtent l="0" t="0" r="12700" b="177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8"/>
                                <a:stretch>
                                  <a:fillRect/>
                                </a:stretch>
                              </pic:blipFill>
                              <pic:spPr>
                                <a:xfrm>
                                  <a:off x="0" y="0"/>
                                  <a:ext cx="1035050" cy="877570"/>
                                </a:xfrm>
                                <a:prstGeom prst="rect">
                                  <a:avLst/>
                                </a:prstGeom>
                                <a:noFill/>
                                <a:ln>
                                  <a:noFill/>
                                </a:ln>
                              </pic:spPr>
                            </pic:pic>
                          </a:graphicData>
                        </a:graphic>
                      </wp:inline>
                    </w:drawing>
                  </w:r>
                </w:p>
              </w:tc>
              <w:tc>
                <w:tcPr>
                  <w:tcW w:w="817" w:type="pct"/>
                  <w:gridSpan w:val="2"/>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污水排放口</w:t>
                  </w:r>
                </w:p>
              </w:tc>
              <w:tc>
                <w:tcPr>
                  <w:tcW w:w="1746"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表示污水向外环境排放</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gridAfter w:val="1"/>
                <w:wAfter w:w="1" w:type="dxa"/>
                <w:trHeight w:val="1439" w:hRule="atLeast"/>
              </w:trPr>
              <w:tc>
                <w:tcPr>
                  <w:tcW w:w="269"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1069"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drawing>
                      <wp:inline distT="0" distB="0" distL="114300" distR="114300">
                        <wp:extent cx="1005840" cy="914400"/>
                        <wp:effectExtent l="0" t="0" r="381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9"/>
                                <a:stretch>
                                  <a:fillRect/>
                                </a:stretch>
                              </pic:blipFill>
                              <pic:spPr>
                                <a:xfrm>
                                  <a:off x="0" y="0"/>
                                  <a:ext cx="1005840" cy="914400"/>
                                </a:xfrm>
                                <a:prstGeom prst="rect">
                                  <a:avLst/>
                                </a:prstGeom>
                                <a:noFill/>
                                <a:ln>
                                  <a:noFill/>
                                </a:ln>
                              </pic:spPr>
                            </pic:pic>
                          </a:graphicData>
                        </a:graphic>
                      </wp:inline>
                    </w:drawing>
                  </w:r>
                </w:p>
              </w:tc>
              <w:tc>
                <w:tcPr>
                  <w:tcW w:w="1095"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drawing>
                      <wp:inline distT="0" distB="0" distL="114300" distR="114300">
                        <wp:extent cx="1003935" cy="821690"/>
                        <wp:effectExtent l="0" t="0" r="5715" b="1651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40"/>
                                <a:stretch>
                                  <a:fillRect/>
                                </a:stretch>
                              </pic:blipFill>
                              <pic:spPr>
                                <a:xfrm>
                                  <a:off x="0" y="0"/>
                                  <a:ext cx="1003935" cy="821690"/>
                                </a:xfrm>
                                <a:prstGeom prst="rect">
                                  <a:avLst/>
                                </a:prstGeom>
                                <a:noFill/>
                                <a:ln>
                                  <a:noFill/>
                                </a:ln>
                              </pic:spPr>
                            </pic:pic>
                          </a:graphicData>
                        </a:graphic>
                      </wp:inline>
                    </w:drawing>
                  </w:r>
                </w:p>
              </w:tc>
              <w:tc>
                <w:tcPr>
                  <w:tcW w:w="817" w:type="pct"/>
                  <w:gridSpan w:val="2"/>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噪声源</w:t>
                  </w:r>
                </w:p>
              </w:tc>
              <w:tc>
                <w:tcPr>
                  <w:tcW w:w="1746"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表示噪声向外环境排放</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gridAfter w:val="1"/>
                <w:wAfter w:w="1" w:type="dxa"/>
                <w:trHeight w:val="1439" w:hRule="atLeast"/>
              </w:trPr>
              <w:tc>
                <w:tcPr>
                  <w:tcW w:w="269"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3</w:t>
                  </w:r>
                </w:p>
              </w:tc>
              <w:tc>
                <w:tcPr>
                  <w:tcW w:w="1069"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drawing>
                      <wp:inline distT="0" distB="0" distL="114300" distR="114300">
                        <wp:extent cx="962025" cy="1049020"/>
                        <wp:effectExtent l="0" t="0" r="9525" b="1778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41"/>
                                <a:stretch>
                                  <a:fillRect/>
                                </a:stretch>
                              </pic:blipFill>
                              <pic:spPr>
                                <a:xfrm>
                                  <a:off x="0" y="0"/>
                                  <a:ext cx="962025" cy="1049020"/>
                                </a:xfrm>
                                <a:prstGeom prst="rect">
                                  <a:avLst/>
                                </a:prstGeom>
                                <a:noFill/>
                                <a:ln>
                                  <a:noFill/>
                                </a:ln>
                              </pic:spPr>
                            </pic:pic>
                          </a:graphicData>
                        </a:graphic>
                      </wp:inline>
                    </w:drawing>
                  </w:r>
                </w:p>
              </w:tc>
              <w:tc>
                <w:tcPr>
                  <w:tcW w:w="1095"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drawing>
                      <wp:inline distT="0" distB="0" distL="114300" distR="114300">
                        <wp:extent cx="1019175" cy="1060450"/>
                        <wp:effectExtent l="0" t="0" r="9525" b="635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42"/>
                                <a:stretch>
                                  <a:fillRect/>
                                </a:stretch>
                              </pic:blipFill>
                              <pic:spPr>
                                <a:xfrm>
                                  <a:off x="0" y="0"/>
                                  <a:ext cx="1019175" cy="1060450"/>
                                </a:xfrm>
                                <a:prstGeom prst="rect">
                                  <a:avLst/>
                                </a:prstGeom>
                                <a:noFill/>
                                <a:ln>
                                  <a:noFill/>
                                </a:ln>
                              </pic:spPr>
                            </pic:pic>
                          </a:graphicData>
                        </a:graphic>
                      </wp:inline>
                    </w:drawing>
                  </w:r>
                </w:p>
              </w:tc>
              <w:tc>
                <w:tcPr>
                  <w:tcW w:w="817" w:type="pct"/>
                  <w:gridSpan w:val="2"/>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废气排放口</w:t>
                  </w:r>
                </w:p>
              </w:tc>
              <w:tc>
                <w:tcPr>
                  <w:tcW w:w="1746"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表示废气向外环境排放</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gridAfter w:val="1"/>
                <w:wAfter w:w="1" w:type="dxa"/>
                <w:trHeight w:val="1439" w:hRule="atLeast"/>
              </w:trPr>
              <w:tc>
                <w:tcPr>
                  <w:tcW w:w="269"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4</w:t>
                  </w:r>
                </w:p>
              </w:tc>
              <w:tc>
                <w:tcPr>
                  <w:tcW w:w="1069"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1095"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drawing>
                      <wp:inline distT="0" distB="0" distL="114300" distR="114300">
                        <wp:extent cx="1144905" cy="1012825"/>
                        <wp:effectExtent l="0" t="0" r="17145" b="1587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43"/>
                                <a:stretch>
                                  <a:fillRect/>
                                </a:stretch>
                              </pic:blipFill>
                              <pic:spPr>
                                <a:xfrm>
                                  <a:off x="0" y="0"/>
                                  <a:ext cx="1144905" cy="1012825"/>
                                </a:xfrm>
                                <a:prstGeom prst="rect">
                                  <a:avLst/>
                                </a:prstGeom>
                                <a:noFill/>
                                <a:ln>
                                  <a:noFill/>
                                </a:ln>
                              </pic:spPr>
                            </pic:pic>
                          </a:graphicData>
                        </a:graphic>
                      </wp:inline>
                    </w:drawing>
                  </w:r>
                </w:p>
              </w:tc>
              <w:tc>
                <w:tcPr>
                  <w:tcW w:w="817" w:type="pct"/>
                  <w:gridSpan w:val="2"/>
                  <w:tcBorders>
                    <w:tl2br w:val="nil"/>
                    <w:tr2bl w:val="nil"/>
                  </w:tcBorders>
                  <w:noWrap w:val="0"/>
                  <w:vAlign w:val="center"/>
                </w:tcPr>
                <w:p>
                  <w:pPr>
                    <w:pStyle w:val="57"/>
                    <w:bidi w:val="0"/>
                    <w:rPr>
                      <w:rFonts w:hint="default"/>
                      <w:color w:val="auto"/>
                      <w:highlight w:val="none"/>
                      <w:lang w:val="en-US" w:eastAsia="zh-CN"/>
                    </w:rPr>
                  </w:pPr>
                  <w:r>
                    <w:rPr>
                      <w:rFonts w:hint="eastAsia"/>
                      <w:color w:val="auto"/>
                      <w:highlight w:val="none"/>
                      <w:lang w:val="en-US" w:eastAsia="zh-CN"/>
                    </w:rPr>
                    <w:t>危废贮存点</w:t>
                  </w:r>
                </w:p>
              </w:tc>
              <w:tc>
                <w:tcPr>
                  <w:tcW w:w="1746" w:type="pct"/>
                  <w:tcBorders>
                    <w:tl2br w:val="nil"/>
                    <w:tr2bl w:val="nil"/>
                  </w:tcBorders>
                  <w:noWrap w:val="0"/>
                  <w:vAlign w:val="center"/>
                </w:tcPr>
                <w:p>
                  <w:pPr>
                    <w:pStyle w:val="57"/>
                    <w:bidi w:val="0"/>
                    <w:rPr>
                      <w:rFonts w:hint="default"/>
                      <w:color w:val="auto"/>
                      <w:highlight w:val="none"/>
                      <w:lang w:val="en-US" w:eastAsia="zh-CN"/>
                    </w:rPr>
                  </w:pPr>
                  <w:r>
                    <w:rPr>
                      <w:rFonts w:hint="default"/>
                      <w:color w:val="auto"/>
                      <w:highlight w:val="none"/>
                      <w:lang w:val="en-US" w:eastAsia="zh-CN"/>
                    </w:rPr>
                    <w:t>表示危险废物贮存、处置场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gridAfter w:val="1"/>
                <w:wAfter w:w="1" w:type="dxa"/>
                <w:trHeight w:val="219" w:hRule="atLeast"/>
              </w:trPr>
              <w:tc>
                <w:tcPr>
                  <w:tcW w:w="2435" w:type="pct"/>
                  <w:gridSpan w:val="3"/>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危险废物标签设置示意图</w:t>
                  </w:r>
                </w:p>
              </w:tc>
              <w:tc>
                <w:tcPr>
                  <w:tcW w:w="2564" w:type="pct"/>
                  <w:gridSpan w:val="3"/>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附着式危险废物贮存分区标志设置示意图</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gridAfter w:val="1"/>
                <w:wAfter w:w="1" w:type="dxa"/>
                <w:trHeight w:val="1439" w:hRule="atLeast"/>
              </w:trPr>
              <w:tc>
                <w:tcPr>
                  <w:tcW w:w="2435" w:type="pct"/>
                  <w:gridSpan w:val="3"/>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highlight w:val="none"/>
                    </w:rPr>
                    <w:drawing>
                      <wp:inline distT="0" distB="0" distL="114300" distR="114300">
                        <wp:extent cx="2449830" cy="1950720"/>
                        <wp:effectExtent l="0" t="0" r="7620" b="1143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44"/>
                                <a:stretch>
                                  <a:fillRect/>
                                </a:stretch>
                              </pic:blipFill>
                              <pic:spPr>
                                <a:xfrm>
                                  <a:off x="0" y="0"/>
                                  <a:ext cx="2449830" cy="1950720"/>
                                </a:xfrm>
                                <a:prstGeom prst="rect">
                                  <a:avLst/>
                                </a:prstGeom>
                                <a:noFill/>
                                <a:ln>
                                  <a:noFill/>
                                </a:ln>
                              </pic:spPr>
                            </pic:pic>
                          </a:graphicData>
                        </a:graphic>
                      </wp:inline>
                    </w:drawing>
                  </w:r>
                </w:p>
              </w:tc>
              <w:tc>
                <w:tcPr>
                  <w:tcW w:w="2564" w:type="pct"/>
                  <w:gridSpan w:val="3"/>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kern w:val="0"/>
                      <w:highlight w:val="none"/>
                    </w:rPr>
                    <w:drawing>
                      <wp:inline distT="0" distB="0" distL="114300" distR="114300">
                        <wp:extent cx="2472690" cy="1940560"/>
                        <wp:effectExtent l="0" t="0" r="3810" b="25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45"/>
                                <a:stretch>
                                  <a:fillRect/>
                                </a:stretch>
                              </pic:blipFill>
                              <pic:spPr>
                                <a:xfrm>
                                  <a:off x="0" y="0"/>
                                  <a:ext cx="2472690" cy="1940560"/>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90" w:hRule="atLeast"/>
              </w:trPr>
              <w:tc>
                <w:tcPr>
                  <w:tcW w:w="2435" w:type="pct"/>
                  <w:gridSpan w:val="4"/>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附着式危险废物设施标志设施示意图</w:t>
                  </w:r>
                </w:p>
              </w:tc>
              <w:tc>
                <w:tcPr>
                  <w:tcW w:w="2564" w:type="pct"/>
                  <w:gridSpan w:val="3"/>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危险废物标签样式示意图</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1439" w:hRule="atLeast"/>
              </w:trPr>
              <w:tc>
                <w:tcPr>
                  <w:tcW w:w="2435" w:type="pct"/>
                  <w:gridSpan w:val="4"/>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highlight w:val="none"/>
                    </w:rPr>
                    <w:drawing>
                      <wp:inline distT="0" distB="0" distL="114300" distR="114300">
                        <wp:extent cx="2432050" cy="1539240"/>
                        <wp:effectExtent l="0" t="0" r="6350" b="38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46"/>
                                <a:stretch>
                                  <a:fillRect/>
                                </a:stretch>
                              </pic:blipFill>
                              <pic:spPr>
                                <a:xfrm>
                                  <a:off x="0" y="0"/>
                                  <a:ext cx="2432050" cy="1539240"/>
                                </a:xfrm>
                                <a:prstGeom prst="rect">
                                  <a:avLst/>
                                </a:prstGeom>
                                <a:noFill/>
                                <a:ln>
                                  <a:noFill/>
                                </a:ln>
                              </pic:spPr>
                            </pic:pic>
                          </a:graphicData>
                        </a:graphic>
                      </wp:inline>
                    </w:drawing>
                  </w:r>
                </w:p>
              </w:tc>
              <w:tc>
                <w:tcPr>
                  <w:tcW w:w="2564" w:type="pct"/>
                  <w:gridSpan w:val="3"/>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kern w:val="0"/>
                      <w:highlight w:val="none"/>
                    </w:rPr>
                    <w:drawing>
                      <wp:inline distT="0" distB="0" distL="114300" distR="114300">
                        <wp:extent cx="1619250" cy="1614170"/>
                        <wp:effectExtent l="0" t="0" r="0" b="508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47"/>
                                <a:stretch>
                                  <a:fillRect/>
                                </a:stretch>
                              </pic:blipFill>
                              <pic:spPr>
                                <a:xfrm>
                                  <a:off x="0" y="0"/>
                                  <a:ext cx="1619250" cy="1614170"/>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90" w:hRule="atLeast"/>
              </w:trPr>
              <w:tc>
                <w:tcPr>
                  <w:tcW w:w="2435" w:type="pct"/>
                  <w:gridSpan w:val="4"/>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危险废物贮存分区标志样式示意图</w:t>
                  </w:r>
                </w:p>
              </w:tc>
              <w:tc>
                <w:tcPr>
                  <w:tcW w:w="2564" w:type="pct"/>
                  <w:gridSpan w:val="3"/>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危险废物贮存设施标志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1439" w:hRule="atLeast"/>
              </w:trPr>
              <w:tc>
                <w:tcPr>
                  <w:tcW w:w="2435" w:type="pct"/>
                  <w:gridSpan w:val="4"/>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highlight w:val="none"/>
                    </w:rPr>
                    <w:drawing>
                      <wp:inline distT="0" distB="0" distL="114300" distR="114300">
                        <wp:extent cx="2057400" cy="1734185"/>
                        <wp:effectExtent l="0" t="0" r="0" b="1841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48"/>
                                <a:stretch>
                                  <a:fillRect/>
                                </a:stretch>
                              </pic:blipFill>
                              <pic:spPr>
                                <a:xfrm>
                                  <a:off x="0" y="0"/>
                                  <a:ext cx="2057400" cy="1734185"/>
                                </a:xfrm>
                                <a:prstGeom prst="rect">
                                  <a:avLst/>
                                </a:prstGeom>
                                <a:noFill/>
                                <a:ln>
                                  <a:noFill/>
                                </a:ln>
                              </pic:spPr>
                            </pic:pic>
                          </a:graphicData>
                        </a:graphic>
                      </wp:inline>
                    </w:drawing>
                  </w:r>
                </w:p>
              </w:tc>
              <w:tc>
                <w:tcPr>
                  <w:tcW w:w="2564" w:type="pct"/>
                  <w:gridSpan w:val="3"/>
                  <w:tcBorders>
                    <w:tl2br w:val="nil"/>
                    <w:tr2bl w:val="nil"/>
                  </w:tcBorders>
                  <w:noWrap w:val="0"/>
                  <w:vAlign w:val="center"/>
                </w:tcPr>
                <w:p>
                  <w:pPr>
                    <w:pStyle w:val="64"/>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kern w:val="0"/>
                      <w:highlight w:val="none"/>
                    </w:rPr>
                    <w:drawing>
                      <wp:inline distT="0" distB="0" distL="114300" distR="114300">
                        <wp:extent cx="2562860" cy="1612265"/>
                        <wp:effectExtent l="0" t="0" r="8890" b="698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49"/>
                                <a:stretch>
                                  <a:fillRect/>
                                </a:stretch>
                              </pic:blipFill>
                              <pic:spPr>
                                <a:xfrm>
                                  <a:off x="0" y="0"/>
                                  <a:ext cx="2562860" cy="1612265"/>
                                </a:xfrm>
                                <a:prstGeom prst="rect">
                                  <a:avLst/>
                                </a:prstGeom>
                                <a:noFill/>
                                <a:ln>
                                  <a:noFill/>
                                </a:ln>
                              </pic:spPr>
                            </pic:pic>
                          </a:graphicData>
                        </a:graphic>
                      </wp:inline>
                    </w:drawing>
                  </w:r>
                </w:p>
              </w:tc>
            </w:tr>
          </w:tbl>
          <w:p>
            <w:pPr>
              <w:pStyle w:val="3"/>
              <w:bidi w:val="0"/>
              <w:rPr>
                <w:color w:val="auto"/>
                <w:highlight w:val="none"/>
              </w:rPr>
            </w:pPr>
            <w:r>
              <w:rPr>
                <w:rFonts w:hint="eastAsia"/>
                <w:color w:val="auto"/>
                <w:highlight w:val="none"/>
              </w:rPr>
              <w:t>4.</w:t>
            </w:r>
            <w:r>
              <w:rPr>
                <w:rFonts w:hint="eastAsia"/>
                <w:color w:val="auto"/>
                <w:highlight w:val="none"/>
                <w:lang w:val="en-US" w:eastAsia="zh-CN"/>
              </w:rPr>
              <w:t>9</w:t>
            </w:r>
            <w:r>
              <w:rPr>
                <w:rFonts w:hint="eastAsia"/>
                <w:color w:val="auto"/>
                <w:highlight w:val="none"/>
              </w:rPr>
              <w:t xml:space="preserve"> 环保投资估算</w:t>
            </w:r>
          </w:p>
          <w:p>
            <w:pPr>
              <w:pStyle w:val="6"/>
              <w:bidi w:val="0"/>
              <w:rPr>
                <w:color w:val="auto"/>
                <w:highlight w:val="none"/>
              </w:rPr>
            </w:pPr>
            <w:r>
              <w:rPr>
                <w:rFonts w:hint="eastAsia"/>
                <w:color w:val="auto"/>
                <w:highlight w:val="none"/>
              </w:rPr>
              <w:t>项目总投资为</w:t>
            </w:r>
            <w:r>
              <w:rPr>
                <w:rFonts w:hint="eastAsia"/>
                <w:color w:val="auto"/>
                <w:highlight w:val="none"/>
                <w:lang w:val="en-US" w:eastAsia="zh-CN"/>
              </w:rPr>
              <w:t>800</w:t>
            </w:r>
            <w:r>
              <w:rPr>
                <w:rFonts w:hint="eastAsia"/>
                <w:color w:val="auto"/>
                <w:highlight w:val="none"/>
              </w:rPr>
              <w:t>万元，环保工程投资为</w:t>
            </w:r>
            <w:r>
              <w:rPr>
                <w:rFonts w:hint="eastAsia"/>
                <w:color w:val="auto"/>
                <w:highlight w:val="none"/>
                <w:lang w:val="en-US" w:eastAsia="zh-CN"/>
              </w:rPr>
              <w:t>35</w:t>
            </w:r>
            <w:r>
              <w:rPr>
                <w:rFonts w:hint="eastAsia"/>
                <w:color w:val="auto"/>
                <w:highlight w:val="none"/>
              </w:rPr>
              <w:t>万元，占总投资的</w:t>
            </w:r>
            <w:r>
              <w:rPr>
                <w:rFonts w:hint="eastAsia"/>
                <w:color w:val="auto"/>
                <w:highlight w:val="none"/>
                <w:lang w:val="en-US" w:eastAsia="zh-CN"/>
              </w:rPr>
              <w:t>4.38</w:t>
            </w:r>
            <w:r>
              <w:rPr>
                <w:rFonts w:hint="eastAsia"/>
                <w:color w:val="auto"/>
                <w:highlight w:val="none"/>
              </w:rPr>
              <w:t>%，环保投资项目估算见下表：</w:t>
            </w:r>
          </w:p>
          <w:p>
            <w:pPr>
              <w:pStyle w:val="36"/>
              <w:bidi w:val="0"/>
              <w:rPr>
                <w:color w:val="auto"/>
                <w:highlight w:val="none"/>
              </w:rPr>
            </w:pPr>
            <w:r>
              <w:rPr>
                <w:rFonts w:hint="eastAsia"/>
                <w:color w:val="auto"/>
                <w:highlight w:val="none"/>
              </w:rPr>
              <w:t>表4</w:t>
            </w:r>
            <w:r>
              <w:rPr>
                <w:rFonts w:hint="eastAsia"/>
                <w:color w:val="auto"/>
                <w:highlight w:val="none"/>
                <w:lang w:val="en-US" w:eastAsia="zh-CN"/>
              </w:rPr>
              <w:t>.9-1</w:t>
            </w:r>
            <w:r>
              <w:rPr>
                <w:rFonts w:hint="eastAsia"/>
                <w:color w:val="auto"/>
                <w:highlight w:val="none"/>
              </w:rPr>
              <w:t xml:space="preserve">  环保设施投资一览表</w:t>
            </w:r>
          </w:p>
          <w:tbl>
            <w:tblPr>
              <w:tblStyle w:val="22"/>
              <w:tblW w:w="8135" w:type="dxa"/>
              <w:jc w:val="center"/>
              <w:tblLayout w:type="fixed"/>
              <w:tblCellMar>
                <w:top w:w="0" w:type="dxa"/>
                <w:left w:w="108" w:type="dxa"/>
                <w:bottom w:w="0" w:type="dxa"/>
                <w:right w:w="108" w:type="dxa"/>
              </w:tblCellMar>
            </w:tblPr>
            <w:tblGrid>
              <w:gridCol w:w="1188"/>
              <w:gridCol w:w="3245"/>
              <w:gridCol w:w="1036"/>
              <w:gridCol w:w="2666"/>
            </w:tblGrid>
            <w:tr>
              <w:trPr>
                <w:trHeight w:val="283" w:hRule="atLeast"/>
                <w:jc w:val="center"/>
              </w:trPr>
              <w:tc>
                <w:tcPr>
                  <w:tcW w:w="1188" w:type="dxa"/>
                  <w:tcBorders>
                    <w:top w:val="single" w:color="auto" w:sz="4" w:space="0"/>
                    <w:left w:val="single" w:color="auto" w:sz="4" w:space="0"/>
                    <w:bottom w:val="single" w:color="auto" w:sz="4" w:space="0"/>
                    <w:right w:val="single" w:color="auto" w:sz="4" w:space="0"/>
                  </w:tcBorders>
                  <w:noWrap/>
                  <w:vAlign w:val="center"/>
                </w:tcPr>
                <w:p>
                  <w:pPr>
                    <w:pStyle w:val="57"/>
                    <w:bidi w:val="0"/>
                    <w:rPr>
                      <w:color w:val="auto"/>
                      <w:highlight w:val="none"/>
                    </w:rPr>
                  </w:pPr>
                  <w:r>
                    <w:rPr>
                      <w:rFonts w:hint="eastAsia"/>
                      <w:color w:val="auto"/>
                      <w:highlight w:val="none"/>
                    </w:rPr>
                    <w:t>污染源</w:t>
                  </w:r>
                </w:p>
              </w:tc>
              <w:tc>
                <w:tcPr>
                  <w:tcW w:w="3245" w:type="dxa"/>
                  <w:tcBorders>
                    <w:top w:val="single" w:color="auto" w:sz="4" w:space="0"/>
                    <w:left w:val="single" w:color="auto" w:sz="4" w:space="0"/>
                    <w:bottom w:val="single" w:color="auto" w:sz="4" w:space="0"/>
                    <w:right w:val="single" w:color="auto" w:sz="4" w:space="0"/>
                  </w:tcBorders>
                  <w:noWrap/>
                  <w:vAlign w:val="center"/>
                </w:tcPr>
                <w:p>
                  <w:pPr>
                    <w:pStyle w:val="57"/>
                    <w:bidi w:val="0"/>
                    <w:rPr>
                      <w:color w:val="auto"/>
                      <w:highlight w:val="none"/>
                    </w:rPr>
                  </w:pPr>
                  <w:r>
                    <w:rPr>
                      <w:rFonts w:hint="eastAsia"/>
                      <w:color w:val="auto"/>
                      <w:highlight w:val="none"/>
                    </w:rPr>
                    <w:t>环保设施</w:t>
                  </w:r>
                </w:p>
              </w:tc>
              <w:tc>
                <w:tcPr>
                  <w:tcW w:w="1036"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eastAsia"/>
                      <w:color w:val="auto"/>
                      <w:highlight w:val="none"/>
                    </w:rPr>
                  </w:pPr>
                  <w:r>
                    <w:rPr>
                      <w:rFonts w:hint="eastAsia"/>
                      <w:color w:val="auto"/>
                      <w:highlight w:val="none"/>
                    </w:rPr>
                    <w:t>投资</w:t>
                  </w:r>
                </w:p>
                <w:p>
                  <w:pPr>
                    <w:pStyle w:val="57"/>
                    <w:bidi w:val="0"/>
                    <w:rPr>
                      <w:color w:val="auto"/>
                      <w:highlight w:val="none"/>
                    </w:rPr>
                  </w:pPr>
                  <w:r>
                    <w:rPr>
                      <w:rFonts w:hint="eastAsia"/>
                      <w:color w:val="auto"/>
                      <w:highlight w:val="none"/>
                    </w:rPr>
                    <w:t>（万元）</w:t>
                  </w:r>
                </w:p>
              </w:tc>
              <w:tc>
                <w:tcPr>
                  <w:tcW w:w="2666" w:type="dxa"/>
                  <w:tcBorders>
                    <w:top w:val="single" w:color="auto" w:sz="4" w:space="0"/>
                    <w:left w:val="single" w:color="auto" w:sz="4" w:space="0"/>
                    <w:bottom w:val="single" w:color="auto" w:sz="4" w:space="0"/>
                    <w:right w:val="single" w:color="auto" w:sz="4" w:space="0"/>
                  </w:tcBorders>
                  <w:noWrap/>
                  <w:vAlign w:val="center"/>
                </w:tcPr>
                <w:p>
                  <w:pPr>
                    <w:pStyle w:val="57"/>
                    <w:bidi w:val="0"/>
                    <w:rPr>
                      <w:color w:val="auto"/>
                      <w:highlight w:val="none"/>
                    </w:rPr>
                  </w:pPr>
                  <w:r>
                    <w:rPr>
                      <w:rFonts w:hint="eastAsia"/>
                      <w:color w:val="auto"/>
                      <w:highlight w:val="none"/>
                    </w:rPr>
                    <w:t>备注</w:t>
                  </w:r>
                </w:p>
              </w:tc>
            </w:tr>
            <w:tr>
              <w:tblPrEx>
                <w:tblCellMar>
                  <w:top w:w="0" w:type="dxa"/>
                  <w:left w:w="108" w:type="dxa"/>
                  <w:bottom w:w="0" w:type="dxa"/>
                  <w:right w:w="108" w:type="dxa"/>
                </w:tblCellMar>
              </w:tblPrEx>
              <w:trPr>
                <w:trHeight w:val="283" w:hRule="atLeast"/>
                <w:jc w:val="center"/>
              </w:trPr>
              <w:tc>
                <w:tcPr>
                  <w:tcW w:w="1188" w:type="dxa"/>
                  <w:tcBorders>
                    <w:top w:val="single" w:color="auto" w:sz="4" w:space="0"/>
                    <w:left w:val="single" w:color="auto" w:sz="4" w:space="0"/>
                    <w:bottom w:val="single" w:color="auto" w:sz="4" w:space="0"/>
                    <w:right w:val="single" w:color="auto" w:sz="4" w:space="0"/>
                  </w:tcBorders>
                  <w:noWrap/>
                  <w:vAlign w:val="center"/>
                </w:tcPr>
                <w:p>
                  <w:pPr>
                    <w:pStyle w:val="57"/>
                    <w:bidi w:val="0"/>
                    <w:rPr>
                      <w:color w:val="auto"/>
                      <w:highlight w:val="none"/>
                    </w:rPr>
                  </w:pPr>
                  <w:r>
                    <w:rPr>
                      <w:rFonts w:hint="eastAsia"/>
                      <w:color w:val="auto"/>
                      <w:highlight w:val="none"/>
                    </w:rPr>
                    <w:t>废气</w:t>
                  </w:r>
                </w:p>
              </w:tc>
              <w:tc>
                <w:tcPr>
                  <w:tcW w:w="3245" w:type="dxa"/>
                  <w:tcBorders>
                    <w:top w:val="single" w:color="auto" w:sz="4" w:space="0"/>
                    <w:left w:val="single" w:color="auto" w:sz="4" w:space="0"/>
                    <w:bottom w:val="single" w:color="auto" w:sz="4" w:space="0"/>
                    <w:right w:val="single" w:color="auto" w:sz="4" w:space="0"/>
                  </w:tcBorders>
                  <w:noWrap/>
                  <w:vAlign w:val="center"/>
                </w:tcPr>
                <w:p>
                  <w:pPr>
                    <w:pStyle w:val="57"/>
                    <w:bidi w:val="0"/>
                    <w:rPr>
                      <w:color w:val="auto"/>
                      <w:highlight w:val="none"/>
                    </w:rPr>
                  </w:pPr>
                  <w:r>
                    <w:rPr>
                      <w:rFonts w:hint="eastAsia"/>
                      <w:color w:val="auto"/>
                      <w:highlight w:val="none"/>
                      <w:lang w:val="en-US" w:eastAsia="zh-CN"/>
                    </w:rPr>
                    <w:t>旋风除尘器+</w:t>
                  </w:r>
                  <w:r>
                    <w:rPr>
                      <w:rFonts w:hint="eastAsia"/>
                      <w:color w:val="auto"/>
                      <w:highlight w:val="none"/>
                    </w:rPr>
                    <w:t>布袋除尘器</w:t>
                  </w:r>
                </w:p>
              </w:tc>
              <w:tc>
                <w:tcPr>
                  <w:tcW w:w="1036"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30</w:t>
                  </w:r>
                </w:p>
              </w:tc>
              <w:tc>
                <w:tcPr>
                  <w:tcW w:w="2666" w:type="dxa"/>
                  <w:tcBorders>
                    <w:top w:val="single" w:color="auto" w:sz="4" w:space="0"/>
                    <w:left w:val="single" w:color="auto" w:sz="4" w:space="0"/>
                    <w:bottom w:val="single" w:color="auto" w:sz="4" w:space="0"/>
                    <w:right w:val="single" w:color="auto" w:sz="4" w:space="0"/>
                  </w:tcBorders>
                  <w:noWrap/>
                  <w:vAlign w:val="center"/>
                </w:tcPr>
                <w:p>
                  <w:pPr>
                    <w:pStyle w:val="57"/>
                    <w:bidi w:val="0"/>
                    <w:ind w:left="0" w:leftChars="0" w:right="0" w:rightChars="0" w:firstLine="0" w:firstLineChars="0"/>
                    <w:jc w:val="center"/>
                    <w:rPr>
                      <w:color w:val="auto"/>
                      <w:highlight w:val="none"/>
                    </w:rPr>
                  </w:pPr>
                  <w:r>
                    <w:rPr>
                      <w:rFonts w:hint="eastAsia"/>
                      <w:color w:val="auto"/>
                      <w:highlight w:val="none"/>
                      <w:lang w:val="en-US" w:eastAsia="zh-CN"/>
                    </w:rPr>
                    <w:t>《工业炉窑大气污染物排放标准》（GB 9078-1996）</w:t>
                  </w:r>
                </w:p>
              </w:tc>
            </w:tr>
            <w:tr>
              <w:trPr>
                <w:trHeight w:val="283" w:hRule="atLeast"/>
                <w:jc w:val="center"/>
              </w:trPr>
              <w:tc>
                <w:tcPr>
                  <w:tcW w:w="1188"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废水</w:t>
                  </w:r>
                </w:p>
              </w:tc>
              <w:tc>
                <w:tcPr>
                  <w:tcW w:w="3245"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color w:val="auto"/>
                      <w:highlight w:val="none"/>
                      <w:lang w:val="en-US" w:eastAsia="zh-CN"/>
                    </w:rPr>
                  </w:pPr>
                  <w:r>
                    <w:rPr>
                      <w:rFonts w:hint="eastAsia"/>
                      <w:color w:val="auto"/>
                      <w:highlight w:val="none"/>
                      <w:lang w:val="en-US" w:eastAsia="zh-CN"/>
                    </w:rPr>
                    <w:t>生活污水依托现有化粪池（3×4×2m）收集处理后，委托库尔勒龙润处理有限公司定期拉运至库尔勒市南市区污水处理厂处理</w:t>
                  </w:r>
                </w:p>
              </w:tc>
              <w:tc>
                <w:tcPr>
                  <w:tcW w:w="1036"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color w:val="auto"/>
                      <w:highlight w:val="none"/>
                      <w:lang w:val="en-US" w:eastAsia="zh-CN"/>
                    </w:rPr>
                  </w:pPr>
                  <w:r>
                    <w:rPr>
                      <w:rFonts w:hint="eastAsia"/>
                      <w:color w:val="auto"/>
                      <w:highlight w:val="none"/>
                      <w:lang w:val="en-US" w:eastAsia="zh-CN"/>
                    </w:rPr>
                    <w:t>/</w:t>
                  </w:r>
                </w:p>
              </w:tc>
              <w:tc>
                <w:tcPr>
                  <w:tcW w:w="2666" w:type="dxa"/>
                  <w:tcBorders>
                    <w:top w:val="single" w:color="auto" w:sz="4" w:space="0"/>
                    <w:left w:val="single" w:color="auto" w:sz="4" w:space="0"/>
                    <w:bottom w:val="single" w:color="auto" w:sz="4" w:space="0"/>
                    <w:right w:val="single" w:color="auto" w:sz="4" w:space="0"/>
                  </w:tcBorders>
                  <w:noWrap/>
                  <w:vAlign w:val="center"/>
                </w:tcPr>
                <w:p>
                  <w:pPr>
                    <w:pStyle w:val="57"/>
                    <w:bidi w:val="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《污水综合排放标准》（GB8978-1996）三级标准</w:t>
                  </w:r>
                </w:p>
              </w:tc>
            </w:tr>
            <w:tr>
              <w:trPr>
                <w:trHeight w:val="283" w:hRule="atLeast"/>
                <w:jc w:val="center"/>
              </w:trPr>
              <w:tc>
                <w:tcPr>
                  <w:tcW w:w="1188"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固体废物</w:t>
                  </w:r>
                </w:p>
              </w:tc>
              <w:tc>
                <w:tcPr>
                  <w:tcW w:w="3245"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color w:val="auto"/>
                      <w:highlight w:val="none"/>
                      <w:lang w:val="en-US" w:eastAsia="zh-CN"/>
                    </w:rPr>
                  </w:pPr>
                  <w:r>
                    <w:rPr>
                      <w:rFonts w:hint="eastAsia"/>
                      <w:color w:val="auto"/>
                      <w:highlight w:val="none"/>
                      <w:lang w:val="en-US" w:eastAsia="zh-CN"/>
                    </w:rPr>
                    <w:t>定期更换的废布袋由厂家回收；废润滑油</w:t>
                  </w:r>
                  <w:r>
                    <w:rPr>
                      <w:rFonts w:hint="default"/>
                      <w:color w:val="auto"/>
                      <w:highlight w:val="none"/>
                      <w:lang w:val="en-US" w:eastAsia="zh-CN"/>
                    </w:rPr>
                    <w:t>依托现有危险废物贮存点</w:t>
                  </w:r>
                  <w:r>
                    <w:rPr>
                      <w:rFonts w:hint="eastAsia"/>
                      <w:color w:val="auto"/>
                      <w:highlight w:val="none"/>
                      <w:lang w:val="en-US" w:eastAsia="zh-CN"/>
                    </w:rPr>
                    <w:t>暂存</w:t>
                  </w:r>
                  <w:r>
                    <w:rPr>
                      <w:rFonts w:hint="default"/>
                      <w:color w:val="auto"/>
                      <w:highlight w:val="none"/>
                      <w:lang w:val="en-US" w:eastAsia="zh-CN"/>
                    </w:rPr>
                    <w:t>，定期由库尔勒速润再生物资利用回收有限公司处置</w:t>
                  </w:r>
                </w:p>
              </w:tc>
              <w:tc>
                <w:tcPr>
                  <w:tcW w:w="1036"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color w:val="auto"/>
                      <w:highlight w:val="none"/>
                      <w:lang w:val="en-US" w:eastAsia="zh-CN"/>
                    </w:rPr>
                  </w:pPr>
                  <w:r>
                    <w:rPr>
                      <w:rFonts w:hint="eastAsia"/>
                      <w:color w:val="auto"/>
                      <w:highlight w:val="none"/>
                      <w:lang w:val="en-US" w:eastAsia="zh-CN"/>
                    </w:rPr>
                    <w:t>2</w:t>
                  </w:r>
                </w:p>
              </w:tc>
              <w:tc>
                <w:tcPr>
                  <w:tcW w:w="2666"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color w:val="auto"/>
                      <w:highlight w:val="none"/>
                      <w:lang w:val="en-US" w:eastAsia="zh-CN"/>
                    </w:rPr>
                  </w:pPr>
                  <w:r>
                    <w:rPr>
                      <w:rFonts w:hint="eastAsia"/>
                      <w:color w:val="auto"/>
                      <w:highlight w:val="none"/>
                      <w:lang w:val="en-US" w:eastAsia="zh-CN"/>
                    </w:rPr>
                    <w:t>妥善处置</w:t>
                  </w:r>
                </w:p>
              </w:tc>
            </w:tr>
            <w:tr>
              <w:trPr>
                <w:trHeight w:val="283" w:hRule="atLeast"/>
                <w:jc w:val="center"/>
              </w:trPr>
              <w:tc>
                <w:tcPr>
                  <w:tcW w:w="1188"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噪声</w:t>
                  </w:r>
                </w:p>
              </w:tc>
              <w:tc>
                <w:tcPr>
                  <w:tcW w:w="3245"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低噪声设备、基础减振、厂房隔声</w:t>
                  </w:r>
                </w:p>
              </w:tc>
              <w:tc>
                <w:tcPr>
                  <w:tcW w:w="1036"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2</w:t>
                  </w:r>
                </w:p>
              </w:tc>
              <w:tc>
                <w:tcPr>
                  <w:tcW w:w="2666" w:type="dxa"/>
                  <w:tcBorders>
                    <w:top w:val="single" w:color="auto" w:sz="4" w:space="0"/>
                    <w:left w:val="single" w:color="auto" w:sz="4" w:space="0"/>
                    <w:bottom w:val="single" w:color="auto" w:sz="4" w:space="0"/>
                    <w:right w:val="single" w:color="auto" w:sz="4" w:space="0"/>
                  </w:tcBorders>
                  <w:noWrap/>
                  <w:vAlign w:val="center"/>
                </w:tcPr>
                <w:p>
                  <w:pPr>
                    <w:pStyle w:val="57"/>
                    <w:bidi w:val="0"/>
                    <w:ind w:left="0" w:leftChars="0" w:right="0" w:rightChars="0" w:firstLine="0" w:firstLineChars="0"/>
                    <w:jc w:val="center"/>
                    <w:rPr>
                      <w:rFonts w:hint="default" w:eastAsia="宋体"/>
                      <w:color w:val="auto"/>
                      <w:highlight w:val="none"/>
                      <w:lang w:val="en-US" w:eastAsia="zh-CN"/>
                    </w:rPr>
                  </w:pPr>
                  <w:r>
                    <w:rPr>
                      <w:rFonts w:hint="eastAsia"/>
                      <w:color w:val="auto"/>
                      <w:highlight w:val="none"/>
                    </w:rPr>
                    <w:t>《工业企业厂界环境噪声排放标准》(GB12348-2008)2类标准</w:t>
                  </w:r>
                </w:p>
              </w:tc>
            </w:tr>
            <w:tr>
              <w:trPr>
                <w:trHeight w:val="283" w:hRule="atLeast"/>
                <w:jc w:val="center"/>
              </w:trPr>
              <w:tc>
                <w:tcPr>
                  <w:tcW w:w="1188"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color w:val="auto"/>
                      <w:highlight w:val="none"/>
                      <w:lang w:val="en-US" w:eastAsia="zh-CN"/>
                    </w:rPr>
                  </w:pPr>
                  <w:r>
                    <w:rPr>
                      <w:rFonts w:hint="eastAsia"/>
                      <w:color w:val="auto"/>
                      <w:highlight w:val="none"/>
                      <w:lang w:val="en-US" w:eastAsia="zh-CN"/>
                    </w:rPr>
                    <w:t>环境风险</w:t>
                  </w:r>
                </w:p>
              </w:tc>
              <w:tc>
                <w:tcPr>
                  <w:tcW w:w="3245"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color w:val="auto"/>
                      <w:highlight w:val="none"/>
                      <w:lang w:val="en-US" w:eastAsia="zh-CN"/>
                    </w:rPr>
                  </w:pPr>
                  <w:r>
                    <w:rPr>
                      <w:rFonts w:hint="eastAsia"/>
                      <w:color w:val="auto"/>
                      <w:highlight w:val="none"/>
                      <w:lang w:val="en-US" w:eastAsia="zh-CN"/>
                    </w:rPr>
                    <w:t>更新现有突发环境事件应急预案等</w:t>
                  </w:r>
                </w:p>
              </w:tc>
              <w:tc>
                <w:tcPr>
                  <w:tcW w:w="1036"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color w:val="auto"/>
                      <w:highlight w:val="none"/>
                      <w:lang w:val="en-US" w:eastAsia="zh-CN"/>
                    </w:rPr>
                  </w:pPr>
                  <w:r>
                    <w:rPr>
                      <w:rFonts w:hint="eastAsia"/>
                      <w:color w:val="auto"/>
                      <w:highlight w:val="none"/>
                      <w:lang w:val="en-US" w:eastAsia="zh-CN"/>
                    </w:rPr>
                    <w:t>1</w:t>
                  </w:r>
                </w:p>
              </w:tc>
              <w:tc>
                <w:tcPr>
                  <w:tcW w:w="2666"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w:t>
                  </w:r>
                </w:p>
              </w:tc>
            </w:tr>
            <w:tr>
              <w:trPr>
                <w:trHeight w:val="283" w:hRule="atLeast"/>
                <w:jc w:val="center"/>
              </w:trPr>
              <w:tc>
                <w:tcPr>
                  <w:tcW w:w="4433" w:type="dxa"/>
                  <w:gridSpan w:val="2"/>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color w:val="auto"/>
                      <w:highlight w:val="none"/>
                      <w:lang w:val="en-US" w:eastAsia="zh-CN"/>
                    </w:rPr>
                  </w:pPr>
                  <w:r>
                    <w:rPr>
                      <w:rFonts w:hint="eastAsia"/>
                      <w:color w:val="auto"/>
                      <w:highlight w:val="none"/>
                      <w:lang w:val="en-US" w:eastAsia="zh-CN"/>
                    </w:rPr>
                    <w:t>合计</w:t>
                  </w:r>
                </w:p>
              </w:tc>
              <w:tc>
                <w:tcPr>
                  <w:tcW w:w="1036"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default"/>
                      <w:color w:val="auto"/>
                      <w:highlight w:val="none"/>
                      <w:lang w:val="en-US" w:eastAsia="zh-CN"/>
                    </w:rPr>
                  </w:pPr>
                  <w:r>
                    <w:rPr>
                      <w:rFonts w:hint="eastAsia"/>
                      <w:color w:val="auto"/>
                      <w:highlight w:val="none"/>
                      <w:lang w:val="en-US" w:eastAsia="zh-CN"/>
                    </w:rPr>
                    <w:t>35</w:t>
                  </w:r>
                </w:p>
              </w:tc>
              <w:tc>
                <w:tcPr>
                  <w:tcW w:w="2666" w:type="dxa"/>
                  <w:tcBorders>
                    <w:top w:val="single" w:color="auto" w:sz="4" w:space="0"/>
                    <w:left w:val="single" w:color="auto" w:sz="4" w:space="0"/>
                    <w:bottom w:val="single" w:color="auto" w:sz="4" w:space="0"/>
                    <w:right w:val="single" w:color="auto" w:sz="4" w:space="0"/>
                  </w:tcBorders>
                  <w:noWrap/>
                  <w:vAlign w:val="center"/>
                </w:tcPr>
                <w:p>
                  <w:pPr>
                    <w:pStyle w:val="57"/>
                    <w:bidi w:val="0"/>
                    <w:rPr>
                      <w:rFonts w:hint="eastAsia"/>
                      <w:color w:val="auto"/>
                      <w:highlight w:val="none"/>
                    </w:rPr>
                  </w:pPr>
                </w:p>
              </w:tc>
            </w:tr>
          </w:tbl>
          <w:p>
            <w:pPr>
              <w:pStyle w:val="3"/>
              <w:spacing w:before="120" w:after="120"/>
              <w:rPr>
                <w:color w:val="auto"/>
                <w:highlight w:val="none"/>
              </w:rPr>
            </w:pPr>
            <w:r>
              <w:rPr>
                <w:rFonts w:hint="eastAsia"/>
                <w:color w:val="auto"/>
                <w:highlight w:val="none"/>
                <w:lang w:val="en-US" w:eastAsia="zh-CN"/>
              </w:rPr>
              <w:t>4.10</w:t>
            </w:r>
            <w:r>
              <w:rPr>
                <w:rFonts w:hint="eastAsia"/>
                <w:color w:val="auto"/>
                <w:highlight w:val="none"/>
              </w:rPr>
              <w:t xml:space="preserve"> 污染物排放汇总</w:t>
            </w:r>
          </w:p>
          <w:p>
            <w:pPr>
              <w:pStyle w:val="50"/>
              <w:rPr>
                <w:rFonts w:hAnsi="Calibri"/>
                <w:b/>
                <w:bCs w:val="0"/>
                <w:color w:val="auto"/>
                <w:highlight w:val="none"/>
              </w:rPr>
            </w:pPr>
            <w:r>
              <w:rPr>
                <w:rFonts w:hint="eastAsia"/>
                <w:color w:val="auto"/>
                <w:highlight w:val="none"/>
              </w:rPr>
              <w:t>本项目污染物汇总见附表。</w:t>
            </w:r>
          </w:p>
        </w:tc>
      </w:tr>
    </w:tbl>
    <w:p>
      <w:pPr>
        <w:rPr>
          <w:color w:val="auto"/>
          <w:kern w:val="0"/>
          <w:highlight w:val="none"/>
        </w:rPr>
        <w:sectPr>
          <w:pgSz w:w="11907" w:h="16840"/>
          <w:pgMar w:top="1417" w:right="1417" w:bottom="1417" w:left="1417" w:header="794" w:footer="1077" w:gutter="0"/>
          <w:pgBorders>
            <w:top w:val="none" w:sz="0" w:space="0"/>
            <w:left w:val="none" w:sz="0" w:space="0"/>
            <w:bottom w:val="none" w:sz="0" w:space="0"/>
            <w:right w:val="none" w:sz="0" w:space="0"/>
          </w:pgBorders>
          <w:pgNumType w:fmt="decimal"/>
          <w:cols w:space="720" w:num="1"/>
          <w:docGrid w:linePitch="312" w:charSpace="0"/>
        </w:sectPr>
      </w:pPr>
    </w:p>
    <w:p>
      <w:pPr>
        <w:pStyle w:val="2"/>
        <w:rPr>
          <w:color w:val="auto"/>
          <w:kern w:val="2"/>
          <w:highlight w:val="none"/>
        </w:rPr>
      </w:pPr>
      <w:bookmarkStart w:id="16" w:name="_Toc1321"/>
      <w:r>
        <w:rPr>
          <w:rFonts w:hint="eastAsia"/>
          <w:color w:val="auto"/>
          <w:kern w:val="2"/>
          <w:highlight w:val="none"/>
        </w:rPr>
        <w:t>五、</w:t>
      </w:r>
      <w:bookmarkStart w:id="17" w:name="_Hlk54167917"/>
      <w:r>
        <w:rPr>
          <w:rFonts w:hint="eastAsia"/>
          <w:color w:val="auto"/>
          <w:kern w:val="2"/>
          <w:highlight w:val="none"/>
        </w:rPr>
        <w:t>环境保护措施监督检查清单</w:t>
      </w:r>
      <w:bookmarkEnd w:id="16"/>
      <w:bookmarkEnd w:id="17"/>
    </w:p>
    <w:tbl>
      <w:tblPr>
        <w:tblStyle w:val="22"/>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1805"/>
        <w:gridCol w:w="1446"/>
        <w:gridCol w:w="2626"/>
        <w:gridCol w:w="19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tcBorders>
              <w:tl2br w:val="single" w:color="auto" w:sz="4" w:space="0"/>
            </w:tcBorders>
          </w:tcPr>
          <w:p>
            <w:pPr>
              <w:pStyle w:val="28"/>
              <w:bidi w:val="0"/>
              <w:ind w:firstLine="720" w:firstLineChars="300"/>
              <w:jc w:val="both"/>
              <w:rPr>
                <w:color w:val="auto"/>
                <w:highlight w:val="none"/>
              </w:rPr>
            </w:pPr>
            <w:r>
              <w:rPr>
                <w:rFonts w:hint="eastAsia"/>
                <w:color w:val="auto"/>
                <w:highlight w:val="none"/>
              </w:rPr>
              <w:t>内容</w:t>
            </w:r>
          </w:p>
          <w:p>
            <w:pPr>
              <w:pStyle w:val="28"/>
              <w:bidi w:val="0"/>
              <w:jc w:val="both"/>
              <w:rPr>
                <w:color w:val="auto"/>
                <w:highlight w:val="none"/>
              </w:rPr>
            </w:pPr>
            <w:r>
              <w:rPr>
                <w:rFonts w:hint="eastAsia"/>
                <w:color w:val="auto"/>
                <w:highlight w:val="none"/>
              </w:rPr>
              <w:t>要素</w:t>
            </w:r>
          </w:p>
        </w:tc>
        <w:tc>
          <w:tcPr>
            <w:tcW w:w="972" w:type="pct"/>
            <w:vAlign w:val="center"/>
          </w:tcPr>
          <w:p>
            <w:pPr>
              <w:pStyle w:val="28"/>
              <w:bidi w:val="0"/>
              <w:rPr>
                <w:color w:val="auto"/>
                <w:highlight w:val="none"/>
              </w:rPr>
            </w:pPr>
            <w:r>
              <w:rPr>
                <w:rFonts w:hint="eastAsia"/>
                <w:color w:val="auto"/>
                <w:highlight w:val="none"/>
              </w:rPr>
              <w:t>排放口(编号、名称)/污染源</w:t>
            </w:r>
          </w:p>
        </w:tc>
        <w:tc>
          <w:tcPr>
            <w:tcW w:w="779" w:type="pct"/>
            <w:vAlign w:val="center"/>
          </w:tcPr>
          <w:p>
            <w:pPr>
              <w:pStyle w:val="28"/>
              <w:bidi w:val="0"/>
              <w:rPr>
                <w:color w:val="auto"/>
                <w:highlight w:val="none"/>
              </w:rPr>
            </w:pPr>
            <w:r>
              <w:rPr>
                <w:rFonts w:hint="eastAsia"/>
                <w:color w:val="auto"/>
                <w:highlight w:val="none"/>
              </w:rPr>
              <w:t>污染物项目</w:t>
            </w:r>
          </w:p>
        </w:tc>
        <w:tc>
          <w:tcPr>
            <w:tcW w:w="1414" w:type="pct"/>
            <w:vAlign w:val="center"/>
          </w:tcPr>
          <w:p>
            <w:pPr>
              <w:pStyle w:val="28"/>
              <w:bidi w:val="0"/>
              <w:rPr>
                <w:color w:val="auto"/>
                <w:highlight w:val="none"/>
              </w:rPr>
            </w:pPr>
            <w:r>
              <w:rPr>
                <w:rFonts w:hint="eastAsia"/>
                <w:color w:val="auto"/>
                <w:highlight w:val="none"/>
              </w:rPr>
              <w:t>环境保护措施</w:t>
            </w:r>
          </w:p>
        </w:tc>
        <w:tc>
          <w:tcPr>
            <w:tcW w:w="1046" w:type="pct"/>
            <w:vAlign w:val="center"/>
          </w:tcPr>
          <w:p>
            <w:pPr>
              <w:pStyle w:val="28"/>
              <w:bidi w:val="0"/>
              <w:rPr>
                <w:color w:val="auto"/>
                <w:highlight w:val="none"/>
              </w:rPr>
            </w:pPr>
            <w:r>
              <w:rPr>
                <w:rFonts w:hint="eastAsia"/>
                <w:color w:val="auto"/>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vMerge w:val="restart"/>
            <w:vAlign w:val="center"/>
          </w:tcPr>
          <w:p>
            <w:pPr>
              <w:pStyle w:val="28"/>
              <w:bidi w:val="0"/>
              <w:rPr>
                <w:color w:val="auto"/>
                <w:highlight w:val="none"/>
              </w:rPr>
            </w:pPr>
            <w:r>
              <w:rPr>
                <w:rFonts w:hint="eastAsia"/>
                <w:color w:val="auto"/>
                <w:highlight w:val="none"/>
              </w:rPr>
              <w:t>大气环境</w:t>
            </w:r>
          </w:p>
        </w:tc>
        <w:tc>
          <w:tcPr>
            <w:tcW w:w="972" w:type="pct"/>
            <w:vAlign w:val="center"/>
          </w:tcPr>
          <w:p>
            <w:pPr>
              <w:pStyle w:val="57"/>
              <w:bidi w:val="0"/>
              <w:rPr>
                <w:rFonts w:hint="default"/>
                <w:color w:val="auto"/>
                <w:highlight w:val="none"/>
                <w:lang w:val="en-US" w:eastAsia="zh-CN"/>
              </w:rPr>
            </w:pPr>
            <w:r>
              <w:rPr>
                <w:rFonts w:hint="eastAsia"/>
                <w:color w:val="auto"/>
                <w:highlight w:val="none"/>
                <w:lang w:val="en-US" w:eastAsia="zh-CN"/>
              </w:rPr>
              <w:t>干燥器废气（DA023）</w:t>
            </w:r>
          </w:p>
        </w:tc>
        <w:tc>
          <w:tcPr>
            <w:tcW w:w="779" w:type="pct"/>
            <w:vAlign w:val="center"/>
          </w:tcPr>
          <w:p>
            <w:pPr>
              <w:pStyle w:val="57"/>
              <w:bidi w:val="0"/>
              <w:rPr>
                <w:rFonts w:hint="eastAsia"/>
                <w:color w:val="auto"/>
                <w:highlight w:val="none"/>
                <w:lang w:eastAsia="zh-CN"/>
              </w:rPr>
            </w:pPr>
            <w:r>
              <w:rPr>
                <w:rFonts w:hint="eastAsia"/>
                <w:color w:val="auto"/>
                <w:highlight w:val="none"/>
                <w:lang w:val="en-US" w:eastAsia="zh-CN"/>
              </w:rPr>
              <w:t>颗粒物</w:t>
            </w:r>
          </w:p>
        </w:tc>
        <w:tc>
          <w:tcPr>
            <w:tcW w:w="1414" w:type="pct"/>
            <w:vAlign w:val="center"/>
          </w:tcPr>
          <w:p>
            <w:pPr>
              <w:pStyle w:val="57"/>
              <w:bidi w:val="0"/>
              <w:rPr>
                <w:rFonts w:hint="default"/>
                <w:color w:val="auto"/>
                <w:highlight w:val="none"/>
                <w:lang w:val="en-US" w:eastAsia="zh-CN"/>
              </w:rPr>
            </w:pPr>
            <w:r>
              <w:rPr>
                <w:rFonts w:hint="eastAsia"/>
                <w:color w:val="auto"/>
                <w:highlight w:val="none"/>
                <w:lang w:val="en-US" w:eastAsia="zh-CN"/>
              </w:rPr>
              <w:t>旋风除尘器+</w:t>
            </w:r>
            <w:r>
              <w:rPr>
                <w:color w:val="auto"/>
                <w:highlight w:val="none"/>
              </w:rPr>
              <w:t>布袋除尘器</w:t>
            </w:r>
            <w:r>
              <w:rPr>
                <w:rFonts w:hint="eastAsia"/>
                <w:color w:val="auto"/>
                <w:highlight w:val="none"/>
                <w:lang w:val="en-US" w:eastAsia="zh-CN"/>
              </w:rPr>
              <w:t>+15m排气筒</w:t>
            </w:r>
          </w:p>
        </w:tc>
        <w:tc>
          <w:tcPr>
            <w:tcW w:w="1046" w:type="pct"/>
            <w:vAlign w:val="center"/>
          </w:tcPr>
          <w:p>
            <w:pPr>
              <w:pStyle w:val="57"/>
              <w:bidi w:val="0"/>
              <w:rPr>
                <w:color w:val="auto"/>
                <w:highlight w:val="none"/>
              </w:rPr>
            </w:pPr>
            <w:r>
              <w:rPr>
                <w:rFonts w:hint="eastAsia"/>
                <w:color w:val="auto"/>
                <w:highlight w:val="none"/>
                <w:lang w:val="en-US" w:eastAsia="zh-CN"/>
              </w:rPr>
              <w:t>《工业炉窑大气污染物排放标准》（GB 9078-1996）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vMerge w:val="continue"/>
            <w:vAlign w:val="center"/>
          </w:tcPr>
          <w:p>
            <w:pPr>
              <w:pStyle w:val="28"/>
              <w:bidi w:val="0"/>
              <w:rPr>
                <w:color w:val="auto"/>
                <w:highlight w:val="none"/>
              </w:rPr>
            </w:pPr>
          </w:p>
        </w:tc>
        <w:tc>
          <w:tcPr>
            <w:tcW w:w="972" w:type="pct"/>
            <w:vAlign w:val="center"/>
          </w:tcPr>
          <w:p>
            <w:pPr>
              <w:pStyle w:val="57"/>
              <w:bidi w:val="0"/>
              <w:rPr>
                <w:rFonts w:hint="default"/>
                <w:color w:val="auto"/>
                <w:highlight w:val="none"/>
                <w:lang w:val="en-US" w:eastAsia="zh-CN"/>
              </w:rPr>
            </w:pPr>
            <w:r>
              <w:rPr>
                <w:rFonts w:hint="eastAsia"/>
                <w:color w:val="auto"/>
                <w:highlight w:val="none"/>
                <w:lang w:val="en-US" w:eastAsia="zh-CN"/>
              </w:rPr>
              <w:t>厂界无组织废气</w:t>
            </w:r>
          </w:p>
        </w:tc>
        <w:tc>
          <w:tcPr>
            <w:tcW w:w="779" w:type="pct"/>
            <w:vAlign w:val="center"/>
          </w:tcPr>
          <w:p>
            <w:pPr>
              <w:pStyle w:val="57"/>
              <w:bidi w:val="0"/>
              <w:rPr>
                <w:rFonts w:hint="eastAsia"/>
                <w:color w:val="auto"/>
                <w:highlight w:val="none"/>
                <w:lang w:val="en-US" w:eastAsia="zh-CN"/>
              </w:rPr>
            </w:pPr>
            <w:r>
              <w:rPr>
                <w:rFonts w:hint="eastAsia"/>
                <w:color w:val="auto"/>
                <w:highlight w:val="none"/>
                <w:lang w:val="en-US" w:eastAsia="zh-CN"/>
              </w:rPr>
              <w:t>颗粒物</w:t>
            </w:r>
          </w:p>
        </w:tc>
        <w:tc>
          <w:tcPr>
            <w:tcW w:w="1414" w:type="pct"/>
            <w:vAlign w:val="center"/>
          </w:tcPr>
          <w:p>
            <w:pPr>
              <w:pStyle w:val="57"/>
              <w:bidi w:val="0"/>
              <w:rPr>
                <w:rFonts w:hint="default"/>
                <w:color w:val="auto"/>
                <w:highlight w:val="none"/>
                <w:lang w:val="en-US" w:eastAsia="zh-CN"/>
              </w:rPr>
            </w:pPr>
            <w:r>
              <w:rPr>
                <w:rFonts w:hint="eastAsia"/>
                <w:color w:val="auto"/>
                <w:highlight w:val="none"/>
                <w:lang w:val="en-US" w:eastAsia="zh-CN"/>
              </w:rPr>
              <w:t>原料仓、成品仓自带布袋除尘器无组织排放</w:t>
            </w:r>
          </w:p>
        </w:tc>
        <w:tc>
          <w:tcPr>
            <w:tcW w:w="1046" w:type="pct"/>
            <w:vAlign w:val="center"/>
          </w:tcPr>
          <w:p>
            <w:pPr>
              <w:pStyle w:val="57"/>
              <w:bidi w:val="0"/>
              <w:rPr>
                <w:color w:val="auto"/>
                <w:highlight w:val="none"/>
              </w:rPr>
            </w:pPr>
            <w:r>
              <w:rPr>
                <w:rFonts w:hint="eastAsia"/>
                <w:color w:val="auto"/>
                <w:highlight w:val="none"/>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787" w:type="pct"/>
            <w:vAlign w:val="center"/>
          </w:tcPr>
          <w:p>
            <w:pPr>
              <w:pStyle w:val="28"/>
              <w:bidi w:val="0"/>
              <w:rPr>
                <w:color w:val="auto"/>
                <w:highlight w:val="none"/>
              </w:rPr>
            </w:pPr>
            <w:r>
              <w:rPr>
                <w:rFonts w:hint="eastAsia"/>
                <w:color w:val="auto"/>
                <w:highlight w:val="none"/>
              </w:rPr>
              <w:t>水环境</w:t>
            </w:r>
          </w:p>
        </w:tc>
        <w:tc>
          <w:tcPr>
            <w:tcW w:w="972" w:type="pct"/>
            <w:vAlign w:val="center"/>
          </w:tcPr>
          <w:p>
            <w:pPr>
              <w:pStyle w:val="57"/>
              <w:bidi w:val="0"/>
              <w:rPr>
                <w:color w:val="auto"/>
                <w:highlight w:val="none"/>
              </w:rPr>
            </w:pPr>
            <w:r>
              <w:rPr>
                <w:rFonts w:hint="eastAsia"/>
                <w:color w:val="auto"/>
                <w:highlight w:val="none"/>
              </w:rPr>
              <w:t>生活污水</w:t>
            </w:r>
          </w:p>
        </w:tc>
        <w:tc>
          <w:tcPr>
            <w:tcW w:w="779" w:type="pct"/>
            <w:vAlign w:val="center"/>
          </w:tcPr>
          <w:p>
            <w:pPr>
              <w:pStyle w:val="57"/>
              <w:bidi w:val="0"/>
              <w:rPr>
                <w:color w:val="auto"/>
                <w:highlight w:val="none"/>
              </w:rPr>
            </w:pPr>
            <w:r>
              <w:rPr>
                <w:rFonts w:hint="eastAsia"/>
                <w:color w:val="auto"/>
                <w:highlight w:val="none"/>
              </w:rPr>
              <w:t>pH、COD、BOD</w:t>
            </w:r>
            <w:r>
              <w:rPr>
                <w:rFonts w:hint="eastAsia"/>
                <w:color w:val="auto"/>
                <w:highlight w:val="none"/>
                <w:vertAlign w:val="subscript"/>
              </w:rPr>
              <w:t>5</w:t>
            </w:r>
            <w:r>
              <w:rPr>
                <w:rFonts w:hint="eastAsia"/>
                <w:color w:val="auto"/>
                <w:highlight w:val="none"/>
              </w:rPr>
              <w:t>、SS、NH</w:t>
            </w:r>
            <w:r>
              <w:rPr>
                <w:rFonts w:hint="eastAsia"/>
                <w:color w:val="auto"/>
                <w:highlight w:val="none"/>
                <w:vertAlign w:val="subscript"/>
              </w:rPr>
              <w:t>3</w:t>
            </w:r>
            <w:r>
              <w:rPr>
                <w:rFonts w:hint="eastAsia"/>
                <w:color w:val="auto"/>
                <w:highlight w:val="none"/>
              </w:rPr>
              <w:t>-N</w:t>
            </w:r>
          </w:p>
        </w:tc>
        <w:tc>
          <w:tcPr>
            <w:tcW w:w="1414" w:type="pct"/>
            <w:vAlign w:val="center"/>
          </w:tcPr>
          <w:p>
            <w:pPr>
              <w:pStyle w:val="57"/>
              <w:bidi w:val="0"/>
              <w:rPr>
                <w:rFonts w:hint="default"/>
                <w:color w:val="auto"/>
                <w:highlight w:val="none"/>
                <w:lang w:val="en-US" w:eastAsia="zh-CN"/>
              </w:rPr>
            </w:pPr>
            <w:r>
              <w:rPr>
                <w:rFonts w:hint="default"/>
                <w:color w:val="auto"/>
                <w:highlight w:val="none"/>
                <w:lang w:val="en-US" w:eastAsia="zh-CN"/>
              </w:rPr>
              <w:t>依托现有化粪池（3×4×2m）收集处理后，</w:t>
            </w:r>
            <w:r>
              <w:rPr>
                <w:rFonts w:hint="eastAsia"/>
                <w:color w:val="auto"/>
                <w:highlight w:val="none"/>
                <w:lang w:val="en-US" w:eastAsia="zh-CN"/>
              </w:rPr>
              <w:t>委托库尔勒龙润处理</w:t>
            </w:r>
            <w:r>
              <w:rPr>
                <w:rFonts w:hint="default"/>
                <w:color w:val="auto"/>
                <w:highlight w:val="none"/>
                <w:lang w:val="en-US" w:eastAsia="zh-CN"/>
              </w:rPr>
              <w:t>有限公司定期拉运至库尔勒市南市区污水处理厂处理</w:t>
            </w:r>
          </w:p>
        </w:tc>
        <w:tc>
          <w:tcPr>
            <w:tcW w:w="1046" w:type="pct"/>
            <w:vAlign w:val="center"/>
          </w:tcPr>
          <w:p>
            <w:pPr>
              <w:pStyle w:val="57"/>
              <w:bidi w:val="0"/>
              <w:rPr>
                <w:rFonts w:hint="eastAsia"/>
                <w:color w:val="auto"/>
                <w:highlight w:val="none"/>
                <w:lang w:eastAsia="zh-CN"/>
              </w:rPr>
            </w:pPr>
            <w:r>
              <w:rPr>
                <w:rFonts w:hint="eastAsia"/>
                <w:color w:val="auto"/>
                <w:highlight w:val="none"/>
                <w:lang w:val="en-US" w:eastAsia="zh-CN"/>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7" w:type="pct"/>
            <w:vAlign w:val="center"/>
          </w:tcPr>
          <w:p>
            <w:pPr>
              <w:pStyle w:val="28"/>
              <w:bidi w:val="0"/>
              <w:rPr>
                <w:color w:val="auto"/>
                <w:highlight w:val="none"/>
              </w:rPr>
            </w:pPr>
            <w:r>
              <w:rPr>
                <w:rFonts w:hint="eastAsia"/>
                <w:color w:val="auto"/>
                <w:highlight w:val="none"/>
              </w:rPr>
              <w:t>声环境</w:t>
            </w:r>
          </w:p>
        </w:tc>
        <w:tc>
          <w:tcPr>
            <w:tcW w:w="972" w:type="pct"/>
            <w:vAlign w:val="center"/>
          </w:tcPr>
          <w:p>
            <w:pPr>
              <w:pStyle w:val="57"/>
              <w:bidi w:val="0"/>
              <w:rPr>
                <w:color w:val="auto"/>
                <w:highlight w:val="none"/>
              </w:rPr>
            </w:pPr>
            <w:r>
              <w:rPr>
                <w:color w:val="auto"/>
                <w:highlight w:val="none"/>
              </w:rPr>
              <w:t>设备噪声</w:t>
            </w:r>
          </w:p>
        </w:tc>
        <w:tc>
          <w:tcPr>
            <w:tcW w:w="779" w:type="pct"/>
            <w:vAlign w:val="center"/>
          </w:tcPr>
          <w:p>
            <w:pPr>
              <w:pStyle w:val="57"/>
              <w:bidi w:val="0"/>
              <w:rPr>
                <w:color w:val="auto"/>
                <w:highlight w:val="none"/>
              </w:rPr>
            </w:pPr>
            <w:r>
              <w:rPr>
                <w:color w:val="auto"/>
                <w:highlight w:val="none"/>
              </w:rPr>
              <w:t>噪声</w:t>
            </w:r>
          </w:p>
        </w:tc>
        <w:tc>
          <w:tcPr>
            <w:tcW w:w="1414" w:type="pct"/>
            <w:vAlign w:val="center"/>
          </w:tcPr>
          <w:p>
            <w:pPr>
              <w:pStyle w:val="57"/>
              <w:bidi w:val="0"/>
              <w:rPr>
                <w:color w:val="auto"/>
                <w:highlight w:val="none"/>
              </w:rPr>
            </w:pPr>
            <w:r>
              <w:rPr>
                <w:rFonts w:hint="eastAsia"/>
                <w:color w:val="auto"/>
                <w:highlight w:val="none"/>
                <w:lang w:val="en-US" w:eastAsia="zh-CN"/>
              </w:rPr>
              <w:t>选用低噪声设备、厂房隔声、基础减振</w:t>
            </w:r>
          </w:p>
        </w:tc>
        <w:tc>
          <w:tcPr>
            <w:tcW w:w="1046" w:type="pct"/>
            <w:vAlign w:val="center"/>
          </w:tcPr>
          <w:p>
            <w:pPr>
              <w:pStyle w:val="57"/>
              <w:bidi w:val="0"/>
              <w:rPr>
                <w:color w:val="auto"/>
                <w:highlight w:val="none"/>
              </w:rPr>
            </w:pPr>
            <w:r>
              <w:rPr>
                <w:rFonts w:hint="eastAsia"/>
                <w:color w:val="auto"/>
                <w:highlight w:val="none"/>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7" w:type="pct"/>
            <w:vAlign w:val="center"/>
          </w:tcPr>
          <w:p>
            <w:pPr>
              <w:pStyle w:val="28"/>
              <w:bidi w:val="0"/>
              <w:rPr>
                <w:color w:val="auto"/>
                <w:highlight w:val="none"/>
              </w:rPr>
            </w:pPr>
            <w:r>
              <w:rPr>
                <w:rFonts w:hint="eastAsia"/>
                <w:color w:val="auto"/>
                <w:highlight w:val="none"/>
              </w:rPr>
              <w:t>电磁辐射</w:t>
            </w:r>
          </w:p>
        </w:tc>
        <w:tc>
          <w:tcPr>
            <w:tcW w:w="4212" w:type="pct"/>
            <w:gridSpan w:val="4"/>
            <w:vAlign w:val="center"/>
          </w:tcPr>
          <w:p>
            <w:pPr>
              <w:pStyle w:val="57"/>
              <w:bidi w:val="0"/>
              <w:rPr>
                <w:color w:val="auto"/>
                <w:highlight w:val="none"/>
              </w:rPr>
            </w:pPr>
            <w:r>
              <w:rPr>
                <w:rFonts w:hint="eastAsia"/>
                <w:color w:val="auto"/>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pct"/>
            <w:vAlign w:val="center"/>
          </w:tcPr>
          <w:p>
            <w:pPr>
              <w:pStyle w:val="28"/>
              <w:bidi w:val="0"/>
              <w:rPr>
                <w:color w:val="auto"/>
                <w:highlight w:val="none"/>
              </w:rPr>
            </w:pPr>
            <w:r>
              <w:rPr>
                <w:rFonts w:hint="eastAsia"/>
                <w:color w:val="auto"/>
                <w:highlight w:val="none"/>
              </w:rPr>
              <w:t>固体废物</w:t>
            </w:r>
          </w:p>
        </w:tc>
        <w:tc>
          <w:tcPr>
            <w:tcW w:w="4212" w:type="pct"/>
            <w:gridSpan w:val="4"/>
            <w:vAlign w:val="center"/>
          </w:tcPr>
          <w:p>
            <w:pPr>
              <w:pStyle w:val="34"/>
              <w:bidi w:val="0"/>
              <w:rPr>
                <w:rFonts w:hint="eastAsia"/>
                <w:color w:val="auto"/>
                <w:highlight w:val="none"/>
                <w:lang w:val="en-US" w:eastAsia="zh-CN"/>
              </w:rPr>
            </w:pPr>
            <w:r>
              <w:rPr>
                <w:rFonts w:hint="eastAsia"/>
                <w:color w:val="auto"/>
                <w:highlight w:val="none"/>
                <w:lang w:val="en-US" w:eastAsia="zh-CN"/>
              </w:rPr>
              <w:t>不合格产品、旋风除尘器和布袋除尘器收尘作为原料回用；</w:t>
            </w:r>
          </w:p>
          <w:p>
            <w:pPr>
              <w:pStyle w:val="34"/>
              <w:bidi w:val="0"/>
              <w:rPr>
                <w:color w:val="auto"/>
                <w:highlight w:val="none"/>
              </w:rPr>
            </w:pPr>
            <w:r>
              <w:rPr>
                <w:rFonts w:hint="eastAsia"/>
                <w:color w:val="auto"/>
                <w:highlight w:val="none"/>
                <w:lang w:val="en-US" w:eastAsia="zh-CN"/>
              </w:rPr>
              <w:t>废布袋由厂家回收；</w:t>
            </w:r>
          </w:p>
          <w:p>
            <w:pPr>
              <w:pStyle w:val="34"/>
              <w:bidi w:val="0"/>
              <w:rPr>
                <w:rFonts w:hint="eastAsia"/>
                <w:color w:val="auto"/>
                <w:highlight w:val="none"/>
                <w:lang w:eastAsia="zh-CN"/>
              </w:rPr>
            </w:pPr>
            <w:r>
              <w:rPr>
                <w:rFonts w:hint="eastAsia"/>
                <w:color w:val="auto"/>
                <w:highlight w:val="none"/>
                <w:lang w:eastAsia="zh-CN"/>
              </w:rPr>
              <w:t>废润滑油</w:t>
            </w:r>
            <w:r>
              <w:rPr>
                <w:rFonts w:hint="eastAsia"/>
                <w:color w:val="auto"/>
                <w:highlight w:val="none"/>
              </w:rPr>
              <w:t>等危险废物依托</w:t>
            </w:r>
            <w:r>
              <w:rPr>
                <w:rFonts w:hint="eastAsia"/>
                <w:color w:val="auto"/>
                <w:highlight w:val="none"/>
                <w:lang w:eastAsia="zh-CN"/>
              </w:rPr>
              <w:t>现有工程危险废物贮存点</w:t>
            </w:r>
            <w:r>
              <w:rPr>
                <w:rFonts w:hint="eastAsia"/>
                <w:color w:val="auto"/>
                <w:highlight w:val="none"/>
              </w:rPr>
              <w:t>暂存，定期交由</w:t>
            </w:r>
            <w:r>
              <w:rPr>
                <w:rFonts w:hint="eastAsia"/>
                <w:color w:val="auto"/>
                <w:highlight w:val="none"/>
                <w:lang w:eastAsia="zh-CN"/>
              </w:rPr>
              <w:t>库尔勒速润再生物资利用回收有限公司；</w:t>
            </w:r>
          </w:p>
          <w:p>
            <w:pPr>
              <w:pStyle w:val="34"/>
              <w:bidi w:val="0"/>
              <w:rPr>
                <w:rFonts w:hint="default"/>
                <w:color w:val="auto"/>
                <w:highlight w:val="none"/>
                <w:lang w:val="en-US" w:eastAsia="zh-CN"/>
              </w:rPr>
            </w:pPr>
            <w:r>
              <w:rPr>
                <w:rFonts w:hint="eastAsia"/>
                <w:color w:val="auto"/>
                <w:highlight w:val="none"/>
                <w:lang w:val="en-US" w:eastAsia="zh-CN"/>
              </w:rPr>
              <w:t>生活垃圾分类收集后交由环卫部门处置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787" w:type="pct"/>
            <w:vAlign w:val="center"/>
          </w:tcPr>
          <w:p>
            <w:pPr>
              <w:pStyle w:val="28"/>
              <w:bidi w:val="0"/>
              <w:rPr>
                <w:color w:val="auto"/>
                <w:highlight w:val="none"/>
              </w:rPr>
            </w:pPr>
            <w:r>
              <w:rPr>
                <w:rFonts w:hint="eastAsia"/>
                <w:color w:val="auto"/>
                <w:highlight w:val="none"/>
              </w:rPr>
              <w:t>土壤及地下水污染防治措施</w:t>
            </w:r>
          </w:p>
        </w:tc>
        <w:tc>
          <w:tcPr>
            <w:tcW w:w="4212" w:type="pct"/>
            <w:gridSpan w:val="4"/>
            <w:vAlign w:val="center"/>
          </w:tcPr>
          <w:p>
            <w:pPr>
              <w:pStyle w:val="34"/>
              <w:bidi w:val="0"/>
              <w:rPr>
                <w:color w:val="auto"/>
                <w:highlight w:val="none"/>
              </w:rPr>
            </w:pPr>
            <w:r>
              <w:rPr>
                <w:rFonts w:hint="eastAsia"/>
                <w:color w:val="auto"/>
                <w:highlight w:val="none"/>
              </w:rPr>
              <w:t>根据《环境影响评价技术导则 地下水环境》（HJ610-2016）要求，将厂区划分为重点防渗区和简单防渗区</w:t>
            </w:r>
            <w:r>
              <w:rPr>
                <w:rFonts w:hint="eastAsia"/>
                <w:color w:val="auto"/>
                <w:highlight w:val="none"/>
                <w:lang w:eastAsia="zh-CN"/>
              </w:rPr>
              <w:t>；</w:t>
            </w:r>
            <w:r>
              <w:rPr>
                <w:rFonts w:hint="eastAsia"/>
                <w:color w:val="auto"/>
                <w:highlight w:val="none"/>
              </w:rPr>
              <w:t>根据不同的污染防治区采取相应的防渗措施，重点防渗区主要为</w:t>
            </w:r>
            <w:r>
              <w:rPr>
                <w:rFonts w:hint="eastAsia"/>
                <w:color w:val="auto"/>
                <w:highlight w:val="none"/>
                <w:lang w:val="en-US" w:eastAsia="zh-CN"/>
              </w:rPr>
              <w:t>依托现有的</w:t>
            </w:r>
            <w:r>
              <w:rPr>
                <w:rFonts w:hint="eastAsia"/>
                <w:color w:val="auto"/>
                <w:highlight w:val="none"/>
                <w:lang w:eastAsia="zh-CN"/>
              </w:rPr>
              <w:t>危险废物贮存点</w:t>
            </w:r>
            <w:r>
              <w:rPr>
                <w:rFonts w:hint="eastAsia"/>
                <w:color w:val="auto"/>
                <w:highlight w:val="none"/>
              </w:rPr>
              <w:t>，防渗层防渗性能至少为等效黏土防渗层Mb≥6.0m、K≤1.0×10</w:t>
            </w:r>
            <w:r>
              <w:rPr>
                <w:rFonts w:hint="eastAsia"/>
                <w:color w:val="auto"/>
                <w:highlight w:val="none"/>
                <w:vertAlign w:val="superscript"/>
              </w:rPr>
              <w:t>-7</w:t>
            </w:r>
            <w:r>
              <w:rPr>
                <w:rFonts w:hint="eastAsia"/>
                <w:color w:val="auto"/>
                <w:highlight w:val="none"/>
              </w:rPr>
              <w:t>cm/s的防渗性能；简单防渗区主要包括</w:t>
            </w:r>
            <w:r>
              <w:rPr>
                <w:rFonts w:hint="eastAsia"/>
                <w:color w:val="auto"/>
                <w:highlight w:val="none"/>
                <w:lang w:val="en-US" w:eastAsia="zh-CN"/>
              </w:rPr>
              <w:t>厂房</w:t>
            </w:r>
            <w:r>
              <w:rPr>
                <w:rFonts w:hint="eastAsia"/>
                <w:color w:val="auto"/>
                <w:highlight w:val="none"/>
              </w:rPr>
              <w:t>，采取一般性的地面硬化措施</w:t>
            </w:r>
            <w:r>
              <w:rPr>
                <w:rFonts w:hint="eastAsia"/>
                <w:color w:val="auto"/>
                <w:highlight w:val="none"/>
                <w:lang w:eastAsia="zh-CN"/>
              </w:rPr>
              <w:t>；</w:t>
            </w:r>
            <w:r>
              <w:rPr>
                <w:rFonts w:hint="eastAsia"/>
                <w:color w:val="auto"/>
                <w:highlight w:val="none"/>
              </w:rPr>
              <w:t>生产运行过程中强化监控手段，定期检查，杜绝厂区内有事故性排放点源的存在，减少环境风险，同时严防危险废物原料、产品的跑、冒、滴、漏，保护项目区地下水资源。</w:t>
            </w:r>
            <w:r>
              <w:rPr>
                <w:rFonts w:hint="eastAsia"/>
                <w:color w:val="auto"/>
                <w:highlight w:val="none"/>
                <w:lang w:val="en-US" w:eastAsia="zh-CN"/>
              </w:rPr>
              <w:t>及时修订</w:t>
            </w:r>
            <w:r>
              <w:rPr>
                <w:rFonts w:hint="eastAsia"/>
                <w:color w:val="auto"/>
                <w:highlight w:val="none"/>
              </w:rPr>
              <w:t>应急预案，避免对地下水和土壤环境造成污染。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87" w:type="pct"/>
            <w:vAlign w:val="center"/>
          </w:tcPr>
          <w:p>
            <w:pPr>
              <w:pStyle w:val="28"/>
              <w:bidi w:val="0"/>
              <w:rPr>
                <w:color w:val="auto"/>
                <w:highlight w:val="none"/>
              </w:rPr>
            </w:pPr>
            <w:r>
              <w:rPr>
                <w:rFonts w:hint="eastAsia"/>
                <w:color w:val="auto"/>
                <w:highlight w:val="none"/>
              </w:rPr>
              <w:t>生态保护措施</w:t>
            </w:r>
          </w:p>
        </w:tc>
        <w:tc>
          <w:tcPr>
            <w:tcW w:w="4212" w:type="pct"/>
            <w:gridSpan w:val="4"/>
            <w:vAlign w:val="center"/>
          </w:tcPr>
          <w:p>
            <w:pPr>
              <w:pStyle w:val="57"/>
              <w:bidi w:val="0"/>
              <w:rPr>
                <w:color w:val="auto"/>
                <w:highlight w:val="none"/>
              </w:rPr>
            </w:pPr>
            <w:r>
              <w:rPr>
                <w:rFonts w:hint="eastAsia"/>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pct"/>
            <w:vAlign w:val="center"/>
          </w:tcPr>
          <w:p>
            <w:pPr>
              <w:pStyle w:val="28"/>
              <w:bidi w:val="0"/>
              <w:rPr>
                <w:color w:val="auto"/>
                <w:highlight w:val="none"/>
              </w:rPr>
            </w:pPr>
            <w:r>
              <w:rPr>
                <w:rFonts w:hint="eastAsia"/>
                <w:color w:val="auto"/>
                <w:highlight w:val="none"/>
              </w:rPr>
              <w:t>环境风险</w:t>
            </w:r>
          </w:p>
          <w:p>
            <w:pPr>
              <w:pStyle w:val="28"/>
              <w:bidi w:val="0"/>
              <w:rPr>
                <w:color w:val="auto"/>
                <w:highlight w:val="none"/>
              </w:rPr>
            </w:pPr>
            <w:r>
              <w:rPr>
                <w:rFonts w:hint="eastAsia"/>
                <w:color w:val="auto"/>
                <w:highlight w:val="none"/>
              </w:rPr>
              <w:t>防范措施</w:t>
            </w:r>
          </w:p>
        </w:tc>
        <w:tc>
          <w:tcPr>
            <w:tcW w:w="4212" w:type="pct"/>
            <w:gridSpan w:val="4"/>
            <w:vAlign w:val="center"/>
          </w:tcPr>
          <w:p>
            <w:pPr>
              <w:pStyle w:val="34"/>
              <w:bidi w:val="0"/>
              <w:rPr>
                <w:rFonts w:hint="eastAsia"/>
                <w:color w:val="auto"/>
                <w:highlight w:val="none"/>
                <w:lang w:eastAsia="zh-CN"/>
              </w:rPr>
            </w:pPr>
            <w:r>
              <w:rPr>
                <w:rFonts w:hint="eastAsia"/>
                <w:color w:val="auto"/>
                <w:highlight w:val="none"/>
              </w:rPr>
              <w:t>1、</w:t>
            </w:r>
            <w:r>
              <w:rPr>
                <w:color w:val="auto"/>
                <w:highlight w:val="none"/>
              </w:rPr>
              <w:t>危险废物的收集、贮存、运输须符合《危险废物收集 贮存 运输技术规范》（HJ2025-2012）及《危险废物贮存污染控制标准》（GB18597-20</w:t>
            </w:r>
            <w:r>
              <w:rPr>
                <w:rFonts w:hint="eastAsia"/>
                <w:color w:val="auto"/>
                <w:highlight w:val="none"/>
              </w:rPr>
              <w:t>23</w:t>
            </w:r>
            <w:r>
              <w:rPr>
                <w:color w:val="auto"/>
                <w:highlight w:val="none"/>
              </w:rPr>
              <w:t>）相关要求。建设单位必须按照相关要求，制定危险废物管理计划，建立规范化的危险废物清单台账，严格落实危险废物申报登记制度和转移制度</w:t>
            </w:r>
            <w:r>
              <w:rPr>
                <w:rFonts w:hint="eastAsia"/>
                <w:color w:val="auto"/>
                <w:highlight w:val="none"/>
                <w:lang w:eastAsia="zh-CN"/>
              </w:rPr>
              <w:t>；</w:t>
            </w:r>
          </w:p>
          <w:p>
            <w:pPr>
              <w:pStyle w:val="34"/>
              <w:bidi w:val="0"/>
              <w:rPr>
                <w:rFonts w:hint="eastAsia"/>
                <w:color w:val="auto"/>
                <w:highlight w:val="none"/>
                <w:lang w:eastAsia="zh-CN"/>
              </w:rPr>
            </w:pPr>
            <w:r>
              <w:rPr>
                <w:rFonts w:hint="eastAsia"/>
                <w:color w:val="auto"/>
                <w:highlight w:val="none"/>
                <w:lang w:val="en-US" w:eastAsia="zh-CN"/>
              </w:rPr>
              <w:t>2</w:t>
            </w:r>
            <w:r>
              <w:rPr>
                <w:color w:val="auto"/>
                <w:highlight w:val="none"/>
              </w:rPr>
              <w:t>、加强废气处理设施及设备的定期检修和维护工作；</w:t>
            </w:r>
            <w:r>
              <w:rPr>
                <w:rFonts w:hint="eastAsia"/>
                <w:color w:val="auto"/>
                <w:highlight w:val="none"/>
                <w:lang w:val="en-US" w:eastAsia="zh-CN"/>
              </w:rPr>
              <w:t>电磁回转窑旋风除尘器+布袋除尘器定期检修和维护</w:t>
            </w:r>
            <w:r>
              <w:rPr>
                <w:rFonts w:hint="eastAsia"/>
                <w:color w:val="auto"/>
                <w:highlight w:val="none"/>
                <w:lang w:eastAsia="zh-CN"/>
              </w:rPr>
              <w:t>；</w:t>
            </w:r>
          </w:p>
          <w:p>
            <w:pPr>
              <w:pStyle w:val="34"/>
              <w:bidi w:val="0"/>
              <w:rPr>
                <w:color w:val="auto"/>
                <w:highlight w:val="none"/>
              </w:rPr>
            </w:pPr>
            <w:r>
              <w:rPr>
                <w:rFonts w:hint="eastAsia"/>
                <w:color w:val="auto"/>
                <w:highlight w:val="none"/>
                <w:lang w:val="en-US" w:eastAsia="zh-CN"/>
              </w:rPr>
              <w:t>3</w:t>
            </w:r>
            <w:r>
              <w:rPr>
                <w:color w:val="auto"/>
                <w:highlight w:val="none"/>
              </w:rPr>
              <w:t>、项目采用先进、可靠的工艺技术和设备，严防“跑、冒、滴、漏”，实现全过程密闭化生产；对生产工段各装置设置流量、压力检测与控制系统。</w:t>
            </w:r>
          </w:p>
          <w:p>
            <w:pPr>
              <w:pStyle w:val="34"/>
              <w:bidi w:val="0"/>
              <w:rPr>
                <w:color w:val="auto"/>
                <w:highlight w:val="none"/>
              </w:rPr>
            </w:pPr>
            <w:r>
              <w:rPr>
                <w:rFonts w:hint="eastAsia"/>
                <w:color w:val="auto"/>
                <w:highlight w:val="none"/>
                <w:lang w:val="en-US" w:eastAsia="zh-CN"/>
              </w:rPr>
              <w:t>4、</w:t>
            </w:r>
            <w:r>
              <w:rPr>
                <w:color w:val="auto"/>
                <w:highlight w:val="none"/>
              </w:rPr>
              <w:t>厂内定期开展风险应急培训和演练，落实各项应急环境管理措施以及各项风险防范措施，确保风险事故得到有效控制。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787" w:type="pct"/>
            <w:vAlign w:val="center"/>
          </w:tcPr>
          <w:p>
            <w:pPr>
              <w:pStyle w:val="28"/>
              <w:bidi w:val="0"/>
              <w:rPr>
                <w:color w:val="auto"/>
                <w:highlight w:val="none"/>
              </w:rPr>
            </w:pPr>
            <w:r>
              <w:rPr>
                <w:rFonts w:hint="eastAsia"/>
                <w:color w:val="auto"/>
                <w:highlight w:val="none"/>
              </w:rPr>
              <w:t>其他环境</w:t>
            </w:r>
          </w:p>
          <w:p>
            <w:pPr>
              <w:pStyle w:val="28"/>
              <w:bidi w:val="0"/>
              <w:rPr>
                <w:color w:val="auto"/>
                <w:highlight w:val="none"/>
              </w:rPr>
            </w:pPr>
            <w:r>
              <w:rPr>
                <w:rFonts w:hint="eastAsia"/>
                <w:color w:val="auto"/>
                <w:highlight w:val="none"/>
              </w:rPr>
              <w:t>管理要求</w:t>
            </w:r>
          </w:p>
        </w:tc>
        <w:tc>
          <w:tcPr>
            <w:tcW w:w="4212" w:type="pct"/>
            <w:gridSpan w:val="4"/>
          </w:tcPr>
          <w:p>
            <w:pPr>
              <w:pStyle w:val="34"/>
              <w:bidi w:val="0"/>
              <w:rPr>
                <w:color w:val="auto"/>
                <w:highlight w:val="none"/>
              </w:rPr>
            </w:pPr>
            <w:r>
              <w:rPr>
                <w:color w:val="auto"/>
                <w:highlight w:val="none"/>
              </w:rPr>
              <w:t>1、加强环境管理，确保环保设施正常、稳定运行，确保污染物达标排放。</w:t>
            </w:r>
          </w:p>
          <w:p>
            <w:pPr>
              <w:pStyle w:val="34"/>
              <w:bidi w:val="0"/>
              <w:rPr>
                <w:color w:val="auto"/>
                <w:highlight w:val="none"/>
              </w:rPr>
            </w:pPr>
            <w:r>
              <w:rPr>
                <w:color w:val="auto"/>
                <w:highlight w:val="none"/>
              </w:rPr>
              <w:t>2、落实</w:t>
            </w:r>
            <w:r>
              <w:rPr>
                <w:rFonts w:hint="eastAsia"/>
                <w:color w:val="auto"/>
                <w:highlight w:val="none"/>
              </w:rPr>
              <w:t>“三同时”</w:t>
            </w:r>
            <w:r>
              <w:rPr>
                <w:color w:val="auto"/>
                <w:highlight w:val="none"/>
              </w:rPr>
              <w:t>制度，按照要求开展竣工环境保护验收。</w:t>
            </w:r>
          </w:p>
          <w:p>
            <w:pPr>
              <w:pStyle w:val="34"/>
              <w:bidi w:val="0"/>
              <w:rPr>
                <w:color w:val="auto"/>
                <w:highlight w:val="none"/>
              </w:rPr>
            </w:pPr>
            <w:r>
              <w:rPr>
                <w:color w:val="auto"/>
                <w:highlight w:val="none"/>
              </w:rPr>
              <w:t>3、按照要求</w:t>
            </w:r>
            <w:r>
              <w:rPr>
                <w:rFonts w:hint="eastAsia"/>
                <w:color w:val="auto"/>
                <w:highlight w:val="none"/>
                <w:lang w:val="en-US" w:eastAsia="zh-CN"/>
              </w:rPr>
              <w:t>重新申请</w:t>
            </w:r>
            <w:r>
              <w:rPr>
                <w:color w:val="auto"/>
                <w:highlight w:val="none"/>
              </w:rPr>
              <w:t>排污许可。</w:t>
            </w:r>
          </w:p>
          <w:p>
            <w:pPr>
              <w:pStyle w:val="34"/>
              <w:bidi w:val="0"/>
              <w:rPr>
                <w:rFonts w:hint="default" w:eastAsia="宋体"/>
                <w:color w:val="auto"/>
                <w:highlight w:val="none"/>
                <w:lang w:val="en-US" w:eastAsia="zh-CN"/>
              </w:rPr>
            </w:pPr>
            <w:r>
              <w:rPr>
                <w:rFonts w:hint="eastAsia"/>
                <w:color w:val="auto"/>
                <w:highlight w:val="none"/>
                <w:lang w:val="en-US" w:eastAsia="zh-CN"/>
              </w:rPr>
              <w:t>4、项目使用的车辆尾气需达标排放，不合规的车辆禁止使用。</w:t>
            </w:r>
          </w:p>
        </w:tc>
      </w:tr>
    </w:tbl>
    <w:p>
      <w:pPr>
        <w:pStyle w:val="2"/>
        <w:rPr>
          <w:color w:val="auto"/>
          <w:kern w:val="2"/>
          <w:highlight w:val="none"/>
        </w:rPr>
      </w:pPr>
      <w:r>
        <w:rPr>
          <w:rFonts w:hint="eastAsia"/>
          <w:snapToGrid w:val="0"/>
          <w:color w:val="auto"/>
          <w:kern w:val="0"/>
          <w:highlight w:val="none"/>
        </w:rPr>
        <w:br w:type="page"/>
      </w:r>
      <w:bookmarkStart w:id="18" w:name="_Toc32107"/>
      <w:r>
        <w:rPr>
          <w:rFonts w:hint="eastAsia"/>
          <w:color w:val="auto"/>
          <w:kern w:val="2"/>
          <w:highlight w:val="none"/>
        </w:rPr>
        <w:t>六、结论</w:t>
      </w:r>
      <w:bookmarkEnd w:id="18"/>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2" w:hRule="atLeast"/>
          <w:jc w:val="center"/>
        </w:trPr>
        <w:tc>
          <w:tcPr>
            <w:tcW w:w="5000" w:type="pct"/>
          </w:tcPr>
          <w:p>
            <w:pPr>
              <w:pStyle w:val="6"/>
              <w:bidi w:val="0"/>
              <w:rPr>
                <w:color w:val="auto"/>
                <w:highlight w:val="none"/>
              </w:rPr>
            </w:pPr>
            <w:r>
              <w:rPr>
                <w:rFonts w:hint="eastAsia"/>
                <w:color w:val="auto"/>
                <w:highlight w:val="none"/>
              </w:rPr>
              <w:t>拟建项目符合当地经济结构的调整要求，符合产业结构调整及当地环保管理的要求，同时符合当地规划工业用地的要求。</w:t>
            </w:r>
            <w:r>
              <w:rPr>
                <w:color w:val="auto"/>
                <w:highlight w:val="none"/>
              </w:rPr>
              <w:t>项目切实落实报告表中提出的各项防治措施要求，严格执行各项污染物的排放标准，积极有效地进行治理和防范，并使各项污染物达标排放，从环境保护角度考虑，该项目的建设是可行的。</w:t>
            </w:r>
          </w:p>
          <w:p>
            <w:pPr>
              <w:pStyle w:val="6"/>
              <w:bidi w:val="0"/>
              <w:rPr>
                <w:color w:val="auto"/>
                <w:highlight w:val="none"/>
              </w:rPr>
            </w:pPr>
          </w:p>
        </w:tc>
      </w:tr>
    </w:tbl>
    <w:p>
      <w:pPr>
        <w:rPr>
          <w:snapToGrid w:val="0"/>
          <w:color w:val="auto"/>
          <w:kern w:val="0"/>
          <w:highlight w:val="none"/>
        </w:rPr>
      </w:pPr>
    </w:p>
    <w:p>
      <w:pPr>
        <w:rPr>
          <w:color w:val="auto"/>
          <w:highlight w:val="none"/>
        </w:rPr>
        <w:sectPr>
          <w:pgSz w:w="11906" w:h="16838"/>
          <w:pgMar w:top="1417" w:right="1417" w:bottom="1417" w:left="1417" w:header="794" w:footer="1077" w:gutter="0"/>
          <w:pgBorders>
            <w:top w:val="none" w:sz="0" w:space="0"/>
            <w:left w:val="none" w:sz="0" w:space="0"/>
            <w:bottom w:val="none" w:sz="0" w:space="0"/>
            <w:right w:val="none" w:sz="0" w:space="0"/>
          </w:pgBorders>
          <w:pgNumType w:fmt="decimal"/>
          <w:cols w:space="720" w:num="1"/>
          <w:docGrid w:linePitch="312" w:charSpace="0"/>
        </w:sectPr>
      </w:pPr>
    </w:p>
    <w:p>
      <w:pPr>
        <w:pStyle w:val="2"/>
        <w:rPr>
          <w:color w:val="auto"/>
          <w:highlight w:val="none"/>
          <w:lang w:bidi="zh-TW"/>
        </w:rPr>
      </w:pPr>
      <w:r>
        <w:rPr>
          <w:rFonts w:hint="eastAsia"/>
          <w:color w:val="auto"/>
          <w:highlight w:val="none"/>
        </w:rPr>
        <w:t>附表                              建设项目污染物排放量汇总表</w:t>
      </w:r>
    </w:p>
    <w:tbl>
      <w:tblPr>
        <w:tblStyle w:val="22"/>
        <w:tblW w:w="13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484"/>
        <w:gridCol w:w="1498"/>
        <w:gridCol w:w="1172"/>
        <w:gridCol w:w="1888"/>
        <w:gridCol w:w="1411"/>
        <w:gridCol w:w="1671"/>
        <w:gridCol w:w="1997"/>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tcBorders>
              <w:tl2br w:val="single" w:color="auto" w:sz="4" w:space="0"/>
            </w:tcBorders>
            <w:vAlign w:val="center"/>
          </w:tcPr>
          <w:p>
            <w:pPr>
              <w:pStyle w:val="57"/>
              <w:bidi w:val="0"/>
              <w:rPr>
                <w:color w:val="auto"/>
                <w:highlight w:val="none"/>
              </w:rPr>
            </w:pPr>
            <w:r>
              <w:rPr>
                <w:rFonts w:hint="eastAsia"/>
                <w:color w:val="auto"/>
                <w:highlight w:val="none"/>
              </w:rPr>
              <w:t xml:space="preserve">     项目</w:t>
            </w:r>
          </w:p>
          <w:p>
            <w:pPr>
              <w:pStyle w:val="57"/>
              <w:bidi w:val="0"/>
              <w:rPr>
                <w:color w:val="auto"/>
                <w:highlight w:val="none"/>
              </w:rPr>
            </w:pPr>
          </w:p>
          <w:p>
            <w:pPr>
              <w:pStyle w:val="57"/>
              <w:bidi w:val="0"/>
              <w:rPr>
                <w:color w:val="auto"/>
                <w:highlight w:val="none"/>
              </w:rPr>
            </w:pPr>
            <w:r>
              <w:rPr>
                <w:rFonts w:hint="eastAsia"/>
                <w:color w:val="auto"/>
                <w:highlight w:val="none"/>
              </w:rPr>
              <w:t>分类</w:t>
            </w:r>
          </w:p>
        </w:tc>
        <w:tc>
          <w:tcPr>
            <w:tcW w:w="1484" w:type="dxa"/>
            <w:vAlign w:val="center"/>
          </w:tcPr>
          <w:p>
            <w:pPr>
              <w:pStyle w:val="57"/>
              <w:bidi w:val="0"/>
              <w:rPr>
                <w:color w:val="auto"/>
                <w:highlight w:val="none"/>
              </w:rPr>
            </w:pPr>
            <w:r>
              <w:rPr>
                <w:rFonts w:hint="eastAsia"/>
                <w:color w:val="auto"/>
                <w:highlight w:val="none"/>
              </w:rPr>
              <w:t>污染物名称</w:t>
            </w:r>
          </w:p>
        </w:tc>
        <w:tc>
          <w:tcPr>
            <w:tcW w:w="1498" w:type="dxa"/>
            <w:vAlign w:val="center"/>
          </w:tcPr>
          <w:p>
            <w:pPr>
              <w:pStyle w:val="57"/>
              <w:bidi w:val="0"/>
              <w:rPr>
                <w:color w:val="auto"/>
                <w:highlight w:val="none"/>
              </w:rPr>
            </w:pPr>
            <w:r>
              <w:rPr>
                <w:rFonts w:hint="eastAsia"/>
                <w:color w:val="auto"/>
                <w:highlight w:val="none"/>
              </w:rPr>
              <w:t>现有工程排放量（固体废物产生量）①</w:t>
            </w:r>
          </w:p>
        </w:tc>
        <w:tc>
          <w:tcPr>
            <w:tcW w:w="1172" w:type="dxa"/>
            <w:vAlign w:val="center"/>
          </w:tcPr>
          <w:p>
            <w:pPr>
              <w:pStyle w:val="57"/>
              <w:bidi w:val="0"/>
              <w:rPr>
                <w:color w:val="auto"/>
                <w:highlight w:val="none"/>
              </w:rPr>
            </w:pPr>
            <w:r>
              <w:rPr>
                <w:rFonts w:hint="eastAsia"/>
                <w:color w:val="auto"/>
                <w:highlight w:val="none"/>
              </w:rPr>
              <w:t>现有工程许可排放量②</w:t>
            </w:r>
          </w:p>
        </w:tc>
        <w:tc>
          <w:tcPr>
            <w:tcW w:w="1888" w:type="dxa"/>
            <w:vAlign w:val="center"/>
          </w:tcPr>
          <w:p>
            <w:pPr>
              <w:pStyle w:val="57"/>
              <w:bidi w:val="0"/>
              <w:rPr>
                <w:color w:val="auto"/>
                <w:highlight w:val="none"/>
              </w:rPr>
            </w:pPr>
            <w:r>
              <w:rPr>
                <w:rFonts w:hint="eastAsia"/>
                <w:color w:val="auto"/>
                <w:highlight w:val="none"/>
              </w:rPr>
              <w:t>在建工程排放量（固体废物产生量）③</w:t>
            </w:r>
          </w:p>
        </w:tc>
        <w:tc>
          <w:tcPr>
            <w:tcW w:w="1411" w:type="dxa"/>
            <w:vAlign w:val="center"/>
          </w:tcPr>
          <w:p>
            <w:pPr>
              <w:pStyle w:val="57"/>
              <w:bidi w:val="0"/>
              <w:rPr>
                <w:color w:val="auto"/>
                <w:highlight w:val="none"/>
              </w:rPr>
            </w:pPr>
            <w:r>
              <w:rPr>
                <w:rFonts w:hint="eastAsia"/>
                <w:color w:val="auto"/>
                <w:highlight w:val="none"/>
              </w:rPr>
              <w:t>本项目排放量（固体废物产生量）④</w:t>
            </w:r>
          </w:p>
        </w:tc>
        <w:tc>
          <w:tcPr>
            <w:tcW w:w="1671" w:type="dxa"/>
            <w:vAlign w:val="center"/>
          </w:tcPr>
          <w:p>
            <w:pPr>
              <w:pStyle w:val="57"/>
              <w:bidi w:val="0"/>
              <w:rPr>
                <w:color w:val="auto"/>
                <w:highlight w:val="none"/>
              </w:rPr>
            </w:pPr>
            <w:r>
              <w:rPr>
                <w:rFonts w:hint="eastAsia"/>
                <w:color w:val="auto"/>
                <w:highlight w:val="none"/>
              </w:rPr>
              <w:t>以新带老削减量（新建项目不填）⑤</w:t>
            </w:r>
          </w:p>
        </w:tc>
        <w:tc>
          <w:tcPr>
            <w:tcW w:w="1997" w:type="dxa"/>
            <w:vAlign w:val="center"/>
          </w:tcPr>
          <w:p>
            <w:pPr>
              <w:pStyle w:val="57"/>
              <w:bidi w:val="0"/>
              <w:rPr>
                <w:color w:val="auto"/>
                <w:highlight w:val="none"/>
              </w:rPr>
            </w:pPr>
            <w:r>
              <w:rPr>
                <w:rFonts w:hint="eastAsia"/>
                <w:color w:val="auto"/>
                <w:highlight w:val="none"/>
              </w:rPr>
              <w:t>本项目建成后全厂排放量（固体废物产生量）⑥</w:t>
            </w:r>
          </w:p>
        </w:tc>
        <w:tc>
          <w:tcPr>
            <w:tcW w:w="1172" w:type="dxa"/>
            <w:vAlign w:val="center"/>
          </w:tcPr>
          <w:p>
            <w:pPr>
              <w:pStyle w:val="57"/>
              <w:bidi w:val="0"/>
              <w:rPr>
                <w:color w:val="auto"/>
                <w:highlight w:val="none"/>
              </w:rPr>
            </w:pPr>
            <w:r>
              <w:rPr>
                <w:rFonts w:hint="eastAsia"/>
                <w:color w:val="auto"/>
                <w:highlight w:val="none"/>
              </w:rPr>
              <w:t>变化量⑦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restart"/>
            <w:vAlign w:val="center"/>
          </w:tcPr>
          <w:p>
            <w:pPr>
              <w:pStyle w:val="57"/>
              <w:bidi w:val="0"/>
              <w:rPr>
                <w:color w:val="auto"/>
                <w:highlight w:val="none"/>
              </w:rPr>
            </w:pPr>
            <w:r>
              <w:rPr>
                <w:rFonts w:hint="eastAsia"/>
                <w:color w:val="auto"/>
                <w:highlight w:val="none"/>
              </w:rPr>
              <w:t>废气</w:t>
            </w:r>
          </w:p>
        </w:tc>
        <w:tc>
          <w:tcPr>
            <w:tcW w:w="1484" w:type="dxa"/>
            <w:vAlign w:val="center"/>
          </w:tcPr>
          <w:p>
            <w:pPr>
              <w:pStyle w:val="57"/>
              <w:bidi w:val="0"/>
              <w:rPr>
                <w:color w:val="auto"/>
                <w:highlight w:val="none"/>
              </w:rPr>
            </w:pPr>
            <w:r>
              <w:rPr>
                <w:rFonts w:hint="eastAsia"/>
                <w:color w:val="auto"/>
                <w:highlight w:val="none"/>
              </w:rPr>
              <w:t>颗粒物</w:t>
            </w:r>
          </w:p>
        </w:tc>
        <w:tc>
          <w:tcPr>
            <w:tcW w:w="1498"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2.687</w:t>
            </w:r>
          </w:p>
        </w:tc>
        <w:tc>
          <w:tcPr>
            <w:tcW w:w="1172" w:type="dxa"/>
            <w:vAlign w:val="center"/>
          </w:tcPr>
          <w:p>
            <w:pPr>
              <w:pStyle w:val="57"/>
              <w:bidi w:val="0"/>
              <w:rPr>
                <w:color w:val="auto"/>
                <w:highlight w:val="none"/>
              </w:rPr>
            </w:pPr>
          </w:p>
        </w:tc>
        <w:tc>
          <w:tcPr>
            <w:tcW w:w="1888" w:type="dxa"/>
            <w:vAlign w:val="center"/>
          </w:tcPr>
          <w:p>
            <w:pPr>
              <w:pStyle w:val="57"/>
              <w:bidi w:val="0"/>
              <w:rPr>
                <w:rFonts w:hint="default" w:eastAsia="宋体"/>
                <w:color w:val="auto"/>
                <w:highlight w:val="none"/>
                <w:lang w:val="en-US" w:eastAsia="zh-CN"/>
              </w:rPr>
            </w:pPr>
          </w:p>
        </w:tc>
        <w:tc>
          <w:tcPr>
            <w:tcW w:w="1411" w:type="dxa"/>
            <w:vAlign w:val="center"/>
          </w:tcPr>
          <w:p>
            <w:pPr>
              <w:pStyle w:val="57"/>
              <w:bidi w:val="0"/>
              <w:rPr>
                <w:color w:val="auto"/>
                <w:highlight w:val="none"/>
              </w:rPr>
            </w:pPr>
            <w:r>
              <w:rPr>
                <w:rFonts w:hint="eastAsia"/>
                <w:color w:val="auto"/>
                <w:highlight w:val="none"/>
                <w:lang w:val="en-US" w:eastAsia="zh-CN"/>
              </w:rPr>
              <w:t>0.343</w:t>
            </w:r>
          </w:p>
        </w:tc>
        <w:tc>
          <w:tcPr>
            <w:tcW w:w="1671" w:type="dxa"/>
            <w:vAlign w:val="center"/>
          </w:tcPr>
          <w:p>
            <w:pPr>
              <w:pStyle w:val="57"/>
              <w:bidi w:val="0"/>
              <w:rPr>
                <w:color w:val="auto"/>
                <w:highlight w:val="none"/>
              </w:rPr>
            </w:pPr>
          </w:p>
        </w:tc>
        <w:tc>
          <w:tcPr>
            <w:tcW w:w="1997"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3.03</w:t>
            </w:r>
          </w:p>
        </w:tc>
        <w:tc>
          <w:tcPr>
            <w:tcW w:w="1172"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pPr>
              <w:pStyle w:val="57"/>
              <w:bidi w:val="0"/>
              <w:rPr>
                <w:rFonts w:hint="eastAsia"/>
                <w:color w:val="auto"/>
                <w:highlight w:val="none"/>
              </w:rPr>
            </w:pPr>
          </w:p>
        </w:tc>
        <w:tc>
          <w:tcPr>
            <w:tcW w:w="1484" w:type="dxa"/>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二氧化硫</w:t>
            </w:r>
          </w:p>
        </w:tc>
        <w:tc>
          <w:tcPr>
            <w:tcW w:w="1498"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0.214</w:t>
            </w:r>
          </w:p>
        </w:tc>
        <w:tc>
          <w:tcPr>
            <w:tcW w:w="1172" w:type="dxa"/>
            <w:vAlign w:val="center"/>
          </w:tcPr>
          <w:p>
            <w:pPr>
              <w:pStyle w:val="57"/>
              <w:bidi w:val="0"/>
              <w:rPr>
                <w:color w:val="auto"/>
                <w:highlight w:val="none"/>
              </w:rPr>
            </w:pPr>
            <w:r>
              <w:rPr>
                <w:rFonts w:hint="eastAsia"/>
                <w:color w:val="auto"/>
                <w:highlight w:val="none"/>
              </w:rPr>
              <w:t>15.82</w:t>
            </w:r>
          </w:p>
        </w:tc>
        <w:tc>
          <w:tcPr>
            <w:tcW w:w="1888" w:type="dxa"/>
            <w:vAlign w:val="center"/>
          </w:tcPr>
          <w:p>
            <w:pPr>
              <w:pStyle w:val="57"/>
              <w:bidi w:val="0"/>
              <w:rPr>
                <w:color w:val="auto"/>
                <w:highlight w:val="none"/>
              </w:rPr>
            </w:pPr>
          </w:p>
        </w:tc>
        <w:tc>
          <w:tcPr>
            <w:tcW w:w="1411" w:type="dxa"/>
            <w:vAlign w:val="center"/>
          </w:tcPr>
          <w:p>
            <w:pPr>
              <w:pStyle w:val="57"/>
              <w:bidi w:val="0"/>
              <w:rPr>
                <w:rFonts w:hint="eastAsia"/>
                <w:color w:val="auto"/>
                <w:highlight w:val="none"/>
              </w:rPr>
            </w:pPr>
            <w:r>
              <w:rPr>
                <w:rFonts w:hint="eastAsia"/>
                <w:color w:val="auto"/>
                <w:highlight w:val="none"/>
                <w:lang w:val="en-US" w:eastAsia="zh-CN"/>
              </w:rPr>
              <w:t>0</w:t>
            </w:r>
          </w:p>
        </w:tc>
        <w:tc>
          <w:tcPr>
            <w:tcW w:w="1671" w:type="dxa"/>
            <w:vAlign w:val="center"/>
          </w:tcPr>
          <w:p>
            <w:pPr>
              <w:pStyle w:val="57"/>
              <w:bidi w:val="0"/>
              <w:rPr>
                <w:rFonts w:hint="eastAsia"/>
                <w:color w:val="auto"/>
                <w:highlight w:val="none"/>
              </w:rPr>
            </w:pPr>
          </w:p>
        </w:tc>
        <w:tc>
          <w:tcPr>
            <w:tcW w:w="1997" w:type="dxa"/>
            <w:vAlign w:val="center"/>
          </w:tcPr>
          <w:p>
            <w:pPr>
              <w:pStyle w:val="57"/>
              <w:bidi w:val="0"/>
              <w:rPr>
                <w:rFonts w:hint="eastAsia"/>
                <w:color w:val="auto"/>
                <w:highlight w:val="none"/>
              </w:rPr>
            </w:pPr>
            <w:r>
              <w:rPr>
                <w:rFonts w:hint="eastAsia"/>
                <w:color w:val="auto"/>
                <w:highlight w:val="none"/>
                <w:lang w:val="en-US" w:eastAsia="zh-CN"/>
              </w:rPr>
              <w:t>0.214</w:t>
            </w:r>
          </w:p>
        </w:tc>
        <w:tc>
          <w:tcPr>
            <w:tcW w:w="1172" w:type="dxa"/>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pPr>
              <w:pStyle w:val="57"/>
              <w:bidi w:val="0"/>
              <w:rPr>
                <w:rFonts w:hint="eastAsia"/>
                <w:color w:val="auto"/>
                <w:highlight w:val="none"/>
              </w:rPr>
            </w:pPr>
          </w:p>
        </w:tc>
        <w:tc>
          <w:tcPr>
            <w:tcW w:w="1484" w:type="dxa"/>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氮氧化物</w:t>
            </w:r>
          </w:p>
        </w:tc>
        <w:tc>
          <w:tcPr>
            <w:tcW w:w="1498"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0.484</w:t>
            </w:r>
          </w:p>
        </w:tc>
        <w:tc>
          <w:tcPr>
            <w:tcW w:w="1172" w:type="dxa"/>
            <w:vAlign w:val="center"/>
          </w:tcPr>
          <w:p>
            <w:pPr>
              <w:pStyle w:val="57"/>
              <w:bidi w:val="0"/>
              <w:rPr>
                <w:color w:val="auto"/>
                <w:highlight w:val="none"/>
              </w:rPr>
            </w:pPr>
            <w:r>
              <w:rPr>
                <w:rFonts w:hint="eastAsia"/>
                <w:color w:val="auto"/>
                <w:highlight w:val="none"/>
              </w:rPr>
              <w:t>47.45</w:t>
            </w:r>
          </w:p>
        </w:tc>
        <w:tc>
          <w:tcPr>
            <w:tcW w:w="1888" w:type="dxa"/>
            <w:vAlign w:val="center"/>
          </w:tcPr>
          <w:p>
            <w:pPr>
              <w:pStyle w:val="57"/>
              <w:bidi w:val="0"/>
              <w:rPr>
                <w:color w:val="auto"/>
                <w:highlight w:val="none"/>
              </w:rPr>
            </w:pPr>
          </w:p>
        </w:tc>
        <w:tc>
          <w:tcPr>
            <w:tcW w:w="1411" w:type="dxa"/>
            <w:vAlign w:val="center"/>
          </w:tcPr>
          <w:p>
            <w:pPr>
              <w:pStyle w:val="57"/>
              <w:bidi w:val="0"/>
              <w:rPr>
                <w:rFonts w:hint="eastAsia"/>
                <w:color w:val="auto"/>
                <w:highlight w:val="none"/>
              </w:rPr>
            </w:pPr>
            <w:r>
              <w:rPr>
                <w:rFonts w:hint="eastAsia"/>
                <w:color w:val="auto"/>
                <w:highlight w:val="none"/>
                <w:lang w:val="en-US" w:eastAsia="zh-CN"/>
              </w:rPr>
              <w:t>0</w:t>
            </w:r>
          </w:p>
        </w:tc>
        <w:tc>
          <w:tcPr>
            <w:tcW w:w="1671" w:type="dxa"/>
            <w:vAlign w:val="center"/>
          </w:tcPr>
          <w:p>
            <w:pPr>
              <w:pStyle w:val="57"/>
              <w:bidi w:val="0"/>
              <w:rPr>
                <w:rFonts w:hint="eastAsia"/>
                <w:color w:val="auto"/>
                <w:highlight w:val="none"/>
              </w:rPr>
            </w:pPr>
          </w:p>
        </w:tc>
        <w:tc>
          <w:tcPr>
            <w:tcW w:w="1997" w:type="dxa"/>
            <w:vAlign w:val="center"/>
          </w:tcPr>
          <w:p>
            <w:pPr>
              <w:pStyle w:val="57"/>
              <w:bidi w:val="0"/>
              <w:rPr>
                <w:rFonts w:hint="eastAsia"/>
                <w:color w:val="auto"/>
                <w:highlight w:val="none"/>
              </w:rPr>
            </w:pPr>
            <w:r>
              <w:rPr>
                <w:rFonts w:hint="eastAsia"/>
                <w:color w:val="auto"/>
                <w:highlight w:val="none"/>
                <w:lang w:val="en-US" w:eastAsia="zh-CN"/>
              </w:rPr>
              <w:t>0.484</w:t>
            </w:r>
          </w:p>
        </w:tc>
        <w:tc>
          <w:tcPr>
            <w:tcW w:w="1172" w:type="dxa"/>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restart"/>
            <w:vAlign w:val="center"/>
          </w:tcPr>
          <w:p>
            <w:pPr>
              <w:pStyle w:val="57"/>
              <w:bidi w:val="0"/>
              <w:rPr>
                <w:rFonts w:hint="eastAsia" w:eastAsia="宋体"/>
                <w:color w:val="auto"/>
                <w:highlight w:val="none"/>
                <w:lang w:eastAsia="zh-CN"/>
              </w:rPr>
            </w:pPr>
            <w:r>
              <w:rPr>
                <w:rFonts w:hint="eastAsia"/>
                <w:color w:val="auto"/>
                <w:highlight w:val="none"/>
              </w:rPr>
              <w:t>废水</w:t>
            </w:r>
            <w:r>
              <w:rPr>
                <w:rFonts w:hint="eastAsia"/>
                <w:color w:val="auto"/>
                <w:highlight w:val="none"/>
                <w:lang w:eastAsia="zh-CN"/>
              </w:rPr>
              <w:t>（</w:t>
            </w:r>
            <w:r>
              <w:rPr>
                <w:rFonts w:hint="eastAsia"/>
                <w:color w:val="auto"/>
                <w:highlight w:val="none"/>
                <w:lang w:val="en-US" w:eastAsia="zh-CN"/>
              </w:rPr>
              <w:t>生活污水</w:t>
            </w:r>
            <w:r>
              <w:rPr>
                <w:rFonts w:hint="eastAsia"/>
                <w:color w:val="auto"/>
                <w:highlight w:val="none"/>
                <w:lang w:eastAsia="zh-CN"/>
              </w:rPr>
              <w:t>）</w:t>
            </w:r>
          </w:p>
        </w:tc>
        <w:tc>
          <w:tcPr>
            <w:tcW w:w="1484" w:type="dxa"/>
            <w:vAlign w:val="center"/>
          </w:tcPr>
          <w:p>
            <w:pPr>
              <w:pStyle w:val="57"/>
              <w:bidi w:val="0"/>
              <w:rPr>
                <w:rFonts w:hint="eastAsia"/>
                <w:color w:val="auto"/>
                <w:highlight w:val="none"/>
              </w:rPr>
            </w:pPr>
            <w:r>
              <w:rPr>
                <w:rFonts w:hint="eastAsia"/>
                <w:color w:val="auto"/>
                <w:highlight w:val="none"/>
              </w:rPr>
              <w:t>COD</w:t>
            </w:r>
          </w:p>
        </w:tc>
        <w:tc>
          <w:tcPr>
            <w:tcW w:w="1498"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0.1932</w:t>
            </w:r>
          </w:p>
        </w:tc>
        <w:tc>
          <w:tcPr>
            <w:tcW w:w="1172" w:type="dxa"/>
            <w:vAlign w:val="center"/>
          </w:tcPr>
          <w:p>
            <w:pPr>
              <w:pStyle w:val="57"/>
              <w:bidi w:val="0"/>
              <w:rPr>
                <w:color w:val="auto"/>
                <w:highlight w:val="none"/>
              </w:rPr>
            </w:pPr>
          </w:p>
        </w:tc>
        <w:tc>
          <w:tcPr>
            <w:tcW w:w="1888" w:type="dxa"/>
            <w:vAlign w:val="center"/>
          </w:tcPr>
          <w:p>
            <w:pPr>
              <w:pStyle w:val="57"/>
              <w:bidi w:val="0"/>
              <w:rPr>
                <w:color w:val="auto"/>
                <w:highlight w:val="none"/>
              </w:rPr>
            </w:pPr>
          </w:p>
        </w:tc>
        <w:tc>
          <w:tcPr>
            <w:tcW w:w="1411"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0.0420</w:t>
            </w:r>
          </w:p>
        </w:tc>
        <w:tc>
          <w:tcPr>
            <w:tcW w:w="1671" w:type="dxa"/>
            <w:vAlign w:val="center"/>
          </w:tcPr>
          <w:p>
            <w:pPr>
              <w:pStyle w:val="57"/>
              <w:bidi w:val="0"/>
              <w:rPr>
                <w:rFonts w:hint="eastAsia"/>
                <w:color w:val="auto"/>
                <w:highlight w:val="none"/>
              </w:rPr>
            </w:pPr>
          </w:p>
        </w:tc>
        <w:tc>
          <w:tcPr>
            <w:tcW w:w="1997"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0.2352</w:t>
            </w:r>
          </w:p>
        </w:tc>
        <w:tc>
          <w:tcPr>
            <w:tcW w:w="1172" w:type="dxa"/>
            <w:vAlign w:val="center"/>
          </w:tcPr>
          <w:p>
            <w:pPr>
              <w:pStyle w:val="57"/>
              <w:bidi w:val="0"/>
              <w:ind w:firstLine="0" w:firstLineChars="0"/>
              <w:rPr>
                <w:rFonts w:hint="eastAsia"/>
                <w:color w:val="auto"/>
                <w:highlight w:val="none"/>
              </w:rPr>
            </w:pPr>
            <w:r>
              <w:rPr>
                <w:rFonts w:hint="eastAsia"/>
                <w:color w:val="auto"/>
                <w:highlight w:val="none"/>
                <w:lang w:val="en-US" w:eastAsia="zh-CN"/>
              </w:rPr>
              <w:t>+0.0420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pPr>
              <w:pStyle w:val="57"/>
              <w:bidi w:val="0"/>
              <w:rPr>
                <w:color w:val="auto"/>
                <w:highlight w:val="none"/>
              </w:rPr>
            </w:pPr>
          </w:p>
        </w:tc>
        <w:tc>
          <w:tcPr>
            <w:tcW w:w="1484" w:type="dxa"/>
            <w:vAlign w:val="center"/>
          </w:tcPr>
          <w:p>
            <w:pPr>
              <w:pStyle w:val="57"/>
              <w:bidi w:val="0"/>
              <w:rPr>
                <w:color w:val="auto"/>
                <w:highlight w:val="none"/>
              </w:rPr>
            </w:pPr>
            <w:r>
              <w:rPr>
                <w:color w:val="auto"/>
                <w:highlight w:val="none"/>
              </w:rPr>
              <w:t>BOD</w:t>
            </w:r>
            <w:r>
              <w:rPr>
                <w:color w:val="auto"/>
                <w:highlight w:val="none"/>
                <w:vertAlign w:val="subscript"/>
              </w:rPr>
              <w:t>5</w:t>
            </w:r>
          </w:p>
        </w:tc>
        <w:tc>
          <w:tcPr>
            <w:tcW w:w="1498"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0.1546</w:t>
            </w:r>
          </w:p>
        </w:tc>
        <w:tc>
          <w:tcPr>
            <w:tcW w:w="1172" w:type="dxa"/>
            <w:vAlign w:val="center"/>
          </w:tcPr>
          <w:p>
            <w:pPr>
              <w:pStyle w:val="57"/>
              <w:bidi w:val="0"/>
              <w:rPr>
                <w:color w:val="auto"/>
                <w:highlight w:val="none"/>
              </w:rPr>
            </w:pPr>
          </w:p>
        </w:tc>
        <w:tc>
          <w:tcPr>
            <w:tcW w:w="1888" w:type="dxa"/>
            <w:vAlign w:val="center"/>
          </w:tcPr>
          <w:p>
            <w:pPr>
              <w:pStyle w:val="57"/>
              <w:bidi w:val="0"/>
              <w:rPr>
                <w:color w:val="auto"/>
                <w:highlight w:val="none"/>
              </w:rPr>
            </w:pPr>
          </w:p>
        </w:tc>
        <w:tc>
          <w:tcPr>
            <w:tcW w:w="1411" w:type="dxa"/>
            <w:noWrap/>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0.0336</w:t>
            </w:r>
          </w:p>
        </w:tc>
        <w:tc>
          <w:tcPr>
            <w:tcW w:w="1671" w:type="dxa"/>
            <w:vAlign w:val="center"/>
          </w:tcPr>
          <w:p>
            <w:pPr>
              <w:pStyle w:val="57"/>
              <w:bidi w:val="0"/>
              <w:rPr>
                <w:color w:val="auto"/>
                <w:highlight w:val="none"/>
              </w:rPr>
            </w:pPr>
          </w:p>
        </w:tc>
        <w:tc>
          <w:tcPr>
            <w:tcW w:w="1997"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0.1882</w:t>
            </w:r>
          </w:p>
        </w:tc>
        <w:tc>
          <w:tcPr>
            <w:tcW w:w="1172" w:type="dxa"/>
            <w:vAlign w:val="center"/>
          </w:tcPr>
          <w:p>
            <w:pPr>
              <w:pStyle w:val="57"/>
              <w:bidi w:val="0"/>
              <w:ind w:firstLine="0" w:firstLineChars="0"/>
              <w:rPr>
                <w:color w:val="auto"/>
                <w:highlight w:val="none"/>
              </w:rPr>
            </w:pPr>
            <w:r>
              <w:rPr>
                <w:rFonts w:hint="eastAsia"/>
                <w:color w:val="auto"/>
                <w:highlight w:val="none"/>
                <w:lang w:val="en-US" w:eastAsia="zh-CN"/>
              </w:rPr>
              <w:t>+0.0336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pPr>
              <w:pStyle w:val="57"/>
              <w:bidi w:val="0"/>
              <w:rPr>
                <w:color w:val="auto"/>
                <w:highlight w:val="none"/>
              </w:rPr>
            </w:pPr>
          </w:p>
        </w:tc>
        <w:tc>
          <w:tcPr>
            <w:tcW w:w="1484" w:type="dxa"/>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SS</w:t>
            </w:r>
          </w:p>
        </w:tc>
        <w:tc>
          <w:tcPr>
            <w:tcW w:w="1498"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0.1380</w:t>
            </w:r>
          </w:p>
        </w:tc>
        <w:tc>
          <w:tcPr>
            <w:tcW w:w="1172" w:type="dxa"/>
            <w:vAlign w:val="center"/>
          </w:tcPr>
          <w:p>
            <w:pPr>
              <w:pStyle w:val="57"/>
              <w:bidi w:val="0"/>
              <w:rPr>
                <w:color w:val="auto"/>
                <w:highlight w:val="none"/>
              </w:rPr>
            </w:pPr>
          </w:p>
        </w:tc>
        <w:tc>
          <w:tcPr>
            <w:tcW w:w="1888" w:type="dxa"/>
            <w:vAlign w:val="center"/>
          </w:tcPr>
          <w:p>
            <w:pPr>
              <w:pStyle w:val="57"/>
              <w:bidi w:val="0"/>
              <w:rPr>
                <w:color w:val="auto"/>
                <w:highlight w:val="none"/>
              </w:rPr>
            </w:pPr>
          </w:p>
        </w:tc>
        <w:tc>
          <w:tcPr>
            <w:tcW w:w="1411" w:type="dxa"/>
            <w:noWrap/>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0.0300</w:t>
            </w:r>
          </w:p>
        </w:tc>
        <w:tc>
          <w:tcPr>
            <w:tcW w:w="1671" w:type="dxa"/>
            <w:vAlign w:val="center"/>
          </w:tcPr>
          <w:p>
            <w:pPr>
              <w:pStyle w:val="57"/>
              <w:bidi w:val="0"/>
              <w:rPr>
                <w:rFonts w:hint="eastAsia"/>
                <w:color w:val="auto"/>
                <w:highlight w:val="none"/>
              </w:rPr>
            </w:pPr>
          </w:p>
        </w:tc>
        <w:tc>
          <w:tcPr>
            <w:tcW w:w="1997"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0.1680</w:t>
            </w:r>
          </w:p>
        </w:tc>
        <w:tc>
          <w:tcPr>
            <w:tcW w:w="1172" w:type="dxa"/>
            <w:vAlign w:val="center"/>
          </w:tcPr>
          <w:p>
            <w:pPr>
              <w:pStyle w:val="57"/>
              <w:bidi w:val="0"/>
              <w:ind w:firstLine="0" w:firstLineChars="0"/>
              <w:rPr>
                <w:rFonts w:hint="eastAsia"/>
                <w:color w:val="auto"/>
                <w:highlight w:val="none"/>
              </w:rPr>
            </w:pPr>
            <w:r>
              <w:rPr>
                <w:rFonts w:hint="eastAsia"/>
                <w:color w:val="auto"/>
                <w:highlight w:val="none"/>
                <w:lang w:val="en-US" w:eastAsia="zh-CN"/>
              </w:rPr>
              <w:t>+0.0300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pPr>
              <w:pStyle w:val="57"/>
              <w:bidi w:val="0"/>
              <w:rPr>
                <w:color w:val="auto"/>
                <w:highlight w:val="none"/>
              </w:rPr>
            </w:pPr>
          </w:p>
        </w:tc>
        <w:tc>
          <w:tcPr>
            <w:tcW w:w="1484" w:type="dxa"/>
            <w:vAlign w:val="center"/>
          </w:tcPr>
          <w:p>
            <w:pPr>
              <w:pStyle w:val="57"/>
              <w:bidi w:val="0"/>
              <w:rPr>
                <w:color w:val="auto"/>
                <w:highlight w:val="none"/>
              </w:rPr>
            </w:pPr>
            <w:r>
              <w:rPr>
                <w:rFonts w:hint="eastAsia"/>
                <w:color w:val="auto"/>
                <w:highlight w:val="none"/>
              </w:rPr>
              <w:t>氨氮</w:t>
            </w:r>
          </w:p>
        </w:tc>
        <w:tc>
          <w:tcPr>
            <w:tcW w:w="1498"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0.0166</w:t>
            </w:r>
          </w:p>
        </w:tc>
        <w:tc>
          <w:tcPr>
            <w:tcW w:w="1172" w:type="dxa"/>
            <w:vAlign w:val="center"/>
          </w:tcPr>
          <w:p>
            <w:pPr>
              <w:pStyle w:val="57"/>
              <w:bidi w:val="0"/>
              <w:rPr>
                <w:color w:val="auto"/>
                <w:highlight w:val="none"/>
              </w:rPr>
            </w:pPr>
          </w:p>
        </w:tc>
        <w:tc>
          <w:tcPr>
            <w:tcW w:w="1888" w:type="dxa"/>
            <w:vAlign w:val="center"/>
          </w:tcPr>
          <w:p>
            <w:pPr>
              <w:pStyle w:val="57"/>
              <w:bidi w:val="0"/>
              <w:rPr>
                <w:color w:val="auto"/>
                <w:highlight w:val="none"/>
              </w:rPr>
            </w:pPr>
          </w:p>
        </w:tc>
        <w:tc>
          <w:tcPr>
            <w:tcW w:w="1411" w:type="dxa"/>
            <w:noWrap/>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0.0036</w:t>
            </w:r>
          </w:p>
        </w:tc>
        <w:tc>
          <w:tcPr>
            <w:tcW w:w="1671" w:type="dxa"/>
            <w:vAlign w:val="center"/>
          </w:tcPr>
          <w:p>
            <w:pPr>
              <w:pStyle w:val="57"/>
              <w:bidi w:val="0"/>
              <w:rPr>
                <w:color w:val="auto"/>
                <w:highlight w:val="none"/>
              </w:rPr>
            </w:pPr>
          </w:p>
        </w:tc>
        <w:tc>
          <w:tcPr>
            <w:tcW w:w="1997"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0.0202</w:t>
            </w:r>
          </w:p>
        </w:tc>
        <w:tc>
          <w:tcPr>
            <w:tcW w:w="1172" w:type="dxa"/>
            <w:vAlign w:val="center"/>
          </w:tcPr>
          <w:p>
            <w:pPr>
              <w:pStyle w:val="57"/>
              <w:bidi w:val="0"/>
              <w:ind w:firstLine="0" w:firstLineChars="0"/>
              <w:rPr>
                <w:color w:val="auto"/>
                <w:highlight w:val="none"/>
              </w:rPr>
            </w:pPr>
            <w:r>
              <w:rPr>
                <w:rFonts w:hint="eastAsia"/>
                <w:color w:val="auto"/>
                <w:highlight w:val="none"/>
                <w:lang w:val="en-US" w:eastAsia="zh-CN"/>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restart"/>
            <w:vAlign w:val="center"/>
          </w:tcPr>
          <w:p>
            <w:pPr>
              <w:pStyle w:val="57"/>
              <w:bidi w:val="0"/>
              <w:rPr>
                <w:color w:val="auto"/>
                <w:highlight w:val="none"/>
              </w:rPr>
            </w:pPr>
            <w:r>
              <w:rPr>
                <w:rFonts w:hint="eastAsia"/>
                <w:color w:val="auto"/>
                <w:highlight w:val="none"/>
              </w:rPr>
              <w:t>一般工业固体废物</w:t>
            </w:r>
          </w:p>
        </w:tc>
        <w:tc>
          <w:tcPr>
            <w:tcW w:w="1484"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旋风收尘</w:t>
            </w:r>
          </w:p>
        </w:tc>
        <w:tc>
          <w:tcPr>
            <w:tcW w:w="1498" w:type="dxa"/>
            <w:vAlign w:val="center"/>
          </w:tcPr>
          <w:p>
            <w:pPr>
              <w:pStyle w:val="57"/>
              <w:bidi w:val="0"/>
              <w:rPr>
                <w:rFonts w:hint="eastAsia" w:eastAsia="宋体"/>
                <w:color w:val="auto"/>
                <w:highlight w:val="none"/>
                <w:lang w:val="en-US" w:eastAsia="zh-CN"/>
              </w:rPr>
            </w:pPr>
          </w:p>
        </w:tc>
        <w:tc>
          <w:tcPr>
            <w:tcW w:w="1172" w:type="dxa"/>
            <w:vAlign w:val="center"/>
          </w:tcPr>
          <w:p>
            <w:pPr>
              <w:pStyle w:val="57"/>
              <w:bidi w:val="0"/>
              <w:rPr>
                <w:color w:val="auto"/>
                <w:highlight w:val="none"/>
              </w:rPr>
            </w:pPr>
          </w:p>
        </w:tc>
        <w:tc>
          <w:tcPr>
            <w:tcW w:w="1888" w:type="dxa"/>
            <w:vAlign w:val="center"/>
          </w:tcPr>
          <w:p>
            <w:pPr>
              <w:pStyle w:val="57"/>
              <w:bidi w:val="0"/>
              <w:rPr>
                <w:color w:val="auto"/>
                <w:highlight w:val="none"/>
              </w:rPr>
            </w:pPr>
          </w:p>
        </w:tc>
        <w:tc>
          <w:tcPr>
            <w:tcW w:w="1411" w:type="dxa"/>
            <w:vAlign w:val="center"/>
          </w:tcPr>
          <w:p>
            <w:pPr>
              <w:pStyle w:val="57"/>
              <w:bidi w:val="0"/>
              <w:rPr>
                <w:color w:val="auto"/>
                <w:highlight w:val="none"/>
              </w:rPr>
            </w:pPr>
            <w:r>
              <w:rPr>
                <w:rFonts w:hint="eastAsia"/>
                <w:color w:val="auto"/>
                <w:highlight w:val="none"/>
                <w:lang w:val="en-US" w:eastAsia="zh-CN"/>
              </w:rPr>
              <w:t>0</w:t>
            </w:r>
          </w:p>
        </w:tc>
        <w:tc>
          <w:tcPr>
            <w:tcW w:w="1671" w:type="dxa"/>
            <w:vAlign w:val="center"/>
          </w:tcPr>
          <w:p>
            <w:pPr>
              <w:pStyle w:val="57"/>
              <w:bidi w:val="0"/>
              <w:rPr>
                <w:color w:val="auto"/>
                <w:highlight w:val="none"/>
              </w:rPr>
            </w:pPr>
          </w:p>
        </w:tc>
        <w:tc>
          <w:tcPr>
            <w:tcW w:w="1997" w:type="dxa"/>
            <w:vAlign w:val="center"/>
          </w:tcPr>
          <w:p>
            <w:pPr>
              <w:pStyle w:val="57"/>
              <w:bidi w:val="0"/>
              <w:rPr>
                <w:color w:val="auto"/>
                <w:highlight w:val="none"/>
              </w:rPr>
            </w:pPr>
            <w:r>
              <w:rPr>
                <w:rFonts w:hint="eastAsia"/>
                <w:color w:val="auto"/>
                <w:highlight w:val="none"/>
                <w:lang w:val="en-US" w:eastAsia="zh-CN"/>
              </w:rPr>
              <w:t>0</w:t>
            </w:r>
          </w:p>
        </w:tc>
        <w:tc>
          <w:tcPr>
            <w:tcW w:w="1172" w:type="dxa"/>
            <w:vAlign w:val="center"/>
          </w:tcPr>
          <w:p>
            <w:pPr>
              <w:pStyle w:val="57"/>
              <w:bidi w:val="0"/>
              <w:rPr>
                <w:color w:val="auto"/>
                <w:highlight w:val="none"/>
              </w:rPr>
            </w:pP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pPr>
              <w:pStyle w:val="57"/>
              <w:bidi w:val="0"/>
              <w:rPr>
                <w:color w:val="auto"/>
                <w:highlight w:val="none"/>
              </w:rPr>
            </w:pPr>
          </w:p>
        </w:tc>
        <w:tc>
          <w:tcPr>
            <w:tcW w:w="1484"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布袋收尘</w:t>
            </w:r>
          </w:p>
        </w:tc>
        <w:tc>
          <w:tcPr>
            <w:tcW w:w="1498" w:type="dxa"/>
            <w:vAlign w:val="center"/>
          </w:tcPr>
          <w:p>
            <w:pPr>
              <w:pStyle w:val="57"/>
              <w:bidi w:val="0"/>
              <w:rPr>
                <w:rFonts w:hint="eastAsia" w:eastAsia="宋体"/>
                <w:color w:val="auto"/>
                <w:highlight w:val="none"/>
                <w:lang w:val="en-US" w:eastAsia="zh-CN"/>
              </w:rPr>
            </w:pPr>
          </w:p>
        </w:tc>
        <w:tc>
          <w:tcPr>
            <w:tcW w:w="1172" w:type="dxa"/>
            <w:vAlign w:val="center"/>
          </w:tcPr>
          <w:p>
            <w:pPr>
              <w:pStyle w:val="57"/>
              <w:bidi w:val="0"/>
              <w:rPr>
                <w:color w:val="auto"/>
                <w:highlight w:val="none"/>
              </w:rPr>
            </w:pPr>
          </w:p>
        </w:tc>
        <w:tc>
          <w:tcPr>
            <w:tcW w:w="1888" w:type="dxa"/>
            <w:vAlign w:val="center"/>
          </w:tcPr>
          <w:p>
            <w:pPr>
              <w:pStyle w:val="57"/>
              <w:bidi w:val="0"/>
              <w:rPr>
                <w:color w:val="auto"/>
                <w:highlight w:val="none"/>
              </w:rPr>
            </w:pPr>
          </w:p>
        </w:tc>
        <w:tc>
          <w:tcPr>
            <w:tcW w:w="1411" w:type="dxa"/>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0</w:t>
            </w:r>
          </w:p>
        </w:tc>
        <w:tc>
          <w:tcPr>
            <w:tcW w:w="1671" w:type="dxa"/>
            <w:vAlign w:val="center"/>
          </w:tcPr>
          <w:p>
            <w:pPr>
              <w:pStyle w:val="57"/>
              <w:bidi w:val="0"/>
              <w:rPr>
                <w:color w:val="auto"/>
                <w:highlight w:val="none"/>
              </w:rPr>
            </w:pPr>
          </w:p>
        </w:tc>
        <w:tc>
          <w:tcPr>
            <w:tcW w:w="1997" w:type="dxa"/>
            <w:vAlign w:val="center"/>
          </w:tcPr>
          <w:p>
            <w:pPr>
              <w:pStyle w:val="57"/>
              <w:bidi w:val="0"/>
              <w:rPr>
                <w:color w:val="auto"/>
                <w:highlight w:val="none"/>
              </w:rPr>
            </w:pPr>
            <w:r>
              <w:rPr>
                <w:rFonts w:hint="eastAsia"/>
                <w:color w:val="auto"/>
                <w:highlight w:val="none"/>
                <w:lang w:val="en-US" w:eastAsia="zh-CN"/>
              </w:rPr>
              <w:t>0</w:t>
            </w:r>
          </w:p>
        </w:tc>
        <w:tc>
          <w:tcPr>
            <w:tcW w:w="1172" w:type="dxa"/>
            <w:vAlign w:val="center"/>
          </w:tcPr>
          <w:p>
            <w:pPr>
              <w:pStyle w:val="57"/>
              <w:bidi w:val="0"/>
              <w:rPr>
                <w:color w:val="auto"/>
                <w:highlight w:val="none"/>
              </w:rPr>
            </w:pP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pPr>
              <w:pStyle w:val="57"/>
              <w:bidi w:val="0"/>
              <w:rPr>
                <w:color w:val="auto"/>
                <w:highlight w:val="none"/>
              </w:rPr>
            </w:pPr>
          </w:p>
        </w:tc>
        <w:tc>
          <w:tcPr>
            <w:tcW w:w="1484"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其他工序收尘</w:t>
            </w:r>
          </w:p>
        </w:tc>
        <w:tc>
          <w:tcPr>
            <w:tcW w:w="1498" w:type="dxa"/>
            <w:vAlign w:val="center"/>
          </w:tcPr>
          <w:p>
            <w:pPr>
              <w:pStyle w:val="57"/>
              <w:bidi w:val="0"/>
              <w:rPr>
                <w:rFonts w:hint="eastAsia" w:eastAsia="宋体"/>
                <w:color w:val="auto"/>
                <w:highlight w:val="none"/>
                <w:lang w:val="en-US" w:eastAsia="zh-CN"/>
              </w:rPr>
            </w:pPr>
          </w:p>
        </w:tc>
        <w:tc>
          <w:tcPr>
            <w:tcW w:w="1172" w:type="dxa"/>
            <w:vAlign w:val="center"/>
          </w:tcPr>
          <w:p>
            <w:pPr>
              <w:pStyle w:val="57"/>
              <w:bidi w:val="0"/>
              <w:rPr>
                <w:color w:val="auto"/>
                <w:highlight w:val="none"/>
              </w:rPr>
            </w:pPr>
          </w:p>
        </w:tc>
        <w:tc>
          <w:tcPr>
            <w:tcW w:w="1888" w:type="dxa"/>
            <w:vAlign w:val="center"/>
          </w:tcPr>
          <w:p>
            <w:pPr>
              <w:pStyle w:val="57"/>
              <w:bidi w:val="0"/>
              <w:rPr>
                <w:color w:val="auto"/>
                <w:highlight w:val="none"/>
              </w:rPr>
            </w:pPr>
          </w:p>
        </w:tc>
        <w:tc>
          <w:tcPr>
            <w:tcW w:w="1411" w:type="dxa"/>
            <w:vAlign w:val="center"/>
          </w:tcPr>
          <w:p>
            <w:pPr>
              <w:pStyle w:val="57"/>
              <w:bidi w:val="0"/>
              <w:rPr>
                <w:color w:val="auto"/>
                <w:highlight w:val="none"/>
              </w:rPr>
            </w:pPr>
          </w:p>
        </w:tc>
        <w:tc>
          <w:tcPr>
            <w:tcW w:w="1671" w:type="dxa"/>
            <w:vAlign w:val="center"/>
          </w:tcPr>
          <w:p>
            <w:pPr>
              <w:pStyle w:val="57"/>
              <w:bidi w:val="0"/>
              <w:rPr>
                <w:color w:val="auto"/>
                <w:highlight w:val="none"/>
              </w:rPr>
            </w:pPr>
          </w:p>
        </w:tc>
        <w:tc>
          <w:tcPr>
            <w:tcW w:w="1997" w:type="dxa"/>
            <w:vAlign w:val="center"/>
          </w:tcPr>
          <w:p>
            <w:pPr>
              <w:pStyle w:val="57"/>
              <w:bidi w:val="0"/>
              <w:rPr>
                <w:color w:val="auto"/>
                <w:highlight w:val="none"/>
              </w:rPr>
            </w:pPr>
            <w:r>
              <w:rPr>
                <w:rFonts w:hint="eastAsia"/>
                <w:color w:val="auto"/>
                <w:highlight w:val="none"/>
                <w:lang w:val="en-US" w:eastAsia="zh-CN"/>
              </w:rPr>
              <w:t>0</w:t>
            </w:r>
          </w:p>
        </w:tc>
        <w:tc>
          <w:tcPr>
            <w:tcW w:w="1172" w:type="dxa"/>
            <w:vAlign w:val="center"/>
          </w:tcPr>
          <w:p>
            <w:pPr>
              <w:pStyle w:val="57"/>
              <w:bidi w:val="0"/>
              <w:rPr>
                <w:color w:val="auto"/>
                <w:highlight w:val="none"/>
              </w:rPr>
            </w:pP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pPr>
              <w:pStyle w:val="57"/>
              <w:bidi w:val="0"/>
              <w:rPr>
                <w:color w:val="auto"/>
                <w:highlight w:val="none"/>
              </w:rPr>
            </w:pPr>
          </w:p>
        </w:tc>
        <w:tc>
          <w:tcPr>
            <w:tcW w:w="1484" w:type="dxa"/>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废布袋</w:t>
            </w:r>
          </w:p>
        </w:tc>
        <w:tc>
          <w:tcPr>
            <w:tcW w:w="1498"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0.88</w:t>
            </w:r>
          </w:p>
        </w:tc>
        <w:tc>
          <w:tcPr>
            <w:tcW w:w="1172" w:type="dxa"/>
            <w:vAlign w:val="center"/>
          </w:tcPr>
          <w:p>
            <w:pPr>
              <w:pStyle w:val="57"/>
              <w:bidi w:val="0"/>
              <w:rPr>
                <w:color w:val="auto"/>
                <w:highlight w:val="none"/>
              </w:rPr>
            </w:pPr>
          </w:p>
        </w:tc>
        <w:tc>
          <w:tcPr>
            <w:tcW w:w="1888" w:type="dxa"/>
            <w:vAlign w:val="center"/>
          </w:tcPr>
          <w:p>
            <w:pPr>
              <w:pStyle w:val="57"/>
              <w:bidi w:val="0"/>
              <w:rPr>
                <w:color w:val="auto"/>
                <w:highlight w:val="none"/>
              </w:rPr>
            </w:pPr>
          </w:p>
        </w:tc>
        <w:tc>
          <w:tcPr>
            <w:tcW w:w="1411"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0.04</w:t>
            </w:r>
          </w:p>
        </w:tc>
        <w:tc>
          <w:tcPr>
            <w:tcW w:w="1671" w:type="dxa"/>
            <w:vAlign w:val="center"/>
          </w:tcPr>
          <w:p>
            <w:pPr>
              <w:pStyle w:val="57"/>
              <w:bidi w:val="0"/>
              <w:rPr>
                <w:color w:val="auto"/>
                <w:highlight w:val="none"/>
              </w:rPr>
            </w:pPr>
          </w:p>
        </w:tc>
        <w:tc>
          <w:tcPr>
            <w:tcW w:w="1997"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0.92</w:t>
            </w:r>
          </w:p>
        </w:tc>
        <w:tc>
          <w:tcPr>
            <w:tcW w:w="1172"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pPr>
              <w:pStyle w:val="57"/>
              <w:bidi w:val="0"/>
              <w:rPr>
                <w:color w:val="auto"/>
                <w:highlight w:val="none"/>
              </w:rPr>
            </w:pPr>
          </w:p>
        </w:tc>
        <w:tc>
          <w:tcPr>
            <w:tcW w:w="1484" w:type="dxa"/>
            <w:vAlign w:val="center"/>
          </w:tcPr>
          <w:p>
            <w:pPr>
              <w:pStyle w:val="57"/>
              <w:bidi w:val="0"/>
              <w:rPr>
                <w:rFonts w:hint="eastAsia" w:eastAsia="宋体"/>
                <w:color w:val="auto"/>
                <w:highlight w:val="none"/>
                <w:lang w:val="en-US" w:eastAsia="zh-CN"/>
              </w:rPr>
            </w:pPr>
            <w:r>
              <w:rPr>
                <w:rFonts w:hint="eastAsia"/>
                <w:color w:val="auto"/>
                <w:highlight w:val="none"/>
                <w:lang w:val="en-US" w:eastAsia="zh-CN"/>
              </w:rPr>
              <w:t>生活垃圾</w:t>
            </w:r>
          </w:p>
        </w:tc>
        <w:tc>
          <w:tcPr>
            <w:tcW w:w="1498"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7.8</w:t>
            </w:r>
          </w:p>
        </w:tc>
        <w:tc>
          <w:tcPr>
            <w:tcW w:w="1172" w:type="dxa"/>
            <w:vAlign w:val="center"/>
          </w:tcPr>
          <w:p>
            <w:pPr>
              <w:pStyle w:val="57"/>
              <w:bidi w:val="0"/>
              <w:rPr>
                <w:color w:val="auto"/>
                <w:highlight w:val="none"/>
              </w:rPr>
            </w:pPr>
          </w:p>
        </w:tc>
        <w:tc>
          <w:tcPr>
            <w:tcW w:w="1888" w:type="dxa"/>
            <w:vAlign w:val="center"/>
          </w:tcPr>
          <w:p>
            <w:pPr>
              <w:pStyle w:val="57"/>
              <w:bidi w:val="0"/>
              <w:rPr>
                <w:color w:val="auto"/>
                <w:highlight w:val="none"/>
              </w:rPr>
            </w:pPr>
          </w:p>
        </w:tc>
        <w:tc>
          <w:tcPr>
            <w:tcW w:w="1411"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1.5</w:t>
            </w:r>
          </w:p>
        </w:tc>
        <w:tc>
          <w:tcPr>
            <w:tcW w:w="1671" w:type="dxa"/>
            <w:vAlign w:val="center"/>
          </w:tcPr>
          <w:p>
            <w:pPr>
              <w:pStyle w:val="57"/>
              <w:bidi w:val="0"/>
              <w:rPr>
                <w:color w:val="auto"/>
                <w:highlight w:val="none"/>
              </w:rPr>
            </w:pPr>
          </w:p>
        </w:tc>
        <w:tc>
          <w:tcPr>
            <w:tcW w:w="1997"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9.3</w:t>
            </w:r>
          </w:p>
        </w:tc>
        <w:tc>
          <w:tcPr>
            <w:tcW w:w="1172"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Align w:val="center"/>
          </w:tcPr>
          <w:p>
            <w:pPr>
              <w:pStyle w:val="57"/>
              <w:bidi w:val="0"/>
              <w:rPr>
                <w:color w:val="auto"/>
                <w:highlight w:val="none"/>
              </w:rPr>
            </w:pPr>
            <w:r>
              <w:rPr>
                <w:rFonts w:hint="eastAsia"/>
                <w:color w:val="auto"/>
                <w:highlight w:val="none"/>
              </w:rPr>
              <w:t>危险废物</w:t>
            </w:r>
          </w:p>
        </w:tc>
        <w:tc>
          <w:tcPr>
            <w:tcW w:w="1484"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废润滑油</w:t>
            </w:r>
          </w:p>
        </w:tc>
        <w:tc>
          <w:tcPr>
            <w:tcW w:w="1498"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0.1</w:t>
            </w:r>
          </w:p>
        </w:tc>
        <w:tc>
          <w:tcPr>
            <w:tcW w:w="1172" w:type="dxa"/>
            <w:vAlign w:val="center"/>
          </w:tcPr>
          <w:p>
            <w:pPr>
              <w:pStyle w:val="57"/>
              <w:bidi w:val="0"/>
              <w:rPr>
                <w:color w:val="auto"/>
                <w:highlight w:val="none"/>
              </w:rPr>
            </w:pPr>
          </w:p>
        </w:tc>
        <w:tc>
          <w:tcPr>
            <w:tcW w:w="1888" w:type="dxa"/>
            <w:vAlign w:val="center"/>
          </w:tcPr>
          <w:p>
            <w:pPr>
              <w:pStyle w:val="57"/>
              <w:bidi w:val="0"/>
              <w:rPr>
                <w:color w:val="auto"/>
                <w:highlight w:val="none"/>
              </w:rPr>
            </w:pPr>
          </w:p>
        </w:tc>
        <w:tc>
          <w:tcPr>
            <w:tcW w:w="1411"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0.1</w:t>
            </w:r>
          </w:p>
        </w:tc>
        <w:tc>
          <w:tcPr>
            <w:tcW w:w="1671" w:type="dxa"/>
            <w:vAlign w:val="center"/>
          </w:tcPr>
          <w:p>
            <w:pPr>
              <w:pStyle w:val="57"/>
              <w:bidi w:val="0"/>
              <w:rPr>
                <w:color w:val="auto"/>
                <w:highlight w:val="none"/>
              </w:rPr>
            </w:pPr>
          </w:p>
        </w:tc>
        <w:tc>
          <w:tcPr>
            <w:tcW w:w="1997"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0.2</w:t>
            </w:r>
          </w:p>
        </w:tc>
        <w:tc>
          <w:tcPr>
            <w:tcW w:w="1172" w:type="dxa"/>
            <w:vAlign w:val="center"/>
          </w:tcPr>
          <w:p>
            <w:pPr>
              <w:pStyle w:val="57"/>
              <w:bidi w:val="0"/>
              <w:rPr>
                <w:rFonts w:hint="default" w:eastAsia="宋体"/>
                <w:color w:val="auto"/>
                <w:highlight w:val="none"/>
                <w:lang w:val="en-US" w:eastAsia="zh-CN"/>
              </w:rPr>
            </w:pPr>
            <w:r>
              <w:rPr>
                <w:rFonts w:hint="eastAsia"/>
                <w:color w:val="auto"/>
                <w:highlight w:val="none"/>
                <w:lang w:val="en-US" w:eastAsia="zh-CN"/>
              </w:rPr>
              <w:t>+0.1</w:t>
            </w:r>
          </w:p>
        </w:tc>
      </w:tr>
    </w:tbl>
    <w:p>
      <w:pPr>
        <w:pStyle w:val="50"/>
        <w:rPr>
          <w:bCs w:val="0"/>
          <w:color w:val="auto"/>
          <w:highlight w:val="none"/>
          <w:lang w:bidi="zh-TW"/>
        </w:rPr>
      </w:pPr>
      <w:r>
        <w:rPr>
          <w:bCs w:val="0"/>
          <w:color w:val="auto"/>
          <w:highlight w:val="none"/>
          <w:lang w:bidi="zh-TW"/>
        </w:rPr>
        <w:t>注：</w:t>
      </w:r>
      <w:r>
        <w:rPr>
          <w:bCs w:val="0"/>
          <w:color w:val="auto"/>
          <w:highlight w:val="none"/>
          <w:lang w:bidi="zh-TW"/>
        </w:rPr>
        <w:fldChar w:fldCharType="begin"/>
      </w:r>
      <w:r>
        <w:rPr>
          <w:bCs w:val="0"/>
          <w:color w:val="auto"/>
          <w:highlight w:val="none"/>
          <w:lang w:bidi="zh-TW"/>
        </w:rPr>
        <w:instrText xml:space="preserve"> = 6 \* GB3 \* MERGEFORMAT </w:instrText>
      </w:r>
      <w:r>
        <w:rPr>
          <w:bCs w:val="0"/>
          <w:color w:val="auto"/>
          <w:highlight w:val="none"/>
          <w:lang w:bidi="zh-TW"/>
        </w:rPr>
        <w:fldChar w:fldCharType="separate"/>
      </w:r>
      <w:r>
        <w:rPr>
          <w:rFonts w:hint="eastAsia"/>
          <w:bCs w:val="0"/>
          <w:color w:val="auto"/>
          <w:highlight w:val="none"/>
          <w:lang w:bidi="zh-TW"/>
        </w:rPr>
        <w:t>⑥</w:t>
      </w:r>
      <w:r>
        <w:rPr>
          <w:bCs w:val="0"/>
          <w:color w:val="auto"/>
          <w:highlight w:val="none"/>
          <w:lang w:bidi="zh-TW"/>
        </w:rPr>
        <w:fldChar w:fldCharType="end"/>
      </w:r>
      <w:r>
        <w:rPr>
          <w:bCs w:val="0"/>
          <w:color w:val="auto"/>
          <w:highlight w:val="none"/>
          <w:lang w:bidi="zh-TW"/>
        </w:rPr>
        <w:t>=</w:t>
      </w:r>
      <w:r>
        <w:rPr>
          <w:bCs w:val="0"/>
          <w:color w:val="auto"/>
          <w:highlight w:val="none"/>
          <w:lang w:bidi="zh-TW"/>
        </w:rPr>
        <w:fldChar w:fldCharType="begin"/>
      </w:r>
      <w:r>
        <w:rPr>
          <w:bCs w:val="0"/>
          <w:color w:val="auto"/>
          <w:highlight w:val="none"/>
          <w:lang w:bidi="zh-TW"/>
        </w:rPr>
        <w:instrText xml:space="preserve"> = 1 \* GB3 \* MERGEFORMAT </w:instrText>
      </w:r>
      <w:r>
        <w:rPr>
          <w:bCs w:val="0"/>
          <w:color w:val="auto"/>
          <w:highlight w:val="none"/>
          <w:lang w:bidi="zh-TW"/>
        </w:rPr>
        <w:fldChar w:fldCharType="separate"/>
      </w:r>
      <w:r>
        <w:rPr>
          <w:rFonts w:hint="eastAsia"/>
          <w:bCs w:val="0"/>
          <w:color w:val="auto"/>
          <w:highlight w:val="none"/>
          <w:lang w:bidi="zh-TW"/>
        </w:rPr>
        <w:t>①</w:t>
      </w:r>
      <w:r>
        <w:rPr>
          <w:bCs w:val="0"/>
          <w:color w:val="auto"/>
          <w:highlight w:val="none"/>
          <w:lang w:bidi="zh-TW"/>
        </w:rPr>
        <w:fldChar w:fldCharType="end"/>
      </w:r>
      <w:r>
        <w:rPr>
          <w:bCs w:val="0"/>
          <w:color w:val="auto"/>
          <w:highlight w:val="none"/>
          <w:lang w:bidi="zh-TW"/>
        </w:rPr>
        <w:t>+</w:t>
      </w:r>
      <w:r>
        <w:rPr>
          <w:bCs w:val="0"/>
          <w:color w:val="auto"/>
          <w:highlight w:val="none"/>
          <w:lang w:bidi="zh-TW"/>
        </w:rPr>
        <w:fldChar w:fldCharType="begin"/>
      </w:r>
      <w:r>
        <w:rPr>
          <w:bCs w:val="0"/>
          <w:color w:val="auto"/>
          <w:highlight w:val="none"/>
          <w:lang w:bidi="zh-TW"/>
        </w:rPr>
        <w:instrText xml:space="preserve"> = 3 \* GB3 \* MERGEFORMAT </w:instrText>
      </w:r>
      <w:r>
        <w:rPr>
          <w:bCs w:val="0"/>
          <w:color w:val="auto"/>
          <w:highlight w:val="none"/>
          <w:lang w:bidi="zh-TW"/>
        </w:rPr>
        <w:fldChar w:fldCharType="separate"/>
      </w:r>
      <w:r>
        <w:rPr>
          <w:rFonts w:hint="eastAsia"/>
          <w:bCs w:val="0"/>
          <w:color w:val="auto"/>
          <w:highlight w:val="none"/>
          <w:lang w:bidi="zh-TW"/>
        </w:rPr>
        <w:t>③</w:t>
      </w:r>
      <w:r>
        <w:rPr>
          <w:bCs w:val="0"/>
          <w:color w:val="auto"/>
          <w:highlight w:val="none"/>
          <w:lang w:bidi="zh-TW"/>
        </w:rPr>
        <w:fldChar w:fldCharType="end"/>
      </w:r>
      <w:r>
        <w:rPr>
          <w:bCs w:val="0"/>
          <w:color w:val="auto"/>
          <w:highlight w:val="none"/>
          <w:lang w:bidi="zh-TW"/>
        </w:rPr>
        <w:t>+</w:t>
      </w:r>
      <w:r>
        <w:rPr>
          <w:bCs w:val="0"/>
          <w:color w:val="auto"/>
          <w:highlight w:val="none"/>
          <w:lang w:bidi="zh-TW"/>
        </w:rPr>
        <w:fldChar w:fldCharType="begin"/>
      </w:r>
      <w:r>
        <w:rPr>
          <w:bCs w:val="0"/>
          <w:color w:val="auto"/>
          <w:highlight w:val="none"/>
          <w:lang w:bidi="zh-TW"/>
        </w:rPr>
        <w:instrText xml:space="preserve"> = 4 \* GB3 \* MERGEFORMAT </w:instrText>
      </w:r>
      <w:r>
        <w:rPr>
          <w:bCs w:val="0"/>
          <w:color w:val="auto"/>
          <w:highlight w:val="none"/>
          <w:lang w:bidi="zh-TW"/>
        </w:rPr>
        <w:fldChar w:fldCharType="separate"/>
      </w:r>
      <w:r>
        <w:rPr>
          <w:rFonts w:hint="eastAsia"/>
          <w:bCs w:val="0"/>
          <w:color w:val="auto"/>
          <w:highlight w:val="none"/>
          <w:lang w:bidi="zh-TW"/>
        </w:rPr>
        <w:t>④</w:t>
      </w:r>
      <w:r>
        <w:rPr>
          <w:bCs w:val="0"/>
          <w:color w:val="auto"/>
          <w:highlight w:val="none"/>
          <w:lang w:bidi="zh-TW"/>
        </w:rPr>
        <w:fldChar w:fldCharType="end"/>
      </w:r>
      <w:r>
        <w:rPr>
          <w:bCs w:val="0"/>
          <w:color w:val="auto"/>
          <w:highlight w:val="none"/>
          <w:lang w:bidi="zh-TW"/>
        </w:rPr>
        <w:t>-</w:t>
      </w:r>
      <w:r>
        <w:rPr>
          <w:bCs w:val="0"/>
          <w:color w:val="auto"/>
          <w:highlight w:val="none"/>
          <w:lang w:bidi="zh-TW"/>
        </w:rPr>
        <w:fldChar w:fldCharType="begin"/>
      </w:r>
      <w:r>
        <w:rPr>
          <w:bCs w:val="0"/>
          <w:color w:val="auto"/>
          <w:highlight w:val="none"/>
          <w:lang w:bidi="zh-TW"/>
        </w:rPr>
        <w:instrText xml:space="preserve"> = 5 \* GB3 \* MERGEFORMAT </w:instrText>
      </w:r>
      <w:r>
        <w:rPr>
          <w:bCs w:val="0"/>
          <w:color w:val="auto"/>
          <w:highlight w:val="none"/>
          <w:lang w:bidi="zh-TW"/>
        </w:rPr>
        <w:fldChar w:fldCharType="separate"/>
      </w:r>
      <w:r>
        <w:rPr>
          <w:rFonts w:hint="eastAsia"/>
          <w:bCs w:val="0"/>
          <w:color w:val="auto"/>
          <w:highlight w:val="none"/>
          <w:lang w:bidi="zh-TW"/>
        </w:rPr>
        <w:t>⑤</w:t>
      </w:r>
      <w:r>
        <w:rPr>
          <w:bCs w:val="0"/>
          <w:color w:val="auto"/>
          <w:highlight w:val="none"/>
          <w:lang w:bidi="zh-TW"/>
        </w:rPr>
        <w:fldChar w:fldCharType="end"/>
      </w:r>
      <w:r>
        <w:rPr>
          <w:bCs w:val="0"/>
          <w:color w:val="auto"/>
          <w:highlight w:val="none"/>
          <w:lang w:bidi="zh-TW"/>
        </w:rPr>
        <w:t>；</w:t>
      </w:r>
      <w:r>
        <w:rPr>
          <w:bCs w:val="0"/>
          <w:color w:val="auto"/>
          <w:highlight w:val="none"/>
          <w:lang w:bidi="zh-TW"/>
        </w:rPr>
        <w:fldChar w:fldCharType="begin"/>
      </w:r>
      <w:r>
        <w:rPr>
          <w:bCs w:val="0"/>
          <w:color w:val="auto"/>
          <w:highlight w:val="none"/>
          <w:lang w:bidi="zh-TW"/>
        </w:rPr>
        <w:instrText xml:space="preserve"> = 7 \* GB3 \* MERGEFORMAT </w:instrText>
      </w:r>
      <w:r>
        <w:rPr>
          <w:bCs w:val="0"/>
          <w:color w:val="auto"/>
          <w:highlight w:val="none"/>
          <w:lang w:bidi="zh-TW"/>
        </w:rPr>
        <w:fldChar w:fldCharType="separate"/>
      </w:r>
      <w:r>
        <w:rPr>
          <w:rFonts w:hint="eastAsia"/>
          <w:bCs w:val="0"/>
          <w:color w:val="auto"/>
          <w:highlight w:val="none"/>
          <w:lang w:bidi="zh-TW"/>
        </w:rPr>
        <w:t>⑦</w:t>
      </w:r>
      <w:r>
        <w:rPr>
          <w:bCs w:val="0"/>
          <w:color w:val="auto"/>
          <w:highlight w:val="none"/>
          <w:lang w:bidi="zh-TW"/>
        </w:rPr>
        <w:fldChar w:fldCharType="end"/>
      </w:r>
      <w:r>
        <w:rPr>
          <w:bCs w:val="0"/>
          <w:color w:val="auto"/>
          <w:highlight w:val="none"/>
          <w:lang w:bidi="zh-TW"/>
        </w:rPr>
        <w:t>=</w:t>
      </w:r>
      <w:r>
        <w:rPr>
          <w:bCs w:val="0"/>
          <w:color w:val="auto"/>
          <w:highlight w:val="none"/>
          <w:lang w:bidi="zh-TW"/>
        </w:rPr>
        <w:fldChar w:fldCharType="begin"/>
      </w:r>
      <w:r>
        <w:rPr>
          <w:bCs w:val="0"/>
          <w:color w:val="auto"/>
          <w:highlight w:val="none"/>
          <w:lang w:bidi="zh-TW"/>
        </w:rPr>
        <w:instrText xml:space="preserve"> = 6 \* GB3 \* MERGEFORMAT </w:instrText>
      </w:r>
      <w:r>
        <w:rPr>
          <w:bCs w:val="0"/>
          <w:color w:val="auto"/>
          <w:highlight w:val="none"/>
          <w:lang w:bidi="zh-TW"/>
        </w:rPr>
        <w:fldChar w:fldCharType="separate"/>
      </w:r>
      <w:r>
        <w:rPr>
          <w:rFonts w:hint="eastAsia"/>
          <w:bCs w:val="0"/>
          <w:color w:val="auto"/>
          <w:highlight w:val="none"/>
          <w:lang w:bidi="zh-TW"/>
        </w:rPr>
        <w:t>⑥</w:t>
      </w:r>
      <w:r>
        <w:rPr>
          <w:bCs w:val="0"/>
          <w:color w:val="auto"/>
          <w:highlight w:val="none"/>
          <w:lang w:bidi="zh-TW"/>
        </w:rPr>
        <w:fldChar w:fldCharType="end"/>
      </w:r>
      <w:r>
        <w:rPr>
          <w:bCs w:val="0"/>
          <w:color w:val="auto"/>
          <w:highlight w:val="none"/>
          <w:lang w:bidi="zh-TW"/>
        </w:rPr>
        <w:t>-</w:t>
      </w:r>
      <w:r>
        <w:rPr>
          <w:bCs w:val="0"/>
          <w:color w:val="auto"/>
          <w:highlight w:val="none"/>
          <w:lang w:bidi="zh-TW"/>
        </w:rPr>
        <w:fldChar w:fldCharType="begin"/>
      </w:r>
      <w:r>
        <w:rPr>
          <w:bCs w:val="0"/>
          <w:color w:val="auto"/>
          <w:highlight w:val="none"/>
          <w:lang w:bidi="zh-TW"/>
        </w:rPr>
        <w:instrText xml:space="preserve"> = 1 \* GB3 \* MERGEFORMAT </w:instrText>
      </w:r>
      <w:r>
        <w:rPr>
          <w:bCs w:val="0"/>
          <w:color w:val="auto"/>
          <w:highlight w:val="none"/>
          <w:lang w:bidi="zh-TW"/>
        </w:rPr>
        <w:fldChar w:fldCharType="separate"/>
      </w:r>
      <w:r>
        <w:rPr>
          <w:rFonts w:hint="eastAsia"/>
          <w:bCs w:val="0"/>
          <w:color w:val="auto"/>
          <w:highlight w:val="none"/>
          <w:lang w:bidi="zh-TW"/>
        </w:rPr>
        <w:t>①</w:t>
      </w:r>
      <w:r>
        <w:rPr>
          <w:bCs w:val="0"/>
          <w:color w:val="auto"/>
          <w:highlight w:val="none"/>
          <w:lang w:bidi="zh-TW"/>
        </w:rPr>
        <w:fldChar w:fldCharType="end"/>
      </w:r>
    </w:p>
    <w:p>
      <w:pPr>
        <w:pStyle w:val="50"/>
        <w:rPr>
          <w:rFonts w:hint="default" w:eastAsia="宋体"/>
          <w:bCs w:val="0"/>
          <w:color w:val="auto"/>
          <w:highlight w:val="none"/>
          <w:lang w:val="en-US" w:eastAsia="zh-CN" w:bidi="zh-TW"/>
        </w:rPr>
      </w:pPr>
      <w:r>
        <w:rPr>
          <w:rFonts w:hint="eastAsia"/>
          <w:bCs w:val="0"/>
          <w:color w:val="auto"/>
          <w:highlight w:val="none"/>
          <w:lang w:val="en-US" w:eastAsia="zh-CN" w:bidi="zh-TW"/>
        </w:rPr>
        <w:t>除尘器收尘均作为对应工序原料回用，不外排。</w:t>
      </w:r>
    </w:p>
    <w:sectPr>
      <w:footerReference r:id="rId13" w:type="default"/>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0" w:leftChars="0" w:right="0" w:rightChars="0" w:firstLine="0" w:firstLineChars="0"/>
      <w:jc w:val="center"/>
    </w:pPr>
    <w:r>
      <w:rPr>
        <w:sz w:val="18"/>
      </w:rPr>
      <w:pict>
        <v:shape id="_x0000_s3094" o:spid="_x0000_s309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w:rPr>
        <w:sz w:val="18"/>
      </w:rPr>
      <w:pict>
        <v:shape id="_x0000_s3095" o:spid="_x0000_s309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48</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single" w:color="auto" w:sz="4" w:space="1"/>
        <w:right w:val="none" w:color="auto" w:sz="0" w:space="4"/>
        <w:between w:val="none" w:color="auto" w:sz="0" w:space="0"/>
      </w:pBdr>
      <w:bidi w:val="0"/>
      <w:adjustRightInd w:val="0"/>
      <w:snapToGrid w:val="0"/>
      <w:spacing w:line="240" w:lineRule="auto"/>
      <w:ind w:firstLine="0" w:firstLineChars="0"/>
      <w:jc w:val="center"/>
      <w:rPr>
        <w:rFonts w:hint="default" w:eastAsia="宋体"/>
        <w:lang w:val="en-US" w:eastAsia="zh-CN"/>
      </w:rPr>
    </w:pPr>
    <w:r>
      <w:rPr>
        <w:rFonts w:hint="eastAsia"/>
        <w:lang w:val="en-US" w:eastAsia="zh-CN"/>
      </w:rPr>
      <w:t>巴州敏宇环保科技有限公司固废综合利用年产12万吨钙基产品建设项目（一期）环境影响报告表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ODU4YjcyNmZiYzgzMjhiOGJkMmRlNTA2MTMzZTQ3ZDMifQ=="/>
  </w:docVars>
  <w:rsids>
    <w:rsidRoot w:val="534E0934"/>
    <w:rsid w:val="00000733"/>
    <w:rsid w:val="000043FF"/>
    <w:rsid w:val="000046E7"/>
    <w:rsid w:val="000100C1"/>
    <w:rsid w:val="000116BC"/>
    <w:rsid w:val="0001363F"/>
    <w:rsid w:val="00013DF2"/>
    <w:rsid w:val="0001623F"/>
    <w:rsid w:val="000211BA"/>
    <w:rsid w:val="00021C73"/>
    <w:rsid w:val="00022686"/>
    <w:rsid w:val="00022D32"/>
    <w:rsid w:val="00025D65"/>
    <w:rsid w:val="000260F5"/>
    <w:rsid w:val="000309EE"/>
    <w:rsid w:val="00030B70"/>
    <w:rsid w:val="0003306E"/>
    <w:rsid w:val="00034E90"/>
    <w:rsid w:val="00040737"/>
    <w:rsid w:val="00041025"/>
    <w:rsid w:val="00041132"/>
    <w:rsid w:val="00044164"/>
    <w:rsid w:val="00045512"/>
    <w:rsid w:val="0004607E"/>
    <w:rsid w:val="00047CC4"/>
    <w:rsid w:val="00050791"/>
    <w:rsid w:val="00050C5E"/>
    <w:rsid w:val="00053253"/>
    <w:rsid w:val="00055898"/>
    <w:rsid w:val="00055F3F"/>
    <w:rsid w:val="00055FE0"/>
    <w:rsid w:val="000601E1"/>
    <w:rsid w:val="0006473F"/>
    <w:rsid w:val="00066EE8"/>
    <w:rsid w:val="00067B80"/>
    <w:rsid w:val="0008094E"/>
    <w:rsid w:val="000824AB"/>
    <w:rsid w:val="0008614C"/>
    <w:rsid w:val="00086236"/>
    <w:rsid w:val="00086D58"/>
    <w:rsid w:val="00091DB0"/>
    <w:rsid w:val="00091F44"/>
    <w:rsid w:val="00094233"/>
    <w:rsid w:val="00096ED4"/>
    <w:rsid w:val="000A0361"/>
    <w:rsid w:val="000A095B"/>
    <w:rsid w:val="000A1179"/>
    <w:rsid w:val="000A29B1"/>
    <w:rsid w:val="000A617A"/>
    <w:rsid w:val="000B3807"/>
    <w:rsid w:val="000B4526"/>
    <w:rsid w:val="000B5235"/>
    <w:rsid w:val="000B6A94"/>
    <w:rsid w:val="000B7B69"/>
    <w:rsid w:val="000C6CA4"/>
    <w:rsid w:val="000C73E3"/>
    <w:rsid w:val="000D1CC2"/>
    <w:rsid w:val="000D329D"/>
    <w:rsid w:val="000D387F"/>
    <w:rsid w:val="000D3FAC"/>
    <w:rsid w:val="000D7DB8"/>
    <w:rsid w:val="000E1F5B"/>
    <w:rsid w:val="000E4701"/>
    <w:rsid w:val="000E4920"/>
    <w:rsid w:val="000E4A72"/>
    <w:rsid w:val="000E4AFE"/>
    <w:rsid w:val="000E5C3D"/>
    <w:rsid w:val="000E6BC8"/>
    <w:rsid w:val="000E7DAF"/>
    <w:rsid w:val="000E7F57"/>
    <w:rsid w:val="000F4338"/>
    <w:rsid w:val="000F44B1"/>
    <w:rsid w:val="000F51D7"/>
    <w:rsid w:val="000F6BF3"/>
    <w:rsid w:val="000F7489"/>
    <w:rsid w:val="000F7827"/>
    <w:rsid w:val="00101A67"/>
    <w:rsid w:val="0010314C"/>
    <w:rsid w:val="00103258"/>
    <w:rsid w:val="0010353A"/>
    <w:rsid w:val="00107C92"/>
    <w:rsid w:val="00111A5E"/>
    <w:rsid w:val="00111F55"/>
    <w:rsid w:val="00113570"/>
    <w:rsid w:val="00115416"/>
    <w:rsid w:val="001157CC"/>
    <w:rsid w:val="00117683"/>
    <w:rsid w:val="00123F56"/>
    <w:rsid w:val="00131AB7"/>
    <w:rsid w:val="001348B5"/>
    <w:rsid w:val="00136FFA"/>
    <w:rsid w:val="001405EE"/>
    <w:rsid w:val="00141BA0"/>
    <w:rsid w:val="00143455"/>
    <w:rsid w:val="00143B57"/>
    <w:rsid w:val="001449B3"/>
    <w:rsid w:val="00144A18"/>
    <w:rsid w:val="00144D70"/>
    <w:rsid w:val="001465CE"/>
    <w:rsid w:val="001467EA"/>
    <w:rsid w:val="00152491"/>
    <w:rsid w:val="00153955"/>
    <w:rsid w:val="00162171"/>
    <w:rsid w:val="00163BA2"/>
    <w:rsid w:val="00170EF3"/>
    <w:rsid w:val="0017292F"/>
    <w:rsid w:val="001779F2"/>
    <w:rsid w:val="0018159D"/>
    <w:rsid w:val="00181B83"/>
    <w:rsid w:val="0018243C"/>
    <w:rsid w:val="001832E5"/>
    <w:rsid w:val="00190BE0"/>
    <w:rsid w:val="00190EFC"/>
    <w:rsid w:val="00192F94"/>
    <w:rsid w:val="00193850"/>
    <w:rsid w:val="001A03BB"/>
    <w:rsid w:val="001A189A"/>
    <w:rsid w:val="001A33E4"/>
    <w:rsid w:val="001A3E83"/>
    <w:rsid w:val="001A40B4"/>
    <w:rsid w:val="001A61C3"/>
    <w:rsid w:val="001A7C46"/>
    <w:rsid w:val="001B01E8"/>
    <w:rsid w:val="001B1528"/>
    <w:rsid w:val="001B1BCE"/>
    <w:rsid w:val="001B256A"/>
    <w:rsid w:val="001B2B68"/>
    <w:rsid w:val="001B3C4A"/>
    <w:rsid w:val="001B4066"/>
    <w:rsid w:val="001B4904"/>
    <w:rsid w:val="001C1358"/>
    <w:rsid w:val="001C1EE6"/>
    <w:rsid w:val="001C228D"/>
    <w:rsid w:val="001C3241"/>
    <w:rsid w:val="001C4F35"/>
    <w:rsid w:val="001D1FE4"/>
    <w:rsid w:val="001D2286"/>
    <w:rsid w:val="001D249B"/>
    <w:rsid w:val="001D4F28"/>
    <w:rsid w:val="001D7702"/>
    <w:rsid w:val="001E063F"/>
    <w:rsid w:val="001E0F40"/>
    <w:rsid w:val="001E246F"/>
    <w:rsid w:val="001E3CB0"/>
    <w:rsid w:val="001E546E"/>
    <w:rsid w:val="001E7336"/>
    <w:rsid w:val="001F0689"/>
    <w:rsid w:val="001F1976"/>
    <w:rsid w:val="001F21DA"/>
    <w:rsid w:val="001F4F11"/>
    <w:rsid w:val="001F5666"/>
    <w:rsid w:val="001F590C"/>
    <w:rsid w:val="0021048C"/>
    <w:rsid w:val="002127B4"/>
    <w:rsid w:val="0021332E"/>
    <w:rsid w:val="00215646"/>
    <w:rsid w:val="0021652E"/>
    <w:rsid w:val="0021685B"/>
    <w:rsid w:val="0022405C"/>
    <w:rsid w:val="002256AB"/>
    <w:rsid w:val="00225B72"/>
    <w:rsid w:val="00241B2A"/>
    <w:rsid w:val="00242013"/>
    <w:rsid w:val="00244AF6"/>
    <w:rsid w:val="002453AF"/>
    <w:rsid w:val="00245412"/>
    <w:rsid w:val="00247BE7"/>
    <w:rsid w:val="00247E18"/>
    <w:rsid w:val="00250BEC"/>
    <w:rsid w:val="00250FA0"/>
    <w:rsid w:val="00252619"/>
    <w:rsid w:val="0025701F"/>
    <w:rsid w:val="0025733C"/>
    <w:rsid w:val="00260344"/>
    <w:rsid w:val="002629F5"/>
    <w:rsid w:val="00265198"/>
    <w:rsid w:val="0026521A"/>
    <w:rsid w:val="00266675"/>
    <w:rsid w:val="00267088"/>
    <w:rsid w:val="0026735F"/>
    <w:rsid w:val="00270B84"/>
    <w:rsid w:val="002737F0"/>
    <w:rsid w:val="002762C9"/>
    <w:rsid w:val="00276896"/>
    <w:rsid w:val="00277F23"/>
    <w:rsid w:val="002806AD"/>
    <w:rsid w:val="00280FD4"/>
    <w:rsid w:val="002812BB"/>
    <w:rsid w:val="00281C7D"/>
    <w:rsid w:val="002835B1"/>
    <w:rsid w:val="00283EF8"/>
    <w:rsid w:val="00283FBC"/>
    <w:rsid w:val="00286E00"/>
    <w:rsid w:val="0029267A"/>
    <w:rsid w:val="002931C3"/>
    <w:rsid w:val="0029469D"/>
    <w:rsid w:val="00296B05"/>
    <w:rsid w:val="00297454"/>
    <w:rsid w:val="002A2EC0"/>
    <w:rsid w:val="002A5907"/>
    <w:rsid w:val="002B0570"/>
    <w:rsid w:val="002B0C0F"/>
    <w:rsid w:val="002B109F"/>
    <w:rsid w:val="002B22D4"/>
    <w:rsid w:val="002C031C"/>
    <w:rsid w:val="002C1609"/>
    <w:rsid w:val="002C294A"/>
    <w:rsid w:val="002C6722"/>
    <w:rsid w:val="002C7B13"/>
    <w:rsid w:val="002D21D5"/>
    <w:rsid w:val="002E4FE0"/>
    <w:rsid w:val="002E54B0"/>
    <w:rsid w:val="002E68C3"/>
    <w:rsid w:val="002E6DE4"/>
    <w:rsid w:val="002E7B9A"/>
    <w:rsid w:val="002F4671"/>
    <w:rsid w:val="00304DFA"/>
    <w:rsid w:val="0030524A"/>
    <w:rsid w:val="003060DA"/>
    <w:rsid w:val="00306E21"/>
    <w:rsid w:val="003104FC"/>
    <w:rsid w:val="00314E61"/>
    <w:rsid w:val="0031611B"/>
    <w:rsid w:val="00321265"/>
    <w:rsid w:val="00322D7E"/>
    <w:rsid w:val="00323377"/>
    <w:rsid w:val="003238BD"/>
    <w:rsid w:val="00323B6B"/>
    <w:rsid w:val="00325DF4"/>
    <w:rsid w:val="00326AB0"/>
    <w:rsid w:val="00326DAA"/>
    <w:rsid w:val="00327E0A"/>
    <w:rsid w:val="00341873"/>
    <w:rsid w:val="00342A46"/>
    <w:rsid w:val="00345868"/>
    <w:rsid w:val="003459CB"/>
    <w:rsid w:val="00353916"/>
    <w:rsid w:val="003545AD"/>
    <w:rsid w:val="003562D7"/>
    <w:rsid w:val="00356397"/>
    <w:rsid w:val="00356CB1"/>
    <w:rsid w:val="00361104"/>
    <w:rsid w:val="00362B14"/>
    <w:rsid w:val="00365F8A"/>
    <w:rsid w:val="00370E8F"/>
    <w:rsid w:val="00375AD6"/>
    <w:rsid w:val="00375DE3"/>
    <w:rsid w:val="003807BB"/>
    <w:rsid w:val="003827C4"/>
    <w:rsid w:val="0038405F"/>
    <w:rsid w:val="00386CAC"/>
    <w:rsid w:val="00387AB6"/>
    <w:rsid w:val="00387E07"/>
    <w:rsid w:val="00390240"/>
    <w:rsid w:val="00393477"/>
    <w:rsid w:val="00396239"/>
    <w:rsid w:val="00397B83"/>
    <w:rsid w:val="003A2103"/>
    <w:rsid w:val="003A340C"/>
    <w:rsid w:val="003A3453"/>
    <w:rsid w:val="003A405C"/>
    <w:rsid w:val="003A4784"/>
    <w:rsid w:val="003A5856"/>
    <w:rsid w:val="003A6FE9"/>
    <w:rsid w:val="003B19EE"/>
    <w:rsid w:val="003B30BB"/>
    <w:rsid w:val="003B70DD"/>
    <w:rsid w:val="003B7FE9"/>
    <w:rsid w:val="003C2690"/>
    <w:rsid w:val="003C36DF"/>
    <w:rsid w:val="003D1F1B"/>
    <w:rsid w:val="003D553F"/>
    <w:rsid w:val="003E0AE7"/>
    <w:rsid w:val="003E1AA4"/>
    <w:rsid w:val="003E2106"/>
    <w:rsid w:val="003E2765"/>
    <w:rsid w:val="003E399B"/>
    <w:rsid w:val="003E641D"/>
    <w:rsid w:val="003E75D0"/>
    <w:rsid w:val="003E780E"/>
    <w:rsid w:val="003F0145"/>
    <w:rsid w:val="003F0EC6"/>
    <w:rsid w:val="003F1BBA"/>
    <w:rsid w:val="003F3F0E"/>
    <w:rsid w:val="003F4C98"/>
    <w:rsid w:val="00400445"/>
    <w:rsid w:val="004028AD"/>
    <w:rsid w:val="004055E0"/>
    <w:rsid w:val="00405CB3"/>
    <w:rsid w:val="0041543D"/>
    <w:rsid w:val="0041690E"/>
    <w:rsid w:val="00417364"/>
    <w:rsid w:val="00417971"/>
    <w:rsid w:val="00417C36"/>
    <w:rsid w:val="00420A69"/>
    <w:rsid w:val="00422D73"/>
    <w:rsid w:val="00422DA0"/>
    <w:rsid w:val="00423B60"/>
    <w:rsid w:val="00424F61"/>
    <w:rsid w:val="00426428"/>
    <w:rsid w:val="00427BE9"/>
    <w:rsid w:val="00431DB1"/>
    <w:rsid w:val="00432FE4"/>
    <w:rsid w:val="00433493"/>
    <w:rsid w:val="00434C6F"/>
    <w:rsid w:val="0044119F"/>
    <w:rsid w:val="004444DB"/>
    <w:rsid w:val="00446B17"/>
    <w:rsid w:val="00447FAD"/>
    <w:rsid w:val="004514B4"/>
    <w:rsid w:val="00451B58"/>
    <w:rsid w:val="00455F3B"/>
    <w:rsid w:val="00457D1B"/>
    <w:rsid w:val="00457D57"/>
    <w:rsid w:val="004613A6"/>
    <w:rsid w:val="0046375D"/>
    <w:rsid w:val="00466597"/>
    <w:rsid w:val="00466C6A"/>
    <w:rsid w:val="004746C5"/>
    <w:rsid w:val="00475A70"/>
    <w:rsid w:val="00480B5B"/>
    <w:rsid w:val="00480DF3"/>
    <w:rsid w:val="00481A96"/>
    <w:rsid w:val="00482938"/>
    <w:rsid w:val="00485C9C"/>
    <w:rsid w:val="00486371"/>
    <w:rsid w:val="004865F4"/>
    <w:rsid w:val="004913A3"/>
    <w:rsid w:val="00491685"/>
    <w:rsid w:val="004959A9"/>
    <w:rsid w:val="004969F6"/>
    <w:rsid w:val="004A0494"/>
    <w:rsid w:val="004A40FA"/>
    <w:rsid w:val="004B1B15"/>
    <w:rsid w:val="004B2B24"/>
    <w:rsid w:val="004B43F9"/>
    <w:rsid w:val="004B519D"/>
    <w:rsid w:val="004B682A"/>
    <w:rsid w:val="004B6F59"/>
    <w:rsid w:val="004B6F79"/>
    <w:rsid w:val="004B72ED"/>
    <w:rsid w:val="004C30C7"/>
    <w:rsid w:val="004C448A"/>
    <w:rsid w:val="004C4D44"/>
    <w:rsid w:val="004C66F4"/>
    <w:rsid w:val="004D2345"/>
    <w:rsid w:val="004D4CBF"/>
    <w:rsid w:val="004E189C"/>
    <w:rsid w:val="004E40B9"/>
    <w:rsid w:val="004E4FF5"/>
    <w:rsid w:val="004E57CF"/>
    <w:rsid w:val="004E6102"/>
    <w:rsid w:val="004F3E16"/>
    <w:rsid w:val="004F6026"/>
    <w:rsid w:val="004F616D"/>
    <w:rsid w:val="005002CD"/>
    <w:rsid w:val="00502F8E"/>
    <w:rsid w:val="005044E8"/>
    <w:rsid w:val="00507C1A"/>
    <w:rsid w:val="00512A5F"/>
    <w:rsid w:val="005149E2"/>
    <w:rsid w:val="00520BDD"/>
    <w:rsid w:val="0052467D"/>
    <w:rsid w:val="00524974"/>
    <w:rsid w:val="005318D3"/>
    <w:rsid w:val="00531A3A"/>
    <w:rsid w:val="00542EC0"/>
    <w:rsid w:val="00543DFE"/>
    <w:rsid w:val="00545777"/>
    <w:rsid w:val="00555C26"/>
    <w:rsid w:val="005562C0"/>
    <w:rsid w:val="0055688D"/>
    <w:rsid w:val="00561E4F"/>
    <w:rsid w:val="0056246B"/>
    <w:rsid w:val="00562715"/>
    <w:rsid w:val="00563056"/>
    <w:rsid w:val="00563543"/>
    <w:rsid w:val="00563B3B"/>
    <w:rsid w:val="005662D1"/>
    <w:rsid w:val="005662E0"/>
    <w:rsid w:val="00566E13"/>
    <w:rsid w:val="00571E5F"/>
    <w:rsid w:val="005737E9"/>
    <w:rsid w:val="00573817"/>
    <w:rsid w:val="00575EBC"/>
    <w:rsid w:val="00581436"/>
    <w:rsid w:val="00587572"/>
    <w:rsid w:val="00587CF7"/>
    <w:rsid w:val="0059222E"/>
    <w:rsid w:val="00593B1A"/>
    <w:rsid w:val="00595612"/>
    <w:rsid w:val="005A129B"/>
    <w:rsid w:val="005A2A53"/>
    <w:rsid w:val="005A35AC"/>
    <w:rsid w:val="005A6BDD"/>
    <w:rsid w:val="005A6D76"/>
    <w:rsid w:val="005A7213"/>
    <w:rsid w:val="005B499E"/>
    <w:rsid w:val="005B4F4A"/>
    <w:rsid w:val="005C206B"/>
    <w:rsid w:val="005C47C2"/>
    <w:rsid w:val="005C6BC1"/>
    <w:rsid w:val="005D00C7"/>
    <w:rsid w:val="005D27B8"/>
    <w:rsid w:val="005D49FF"/>
    <w:rsid w:val="005D59F2"/>
    <w:rsid w:val="005D5B24"/>
    <w:rsid w:val="005D5D1C"/>
    <w:rsid w:val="005D6E45"/>
    <w:rsid w:val="005D7025"/>
    <w:rsid w:val="005E079D"/>
    <w:rsid w:val="005E11D8"/>
    <w:rsid w:val="005E300F"/>
    <w:rsid w:val="005E483A"/>
    <w:rsid w:val="005F36F9"/>
    <w:rsid w:val="005F6172"/>
    <w:rsid w:val="00603CDC"/>
    <w:rsid w:val="00605242"/>
    <w:rsid w:val="00610F23"/>
    <w:rsid w:val="00611380"/>
    <w:rsid w:val="00616839"/>
    <w:rsid w:val="0061716E"/>
    <w:rsid w:val="006171F7"/>
    <w:rsid w:val="00622512"/>
    <w:rsid w:val="006237AE"/>
    <w:rsid w:val="00623A45"/>
    <w:rsid w:val="00627EAE"/>
    <w:rsid w:val="0063198C"/>
    <w:rsid w:val="0063428D"/>
    <w:rsid w:val="00634B3E"/>
    <w:rsid w:val="006375DC"/>
    <w:rsid w:val="006376E0"/>
    <w:rsid w:val="006413E8"/>
    <w:rsid w:val="00641C7C"/>
    <w:rsid w:val="0064200D"/>
    <w:rsid w:val="00642916"/>
    <w:rsid w:val="00642A6B"/>
    <w:rsid w:val="006438D9"/>
    <w:rsid w:val="00644D15"/>
    <w:rsid w:val="00646866"/>
    <w:rsid w:val="00646FA7"/>
    <w:rsid w:val="006473EF"/>
    <w:rsid w:val="006475CA"/>
    <w:rsid w:val="0064764F"/>
    <w:rsid w:val="0065112A"/>
    <w:rsid w:val="00651F05"/>
    <w:rsid w:val="006533A2"/>
    <w:rsid w:val="00653663"/>
    <w:rsid w:val="006557F5"/>
    <w:rsid w:val="0065664B"/>
    <w:rsid w:val="0065738E"/>
    <w:rsid w:val="006611BA"/>
    <w:rsid w:val="00661D8F"/>
    <w:rsid w:val="00662DC3"/>
    <w:rsid w:val="00662DF8"/>
    <w:rsid w:val="00667E5A"/>
    <w:rsid w:val="006751D0"/>
    <w:rsid w:val="006818D2"/>
    <w:rsid w:val="00685F4F"/>
    <w:rsid w:val="0068696A"/>
    <w:rsid w:val="00686A31"/>
    <w:rsid w:val="00687870"/>
    <w:rsid w:val="00687AEA"/>
    <w:rsid w:val="00691417"/>
    <w:rsid w:val="006943DB"/>
    <w:rsid w:val="0069771A"/>
    <w:rsid w:val="006A0BBC"/>
    <w:rsid w:val="006A4AE4"/>
    <w:rsid w:val="006A4F1B"/>
    <w:rsid w:val="006A554B"/>
    <w:rsid w:val="006A6259"/>
    <w:rsid w:val="006A62C5"/>
    <w:rsid w:val="006A6DB4"/>
    <w:rsid w:val="006B1F52"/>
    <w:rsid w:val="006B3627"/>
    <w:rsid w:val="006B5FBA"/>
    <w:rsid w:val="006B6D1F"/>
    <w:rsid w:val="006B736E"/>
    <w:rsid w:val="006B7B5C"/>
    <w:rsid w:val="006C0C28"/>
    <w:rsid w:val="006C1051"/>
    <w:rsid w:val="006C154E"/>
    <w:rsid w:val="006C25DE"/>
    <w:rsid w:val="006C28B8"/>
    <w:rsid w:val="006C2D41"/>
    <w:rsid w:val="006C6980"/>
    <w:rsid w:val="006C7278"/>
    <w:rsid w:val="006D11DA"/>
    <w:rsid w:val="006D5861"/>
    <w:rsid w:val="006D6CDC"/>
    <w:rsid w:val="006E07AE"/>
    <w:rsid w:val="006E203C"/>
    <w:rsid w:val="006E27D8"/>
    <w:rsid w:val="006E3D87"/>
    <w:rsid w:val="006E5E6B"/>
    <w:rsid w:val="006E702D"/>
    <w:rsid w:val="006F4D61"/>
    <w:rsid w:val="006F5761"/>
    <w:rsid w:val="006F5F6B"/>
    <w:rsid w:val="006F792F"/>
    <w:rsid w:val="007005EB"/>
    <w:rsid w:val="0070314D"/>
    <w:rsid w:val="00704C05"/>
    <w:rsid w:val="00710172"/>
    <w:rsid w:val="007145FE"/>
    <w:rsid w:val="00715CD8"/>
    <w:rsid w:val="007166FC"/>
    <w:rsid w:val="007171A5"/>
    <w:rsid w:val="007207AF"/>
    <w:rsid w:val="00724779"/>
    <w:rsid w:val="00726D05"/>
    <w:rsid w:val="007274C0"/>
    <w:rsid w:val="007315B4"/>
    <w:rsid w:val="00731842"/>
    <w:rsid w:val="007331B2"/>
    <w:rsid w:val="007339BD"/>
    <w:rsid w:val="00734D22"/>
    <w:rsid w:val="00735B89"/>
    <w:rsid w:val="00735BE4"/>
    <w:rsid w:val="0074104B"/>
    <w:rsid w:val="007431B4"/>
    <w:rsid w:val="00746901"/>
    <w:rsid w:val="00751B8F"/>
    <w:rsid w:val="00752364"/>
    <w:rsid w:val="00752F29"/>
    <w:rsid w:val="00753D4C"/>
    <w:rsid w:val="00756634"/>
    <w:rsid w:val="00763C8F"/>
    <w:rsid w:val="00766544"/>
    <w:rsid w:val="00767892"/>
    <w:rsid w:val="00772E36"/>
    <w:rsid w:val="007737FA"/>
    <w:rsid w:val="00774620"/>
    <w:rsid w:val="0077502C"/>
    <w:rsid w:val="00782ACD"/>
    <w:rsid w:val="007857ED"/>
    <w:rsid w:val="007873A1"/>
    <w:rsid w:val="00793033"/>
    <w:rsid w:val="00795108"/>
    <w:rsid w:val="007970DB"/>
    <w:rsid w:val="00797C21"/>
    <w:rsid w:val="007A2383"/>
    <w:rsid w:val="007A5C11"/>
    <w:rsid w:val="007A65E9"/>
    <w:rsid w:val="007A6D12"/>
    <w:rsid w:val="007A7271"/>
    <w:rsid w:val="007B2C03"/>
    <w:rsid w:val="007C0BE2"/>
    <w:rsid w:val="007C187B"/>
    <w:rsid w:val="007C5CE1"/>
    <w:rsid w:val="007D00C6"/>
    <w:rsid w:val="007D1A11"/>
    <w:rsid w:val="007D368A"/>
    <w:rsid w:val="007D400A"/>
    <w:rsid w:val="007D48CD"/>
    <w:rsid w:val="007D6F7F"/>
    <w:rsid w:val="007D7DEA"/>
    <w:rsid w:val="007E4270"/>
    <w:rsid w:val="007E5BF8"/>
    <w:rsid w:val="007E6A70"/>
    <w:rsid w:val="007F224B"/>
    <w:rsid w:val="007F5785"/>
    <w:rsid w:val="007F5CAC"/>
    <w:rsid w:val="007F7A67"/>
    <w:rsid w:val="00800130"/>
    <w:rsid w:val="00804E98"/>
    <w:rsid w:val="00805854"/>
    <w:rsid w:val="008117A8"/>
    <w:rsid w:val="00811A9E"/>
    <w:rsid w:val="00814D09"/>
    <w:rsid w:val="00820085"/>
    <w:rsid w:val="00821D0A"/>
    <w:rsid w:val="0082274C"/>
    <w:rsid w:val="0082529E"/>
    <w:rsid w:val="00825B7C"/>
    <w:rsid w:val="008269C1"/>
    <w:rsid w:val="00830C4C"/>
    <w:rsid w:val="0083431F"/>
    <w:rsid w:val="00835EC7"/>
    <w:rsid w:val="00840441"/>
    <w:rsid w:val="00841808"/>
    <w:rsid w:val="00843036"/>
    <w:rsid w:val="00843535"/>
    <w:rsid w:val="00844231"/>
    <w:rsid w:val="008452BF"/>
    <w:rsid w:val="00845545"/>
    <w:rsid w:val="00846C08"/>
    <w:rsid w:val="008477BD"/>
    <w:rsid w:val="00853258"/>
    <w:rsid w:val="008575BF"/>
    <w:rsid w:val="00857B7A"/>
    <w:rsid w:val="00857D6D"/>
    <w:rsid w:val="00860071"/>
    <w:rsid w:val="0086105C"/>
    <w:rsid w:val="00864FBD"/>
    <w:rsid w:val="00866596"/>
    <w:rsid w:val="00867CAB"/>
    <w:rsid w:val="00870327"/>
    <w:rsid w:val="00874BA3"/>
    <w:rsid w:val="00875091"/>
    <w:rsid w:val="00876300"/>
    <w:rsid w:val="00876842"/>
    <w:rsid w:val="00881FBF"/>
    <w:rsid w:val="008848B8"/>
    <w:rsid w:val="00884BF1"/>
    <w:rsid w:val="008862B3"/>
    <w:rsid w:val="00891C8B"/>
    <w:rsid w:val="008929A0"/>
    <w:rsid w:val="0089608E"/>
    <w:rsid w:val="00896BFD"/>
    <w:rsid w:val="00897428"/>
    <w:rsid w:val="008A399F"/>
    <w:rsid w:val="008A4EEA"/>
    <w:rsid w:val="008A5739"/>
    <w:rsid w:val="008A59CC"/>
    <w:rsid w:val="008B3139"/>
    <w:rsid w:val="008B50C9"/>
    <w:rsid w:val="008B590E"/>
    <w:rsid w:val="008B6CDD"/>
    <w:rsid w:val="008B6FAC"/>
    <w:rsid w:val="008C00CB"/>
    <w:rsid w:val="008C1C79"/>
    <w:rsid w:val="008C7E57"/>
    <w:rsid w:val="008D0BBE"/>
    <w:rsid w:val="008D0FC4"/>
    <w:rsid w:val="008D2C2A"/>
    <w:rsid w:val="008D535E"/>
    <w:rsid w:val="008D585D"/>
    <w:rsid w:val="008D5D07"/>
    <w:rsid w:val="008E1DA2"/>
    <w:rsid w:val="008E20B1"/>
    <w:rsid w:val="008E22A0"/>
    <w:rsid w:val="008E3109"/>
    <w:rsid w:val="008F0174"/>
    <w:rsid w:val="008F0D14"/>
    <w:rsid w:val="008F1C50"/>
    <w:rsid w:val="008F36B5"/>
    <w:rsid w:val="008F53D5"/>
    <w:rsid w:val="008F5EBC"/>
    <w:rsid w:val="00902997"/>
    <w:rsid w:val="00905990"/>
    <w:rsid w:val="00905A7D"/>
    <w:rsid w:val="0091020F"/>
    <w:rsid w:val="009102A3"/>
    <w:rsid w:val="00911190"/>
    <w:rsid w:val="00912095"/>
    <w:rsid w:val="00913E65"/>
    <w:rsid w:val="0091442F"/>
    <w:rsid w:val="00914AA0"/>
    <w:rsid w:val="009161E8"/>
    <w:rsid w:val="00916631"/>
    <w:rsid w:val="00922EF3"/>
    <w:rsid w:val="00924138"/>
    <w:rsid w:val="00924776"/>
    <w:rsid w:val="009248DD"/>
    <w:rsid w:val="00927AE2"/>
    <w:rsid w:val="00931F16"/>
    <w:rsid w:val="00932008"/>
    <w:rsid w:val="00932B80"/>
    <w:rsid w:val="00937690"/>
    <w:rsid w:val="00942627"/>
    <w:rsid w:val="00944E21"/>
    <w:rsid w:val="00950652"/>
    <w:rsid w:val="00955000"/>
    <w:rsid w:val="009555DB"/>
    <w:rsid w:val="00956AA6"/>
    <w:rsid w:val="0096270E"/>
    <w:rsid w:val="00966E75"/>
    <w:rsid w:val="00973B57"/>
    <w:rsid w:val="00973DE9"/>
    <w:rsid w:val="009747FA"/>
    <w:rsid w:val="009748EF"/>
    <w:rsid w:val="00974D64"/>
    <w:rsid w:val="00974E62"/>
    <w:rsid w:val="00975598"/>
    <w:rsid w:val="00982880"/>
    <w:rsid w:val="009839F6"/>
    <w:rsid w:val="00984A2D"/>
    <w:rsid w:val="00990665"/>
    <w:rsid w:val="0099529E"/>
    <w:rsid w:val="009960D8"/>
    <w:rsid w:val="00996E9D"/>
    <w:rsid w:val="009A5779"/>
    <w:rsid w:val="009A5BEF"/>
    <w:rsid w:val="009B5FC8"/>
    <w:rsid w:val="009B6EEB"/>
    <w:rsid w:val="009B7EAE"/>
    <w:rsid w:val="009C11CD"/>
    <w:rsid w:val="009C1381"/>
    <w:rsid w:val="009C2D72"/>
    <w:rsid w:val="009C58FA"/>
    <w:rsid w:val="009C64B9"/>
    <w:rsid w:val="009D419D"/>
    <w:rsid w:val="009D4B52"/>
    <w:rsid w:val="009D7D8E"/>
    <w:rsid w:val="009E215C"/>
    <w:rsid w:val="009E36F8"/>
    <w:rsid w:val="009E3E42"/>
    <w:rsid w:val="009F4848"/>
    <w:rsid w:val="009F52FD"/>
    <w:rsid w:val="009F5821"/>
    <w:rsid w:val="009F7ECE"/>
    <w:rsid w:val="00A01B69"/>
    <w:rsid w:val="00A02925"/>
    <w:rsid w:val="00A062F1"/>
    <w:rsid w:val="00A17A13"/>
    <w:rsid w:val="00A22AE5"/>
    <w:rsid w:val="00A23BD7"/>
    <w:rsid w:val="00A246CE"/>
    <w:rsid w:val="00A24850"/>
    <w:rsid w:val="00A24C8E"/>
    <w:rsid w:val="00A25E16"/>
    <w:rsid w:val="00A27C43"/>
    <w:rsid w:val="00A330CB"/>
    <w:rsid w:val="00A369D8"/>
    <w:rsid w:val="00A37A55"/>
    <w:rsid w:val="00A4078F"/>
    <w:rsid w:val="00A41E2A"/>
    <w:rsid w:val="00A425DC"/>
    <w:rsid w:val="00A4480F"/>
    <w:rsid w:val="00A45774"/>
    <w:rsid w:val="00A460F2"/>
    <w:rsid w:val="00A472F7"/>
    <w:rsid w:val="00A5023F"/>
    <w:rsid w:val="00A508AD"/>
    <w:rsid w:val="00A50B4C"/>
    <w:rsid w:val="00A56093"/>
    <w:rsid w:val="00A5778D"/>
    <w:rsid w:val="00A601F9"/>
    <w:rsid w:val="00A651B7"/>
    <w:rsid w:val="00A6585A"/>
    <w:rsid w:val="00A6599D"/>
    <w:rsid w:val="00A67FD6"/>
    <w:rsid w:val="00A71768"/>
    <w:rsid w:val="00A7194A"/>
    <w:rsid w:val="00A719E3"/>
    <w:rsid w:val="00A71B8A"/>
    <w:rsid w:val="00A72462"/>
    <w:rsid w:val="00A83123"/>
    <w:rsid w:val="00A85076"/>
    <w:rsid w:val="00A879B1"/>
    <w:rsid w:val="00A93495"/>
    <w:rsid w:val="00A93A4C"/>
    <w:rsid w:val="00A947C1"/>
    <w:rsid w:val="00A94B47"/>
    <w:rsid w:val="00A95B17"/>
    <w:rsid w:val="00A97777"/>
    <w:rsid w:val="00AA0A06"/>
    <w:rsid w:val="00AA1DFE"/>
    <w:rsid w:val="00AA2168"/>
    <w:rsid w:val="00AA2FA4"/>
    <w:rsid w:val="00AA6A5C"/>
    <w:rsid w:val="00AA7D78"/>
    <w:rsid w:val="00AB0D7F"/>
    <w:rsid w:val="00AB0DAA"/>
    <w:rsid w:val="00AB312C"/>
    <w:rsid w:val="00AB3C86"/>
    <w:rsid w:val="00AB648F"/>
    <w:rsid w:val="00AB6E0C"/>
    <w:rsid w:val="00AC35F9"/>
    <w:rsid w:val="00AC51EC"/>
    <w:rsid w:val="00AC6F0F"/>
    <w:rsid w:val="00AD0F5C"/>
    <w:rsid w:val="00AD17D8"/>
    <w:rsid w:val="00AD29A1"/>
    <w:rsid w:val="00AE00D6"/>
    <w:rsid w:val="00AE0542"/>
    <w:rsid w:val="00AE0C5F"/>
    <w:rsid w:val="00AE2EC5"/>
    <w:rsid w:val="00AE3909"/>
    <w:rsid w:val="00AE56FA"/>
    <w:rsid w:val="00AE76CC"/>
    <w:rsid w:val="00AF02DB"/>
    <w:rsid w:val="00AF09E1"/>
    <w:rsid w:val="00AF3B6D"/>
    <w:rsid w:val="00AF68EA"/>
    <w:rsid w:val="00AF7E0C"/>
    <w:rsid w:val="00B1057D"/>
    <w:rsid w:val="00B1443F"/>
    <w:rsid w:val="00B16045"/>
    <w:rsid w:val="00B17274"/>
    <w:rsid w:val="00B20055"/>
    <w:rsid w:val="00B23CE3"/>
    <w:rsid w:val="00B23F5E"/>
    <w:rsid w:val="00B30838"/>
    <w:rsid w:val="00B30B5B"/>
    <w:rsid w:val="00B30C96"/>
    <w:rsid w:val="00B34148"/>
    <w:rsid w:val="00B361E6"/>
    <w:rsid w:val="00B374B6"/>
    <w:rsid w:val="00B37F81"/>
    <w:rsid w:val="00B40CB7"/>
    <w:rsid w:val="00B43598"/>
    <w:rsid w:val="00B44B4A"/>
    <w:rsid w:val="00B46A45"/>
    <w:rsid w:val="00B47ED0"/>
    <w:rsid w:val="00B55629"/>
    <w:rsid w:val="00B56E8E"/>
    <w:rsid w:val="00B60B01"/>
    <w:rsid w:val="00B611A7"/>
    <w:rsid w:val="00B6154B"/>
    <w:rsid w:val="00B65941"/>
    <w:rsid w:val="00B73CB3"/>
    <w:rsid w:val="00B7664B"/>
    <w:rsid w:val="00B80AD5"/>
    <w:rsid w:val="00B84ED2"/>
    <w:rsid w:val="00B871DA"/>
    <w:rsid w:val="00B87236"/>
    <w:rsid w:val="00B92948"/>
    <w:rsid w:val="00B93458"/>
    <w:rsid w:val="00B95A13"/>
    <w:rsid w:val="00B95D27"/>
    <w:rsid w:val="00BA00C0"/>
    <w:rsid w:val="00BA0CFF"/>
    <w:rsid w:val="00BA55FC"/>
    <w:rsid w:val="00BA6F31"/>
    <w:rsid w:val="00BB1263"/>
    <w:rsid w:val="00BB32D0"/>
    <w:rsid w:val="00BB4107"/>
    <w:rsid w:val="00BB5566"/>
    <w:rsid w:val="00BB7EB4"/>
    <w:rsid w:val="00BC1507"/>
    <w:rsid w:val="00BC37BB"/>
    <w:rsid w:val="00BC41C1"/>
    <w:rsid w:val="00BC6BA1"/>
    <w:rsid w:val="00BC7891"/>
    <w:rsid w:val="00BD012A"/>
    <w:rsid w:val="00BD22B8"/>
    <w:rsid w:val="00BD6EE5"/>
    <w:rsid w:val="00BE25C6"/>
    <w:rsid w:val="00BE387E"/>
    <w:rsid w:val="00BE42BC"/>
    <w:rsid w:val="00BF407E"/>
    <w:rsid w:val="00BF4215"/>
    <w:rsid w:val="00BF4434"/>
    <w:rsid w:val="00BF5660"/>
    <w:rsid w:val="00BF6CE5"/>
    <w:rsid w:val="00BF7467"/>
    <w:rsid w:val="00BF7503"/>
    <w:rsid w:val="00C028F5"/>
    <w:rsid w:val="00C02B78"/>
    <w:rsid w:val="00C04F25"/>
    <w:rsid w:val="00C116B3"/>
    <w:rsid w:val="00C11FCE"/>
    <w:rsid w:val="00C14991"/>
    <w:rsid w:val="00C15B35"/>
    <w:rsid w:val="00C174E6"/>
    <w:rsid w:val="00C1795D"/>
    <w:rsid w:val="00C20791"/>
    <w:rsid w:val="00C20B7E"/>
    <w:rsid w:val="00C20C90"/>
    <w:rsid w:val="00C2184A"/>
    <w:rsid w:val="00C239D5"/>
    <w:rsid w:val="00C24FDB"/>
    <w:rsid w:val="00C258A6"/>
    <w:rsid w:val="00C269D0"/>
    <w:rsid w:val="00C27506"/>
    <w:rsid w:val="00C30EF9"/>
    <w:rsid w:val="00C336F2"/>
    <w:rsid w:val="00C36321"/>
    <w:rsid w:val="00C37A80"/>
    <w:rsid w:val="00C435A2"/>
    <w:rsid w:val="00C44D53"/>
    <w:rsid w:val="00C45175"/>
    <w:rsid w:val="00C45202"/>
    <w:rsid w:val="00C53B96"/>
    <w:rsid w:val="00C540C5"/>
    <w:rsid w:val="00C574D5"/>
    <w:rsid w:val="00C63179"/>
    <w:rsid w:val="00C64B28"/>
    <w:rsid w:val="00C65AAA"/>
    <w:rsid w:val="00C66105"/>
    <w:rsid w:val="00C666DB"/>
    <w:rsid w:val="00C66FD8"/>
    <w:rsid w:val="00C67CD7"/>
    <w:rsid w:val="00C70040"/>
    <w:rsid w:val="00C72B42"/>
    <w:rsid w:val="00C73AA9"/>
    <w:rsid w:val="00C74574"/>
    <w:rsid w:val="00C74814"/>
    <w:rsid w:val="00C74A13"/>
    <w:rsid w:val="00C75F9D"/>
    <w:rsid w:val="00C76362"/>
    <w:rsid w:val="00C76725"/>
    <w:rsid w:val="00C77DD6"/>
    <w:rsid w:val="00C820D8"/>
    <w:rsid w:val="00C82673"/>
    <w:rsid w:val="00C844D3"/>
    <w:rsid w:val="00C86395"/>
    <w:rsid w:val="00C877F4"/>
    <w:rsid w:val="00C879A2"/>
    <w:rsid w:val="00C87FD1"/>
    <w:rsid w:val="00C90002"/>
    <w:rsid w:val="00C902AE"/>
    <w:rsid w:val="00C915D3"/>
    <w:rsid w:val="00C92214"/>
    <w:rsid w:val="00C93593"/>
    <w:rsid w:val="00C94B83"/>
    <w:rsid w:val="00C96E92"/>
    <w:rsid w:val="00C97864"/>
    <w:rsid w:val="00C97B2B"/>
    <w:rsid w:val="00CA0621"/>
    <w:rsid w:val="00CA320B"/>
    <w:rsid w:val="00CA34D3"/>
    <w:rsid w:val="00CA709D"/>
    <w:rsid w:val="00CB2CF7"/>
    <w:rsid w:val="00CB6F21"/>
    <w:rsid w:val="00CB7EC8"/>
    <w:rsid w:val="00CC4617"/>
    <w:rsid w:val="00CC6FD2"/>
    <w:rsid w:val="00CC7014"/>
    <w:rsid w:val="00CC7BE5"/>
    <w:rsid w:val="00CD020D"/>
    <w:rsid w:val="00CD3E52"/>
    <w:rsid w:val="00CD64AF"/>
    <w:rsid w:val="00CD6E77"/>
    <w:rsid w:val="00CE04B6"/>
    <w:rsid w:val="00CE0D5E"/>
    <w:rsid w:val="00CE1718"/>
    <w:rsid w:val="00CE18FD"/>
    <w:rsid w:val="00CE2ADE"/>
    <w:rsid w:val="00CE5A92"/>
    <w:rsid w:val="00CE6AF4"/>
    <w:rsid w:val="00CE7A2E"/>
    <w:rsid w:val="00CF34BF"/>
    <w:rsid w:val="00CF3DFA"/>
    <w:rsid w:val="00CF7C85"/>
    <w:rsid w:val="00D01B1E"/>
    <w:rsid w:val="00D0409F"/>
    <w:rsid w:val="00D06BAE"/>
    <w:rsid w:val="00D074CA"/>
    <w:rsid w:val="00D10043"/>
    <w:rsid w:val="00D107F0"/>
    <w:rsid w:val="00D11C12"/>
    <w:rsid w:val="00D1544E"/>
    <w:rsid w:val="00D16A51"/>
    <w:rsid w:val="00D16C6A"/>
    <w:rsid w:val="00D177CC"/>
    <w:rsid w:val="00D23B2F"/>
    <w:rsid w:val="00D24929"/>
    <w:rsid w:val="00D25BE4"/>
    <w:rsid w:val="00D30AF1"/>
    <w:rsid w:val="00D310B1"/>
    <w:rsid w:val="00D338EC"/>
    <w:rsid w:val="00D348C5"/>
    <w:rsid w:val="00D36F7B"/>
    <w:rsid w:val="00D4075D"/>
    <w:rsid w:val="00D42508"/>
    <w:rsid w:val="00D43478"/>
    <w:rsid w:val="00D451EA"/>
    <w:rsid w:val="00D47AFD"/>
    <w:rsid w:val="00D506E3"/>
    <w:rsid w:val="00D511D6"/>
    <w:rsid w:val="00D52D5F"/>
    <w:rsid w:val="00D54309"/>
    <w:rsid w:val="00D543BC"/>
    <w:rsid w:val="00D60816"/>
    <w:rsid w:val="00D60A2B"/>
    <w:rsid w:val="00D60DED"/>
    <w:rsid w:val="00D63106"/>
    <w:rsid w:val="00D647F5"/>
    <w:rsid w:val="00D67933"/>
    <w:rsid w:val="00D70549"/>
    <w:rsid w:val="00D715B1"/>
    <w:rsid w:val="00D813E5"/>
    <w:rsid w:val="00D826C9"/>
    <w:rsid w:val="00D84F5A"/>
    <w:rsid w:val="00D8599D"/>
    <w:rsid w:val="00D910D6"/>
    <w:rsid w:val="00D93633"/>
    <w:rsid w:val="00D93695"/>
    <w:rsid w:val="00D9556A"/>
    <w:rsid w:val="00D96464"/>
    <w:rsid w:val="00D975B3"/>
    <w:rsid w:val="00DA0567"/>
    <w:rsid w:val="00DA2FFF"/>
    <w:rsid w:val="00DA4565"/>
    <w:rsid w:val="00DA737A"/>
    <w:rsid w:val="00DB41BD"/>
    <w:rsid w:val="00DB60A0"/>
    <w:rsid w:val="00DB71F8"/>
    <w:rsid w:val="00DB7F4A"/>
    <w:rsid w:val="00DC01BA"/>
    <w:rsid w:val="00DC0307"/>
    <w:rsid w:val="00DC0B82"/>
    <w:rsid w:val="00DC2D5D"/>
    <w:rsid w:val="00DC3359"/>
    <w:rsid w:val="00DC47C9"/>
    <w:rsid w:val="00DD06B3"/>
    <w:rsid w:val="00DD108F"/>
    <w:rsid w:val="00DD4F6D"/>
    <w:rsid w:val="00DD512F"/>
    <w:rsid w:val="00DD5572"/>
    <w:rsid w:val="00DD5A39"/>
    <w:rsid w:val="00DE2347"/>
    <w:rsid w:val="00DE407A"/>
    <w:rsid w:val="00DE4798"/>
    <w:rsid w:val="00DE4CDB"/>
    <w:rsid w:val="00DF1922"/>
    <w:rsid w:val="00DF2B7E"/>
    <w:rsid w:val="00DF7C32"/>
    <w:rsid w:val="00E01E9A"/>
    <w:rsid w:val="00E046AF"/>
    <w:rsid w:val="00E060E3"/>
    <w:rsid w:val="00E13860"/>
    <w:rsid w:val="00E1542C"/>
    <w:rsid w:val="00E159C8"/>
    <w:rsid w:val="00E15A23"/>
    <w:rsid w:val="00E17134"/>
    <w:rsid w:val="00E17CC1"/>
    <w:rsid w:val="00E17D32"/>
    <w:rsid w:val="00E20017"/>
    <w:rsid w:val="00E20E3C"/>
    <w:rsid w:val="00E247AB"/>
    <w:rsid w:val="00E25750"/>
    <w:rsid w:val="00E275FA"/>
    <w:rsid w:val="00E27A28"/>
    <w:rsid w:val="00E32468"/>
    <w:rsid w:val="00E32E26"/>
    <w:rsid w:val="00E36E5D"/>
    <w:rsid w:val="00E40203"/>
    <w:rsid w:val="00E43A95"/>
    <w:rsid w:val="00E43F58"/>
    <w:rsid w:val="00E462C6"/>
    <w:rsid w:val="00E54F53"/>
    <w:rsid w:val="00E5567D"/>
    <w:rsid w:val="00E56488"/>
    <w:rsid w:val="00E573B1"/>
    <w:rsid w:val="00E62251"/>
    <w:rsid w:val="00E63F62"/>
    <w:rsid w:val="00E6507B"/>
    <w:rsid w:val="00E659FE"/>
    <w:rsid w:val="00E70347"/>
    <w:rsid w:val="00E7058F"/>
    <w:rsid w:val="00E718D2"/>
    <w:rsid w:val="00E76020"/>
    <w:rsid w:val="00E7719E"/>
    <w:rsid w:val="00E77AF6"/>
    <w:rsid w:val="00E77EDB"/>
    <w:rsid w:val="00E8004B"/>
    <w:rsid w:val="00E82FBC"/>
    <w:rsid w:val="00E83650"/>
    <w:rsid w:val="00E85155"/>
    <w:rsid w:val="00E85456"/>
    <w:rsid w:val="00E87AE1"/>
    <w:rsid w:val="00E906BB"/>
    <w:rsid w:val="00E934D4"/>
    <w:rsid w:val="00E934E8"/>
    <w:rsid w:val="00E96C90"/>
    <w:rsid w:val="00E9791B"/>
    <w:rsid w:val="00EA2057"/>
    <w:rsid w:val="00EA3039"/>
    <w:rsid w:val="00EA4063"/>
    <w:rsid w:val="00EA41CE"/>
    <w:rsid w:val="00EA49BE"/>
    <w:rsid w:val="00EA5EB7"/>
    <w:rsid w:val="00EA6002"/>
    <w:rsid w:val="00EA61AD"/>
    <w:rsid w:val="00EB0ABB"/>
    <w:rsid w:val="00EB45BC"/>
    <w:rsid w:val="00EB7D88"/>
    <w:rsid w:val="00EC1006"/>
    <w:rsid w:val="00EC4522"/>
    <w:rsid w:val="00EC7E4A"/>
    <w:rsid w:val="00ED0763"/>
    <w:rsid w:val="00ED1920"/>
    <w:rsid w:val="00ED4B1F"/>
    <w:rsid w:val="00ED732B"/>
    <w:rsid w:val="00EE133D"/>
    <w:rsid w:val="00EE137F"/>
    <w:rsid w:val="00EE1894"/>
    <w:rsid w:val="00EE527A"/>
    <w:rsid w:val="00EE5A5A"/>
    <w:rsid w:val="00EF0E95"/>
    <w:rsid w:val="00EF1DF2"/>
    <w:rsid w:val="00EF2198"/>
    <w:rsid w:val="00EF3814"/>
    <w:rsid w:val="00EF464B"/>
    <w:rsid w:val="00EF67CD"/>
    <w:rsid w:val="00EF6EAE"/>
    <w:rsid w:val="00F000F0"/>
    <w:rsid w:val="00F0180F"/>
    <w:rsid w:val="00F01C42"/>
    <w:rsid w:val="00F040BC"/>
    <w:rsid w:val="00F0414B"/>
    <w:rsid w:val="00F04BD3"/>
    <w:rsid w:val="00F102B2"/>
    <w:rsid w:val="00F1167F"/>
    <w:rsid w:val="00F13916"/>
    <w:rsid w:val="00F160A9"/>
    <w:rsid w:val="00F1680B"/>
    <w:rsid w:val="00F16A68"/>
    <w:rsid w:val="00F23262"/>
    <w:rsid w:val="00F27AA7"/>
    <w:rsid w:val="00F27EE3"/>
    <w:rsid w:val="00F334B1"/>
    <w:rsid w:val="00F34065"/>
    <w:rsid w:val="00F36DE1"/>
    <w:rsid w:val="00F4007E"/>
    <w:rsid w:val="00F407CE"/>
    <w:rsid w:val="00F43A24"/>
    <w:rsid w:val="00F43ADB"/>
    <w:rsid w:val="00F44546"/>
    <w:rsid w:val="00F45264"/>
    <w:rsid w:val="00F51B5E"/>
    <w:rsid w:val="00F54822"/>
    <w:rsid w:val="00F61B20"/>
    <w:rsid w:val="00F650C5"/>
    <w:rsid w:val="00F663B8"/>
    <w:rsid w:val="00F700E2"/>
    <w:rsid w:val="00F70C80"/>
    <w:rsid w:val="00F74FE7"/>
    <w:rsid w:val="00F81480"/>
    <w:rsid w:val="00F816F7"/>
    <w:rsid w:val="00F8300C"/>
    <w:rsid w:val="00F8345D"/>
    <w:rsid w:val="00F83BD3"/>
    <w:rsid w:val="00F9551A"/>
    <w:rsid w:val="00FA0430"/>
    <w:rsid w:val="00FA1E6D"/>
    <w:rsid w:val="00FA344A"/>
    <w:rsid w:val="00FA58E9"/>
    <w:rsid w:val="00FA79FA"/>
    <w:rsid w:val="00FB1955"/>
    <w:rsid w:val="00FB426C"/>
    <w:rsid w:val="00FB5203"/>
    <w:rsid w:val="00FC23F9"/>
    <w:rsid w:val="00FC34AA"/>
    <w:rsid w:val="00FC3CFB"/>
    <w:rsid w:val="00FC577D"/>
    <w:rsid w:val="00FC5EC4"/>
    <w:rsid w:val="00FD47AD"/>
    <w:rsid w:val="00FD52A4"/>
    <w:rsid w:val="00FD642A"/>
    <w:rsid w:val="00FD7753"/>
    <w:rsid w:val="00FD78DA"/>
    <w:rsid w:val="00FE6F22"/>
    <w:rsid w:val="00FE733A"/>
    <w:rsid w:val="00FE7AAE"/>
    <w:rsid w:val="00FF249F"/>
    <w:rsid w:val="00FF2ED4"/>
    <w:rsid w:val="00FF3626"/>
    <w:rsid w:val="00FF39CF"/>
    <w:rsid w:val="00FF4993"/>
    <w:rsid w:val="00FF569D"/>
    <w:rsid w:val="00FF6CA4"/>
    <w:rsid w:val="00FF7A70"/>
    <w:rsid w:val="01024F4C"/>
    <w:rsid w:val="01A249C3"/>
    <w:rsid w:val="01D675D2"/>
    <w:rsid w:val="02184C85"/>
    <w:rsid w:val="025C7268"/>
    <w:rsid w:val="02824404"/>
    <w:rsid w:val="02C24BF1"/>
    <w:rsid w:val="02E5669E"/>
    <w:rsid w:val="034766CD"/>
    <w:rsid w:val="03513168"/>
    <w:rsid w:val="038D16A3"/>
    <w:rsid w:val="03A013D6"/>
    <w:rsid w:val="03C26FC6"/>
    <w:rsid w:val="03CA1FAF"/>
    <w:rsid w:val="03CC5D27"/>
    <w:rsid w:val="03D34A61"/>
    <w:rsid w:val="049A4077"/>
    <w:rsid w:val="04EA08A0"/>
    <w:rsid w:val="05485881"/>
    <w:rsid w:val="05595CE0"/>
    <w:rsid w:val="05AC185F"/>
    <w:rsid w:val="070752C8"/>
    <w:rsid w:val="071C6FC5"/>
    <w:rsid w:val="080A5070"/>
    <w:rsid w:val="08185AEA"/>
    <w:rsid w:val="085553EF"/>
    <w:rsid w:val="086952DF"/>
    <w:rsid w:val="08F2252A"/>
    <w:rsid w:val="094E3682"/>
    <w:rsid w:val="09542274"/>
    <w:rsid w:val="09A145A8"/>
    <w:rsid w:val="0A051A16"/>
    <w:rsid w:val="0A056F7E"/>
    <w:rsid w:val="0A2A7852"/>
    <w:rsid w:val="0A5717B1"/>
    <w:rsid w:val="0A851326"/>
    <w:rsid w:val="0B7B17AA"/>
    <w:rsid w:val="0C1A784C"/>
    <w:rsid w:val="0C7043B9"/>
    <w:rsid w:val="0C776A4C"/>
    <w:rsid w:val="0CA57A5D"/>
    <w:rsid w:val="0CC04897"/>
    <w:rsid w:val="0D1527DF"/>
    <w:rsid w:val="0D6671EC"/>
    <w:rsid w:val="0D8E6743"/>
    <w:rsid w:val="0DA16E9B"/>
    <w:rsid w:val="0DBA3094"/>
    <w:rsid w:val="0DE9713E"/>
    <w:rsid w:val="0DF01E5A"/>
    <w:rsid w:val="0E0B1F14"/>
    <w:rsid w:val="0E303356"/>
    <w:rsid w:val="0ECA3947"/>
    <w:rsid w:val="0EFF29F7"/>
    <w:rsid w:val="0F024CF3"/>
    <w:rsid w:val="0F1113DA"/>
    <w:rsid w:val="0F4265E1"/>
    <w:rsid w:val="0F847DFE"/>
    <w:rsid w:val="0F9F1632"/>
    <w:rsid w:val="0FA6754A"/>
    <w:rsid w:val="1001144E"/>
    <w:rsid w:val="102D0A08"/>
    <w:rsid w:val="105E231E"/>
    <w:rsid w:val="10683215"/>
    <w:rsid w:val="10A634BD"/>
    <w:rsid w:val="110F7B9B"/>
    <w:rsid w:val="111F7DDE"/>
    <w:rsid w:val="116E48C1"/>
    <w:rsid w:val="118A69D5"/>
    <w:rsid w:val="11AC5933"/>
    <w:rsid w:val="12103FF2"/>
    <w:rsid w:val="126515AF"/>
    <w:rsid w:val="129A5F95"/>
    <w:rsid w:val="131C53CB"/>
    <w:rsid w:val="13606F15"/>
    <w:rsid w:val="13975722"/>
    <w:rsid w:val="13FA243C"/>
    <w:rsid w:val="140504E8"/>
    <w:rsid w:val="14636BB8"/>
    <w:rsid w:val="14926B19"/>
    <w:rsid w:val="14C50C9C"/>
    <w:rsid w:val="14D56A06"/>
    <w:rsid w:val="15033573"/>
    <w:rsid w:val="152359C3"/>
    <w:rsid w:val="152F3AAF"/>
    <w:rsid w:val="165F6ECF"/>
    <w:rsid w:val="16E178E4"/>
    <w:rsid w:val="16EB44A9"/>
    <w:rsid w:val="1707535A"/>
    <w:rsid w:val="171657DF"/>
    <w:rsid w:val="17272705"/>
    <w:rsid w:val="17324DFD"/>
    <w:rsid w:val="174C35E7"/>
    <w:rsid w:val="177644D0"/>
    <w:rsid w:val="178169D1"/>
    <w:rsid w:val="17E551B2"/>
    <w:rsid w:val="17E94CA2"/>
    <w:rsid w:val="18786643"/>
    <w:rsid w:val="188C387F"/>
    <w:rsid w:val="18B77FB0"/>
    <w:rsid w:val="197B5DCD"/>
    <w:rsid w:val="19827903"/>
    <w:rsid w:val="19B66E06"/>
    <w:rsid w:val="19C72DC1"/>
    <w:rsid w:val="1A244938"/>
    <w:rsid w:val="1A7D3400"/>
    <w:rsid w:val="1A951111"/>
    <w:rsid w:val="1ADF238C"/>
    <w:rsid w:val="1B0B13D3"/>
    <w:rsid w:val="1B0F647F"/>
    <w:rsid w:val="1B2670EF"/>
    <w:rsid w:val="1B3B44E7"/>
    <w:rsid w:val="1B517C2F"/>
    <w:rsid w:val="1B8D3B96"/>
    <w:rsid w:val="1BD9066A"/>
    <w:rsid w:val="1C5F63E2"/>
    <w:rsid w:val="1CA556AB"/>
    <w:rsid w:val="1CD130F3"/>
    <w:rsid w:val="1CDC3027"/>
    <w:rsid w:val="1D733B41"/>
    <w:rsid w:val="1D8D2573"/>
    <w:rsid w:val="1DDE692B"/>
    <w:rsid w:val="1DF61F30"/>
    <w:rsid w:val="1DFB128B"/>
    <w:rsid w:val="1E4A12EB"/>
    <w:rsid w:val="1E892D3B"/>
    <w:rsid w:val="1E8F7C25"/>
    <w:rsid w:val="1EA90CE7"/>
    <w:rsid w:val="1EC318B4"/>
    <w:rsid w:val="1EED6EF3"/>
    <w:rsid w:val="1EF455FD"/>
    <w:rsid w:val="1F093E7B"/>
    <w:rsid w:val="1FE741BD"/>
    <w:rsid w:val="2034694D"/>
    <w:rsid w:val="203D202F"/>
    <w:rsid w:val="204A02A8"/>
    <w:rsid w:val="20586E69"/>
    <w:rsid w:val="207C36C3"/>
    <w:rsid w:val="20987265"/>
    <w:rsid w:val="20C067BC"/>
    <w:rsid w:val="20D331DA"/>
    <w:rsid w:val="21633439"/>
    <w:rsid w:val="217A1901"/>
    <w:rsid w:val="21D6120C"/>
    <w:rsid w:val="21FA5CFD"/>
    <w:rsid w:val="220D77DF"/>
    <w:rsid w:val="225B49EE"/>
    <w:rsid w:val="22A5210D"/>
    <w:rsid w:val="22B20386"/>
    <w:rsid w:val="233A4603"/>
    <w:rsid w:val="23646756"/>
    <w:rsid w:val="23A2608A"/>
    <w:rsid w:val="23B1063E"/>
    <w:rsid w:val="23B24AE2"/>
    <w:rsid w:val="23BA55BA"/>
    <w:rsid w:val="23C94E4F"/>
    <w:rsid w:val="245F009A"/>
    <w:rsid w:val="24743B45"/>
    <w:rsid w:val="25007ACF"/>
    <w:rsid w:val="250F7D12"/>
    <w:rsid w:val="25140E84"/>
    <w:rsid w:val="254C76E0"/>
    <w:rsid w:val="2551032A"/>
    <w:rsid w:val="2580651A"/>
    <w:rsid w:val="25B53114"/>
    <w:rsid w:val="25C12DBA"/>
    <w:rsid w:val="25CE13C2"/>
    <w:rsid w:val="25E34364"/>
    <w:rsid w:val="260D24A3"/>
    <w:rsid w:val="26775F0D"/>
    <w:rsid w:val="26795443"/>
    <w:rsid w:val="26DD1E76"/>
    <w:rsid w:val="26E33204"/>
    <w:rsid w:val="26F32FB5"/>
    <w:rsid w:val="271C4A6F"/>
    <w:rsid w:val="271D0246"/>
    <w:rsid w:val="27257379"/>
    <w:rsid w:val="27924E16"/>
    <w:rsid w:val="27A42993"/>
    <w:rsid w:val="27AC35F6"/>
    <w:rsid w:val="284952E9"/>
    <w:rsid w:val="28C606E7"/>
    <w:rsid w:val="28D472A8"/>
    <w:rsid w:val="28DD687E"/>
    <w:rsid w:val="293308FC"/>
    <w:rsid w:val="29440198"/>
    <w:rsid w:val="294F2DD3"/>
    <w:rsid w:val="29591F05"/>
    <w:rsid w:val="29DB0E70"/>
    <w:rsid w:val="29EA6664"/>
    <w:rsid w:val="29F82489"/>
    <w:rsid w:val="2A944F41"/>
    <w:rsid w:val="2AA50EFC"/>
    <w:rsid w:val="2AC1560A"/>
    <w:rsid w:val="2B453025"/>
    <w:rsid w:val="2BC76C50"/>
    <w:rsid w:val="2C041C52"/>
    <w:rsid w:val="2C057A51"/>
    <w:rsid w:val="2C0C528B"/>
    <w:rsid w:val="2C1339D0"/>
    <w:rsid w:val="2C6951AD"/>
    <w:rsid w:val="2C6D0800"/>
    <w:rsid w:val="2CD2647D"/>
    <w:rsid w:val="2D1206C2"/>
    <w:rsid w:val="2D2951AD"/>
    <w:rsid w:val="2D426ED6"/>
    <w:rsid w:val="2D76092E"/>
    <w:rsid w:val="2DAE631A"/>
    <w:rsid w:val="2DE0224B"/>
    <w:rsid w:val="2E075A2A"/>
    <w:rsid w:val="2E2C723F"/>
    <w:rsid w:val="2E3D58F0"/>
    <w:rsid w:val="2E6D7F83"/>
    <w:rsid w:val="2FC11C09"/>
    <w:rsid w:val="30093CDB"/>
    <w:rsid w:val="301D32E3"/>
    <w:rsid w:val="301D7787"/>
    <w:rsid w:val="303D48C9"/>
    <w:rsid w:val="30565C8D"/>
    <w:rsid w:val="30A70DFD"/>
    <w:rsid w:val="31981625"/>
    <w:rsid w:val="319E66A5"/>
    <w:rsid w:val="31C25A44"/>
    <w:rsid w:val="320C360F"/>
    <w:rsid w:val="320F75A3"/>
    <w:rsid w:val="327F64D7"/>
    <w:rsid w:val="328B18A8"/>
    <w:rsid w:val="32904240"/>
    <w:rsid w:val="32DB6032"/>
    <w:rsid w:val="32EE6DFE"/>
    <w:rsid w:val="3307064A"/>
    <w:rsid w:val="33260700"/>
    <w:rsid w:val="334119EF"/>
    <w:rsid w:val="3364042C"/>
    <w:rsid w:val="336B305B"/>
    <w:rsid w:val="340F1BF8"/>
    <w:rsid w:val="341A0FA3"/>
    <w:rsid w:val="343847FD"/>
    <w:rsid w:val="344352E2"/>
    <w:rsid w:val="34627E5E"/>
    <w:rsid w:val="349B6ECC"/>
    <w:rsid w:val="349E076A"/>
    <w:rsid w:val="34A57C65"/>
    <w:rsid w:val="34B23E72"/>
    <w:rsid w:val="35301D0A"/>
    <w:rsid w:val="353C22AB"/>
    <w:rsid w:val="356E238A"/>
    <w:rsid w:val="357065AB"/>
    <w:rsid w:val="357E162B"/>
    <w:rsid w:val="35B2271F"/>
    <w:rsid w:val="3659703F"/>
    <w:rsid w:val="36724B21"/>
    <w:rsid w:val="369D33CF"/>
    <w:rsid w:val="369D6F2B"/>
    <w:rsid w:val="36BB532C"/>
    <w:rsid w:val="36BD75CE"/>
    <w:rsid w:val="36E5271F"/>
    <w:rsid w:val="36EC414E"/>
    <w:rsid w:val="37180CA8"/>
    <w:rsid w:val="3719316C"/>
    <w:rsid w:val="372E1EEC"/>
    <w:rsid w:val="37CB045F"/>
    <w:rsid w:val="37CE1367"/>
    <w:rsid w:val="37FA5416"/>
    <w:rsid w:val="38453B22"/>
    <w:rsid w:val="385B52F0"/>
    <w:rsid w:val="397C2FB2"/>
    <w:rsid w:val="39A05FBC"/>
    <w:rsid w:val="39E74634"/>
    <w:rsid w:val="3A0F57EA"/>
    <w:rsid w:val="3A181500"/>
    <w:rsid w:val="3A465B2C"/>
    <w:rsid w:val="3A811D9E"/>
    <w:rsid w:val="3B392F9B"/>
    <w:rsid w:val="3B7641EF"/>
    <w:rsid w:val="3B883BD2"/>
    <w:rsid w:val="3B934DA1"/>
    <w:rsid w:val="3B9D61C5"/>
    <w:rsid w:val="3BB32D4D"/>
    <w:rsid w:val="3BD86275"/>
    <w:rsid w:val="3BFA4E20"/>
    <w:rsid w:val="3C0F3DDE"/>
    <w:rsid w:val="3C3025F0"/>
    <w:rsid w:val="3C332D3A"/>
    <w:rsid w:val="3C7A4E99"/>
    <w:rsid w:val="3C9708C1"/>
    <w:rsid w:val="3CBE43ED"/>
    <w:rsid w:val="3CC13740"/>
    <w:rsid w:val="3CC35212"/>
    <w:rsid w:val="3CF02777"/>
    <w:rsid w:val="3CF47AC1"/>
    <w:rsid w:val="3CF63016"/>
    <w:rsid w:val="3CF96E86"/>
    <w:rsid w:val="3D714C6E"/>
    <w:rsid w:val="3D9A756D"/>
    <w:rsid w:val="3DCE3E6E"/>
    <w:rsid w:val="3E88226F"/>
    <w:rsid w:val="3EBC460F"/>
    <w:rsid w:val="3EDB2CE7"/>
    <w:rsid w:val="3F010273"/>
    <w:rsid w:val="3F226537"/>
    <w:rsid w:val="3F4A1F5F"/>
    <w:rsid w:val="3F5D6B08"/>
    <w:rsid w:val="3F9609BC"/>
    <w:rsid w:val="3FB46F02"/>
    <w:rsid w:val="3FEA0D08"/>
    <w:rsid w:val="3FF65918"/>
    <w:rsid w:val="4081341A"/>
    <w:rsid w:val="409D2154"/>
    <w:rsid w:val="409D5D7A"/>
    <w:rsid w:val="40C725CB"/>
    <w:rsid w:val="41517290"/>
    <w:rsid w:val="41566655"/>
    <w:rsid w:val="41BE5A2A"/>
    <w:rsid w:val="41F61BE6"/>
    <w:rsid w:val="41FB2457"/>
    <w:rsid w:val="42224789"/>
    <w:rsid w:val="422626A1"/>
    <w:rsid w:val="425F260D"/>
    <w:rsid w:val="426D5C02"/>
    <w:rsid w:val="427C033D"/>
    <w:rsid w:val="4294608E"/>
    <w:rsid w:val="431F6F1A"/>
    <w:rsid w:val="440D081C"/>
    <w:rsid w:val="441A7E0D"/>
    <w:rsid w:val="442171D1"/>
    <w:rsid w:val="44223166"/>
    <w:rsid w:val="44426C2E"/>
    <w:rsid w:val="44494453"/>
    <w:rsid w:val="44784B34"/>
    <w:rsid w:val="44A66B8F"/>
    <w:rsid w:val="45857508"/>
    <w:rsid w:val="459B5157"/>
    <w:rsid w:val="45BE0C6C"/>
    <w:rsid w:val="45D87F80"/>
    <w:rsid w:val="4622083F"/>
    <w:rsid w:val="46F443DF"/>
    <w:rsid w:val="46F532BD"/>
    <w:rsid w:val="47060B1D"/>
    <w:rsid w:val="47256C62"/>
    <w:rsid w:val="474F4272"/>
    <w:rsid w:val="47CF7161"/>
    <w:rsid w:val="48777B4E"/>
    <w:rsid w:val="48A969FC"/>
    <w:rsid w:val="492434DC"/>
    <w:rsid w:val="49590DDC"/>
    <w:rsid w:val="496115EB"/>
    <w:rsid w:val="499441BE"/>
    <w:rsid w:val="49C162F1"/>
    <w:rsid w:val="49C376F0"/>
    <w:rsid w:val="4A1452FF"/>
    <w:rsid w:val="4A273284"/>
    <w:rsid w:val="4A315EB1"/>
    <w:rsid w:val="4A45195C"/>
    <w:rsid w:val="4A503710"/>
    <w:rsid w:val="4A7933B4"/>
    <w:rsid w:val="4B133808"/>
    <w:rsid w:val="4B2C48CA"/>
    <w:rsid w:val="4B8A1D1C"/>
    <w:rsid w:val="4B9718B7"/>
    <w:rsid w:val="4BDF497E"/>
    <w:rsid w:val="4C192B8C"/>
    <w:rsid w:val="4C5D11DF"/>
    <w:rsid w:val="4C857F2E"/>
    <w:rsid w:val="4CA46E0E"/>
    <w:rsid w:val="4CDA2830"/>
    <w:rsid w:val="4D36558C"/>
    <w:rsid w:val="4D803B16"/>
    <w:rsid w:val="4DB25E2E"/>
    <w:rsid w:val="4DE4510B"/>
    <w:rsid w:val="4E520C17"/>
    <w:rsid w:val="4EC92B5C"/>
    <w:rsid w:val="4ED908C5"/>
    <w:rsid w:val="4EDE7C89"/>
    <w:rsid w:val="4EE72C72"/>
    <w:rsid w:val="4EEE4370"/>
    <w:rsid w:val="4F271630"/>
    <w:rsid w:val="4F642884"/>
    <w:rsid w:val="50140FC2"/>
    <w:rsid w:val="501871CB"/>
    <w:rsid w:val="5060304C"/>
    <w:rsid w:val="510734C7"/>
    <w:rsid w:val="51180B8E"/>
    <w:rsid w:val="516E79EA"/>
    <w:rsid w:val="51820365"/>
    <w:rsid w:val="51907961"/>
    <w:rsid w:val="51B11685"/>
    <w:rsid w:val="520E6593"/>
    <w:rsid w:val="52291B63"/>
    <w:rsid w:val="523A5B1F"/>
    <w:rsid w:val="52642B9B"/>
    <w:rsid w:val="526D7CA2"/>
    <w:rsid w:val="527E499F"/>
    <w:rsid w:val="529F5629"/>
    <w:rsid w:val="52AA4A52"/>
    <w:rsid w:val="52D23FA9"/>
    <w:rsid w:val="52EC4731"/>
    <w:rsid w:val="532E5683"/>
    <w:rsid w:val="53407165"/>
    <w:rsid w:val="53457374"/>
    <w:rsid w:val="534704F3"/>
    <w:rsid w:val="534E0934"/>
    <w:rsid w:val="53DC50DF"/>
    <w:rsid w:val="5463404B"/>
    <w:rsid w:val="54C8216A"/>
    <w:rsid w:val="54F2448F"/>
    <w:rsid w:val="550C665D"/>
    <w:rsid w:val="551B5793"/>
    <w:rsid w:val="553B64E3"/>
    <w:rsid w:val="554B067D"/>
    <w:rsid w:val="55606B97"/>
    <w:rsid w:val="55A16D2C"/>
    <w:rsid w:val="56024BA5"/>
    <w:rsid w:val="56A242D8"/>
    <w:rsid w:val="57F23183"/>
    <w:rsid w:val="582F1556"/>
    <w:rsid w:val="58552A80"/>
    <w:rsid w:val="58CB5722"/>
    <w:rsid w:val="59130003"/>
    <w:rsid w:val="59337BDA"/>
    <w:rsid w:val="59480CD7"/>
    <w:rsid w:val="594B0611"/>
    <w:rsid w:val="596811C3"/>
    <w:rsid w:val="5A355549"/>
    <w:rsid w:val="5A9900D4"/>
    <w:rsid w:val="5B0D3DD0"/>
    <w:rsid w:val="5B47755D"/>
    <w:rsid w:val="5B631C42"/>
    <w:rsid w:val="5B9B674B"/>
    <w:rsid w:val="5C494723"/>
    <w:rsid w:val="5C872EB3"/>
    <w:rsid w:val="5CC52489"/>
    <w:rsid w:val="5CE3011A"/>
    <w:rsid w:val="5CE46DB3"/>
    <w:rsid w:val="5D9C58DF"/>
    <w:rsid w:val="5DD2040A"/>
    <w:rsid w:val="5DE352BC"/>
    <w:rsid w:val="5E0458B2"/>
    <w:rsid w:val="5E2E29DB"/>
    <w:rsid w:val="5E70168C"/>
    <w:rsid w:val="5EA06D09"/>
    <w:rsid w:val="5EF3152F"/>
    <w:rsid w:val="5F957BA7"/>
    <w:rsid w:val="5FC5111D"/>
    <w:rsid w:val="5FE01AB3"/>
    <w:rsid w:val="5FF97E78"/>
    <w:rsid w:val="60015CC0"/>
    <w:rsid w:val="603242D9"/>
    <w:rsid w:val="6033758C"/>
    <w:rsid w:val="60695F4D"/>
    <w:rsid w:val="60BB42CE"/>
    <w:rsid w:val="60DB671F"/>
    <w:rsid w:val="61167757"/>
    <w:rsid w:val="61266C78"/>
    <w:rsid w:val="61374DFC"/>
    <w:rsid w:val="614147D4"/>
    <w:rsid w:val="618A1A21"/>
    <w:rsid w:val="61E67129"/>
    <w:rsid w:val="62477D60"/>
    <w:rsid w:val="62D44C82"/>
    <w:rsid w:val="62D82F16"/>
    <w:rsid w:val="62E53885"/>
    <w:rsid w:val="62E87549"/>
    <w:rsid w:val="62F34ABF"/>
    <w:rsid w:val="632A0F06"/>
    <w:rsid w:val="63332842"/>
    <w:rsid w:val="635B1617"/>
    <w:rsid w:val="641E0DFC"/>
    <w:rsid w:val="642625B4"/>
    <w:rsid w:val="64393E88"/>
    <w:rsid w:val="64836EB1"/>
    <w:rsid w:val="64E2007C"/>
    <w:rsid w:val="64EC06E2"/>
    <w:rsid w:val="64F933AA"/>
    <w:rsid w:val="6502071E"/>
    <w:rsid w:val="650224CC"/>
    <w:rsid w:val="659F41BF"/>
    <w:rsid w:val="65A34AAC"/>
    <w:rsid w:val="65D15072"/>
    <w:rsid w:val="65D42AD7"/>
    <w:rsid w:val="65E14D38"/>
    <w:rsid w:val="65E16585"/>
    <w:rsid w:val="6627488D"/>
    <w:rsid w:val="6639016F"/>
    <w:rsid w:val="66841BDA"/>
    <w:rsid w:val="66AB26EF"/>
    <w:rsid w:val="67140294"/>
    <w:rsid w:val="671E1113"/>
    <w:rsid w:val="674C5A3F"/>
    <w:rsid w:val="67B11F87"/>
    <w:rsid w:val="6817544C"/>
    <w:rsid w:val="68C17621"/>
    <w:rsid w:val="68DD74D8"/>
    <w:rsid w:val="69164798"/>
    <w:rsid w:val="69361313"/>
    <w:rsid w:val="693B41FE"/>
    <w:rsid w:val="698C05B6"/>
    <w:rsid w:val="69D01878"/>
    <w:rsid w:val="6A010B32"/>
    <w:rsid w:val="6A28081A"/>
    <w:rsid w:val="6A431931"/>
    <w:rsid w:val="6A74088D"/>
    <w:rsid w:val="6AA627AC"/>
    <w:rsid w:val="6AA97D6A"/>
    <w:rsid w:val="6B186272"/>
    <w:rsid w:val="6B5275DD"/>
    <w:rsid w:val="6B650F2A"/>
    <w:rsid w:val="6BD32A40"/>
    <w:rsid w:val="6C21592D"/>
    <w:rsid w:val="6C2B5723"/>
    <w:rsid w:val="6C537AB1"/>
    <w:rsid w:val="6C735A5D"/>
    <w:rsid w:val="6C9D0D2C"/>
    <w:rsid w:val="6CBA0F81"/>
    <w:rsid w:val="6D035033"/>
    <w:rsid w:val="6D34343E"/>
    <w:rsid w:val="6D40535B"/>
    <w:rsid w:val="6D4318D3"/>
    <w:rsid w:val="6DB6384B"/>
    <w:rsid w:val="6DBF2B2A"/>
    <w:rsid w:val="6DF46479"/>
    <w:rsid w:val="6E337B9A"/>
    <w:rsid w:val="6E4678CD"/>
    <w:rsid w:val="6E6526A9"/>
    <w:rsid w:val="6E820B5E"/>
    <w:rsid w:val="6EBF142E"/>
    <w:rsid w:val="6EBF4F8A"/>
    <w:rsid w:val="6EF717BD"/>
    <w:rsid w:val="6EF74724"/>
    <w:rsid w:val="6EFC7F8C"/>
    <w:rsid w:val="6F8E184E"/>
    <w:rsid w:val="6F9F6F92"/>
    <w:rsid w:val="6FC5117A"/>
    <w:rsid w:val="70180DF5"/>
    <w:rsid w:val="703B0F88"/>
    <w:rsid w:val="705A1CFB"/>
    <w:rsid w:val="705A35C4"/>
    <w:rsid w:val="706A7177"/>
    <w:rsid w:val="70B0102E"/>
    <w:rsid w:val="70E138DD"/>
    <w:rsid w:val="71514ED6"/>
    <w:rsid w:val="71631157"/>
    <w:rsid w:val="718F4722"/>
    <w:rsid w:val="71B42DA0"/>
    <w:rsid w:val="71C31235"/>
    <w:rsid w:val="721C7524"/>
    <w:rsid w:val="72C25048"/>
    <w:rsid w:val="72C60FDD"/>
    <w:rsid w:val="72F83160"/>
    <w:rsid w:val="7314537F"/>
    <w:rsid w:val="735F4F8D"/>
    <w:rsid w:val="736A709A"/>
    <w:rsid w:val="736F3422"/>
    <w:rsid w:val="739403E9"/>
    <w:rsid w:val="739C3AEB"/>
    <w:rsid w:val="73A17354"/>
    <w:rsid w:val="73DE78B6"/>
    <w:rsid w:val="741D2628"/>
    <w:rsid w:val="74213FF1"/>
    <w:rsid w:val="74771A25"/>
    <w:rsid w:val="74B25E75"/>
    <w:rsid w:val="751122B7"/>
    <w:rsid w:val="752E4C17"/>
    <w:rsid w:val="759C4277"/>
    <w:rsid w:val="75AC4804"/>
    <w:rsid w:val="75BE03E7"/>
    <w:rsid w:val="75DF5F11"/>
    <w:rsid w:val="75E85141"/>
    <w:rsid w:val="75FE58C0"/>
    <w:rsid w:val="760616F0"/>
    <w:rsid w:val="762418A6"/>
    <w:rsid w:val="76805946"/>
    <w:rsid w:val="76872831"/>
    <w:rsid w:val="76C27D0D"/>
    <w:rsid w:val="7750356B"/>
    <w:rsid w:val="77692E03"/>
    <w:rsid w:val="77882852"/>
    <w:rsid w:val="78610F25"/>
    <w:rsid w:val="78A31478"/>
    <w:rsid w:val="78C23C5C"/>
    <w:rsid w:val="78E421BD"/>
    <w:rsid w:val="78FD1C08"/>
    <w:rsid w:val="798401D1"/>
    <w:rsid w:val="79DA5A77"/>
    <w:rsid w:val="7A5013F0"/>
    <w:rsid w:val="7A5E7D4D"/>
    <w:rsid w:val="7A7C01D3"/>
    <w:rsid w:val="7A801888"/>
    <w:rsid w:val="7A853454"/>
    <w:rsid w:val="7A9541F1"/>
    <w:rsid w:val="7A996DD7"/>
    <w:rsid w:val="7B3A4316"/>
    <w:rsid w:val="7C263D76"/>
    <w:rsid w:val="7CAA54CB"/>
    <w:rsid w:val="7CB01726"/>
    <w:rsid w:val="7CB73744"/>
    <w:rsid w:val="7CD07ABC"/>
    <w:rsid w:val="7CD12A58"/>
    <w:rsid w:val="7CF50338"/>
    <w:rsid w:val="7D381314"/>
    <w:rsid w:val="7D5947FB"/>
    <w:rsid w:val="7D625DA6"/>
    <w:rsid w:val="7D684AEE"/>
    <w:rsid w:val="7D902913"/>
    <w:rsid w:val="7DCC76C3"/>
    <w:rsid w:val="7E194EF9"/>
    <w:rsid w:val="7E22388E"/>
    <w:rsid w:val="7E3C642A"/>
    <w:rsid w:val="7E584D50"/>
    <w:rsid w:val="7E8D0C00"/>
    <w:rsid w:val="7ED73CC9"/>
    <w:rsid w:val="7F054C3B"/>
    <w:rsid w:val="7F47097C"/>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0" w:semiHidden="0" w:name="List"/>
    <w:lsdException w:uiPriority="99" w:name="List Bullet"/>
    <w:lsdException w:uiPriority="99" w:name="List Number"/>
    <w:lsdException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nhideWhenUsed="0" w:uiPriority="0" w:semiHidden="0"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420" w:firstLineChars="200"/>
    </w:pPr>
    <w:rPr>
      <w:rFonts w:ascii="宋体" w:hAnsi="宋体" w:eastAsia="宋体" w:cs="宋体"/>
      <w:bCs/>
      <w:kern w:val="2"/>
      <w:sz w:val="21"/>
      <w:szCs w:val="21"/>
      <w:lang w:val="en-US" w:eastAsia="zh-CN" w:bidi="ar-SA"/>
    </w:rPr>
  </w:style>
  <w:style w:type="paragraph" w:styleId="2">
    <w:name w:val="heading 1"/>
    <w:basedOn w:val="1"/>
    <w:next w:val="1"/>
    <w:link w:val="31"/>
    <w:qFormat/>
    <w:uiPriority w:val="9"/>
    <w:pPr>
      <w:keepNext w:val="0"/>
      <w:keepLines w:val="0"/>
      <w:widowControl w:val="0"/>
      <w:adjustRightInd w:val="0"/>
      <w:snapToGrid w:val="0"/>
      <w:spacing w:line="500" w:lineRule="exact"/>
      <w:jc w:val="both"/>
      <w:outlineLvl w:val="0"/>
    </w:pPr>
    <w:rPr>
      <w:rFonts w:ascii="Times New Roman" w:hAnsi="Times New Roman" w:eastAsia="宋体" w:cs="Times New Roman"/>
      <w:b/>
      <w:kern w:val="21"/>
      <w:sz w:val="28"/>
      <w:szCs w:val="28"/>
      <w:lang w:val="en-US" w:eastAsia="zh-CN" w:bidi="ar-SA"/>
    </w:rPr>
  </w:style>
  <w:style w:type="paragraph" w:styleId="3">
    <w:name w:val="heading 2"/>
    <w:basedOn w:val="1"/>
    <w:next w:val="1"/>
    <w:link w:val="35"/>
    <w:qFormat/>
    <w:uiPriority w:val="9"/>
    <w:pPr>
      <w:keepNext w:val="0"/>
      <w:keepLines w:val="0"/>
      <w:widowControl w:val="0"/>
      <w:topLinePunct/>
      <w:adjustRightInd w:val="0"/>
      <w:snapToGrid w:val="0"/>
      <w:spacing w:line="500" w:lineRule="exact"/>
      <w:ind w:firstLine="0" w:firstLineChars="0"/>
      <w:jc w:val="both"/>
      <w:outlineLvl w:val="1"/>
    </w:pPr>
    <w:rPr>
      <w:rFonts w:ascii="Times New Roman" w:hAnsi="Times New Roman" w:eastAsia="宋体" w:cs="Times New Roman"/>
      <w:b/>
      <w:sz w:val="24"/>
      <w:szCs w:val="24"/>
    </w:rPr>
  </w:style>
  <w:style w:type="paragraph" w:styleId="4">
    <w:name w:val="heading 3"/>
    <w:next w:val="1"/>
    <w:link w:val="33"/>
    <w:qFormat/>
    <w:uiPriority w:val="9"/>
    <w:pPr>
      <w:keepNext w:val="0"/>
      <w:keepLines w:val="0"/>
      <w:widowControl w:val="0"/>
      <w:topLinePunct/>
      <w:adjustRightInd w:val="0"/>
      <w:snapToGrid w:val="0"/>
      <w:spacing w:line="480" w:lineRule="exact"/>
      <w:jc w:val="both"/>
      <w:outlineLvl w:val="2"/>
    </w:pPr>
    <w:rPr>
      <w:rFonts w:ascii="Times New Roman" w:hAnsi="Times New Roman" w:eastAsia="宋体" w:cs="Times New Roman"/>
      <w:b/>
      <w:bCs/>
      <w:kern w:val="2"/>
      <w:sz w:val="24"/>
      <w:szCs w:val="24"/>
      <w:lang w:val="en-US" w:eastAsia="zh-CN" w:bidi="ar-SA"/>
    </w:rPr>
  </w:style>
  <w:style w:type="paragraph" w:styleId="5">
    <w:name w:val="heading 4"/>
    <w:next w:val="6"/>
    <w:link w:val="32"/>
    <w:qFormat/>
    <w:uiPriority w:val="9"/>
    <w:pPr>
      <w:keepNext w:val="0"/>
      <w:keepLines w:val="0"/>
      <w:widowControl w:val="0"/>
      <w:topLinePunct/>
      <w:adjustRightInd w:val="0"/>
      <w:snapToGrid w:val="0"/>
      <w:spacing w:line="480" w:lineRule="exact"/>
      <w:jc w:val="both"/>
      <w:outlineLvl w:val="3"/>
    </w:pPr>
    <w:rPr>
      <w:rFonts w:ascii="Times New Roman" w:hAnsi="Times New Roman" w:eastAsia="宋体" w:cs="Times New Roman"/>
      <w:b/>
      <w:bCs/>
      <w:kern w:val="2"/>
      <w:sz w:val="24"/>
      <w:szCs w:val="24"/>
      <w:lang w:val="en-US" w:eastAsia="zh-CN" w:bidi="ar-SA"/>
    </w:rPr>
  </w:style>
  <w:style w:type="paragraph" w:styleId="7">
    <w:name w:val="heading 5"/>
    <w:basedOn w:val="1"/>
    <w:next w:val="1"/>
    <w:link w:val="38"/>
    <w:qFormat/>
    <w:uiPriority w:val="9"/>
    <w:pPr>
      <w:keepNext/>
      <w:keepLines/>
      <w:spacing w:before="280" w:after="290" w:line="376" w:lineRule="auto"/>
      <w:outlineLvl w:val="4"/>
    </w:pPr>
    <w:rPr>
      <w:rFonts w:cs="Times New Roman"/>
      <w:b/>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6">
    <w:name w:val="【正文】"/>
    <w:link w:val="59"/>
    <w:qFormat/>
    <w:uiPriority w:val="0"/>
    <w:pPr>
      <w:widowControl w:val="0"/>
      <w:topLinePunct/>
      <w:adjustRightInd w:val="0"/>
      <w:snapToGrid w:val="0"/>
      <w:spacing w:line="500" w:lineRule="exact"/>
      <w:ind w:firstLine="480" w:firstLineChars="200"/>
      <w:jc w:val="both"/>
    </w:pPr>
    <w:rPr>
      <w:rFonts w:ascii="Times New Roman" w:hAnsi="Times New Roman" w:eastAsia="宋体" w:cs="宋体"/>
      <w:kern w:val="21"/>
      <w:sz w:val="24"/>
      <w:szCs w:val="24"/>
    </w:rPr>
  </w:style>
  <w:style w:type="paragraph" w:styleId="8">
    <w:name w:val="Normal Indent"/>
    <w:basedOn w:val="1"/>
    <w:next w:val="9"/>
    <w:qFormat/>
    <w:uiPriority w:val="0"/>
    <w:pPr>
      <w:widowControl/>
      <w:ind w:firstLine="420"/>
      <w:jc w:val="left"/>
    </w:pPr>
    <w:rPr>
      <w:rFonts w:ascii="Arial" w:hAnsi="Arial" w:eastAsia="仿宋_GB2312"/>
      <w:sz w:val="25"/>
    </w:rPr>
  </w:style>
  <w:style w:type="paragraph" w:customStyle="1" w:styleId="9">
    <w:name w:val="Char Char Char Char Char Char Char Char Char1 Char"/>
    <w:basedOn w:val="1"/>
    <w:next w:val="10"/>
    <w:qFormat/>
    <w:uiPriority w:val="0"/>
    <w:pPr>
      <w:spacing w:line="360" w:lineRule="auto"/>
      <w:ind w:firstLine="200" w:firstLineChars="200"/>
    </w:pPr>
    <w:rPr>
      <w:rFonts w:hAnsi="宋体" w:cs="宋体"/>
      <w:spacing w:val="0"/>
      <w:sz w:val="24"/>
      <w:szCs w:val="24"/>
    </w:rPr>
  </w:style>
  <w:style w:type="paragraph" w:customStyle="1" w:styleId="10">
    <w:name w:val="Body Text First Indent"/>
    <w:basedOn w:val="11"/>
    <w:next w:val="1"/>
    <w:qFormat/>
    <w:uiPriority w:val="0"/>
    <w:pPr>
      <w:widowControl w:val="0"/>
      <w:tabs>
        <w:tab w:val="left" w:pos="480"/>
      </w:tabs>
      <w:spacing w:after="120"/>
      <w:ind w:firstLine="420"/>
      <w:jc w:val="both"/>
    </w:pPr>
    <w:rPr>
      <w:rFonts w:ascii="Times New Roman" w:hAnsi="Times New Roman" w:eastAsia="宋体" w:cs="Times New Roman"/>
      <w:sz w:val="21"/>
      <w:szCs w:val="22"/>
      <w:lang w:val="en-US" w:eastAsia="zh-CN" w:bidi="ar-SA"/>
    </w:rPr>
  </w:style>
  <w:style w:type="paragraph" w:styleId="11">
    <w:name w:val="Body Text"/>
    <w:basedOn w:val="1"/>
    <w:qFormat/>
    <w:uiPriority w:val="0"/>
    <w:pPr>
      <w:tabs>
        <w:tab w:val="left" w:pos="480"/>
      </w:tabs>
      <w:spacing w:after="120"/>
    </w:pPr>
  </w:style>
  <w:style w:type="paragraph" w:styleId="12">
    <w:name w:val="Document Map"/>
    <w:basedOn w:val="1"/>
    <w:link w:val="39"/>
    <w:unhideWhenUsed/>
    <w:qFormat/>
    <w:uiPriority w:val="0"/>
    <w:rPr>
      <w:rFonts w:cs="Times New Roman"/>
      <w:sz w:val="18"/>
      <w:szCs w:val="18"/>
    </w:rPr>
  </w:style>
  <w:style w:type="paragraph" w:styleId="13">
    <w:name w:val="annotation text"/>
    <w:basedOn w:val="1"/>
    <w:link w:val="40"/>
    <w:unhideWhenUsed/>
    <w:qFormat/>
    <w:uiPriority w:val="99"/>
    <w:rPr>
      <w:rFonts w:cs="Times New Roman"/>
    </w:rPr>
  </w:style>
  <w:style w:type="paragraph" w:styleId="14">
    <w:name w:val="Plain Text"/>
    <w:basedOn w:val="1"/>
    <w:link w:val="41"/>
    <w:qFormat/>
    <w:uiPriority w:val="0"/>
    <w:pPr>
      <w:snapToGrid/>
      <w:spacing w:line="240" w:lineRule="auto"/>
      <w:ind w:firstLine="0" w:firstLineChars="0"/>
      <w:jc w:val="both"/>
    </w:pPr>
    <w:rPr>
      <w:rFonts w:hAnsi="Courier New" w:cs="Times New Roman"/>
      <w:bCs w:val="0"/>
    </w:rPr>
  </w:style>
  <w:style w:type="paragraph" w:styleId="15">
    <w:name w:val="Balloon Text"/>
    <w:basedOn w:val="1"/>
    <w:link w:val="42"/>
    <w:unhideWhenUsed/>
    <w:qFormat/>
    <w:uiPriority w:val="0"/>
    <w:pPr>
      <w:spacing w:line="240" w:lineRule="auto"/>
    </w:pPr>
    <w:rPr>
      <w:rFonts w:cs="Times New Roman"/>
      <w:sz w:val="18"/>
      <w:szCs w:val="18"/>
    </w:rPr>
  </w:style>
  <w:style w:type="paragraph" w:styleId="16">
    <w:name w:val="footer"/>
    <w:basedOn w:val="1"/>
    <w:link w:val="43"/>
    <w:unhideWhenUsed/>
    <w:qFormat/>
    <w:uiPriority w:val="99"/>
    <w:pPr>
      <w:tabs>
        <w:tab w:val="center" w:pos="4153"/>
        <w:tab w:val="right" w:pos="8306"/>
      </w:tabs>
    </w:pPr>
    <w:rPr>
      <w:rFonts w:ascii="Calibri" w:hAnsi="Calibri" w:cs="Times New Roman"/>
      <w:bCs w:val="0"/>
      <w:kern w:val="0"/>
      <w:sz w:val="18"/>
      <w:szCs w:val="18"/>
    </w:rPr>
  </w:style>
  <w:style w:type="paragraph" w:styleId="17">
    <w:name w:val="header"/>
    <w:basedOn w:val="1"/>
    <w:link w:val="44"/>
    <w:unhideWhenUsed/>
    <w:qFormat/>
    <w:uiPriority w:val="99"/>
    <w:pPr>
      <w:pBdr>
        <w:bottom w:val="single" w:color="auto" w:sz="6" w:space="1"/>
      </w:pBdr>
      <w:tabs>
        <w:tab w:val="center" w:pos="4153"/>
        <w:tab w:val="right" w:pos="8306"/>
      </w:tabs>
      <w:jc w:val="center"/>
    </w:pPr>
    <w:rPr>
      <w:rFonts w:ascii="Calibri" w:hAnsi="Calibri" w:cs="Times New Roman"/>
      <w:bCs w:val="0"/>
      <w:kern w:val="0"/>
      <w:sz w:val="18"/>
      <w:szCs w:val="18"/>
    </w:rPr>
  </w:style>
  <w:style w:type="paragraph" w:styleId="18">
    <w:name w:val="Subtitle"/>
    <w:basedOn w:val="1"/>
    <w:next w:val="1"/>
    <w:link w:val="45"/>
    <w:qFormat/>
    <w:uiPriority w:val="11"/>
    <w:pPr>
      <w:spacing w:before="240" w:after="60" w:line="312" w:lineRule="auto"/>
      <w:jc w:val="center"/>
      <w:outlineLvl w:val="1"/>
    </w:pPr>
    <w:rPr>
      <w:rFonts w:ascii="Cambria" w:hAnsi="Cambria" w:cs="Times New Roman"/>
      <w:b/>
      <w:kern w:val="28"/>
      <w:sz w:val="32"/>
      <w:szCs w:val="32"/>
    </w:rPr>
  </w:style>
  <w:style w:type="paragraph" w:styleId="19">
    <w:name w:val="Normal (Web)"/>
    <w:basedOn w:val="1"/>
    <w:qFormat/>
    <w:uiPriority w:val="0"/>
    <w:pPr>
      <w:spacing w:beforeAutospacing="1" w:afterAutospacing="1"/>
    </w:pPr>
    <w:rPr>
      <w:rFonts w:cs="Times New Roman"/>
      <w:kern w:val="0"/>
      <w:sz w:val="24"/>
    </w:rPr>
  </w:style>
  <w:style w:type="paragraph" w:styleId="20">
    <w:name w:val="Title"/>
    <w:basedOn w:val="1"/>
    <w:next w:val="1"/>
    <w:link w:val="46"/>
    <w:qFormat/>
    <w:uiPriority w:val="10"/>
    <w:pPr>
      <w:spacing w:before="240" w:after="60"/>
      <w:jc w:val="center"/>
      <w:outlineLvl w:val="0"/>
    </w:pPr>
    <w:rPr>
      <w:rFonts w:ascii="Cambria" w:hAnsi="Cambria" w:cs="Times New Roman"/>
      <w:b/>
      <w:sz w:val="32"/>
      <w:szCs w:val="32"/>
    </w:rPr>
  </w:style>
  <w:style w:type="paragraph" w:styleId="21">
    <w:name w:val="annotation subject"/>
    <w:basedOn w:val="13"/>
    <w:next w:val="13"/>
    <w:link w:val="47"/>
    <w:unhideWhenUsed/>
    <w:qFormat/>
    <w:uiPriority w:val="99"/>
    <w:rPr>
      <w:rFonts w:ascii="Calibri" w:hAnsi="Calibri"/>
      <w:b/>
      <w:bCs w:val="0"/>
      <w:kern w:val="0"/>
      <w:sz w:val="20"/>
      <w:szCs w:val="20"/>
    </w:rPr>
  </w:style>
  <w:style w:type="table" w:styleId="23">
    <w:name w:val="Table Grid"/>
    <w:basedOn w:val="22"/>
    <w:qFormat/>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qFormat/>
    <w:uiPriority w:val="0"/>
  </w:style>
  <w:style w:type="character" w:styleId="26">
    <w:name w:val="Hyperlink"/>
    <w:qFormat/>
    <w:uiPriority w:val="0"/>
    <w:rPr>
      <w:color w:val="000000"/>
      <w:u w:val="none"/>
    </w:rPr>
  </w:style>
  <w:style w:type="character" w:styleId="27">
    <w:name w:val="annotation reference"/>
    <w:unhideWhenUsed/>
    <w:qFormat/>
    <w:uiPriority w:val="0"/>
    <w:rPr>
      <w:sz w:val="21"/>
      <w:szCs w:val="21"/>
    </w:rPr>
  </w:style>
  <w:style w:type="paragraph" w:customStyle="1" w:styleId="28">
    <w:name w:val="0表格-正文"/>
    <w:qFormat/>
    <w:uiPriority w:val="0"/>
    <w:pPr>
      <w:widowControl w:val="0"/>
      <w:adjustRightInd w:val="0"/>
      <w:snapToGrid w:val="0"/>
      <w:spacing w:before="0" w:beforeAutospacing="0" w:after="0" w:afterAutospacing="0" w:line="240" w:lineRule="auto"/>
      <w:ind w:firstLine="0" w:firstLineChars="0"/>
      <w:jc w:val="center"/>
    </w:pPr>
    <w:rPr>
      <w:rFonts w:ascii="Times New Roman" w:hAnsi="Times New Roman" w:eastAsia="宋体" w:cs="Times New Roman"/>
      <w:kern w:val="2"/>
      <w:sz w:val="24"/>
      <w:szCs w:val="24"/>
    </w:rPr>
  </w:style>
  <w:style w:type="paragraph" w:customStyle="1" w:styleId="29">
    <w:name w:val="表格内"/>
    <w:basedOn w:val="1"/>
    <w:qFormat/>
    <w:uiPriority w:val="0"/>
    <w:pPr>
      <w:widowControl/>
      <w:adjustRightInd w:val="0"/>
      <w:snapToGrid w:val="0"/>
      <w:spacing w:after="200" w:line="360" w:lineRule="exact"/>
      <w:jc w:val="center"/>
    </w:pPr>
    <w:rPr>
      <w:rFonts w:eastAsia="微软雅黑"/>
      <w:kern w:val="0"/>
      <w:sz w:val="22"/>
      <w:szCs w:val="22"/>
    </w:rPr>
  </w:style>
  <w:style w:type="paragraph" w:customStyle="1" w:styleId="30">
    <w:name w:val="样式 正文文本缩进 + 行距: 1.5 倍行距"/>
    <w:qFormat/>
    <w:uiPriority w:val="0"/>
    <w:pPr>
      <w:spacing w:line="360" w:lineRule="auto"/>
      <w:ind w:firstLine="560"/>
    </w:pPr>
    <w:rPr>
      <w:rFonts w:ascii="Times New Roman" w:hAnsi="Times New Roman" w:eastAsia="宋体" w:cs="宋体"/>
      <w:bCs/>
      <w:sz w:val="28"/>
    </w:rPr>
  </w:style>
  <w:style w:type="character" w:customStyle="1" w:styleId="31">
    <w:name w:val="标题 1 Char"/>
    <w:link w:val="2"/>
    <w:qFormat/>
    <w:uiPriority w:val="9"/>
    <w:rPr>
      <w:rFonts w:ascii="Times New Roman" w:hAnsi="Times New Roman" w:eastAsia="宋体"/>
      <w:b/>
      <w:bCs/>
      <w:kern w:val="21"/>
      <w:sz w:val="28"/>
      <w:szCs w:val="28"/>
      <w:lang w:val="en-US" w:eastAsia="zh-CN" w:bidi="ar-SA"/>
    </w:rPr>
  </w:style>
  <w:style w:type="character" w:customStyle="1" w:styleId="32">
    <w:name w:val="标题 4 Char"/>
    <w:link w:val="5"/>
    <w:qFormat/>
    <w:uiPriority w:val="9"/>
    <w:rPr>
      <w:rFonts w:ascii="Times New Roman" w:hAnsi="Times New Roman" w:eastAsia="宋体"/>
      <w:b/>
      <w:bCs/>
      <w:kern w:val="2"/>
      <w:sz w:val="24"/>
      <w:szCs w:val="24"/>
      <w:lang w:val="en-US" w:eastAsia="zh-CN" w:bidi="ar-SA"/>
    </w:rPr>
  </w:style>
  <w:style w:type="character" w:customStyle="1" w:styleId="33">
    <w:name w:val="标题 3 Char"/>
    <w:link w:val="4"/>
    <w:qFormat/>
    <w:uiPriority w:val="9"/>
    <w:rPr>
      <w:rFonts w:ascii="Times New Roman" w:hAnsi="Times New Roman" w:eastAsia="宋体"/>
      <w:b/>
      <w:bCs/>
      <w:kern w:val="2"/>
      <w:sz w:val="24"/>
      <w:szCs w:val="24"/>
      <w:lang w:val="en-US" w:eastAsia="zh-CN" w:bidi="ar-SA"/>
    </w:rPr>
  </w:style>
  <w:style w:type="paragraph" w:customStyle="1" w:styleId="34">
    <w:name w:val="【表内文字-两端对齐】"/>
    <w:qFormat/>
    <w:uiPriority w:val="0"/>
    <w:pPr>
      <w:widowControl w:val="0"/>
      <w:adjustRightInd w:val="0"/>
      <w:snapToGrid w:val="0"/>
      <w:spacing w:line="240" w:lineRule="auto"/>
      <w:ind w:firstLine="0" w:firstLineChars="0"/>
      <w:jc w:val="both"/>
    </w:pPr>
    <w:rPr>
      <w:rFonts w:ascii="Times New Roman" w:hAnsi="Times New Roman" w:eastAsia="宋体" w:cstheme="minorBidi"/>
      <w:kern w:val="21"/>
      <w:sz w:val="21"/>
      <w:szCs w:val="21"/>
    </w:rPr>
  </w:style>
  <w:style w:type="character" w:customStyle="1" w:styleId="35">
    <w:name w:val="标题 2 Char"/>
    <w:link w:val="3"/>
    <w:qFormat/>
    <w:uiPriority w:val="9"/>
    <w:rPr>
      <w:rFonts w:ascii="Times New Roman" w:hAnsi="Times New Roman" w:eastAsia="宋体"/>
      <w:b/>
      <w:bCs/>
      <w:kern w:val="2"/>
      <w:sz w:val="24"/>
      <w:szCs w:val="24"/>
    </w:rPr>
  </w:style>
  <w:style w:type="paragraph" w:customStyle="1" w:styleId="36">
    <w:name w:val="【表名称】"/>
    <w:qFormat/>
    <w:uiPriority w:val="0"/>
    <w:pPr>
      <w:wordWrap w:val="0"/>
      <w:topLinePunct/>
      <w:adjustRightInd w:val="0"/>
      <w:snapToGrid w:val="0"/>
      <w:spacing w:before="50" w:beforeLines="50"/>
      <w:jc w:val="center"/>
    </w:pPr>
    <w:rPr>
      <w:rFonts w:ascii="宋体" w:hAnsi="宋体" w:eastAsia="宋体" w:cs="宋体"/>
      <w:b/>
      <w:kern w:val="2"/>
      <w:sz w:val="21"/>
      <w:szCs w:val="21"/>
      <w:lang w:val="en-US" w:eastAsia="zh-CN" w:bidi="ar-SA"/>
    </w:rPr>
  </w:style>
  <w:style w:type="paragraph" w:customStyle="1" w:styleId="37">
    <w:name w:val="【图格式】"/>
    <w:next w:val="6"/>
    <w:qFormat/>
    <w:uiPriority w:val="0"/>
    <w:pPr>
      <w:adjustRightInd w:val="0"/>
      <w:snapToGrid w:val="0"/>
      <w:jc w:val="center"/>
    </w:pPr>
    <w:rPr>
      <w:rFonts w:ascii="宋体" w:hAnsi="宋体" w:eastAsia="宋体" w:cs="Times New Roman"/>
      <w:b/>
      <w:kern w:val="2"/>
      <w:sz w:val="24"/>
      <w:szCs w:val="22"/>
      <w:lang w:val="en-US" w:eastAsia="zh-CN" w:bidi="ar-SA"/>
    </w:rPr>
  </w:style>
  <w:style w:type="character" w:customStyle="1" w:styleId="38">
    <w:name w:val="标题 5 Char"/>
    <w:link w:val="7"/>
    <w:qFormat/>
    <w:uiPriority w:val="9"/>
    <w:rPr>
      <w:rFonts w:ascii="宋体" w:hAnsi="宋体" w:cs="宋体"/>
      <w:b/>
      <w:bCs/>
      <w:kern w:val="2"/>
      <w:sz w:val="28"/>
      <w:szCs w:val="28"/>
    </w:rPr>
  </w:style>
  <w:style w:type="character" w:customStyle="1" w:styleId="39">
    <w:name w:val="文档结构图 Char"/>
    <w:link w:val="12"/>
    <w:qFormat/>
    <w:uiPriority w:val="0"/>
    <w:rPr>
      <w:rFonts w:ascii="宋体" w:hAnsi="宋体" w:cs="宋体"/>
      <w:bCs/>
      <w:kern w:val="2"/>
      <w:sz w:val="18"/>
      <w:szCs w:val="18"/>
    </w:rPr>
  </w:style>
  <w:style w:type="character" w:customStyle="1" w:styleId="40">
    <w:name w:val="批注文字 Char"/>
    <w:link w:val="13"/>
    <w:semiHidden/>
    <w:qFormat/>
    <w:uiPriority w:val="99"/>
    <w:rPr>
      <w:rFonts w:ascii="宋体" w:hAnsi="宋体" w:cs="宋体"/>
      <w:bCs/>
      <w:kern w:val="2"/>
      <w:sz w:val="21"/>
      <w:szCs w:val="21"/>
    </w:rPr>
  </w:style>
  <w:style w:type="character" w:customStyle="1" w:styleId="41">
    <w:name w:val="纯文本 Char"/>
    <w:link w:val="14"/>
    <w:qFormat/>
    <w:uiPriority w:val="0"/>
    <w:rPr>
      <w:rFonts w:ascii="宋体" w:hAnsi="Courier New" w:cs="Courier New"/>
      <w:kern w:val="2"/>
      <w:sz w:val="21"/>
      <w:szCs w:val="21"/>
    </w:rPr>
  </w:style>
  <w:style w:type="character" w:customStyle="1" w:styleId="42">
    <w:name w:val="批注框文本 Char"/>
    <w:link w:val="15"/>
    <w:qFormat/>
    <w:uiPriority w:val="0"/>
    <w:rPr>
      <w:rFonts w:ascii="宋体" w:hAnsi="宋体" w:cs="宋体"/>
      <w:bCs/>
      <w:kern w:val="2"/>
      <w:sz w:val="18"/>
      <w:szCs w:val="18"/>
    </w:rPr>
  </w:style>
  <w:style w:type="character" w:customStyle="1" w:styleId="43">
    <w:name w:val="页脚 Char"/>
    <w:link w:val="16"/>
    <w:qFormat/>
    <w:uiPriority w:val="99"/>
    <w:rPr>
      <w:sz w:val="18"/>
      <w:szCs w:val="18"/>
    </w:rPr>
  </w:style>
  <w:style w:type="character" w:customStyle="1" w:styleId="44">
    <w:name w:val="页眉 Char"/>
    <w:link w:val="17"/>
    <w:qFormat/>
    <w:uiPriority w:val="99"/>
    <w:rPr>
      <w:sz w:val="18"/>
      <w:szCs w:val="18"/>
    </w:rPr>
  </w:style>
  <w:style w:type="character" w:customStyle="1" w:styleId="45">
    <w:name w:val="副标题 Char"/>
    <w:link w:val="18"/>
    <w:qFormat/>
    <w:uiPriority w:val="11"/>
    <w:rPr>
      <w:rFonts w:ascii="Cambria" w:hAnsi="Cambria" w:eastAsia="宋体" w:cs="Times New Roman"/>
      <w:b/>
      <w:bCs/>
      <w:kern w:val="28"/>
      <w:sz w:val="32"/>
      <w:szCs w:val="32"/>
    </w:rPr>
  </w:style>
  <w:style w:type="character" w:customStyle="1" w:styleId="46">
    <w:name w:val="标题 Char"/>
    <w:link w:val="20"/>
    <w:qFormat/>
    <w:uiPriority w:val="10"/>
    <w:rPr>
      <w:rFonts w:ascii="Cambria" w:hAnsi="Cambria" w:cs="Times New Roman"/>
      <w:b/>
      <w:bCs/>
      <w:kern w:val="2"/>
      <w:sz w:val="32"/>
      <w:szCs w:val="32"/>
    </w:rPr>
  </w:style>
  <w:style w:type="character" w:customStyle="1" w:styleId="47">
    <w:name w:val="批注主题 Char"/>
    <w:link w:val="21"/>
    <w:semiHidden/>
    <w:qFormat/>
    <w:uiPriority w:val="99"/>
    <w:rPr>
      <w:b/>
    </w:rPr>
  </w:style>
  <w:style w:type="paragraph" w:customStyle="1" w:styleId="48">
    <w:name w:val="扉页1名称"/>
    <w:qFormat/>
    <w:uiPriority w:val="0"/>
    <w:pPr>
      <w:adjustRightInd w:val="0"/>
      <w:snapToGrid w:val="0"/>
      <w:spacing w:line="360" w:lineRule="auto"/>
      <w:jc w:val="center"/>
    </w:pPr>
    <w:rPr>
      <w:rFonts w:ascii="Calibri" w:hAnsi="Calibri" w:eastAsia="宋体" w:cs="Times New Roman"/>
      <w:kern w:val="2"/>
      <w:sz w:val="36"/>
      <w:szCs w:val="22"/>
      <w:lang w:val="en-US" w:eastAsia="zh-CN" w:bidi="ar-SA"/>
    </w:rPr>
  </w:style>
  <w:style w:type="paragraph" w:customStyle="1" w:styleId="49">
    <w:name w:val="扉页1责任"/>
    <w:qFormat/>
    <w:uiPriority w:val="0"/>
    <w:pPr>
      <w:adjustRightInd w:val="0"/>
      <w:snapToGrid w:val="0"/>
      <w:spacing w:line="360" w:lineRule="auto"/>
    </w:pPr>
    <w:rPr>
      <w:rFonts w:ascii="宋体" w:hAnsi="Calibri" w:eastAsia="宋体" w:cs="Times New Roman"/>
      <w:kern w:val="2"/>
      <w:sz w:val="32"/>
      <w:szCs w:val="22"/>
      <w:lang w:val="en-US" w:eastAsia="zh-CN" w:bidi="ar-SA"/>
    </w:rPr>
  </w:style>
  <w:style w:type="paragraph" w:customStyle="1" w:styleId="50">
    <w:name w:val="文本"/>
    <w:qFormat/>
    <w:uiPriority w:val="0"/>
    <w:pPr>
      <w:adjustRightInd w:val="0"/>
      <w:snapToGrid w:val="0"/>
      <w:spacing w:line="360" w:lineRule="auto"/>
      <w:ind w:firstLine="420" w:firstLineChars="200"/>
      <w:jc w:val="both"/>
    </w:pPr>
    <w:rPr>
      <w:rFonts w:ascii="宋体" w:hAnsi="宋体" w:eastAsia="宋体" w:cs="Times New Roman"/>
      <w:bCs/>
      <w:kern w:val="2"/>
      <w:sz w:val="21"/>
      <w:szCs w:val="22"/>
      <w:lang w:val="en-US" w:eastAsia="zh-CN" w:bidi="ar-SA"/>
    </w:rPr>
  </w:style>
  <w:style w:type="paragraph" w:customStyle="1" w:styleId="51">
    <w:name w:val="备注"/>
    <w:basedOn w:val="50"/>
    <w:link w:val="66"/>
    <w:qFormat/>
    <w:uiPriority w:val="0"/>
    <w:pPr>
      <w:spacing w:line="240" w:lineRule="auto"/>
      <w:ind w:firstLine="0" w:firstLineChars="0"/>
    </w:pPr>
    <w:rPr>
      <w:rFonts w:ascii="宋体" w:hAnsi="宋体" w:eastAsia="宋体"/>
      <w:lang w:bidi="zh-TW"/>
    </w:rPr>
  </w:style>
  <w:style w:type="table" w:customStyle="1" w:styleId="52">
    <w:name w:val="Table Normal"/>
    <w:unhideWhenUsed/>
    <w:qFormat/>
    <w:uiPriority w:val="0"/>
    <w:rPr>
      <w:rFonts w:ascii="Times New Roman" w:hAnsi="Times New Roman"/>
    </w:rPr>
    <w:tblPr>
      <w:tblCellMar>
        <w:top w:w="0" w:type="dxa"/>
        <w:left w:w="0" w:type="dxa"/>
        <w:bottom w:w="0" w:type="dxa"/>
        <w:right w:w="0" w:type="dxa"/>
      </w:tblCellMar>
    </w:tblPr>
  </w:style>
  <w:style w:type="paragraph" w:customStyle="1" w:styleId="53">
    <w:name w:val="3磅"/>
    <w:qFormat/>
    <w:uiPriority w:val="0"/>
    <w:pPr>
      <w:adjustRightInd w:val="0"/>
      <w:snapToGrid w:val="0"/>
      <w:spacing w:line="60" w:lineRule="exact"/>
      <w:ind w:firstLine="420" w:firstLineChars="200"/>
    </w:pPr>
    <w:rPr>
      <w:rFonts w:ascii="宋体" w:hAnsi="Calibri" w:eastAsia="宋体" w:cs="Times New Roman"/>
      <w:bCs/>
      <w:kern w:val="2"/>
      <w:sz w:val="21"/>
      <w:szCs w:val="22"/>
      <w:lang w:val="en-US" w:eastAsia="zh-CN" w:bidi="ar-SA"/>
    </w:rPr>
  </w:style>
  <w:style w:type="paragraph" w:customStyle="1" w:styleId="54">
    <w:name w:val="公式说明"/>
    <w:basedOn w:val="50"/>
    <w:qFormat/>
    <w:uiPriority w:val="0"/>
    <w:pPr>
      <w:ind w:firstLine="500" w:firstLineChars="500"/>
    </w:pPr>
    <w:rPr>
      <w:i/>
      <w:iCs/>
    </w:rPr>
  </w:style>
  <w:style w:type="paragraph" w:customStyle="1" w:styleId="55">
    <w:name w:val="WPSOffice手动目录 1"/>
    <w:qFormat/>
    <w:uiPriority w:val="0"/>
    <w:rPr>
      <w:rFonts w:ascii="Calibri" w:hAnsi="Calibri" w:eastAsia="宋体" w:cs="Times New Roman"/>
      <w:lang w:val="en-US" w:eastAsia="zh-CN" w:bidi="ar-SA"/>
    </w:rPr>
  </w:style>
  <w:style w:type="character" w:customStyle="1" w:styleId="56">
    <w:name w:val="【正文】 Char1"/>
    <w:link w:val="6"/>
    <w:qFormat/>
    <w:uiPriority w:val="0"/>
    <w:rPr>
      <w:rFonts w:ascii="Times New Roman" w:hAnsi="Times New Roman" w:eastAsia="宋体" w:cs="宋体"/>
      <w:kern w:val="21"/>
      <w:sz w:val="24"/>
      <w:szCs w:val="24"/>
    </w:rPr>
  </w:style>
  <w:style w:type="paragraph" w:customStyle="1" w:styleId="57">
    <w:name w:val="【表中文字-居中】"/>
    <w:next w:val="6"/>
    <w:qFormat/>
    <w:uiPriority w:val="0"/>
    <w:pPr>
      <w:widowControl w:val="0"/>
      <w:adjustRightInd w:val="0"/>
      <w:snapToGrid w:val="0"/>
      <w:spacing w:line="240" w:lineRule="auto"/>
      <w:ind w:firstLine="0" w:firstLineChars="0"/>
      <w:jc w:val="center"/>
    </w:pPr>
    <w:rPr>
      <w:rFonts w:ascii="Times New Roman" w:hAnsi="Times New Roman" w:eastAsia="宋体" w:cs="Times New Roman"/>
      <w:kern w:val="21"/>
      <w:sz w:val="21"/>
      <w:szCs w:val="21"/>
      <w:lang w:val="zh-CN"/>
    </w:rPr>
  </w:style>
  <w:style w:type="paragraph" w:customStyle="1" w:styleId="58">
    <w:name w:val="【表中文字】"/>
    <w:next w:val="6"/>
    <w:qFormat/>
    <w:uiPriority w:val="0"/>
    <w:pPr>
      <w:adjustRightInd w:val="0"/>
      <w:snapToGrid w:val="0"/>
      <w:spacing w:line="240" w:lineRule="auto"/>
      <w:ind w:firstLine="0" w:firstLineChars="0"/>
      <w:jc w:val="center"/>
    </w:pPr>
    <w:rPr>
      <w:rFonts w:ascii="Times New Roman" w:hAnsi="Times New Roman" w:eastAsia="宋体" w:cs="Times New Roman"/>
      <w:kern w:val="21"/>
      <w:sz w:val="21"/>
      <w:szCs w:val="21"/>
      <w:lang w:val="zh-CN"/>
    </w:rPr>
  </w:style>
  <w:style w:type="character" w:customStyle="1" w:styleId="59">
    <w:name w:val="【正文】 Char"/>
    <w:link w:val="6"/>
    <w:qFormat/>
    <w:uiPriority w:val="0"/>
    <w:rPr>
      <w:rFonts w:ascii="Times New Roman" w:hAnsi="Times New Roman" w:eastAsia="宋体" w:cs="宋体"/>
      <w:kern w:val="21"/>
      <w:sz w:val="24"/>
      <w:szCs w:val="24"/>
    </w:rPr>
  </w:style>
  <w:style w:type="character" w:customStyle="1" w:styleId="60">
    <w:name w:val="font21"/>
    <w:basedOn w:val="24"/>
    <w:qFormat/>
    <w:uiPriority w:val="0"/>
    <w:rPr>
      <w:rFonts w:hint="default" w:ascii="Times New Roman" w:hAnsi="Times New Roman" w:cs="Times New Roman"/>
      <w:color w:val="000000"/>
      <w:sz w:val="21"/>
      <w:szCs w:val="21"/>
      <w:u w:val="none"/>
    </w:rPr>
  </w:style>
  <w:style w:type="character" w:customStyle="1" w:styleId="61">
    <w:name w:val="font11"/>
    <w:basedOn w:val="24"/>
    <w:qFormat/>
    <w:uiPriority w:val="0"/>
    <w:rPr>
      <w:rFonts w:hint="eastAsia" w:ascii="宋体" w:hAnsi="宋体" w:eastAsia="宋体" w:cs="宋体"/>
      <w:color w:val="000000"/>
      <w:sz w:val="21"/>
      <w:szCs w:val="21"/>
      <w:u w:val="none"/>
    </w:rPr>
  </w:style>
  <w:style w:type="paragraph" w:customStyle="1" w:styleId="62">
    <w:name w:val="图格式"/>
    <w:qFormat/>
    <w:uiPriority w:val="0"/>
    <w:pPr>
      <w:adjustRightInd w:val="0"/>
      <w:snapToGrid w:val="0"/>
      <w:spacing w:line="360" w:lineRule="auto"/>
      <w:jc w:val="center"/>
    </w:pPr>
    <w:rPr>
      <w:rFonts w:ascii="宋体" w:hAnsi="Calibri" w:eastAsia="宋体" w:cs="Times New Roman"/>
      <w:b/>
      <w:kern w:val="2"/>
      <w:sz w:val="24"/>
      <w:szCs w:val="22"/>
      <w:lang w:val="en-US" w:eastAsia="zh-CN" w:bidi="ar-SA"/>
    </w:rPr>
  </w:style>
  <w:style w:type="paragraph" w:customStyle="1" w:styleId="63">
    <w:name w:val="表内居中"/>
    <w:qFormat/>
    <w:uiPriority w:val="0"/>
    <w:pPr>
      <w:adjustRightInd w:val="0"/>
      <w:snapToGrid w:val="0"/>
      <w:jc w:val="center"/>
    </w:pPr>
    <w:rPr>
      <w:rFonts w:cs="仿宋_GB2312" w:asciiTheme="minorEastAsia" w:hAnsiTheme="minorEastAsia" w:eastAsiaTheme="minorEastAsia"/>
      <w:spacing w:val="-2"/>
      <w:sz w:val="21"/>
      <w:szCs w:val="21"/>
      <w:lang w:val="en-US" w:eastAsia="zh-CN" w:bidi="zh-TW"/>
    </w:rPr>
  </w:style>
  <w:style w:type="paragraph" w:customStyle="1" w:styleId="64">
    <w:name w:val="1正文段落"/>
    <w:basedOn w:val="1"/>
    <w:qFormat/>
    <w:uiPriority w:val="0"/>
    <w:pPr>
      <w:spacing w:line="360" w:lineRule="auto"/>
      <w:ind w:firstLine="480" w:firstLineChars="200"/>
      <w:jc w:val="left"/>
    </w:pPr>
    <w:rPr>
      <w:snapToGrid w:val="0"/>
      <w:kern w:val="0"/>
      <w:sz w:val="24"/>
    </w:rPr>
  </w:style>
  <w:style w:type="paragraph" w:customStyle="1" w:styleId="65">
    <w:name w:val="【图片格式】"/>
    <w:next w:val="6"/>
    <w:qFormat/>
    <w:uiPriority w:val="0"/>
    <w:pPr>
      <w:widowControl w:val="0"/>
      <w:adjustRightInd w:val="0"/>
      <w:snapToGrid w:val="0"/>
      <w:spacing w:line="240" w:lineRule="auto"/>
      <w:ind w:firstLine="0" w:firstLineChars="0"/>
      <w:jc w:val="center"/>
    </w:pPr>
    <w:rPr>
      <w:rFonts w:ascii="Times New Roman" w:hAnsi="Times New Roman" w:eastAsia="宋体" w:cs="Times New Roman"/>
      <w:kern w:val="21"/>
      <w:sz w:val="24"/>
      <w:szCs w:val="24"/>
      <w:lang w:val="en-US" w:eastAsia="zh-CN" w:bidi="ar-SA"/>
    </w:rPr>
  </w:style>
  <w:style w:type="character" w:customStyle="1" w:styleId="66">
    <w:name w:val="备注 Char"/>
    <w:link w:val="51"/>
    <w:qFormat/>
    <w:uiPriority w:val="0"/>
    <w:rPr>
      <w:rFonts w:ascii="宋体" w:hAnsi="宋体" w:eastAsia="宋体"/>
      <w:lang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customXml" Target="../customXml/item3.xml"/><Relationship Id="rId51" Type="http://schemas.openxmlformats.org/officeDocument/2006/relationships/customXml" Target="../customXml/item2.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wmf"/><Relationship Id="rId35" Type="http://schemas.openxmlformats.org/officeDocument/2006/relationships/oleObject" Target="embeddings/oleObject3.bin"/><Relationship Id="rId34" Type="http://schemas.openxmlformats.org/officeDocument/2006/relationships/image" Target="media/image18.png"/><Relationship Id="rId33" Type="http://schemas.openxmlformats.org/officeDocument/2006/relationships/image" Target="media/image17.jpeg"/><Relationship Id="rId32" Type="http://schemas.openxmlformats.org/officeDocument/2006/relationships/image" Target="media/image16.emf"/><Relationship Id="rId31" Type="http://schemas.openxmlformats.org/officeDocument/2006/relationships/oleObject" Target="embeddings/oleObject2.bin"/><Relationship Id="rId30" Type="http://schemas.openxmlformats.org/officeDocument/2006/relationships/image" Target="media/image15.emf"/><Relationship Id="rId3" Type="http://schemas.openxmlformats.org/officeDocument/2006/relationships/footnotes" Target="footnotes.xml"/><Relationship Id="rId29" Type="http://schemas.openxmlformats.org/officeDocument/2006/relationships/oleObject" Target="embeddings/oleObject1.bin"/><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0080;&#21512;&#24067;&#25308;\1&#20219;&#21153;\&#20854;&#20182;\&#22825;&#26222;&#24535;&#35802;--&#25253;&#21578;&#20070;---&#27169;&#26495;&#25991;&#2672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94" textRotate="1"/>
    <customShpInfo spid="_x0000_s3095" textRotate="1"/>
    <customShpInfo spid="_x0000_s2053"/>
    <customShpInfo spid="_x0000_s2057"/>
    <customShpInfo spid="_x0000_s2056"/>
    <customShpInfo spid="_x0000_s2059"/>
  </customShpExts>
</s:customData>
</file>

<file path=customXml/item2.xml><?xml version="1.0" encoding="utf-8"?>
<contractReview xmlns="http://schemas.wps.cn/vas-ai-hub/contract-review">
  <reviewItems>
    <reviewItem>
      <errorID>77257e3c-4195-4c14-8b54-f7a21aecdeb8</errorID>
      <errorWord>.</errorWord>
      <group>L1_Punc</group>
      <groupName>标点问题</groupName>
      <ability>L2_Punc</ability>
      <abilityName>标点符号检查</abilityName>
      <candidateList/>
      <explain/>
      <paraID> DB3653E</paraID>
      <start>0</start>
      <end>1</end>
      <status>unmodified</status>
      <modifiedWord/>
      <trackRevisions>false</trackRevisions>
    </reviewItem>
    <reviewItem>
      <errorID>2071d880-caad-4af8-8fb1-f8afd2041343</errorID>
      <errorWord>(</errorWord>
      <group>L1_Format</group>
      <groupName>格式问题</groupName>
      <ability>L2_HalfPunc</ability>
      <abilityName>全半角检查</abilityName>
      <candidateList>
        <item>（</item>
      </candidateList>
      <explain>文本全半角错误。</explain>
      <paraID>4149A14B</paraID>
      <start>26</start>
      <end>27</end>
      <status>unmodified</status>
      <modifiedWord/>
      <trackRevisions>false</trackRevisions>
    </reviewItem>
    <reviewItem>
      <errorID>3c7f6075-e230-4af4-829c-9f0b991ee28f</errorID>
      <errorWord>)</errorWord>
      <group>L1_Format</group>
      <groupName>格式问题</groupName>
      <ability>L2_HalfPunc</ability>
      <abilityName>全半角检查</abilityName>
      <candidateList>
        <item>）</item>
      </candidateList>
      <explain>文本全半角错误。</explain>
      <paraID>4149A14B</paraID>
      <start>33</start>
      <end>34</end>
      <status>unmodified</status>
      <modifiedWord/>
      <trackRevisions>false</trackRevisions>
    </reviewItem>
    <reviewItem>
      <errorID>b19cad74-4907-4238-b0a4-aba789429202</errorID>
      <errorWord>(</errorWord>
      <group>L1_Format</group>
      <groupName>格式问题</groupName>
      <ability>L2_HalfPunc</ability>
      <abilityName>全半角检查</abilityName>
      <candidateList>
        <item>（</item>
      </candidateList>
      <explain>文本全半角错误。</explain>
      <paraID>4149A14B</paraID>
      <start>55</start>
      <end>56</end>
      <status>unmodified</status>
      <modifiedWord/>
      <trackRevisions>false</trackRevisions>
    </reviewItem>
    <reviewItem>
      <errorID>9e1871de-a772-45fc-92bc-ba610fe1b311</errorID>
      <errorWord>)</errorWord>
      <group>L1_Format</group>
      <groupName>格式问题</groupName>
      <ability>L2_HalfPunc</ability>
      <abilityName>全半角检查</abilityName>
      <candidateList>
        <item>）</item>
      </candidateList>
      <explain>文本全半角错误。</explain>
      <paraID>4149A14B</paraID>
      <start>62</start>
      <end>63</end>
      <status>unmodified</status>
      <modifiedWord/>
      <trackRevisions>false</trackRevisions>
    </reviewItem>
    <reviewItem>
      <errorID>383fc17d-b4d9-4309-b1b3-bdfbc824d004</errorID>
      <errorWord>(</errorWord>
      <group>L1_Format</group>
      <groupName>格式问题</groupName>
      <ability>L2_HalfPunc</ability>
      <abilityName>全半角检查</abilityName>
      <candidateList>
        <item>（</item>
      </candidateList>
      <explain>文本全半角错误。</explain>
      <paraID>5B653A06</paraID>
      <start>15</start>
      <end>16</end>
      <status>unmodified</status>
      <modifiedWord/>
      <trackRevisions>false</trackRevisions>
    </reviewItem>
    <reviewItem>
      <errorID>1d64c2be-d4b1-4107-b9bf-8c599a5c0ee9</errorID>
      <errorWord>)</errorWord>
      <group>L1_Format</group>
      <groupName>格式问题</groupName>
      <ability>L2_HalfPunc</ability>
      <abilityName>全半角检查</abilityName>
      <candidateList>
        <item>）</item>
      </candidateList>
      <explain>文本全半角错误。</explain>
      <paraID>5B653A06</paraID>
      <start>22</start>
      <end>23</end>
      <status>unmodified</status>
      <modifiedWord/>
      <trackRevisions>false</trackRevisions>
    </reviewItem>
    <reviewItem>
      <errorID>9466b29a-7795-47c7-9311-a635e890cc51</errorID>
      <errorWord>(</errorWord>
      <group>L1_Format</group>
      <groupName>格式问题</groupName>
      <ability>L2_HalfPunc</ability>
      <abilityName>全半角检查</abilityName>
      <candidateList>
        <item>（</item>
      </candidateList>
      <explain>文本全半角错误。</explain>
      <paraID>5B653A06</paraID>
      <start>44</start>
      <end>45</end>
      <status>unmodified</status>
      <modifiedWord/>
      <trackRevisions>false</trackRevisions>
    </reviewItem>
    <reviewItem>
      <errorID>2f2954a8-ab16-436d-b022-6e1c8bcbf9f7</errorID>
      <errorWord>)</errorWord>
      <group>L1_Format</group>
      <groupName>格式问题</groupName>
      <ability>L2_HalfPunc</ability>
      <abilityName>全半角检查</abilityName>
      <candidateList>
        <item>）</item>
      </candidateList>
      <explain>文本全半角错误。</explain>
      <paraID>5B653A06</paraID>
      <start>51</start>
      <end>52</end>
      <status>unmodified</status>
      <modifiedWord/>
      <trackRevisions>false</trackRevisions>
    </reviewItem>
    <reviewItem>
      <errorID>99403422-2450-45d9-a673-a8c5f58546aa</errorID>
      <errorWord>(</errorWord>
      <group>L1_Format</group>
      <groupName>格式问题</groupName>
      <ability>L2_HalfPunc</ability>
      <abilityName>全半角检查</abilityName>
      <candidateList>
        <item>（</item>
      </candidateList>
      <explain>文本全半角错误。</explain>
      <paraID> 13E8E89</paraID>
      <start>22</start>
      <end>23</end>
      <status>unmodified</status>
      <modifiedWord/>
      <trackRevisions>false</trackRevisions>
    </reviewItem>
    <reviewItem>
      <errorID>25c773ef-12fa-435f-99c9-44e78a57f632</errorID>
      <errorWord>)</errorWord>
      <group>L1_Format</group>
      <groupName>格式问题</groupName>
      <ability>L2_HalfPunc</ability>
      <abilityName>全半角检查</abilityName>
      <candidateList>
        <item>）</item>
      </candidateList>
      <explain>文本全半角错误。</explain>
      <paraID> 13E8E89</paraID>
      <start>24</start>
      <end>25</end>
      <status>unmodified</status>
      <modifiedWord/>
      <trackRevisions>false</trackRevisions>
    </reviewItem>
    <reviewItem>
      <errorID>90a6c7d6-be8b-4fb4-8249-35d4931931a4</errorID>
      <errorWord>(</errorWord>
      <group>L1_Format</group>
      <groupName>格式问题</groupName>
      <ability>L2_HalfPunc</ability>
      <abilityName>全半角检查</abilityName>
      <candidateList>
        <item>（</item>
      </candidateList>
      <explain>文本全半角错误。</explain>
      <paraID> 13E8E89</paraID>
      <start>59</start>
      <end>60</end>
      <status>unmodified</status>
      <modifiedWord/>
      <trackRevisions>false</trackRevisions>
    </reviewItem>
    <reviewItem>
      <errorID>de6a8723-c619-48ec-b95f-815f3b6f516f</errorID>
      <errorWord>)</errorWord>
      <group>L1_Format</group>
      <groupName>格式问题</groupName>
      <ability>L2_HalfPunc</ability>
      <abilityName>全半角检查</abilityName>
      <candidateList>
        <item>）</item>
      </candidateList>
      <explain>文本全半角错误。</explain>
      <paraID> 13E8E89</paraID>
      <start>62</start>
      <end>63</end>
      <status>unmodified</status>
      <modifiedWord/>
      <trackRevisions>false</trackRevisions>
    </reviewItem>
    <reviewItem>
      <errorID>860daa4b-d7d6-446f-9b58-05494c35435f</errorID>
      <errorWord>(</errorWord>
      <group>L1_Format</group>
      <groupName>格式问题</groupName>
      <ability>L2_HalfPunc</ability>
      <abilityName>全半角检查</abilityName>
      <candidateList>
        <item>（</item>
      </candidateList>
      <explain>文本全半角错误。</explain>
      <paraID> 13E8E89</paraID>
      <start>78</start>
      <end>79</end>
      <status>unmodified</status>
      <modifiedWord/>
      <trackRevisions>false</trackRevisions>
    </reviewItem>
    <reviewItem>
      <errorID>b05de4e6-76ef-4f33-9a82-87a79042d55f</errorID>
      <errorWord>)</errorWord>
      <group>L1_Format</group>
      <groupName>格式问题</groupName>
      <ability>L2_HalfPunc</ability>
      <abilityName>全半角检查</abilityName>
      <candidateList>
        <item>）</item>
      </candidateList>
      <explain>文本全半角错误。</explain>
      <paraID> 13E8E89</paraID>
      <start>81</start>
      <end>82</end>
      <status>unmodified</status>
      <modifiedWord/>
      <trackRevisions>false</trackRevisions>
    </reviewItem>
    <reviewItem>
      <errorID>df79cc04-381a-431b-a7dc-441eb5cac0ae</errorID>
      <errorWord>(</errorWord>
      <group>L1_Format</group>
      <groupName>格式问题</groupName>
      <ability>L2_HalfPunc</ability>
      <abilityName>全半角检查</abilityName>
      <candidateList>
        <item>（</item>
      </candidateList>
      <explain>文本全半角错误。</explain>
      <paraID> 13E8E89</paraID>
      <start>85</start>
      <end>86</end>
      <status>unmodified</status>
      <modifiedWord/>
      <trackRevisions>false</trackRevisions>
    </reviewItem>
    <reviewItem>
      <errorID>0d0ab432-65c0-46d4-967c-e25dda410643</errorID>
      <errorWord>)</errorWord>
      <group>L1_Format</group>
      <groupName>格式问题</groupName>
      <ability>L2_HalfPunc</ability>
      <abilityName>全半角检查</abilityName>
      <candidateList>
        <item>）</item>
      </candidateList>
      <explain>文本全半角错误。</explain>
      <paraID> 13E8E89</paraID>
      <start>87</start>
      <end>88</end>
      <status>unmodified</status>
      <modifiedWord/>
      <trackRevisions>false</trackRevisions>
    </reviewItem>
    <reviewItem>
      <errorID>73487f55-880c-480f-bf21-8b3ccdb0e171</errorID>
      <errorWord>(</errorWord>
      <group>L1_Format</group>
      <groupName>格式问题</groupName>
      <ability>L2_HalfPunc</ability>
      <abilityName>全半角检查</abilityName>
      <candidateList>
        <item>（</item>
      </candidateList>
      <explain>文本全半角错误。</explain>
      <paraID>7AE0F945</paraID>
      <start>9</start>
      <end>10</end>
      <status>unmodified</status>
      <modifiedWord/>
      <trackRevisions>false</trackRevisions>
    </reviewItem>
    <reviewItem>
      <errorID>9c19b693-e381-4b9c-9cda-b73dfcff79bd</errorID>
      <errorWord>)</errorWord>
      <group>L1_Format</group>
      <groupName>格式问题</groupName>
      <ability>L2_HalfPunc</ability>
      <abilityName>全半角检查</abilityName>
      <candidateList>
        <item>）</item>
      </candidateList>
      <explain>文本全半角错误。</explain>
      <paraID>7AE0F945</paraID>
      <start>12</start>
      <end>13</end>
      <status>unmodified</status>
      <modifiedWord/>
      <trackRevisions>false</trackRevisions>
    </reviewItem>
    <reviewItem>
      <errorID>4303c01b-e219-4874-a64e-7bab7de62d7e</errorID>
      <errorWord>(</errorWord>
      <group>L1_Format</group>
      <groupName>格式问题</groupName>
      <ability>L2_HalfPunc</ability>
      <abilityName>全半角检查</abilityName>
      <candidateList>
        <item>（</item>
      </candidateList>
      <explain>文本全半角错误。</explain>
      <paraID>7AE0F945</paraID>
      <start>16</start>
      <end>17</end>
      <status>unmodified</status>
      <modifiedWord/>
      <trackRevisions>false</trackRevisions>
    </reviewItem>
    <reviewItem>
      <errorID>d4e7d947-6f1c-4c5a-b208-81f79f9a479a</errorID>
      <errorWord>)</errorWord>
      <group>L1_Format</group>
      <groupName>格式问题</groupName>
      <ability>L2_HalfPunc</ability>
      <abilityName>全半角检查</abilityName>
      <candidateList>
        <item>）</item>
      </candidateList>
      <explain>文本全半角错误。</explain>
      <paraID>7AE0F945</paraID>
      <start>18</start>
      <end>19</end>
      <status>unmodified</status>
      <modifiedWord/>
      <trackRevisions>false</trackRevisions>
    </reviewItem>
    <reviewItem>
      <errorID>f5681772-5598-4671-9d24-934c99062fe5</errorID>
      <errorWord>A1.4</errorWord>
      <group>L1_AI</group>
      <groupName>深度校对</groupName>
      <ability>L2_AI_Title</ability>
      <abilityName>标题检查</abilityName>
      <candidateList>
        <item>A1.3</item>
      </candidateList>
      <explain>标题顺序错误，请检查标题顺序是否合理。</explain>
      <paraID>56FACEC4</paraID>
      <start>0</start>
      <end>4</end>
      <status>unmodified</status>
      <modifiedWord/>
      <trackRevisions>false</trackRevisions>
    </reviewItem>
    <reviewItem>
      <errorID>d2c9451b-2301-43d2-a000-dca9f2cd9b86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3380FB56</paraID>
      <start>39</start>
      <end>40</end>
      <status>unmodified</status>
      <modifiedWord/>
      <trackRevisions>false</trackRevisions>
    </reviewItem>
    <reviewItem>
      <errorID>e87268cc-6b39-44a2-8c9d-0be99fcb7529</errorID>
      <errorWord>(</errorWord>
      <group>L1_Format</group>
      <groupName>格式问题</groupName>
      <ability>L2_HalfPunc</ability>
      <abilityName>全半角检查</abilityName>
      <candidateList>
        <item>（</item>
      </candidateList>
      <explain>文本全半角错误。</explain>
      <paraID>408D257C</paraID>
      <start>62</start>
      <end>63</end>
      <status>unmodified</status>
      <modifiedWord/>
      <trackRevisions>false</trackRevisions>
    </reviewItem>
    <reviewItem>
      <errorID>3654f2f8-f664-4a16-850c-14ff83f6b9b3</errorID>
      <errorWord>)</errorWord>
      <group>L1_Format</group>
      <groupName>格式问题</groupName>
      <ability>L2_HalfPunc</ability>
      <abilityName>全半角检查</abilityName>
      <candidateList>
        <item>）</item>
      </candidateList>
      <explain>文本全半角错误。</explain>
      <paraID>408D257C</paraID>
      <start>67</start>
      <end>68</end>
      <status>unmodified</status>
      <modifiedWord/>
      <trackRevisions>false</trackRevisions>
    </reviewItem>
    <reviewItem>
      <errorID>7a665abf-56d4-4725-8cd5-4f59373fca2c</errorID>
      <errorWord>(</errorWord>
      <group>L1_Format</group>
      <groupName>格式问题</groupName>
      <ability>L2_HalfPunc</ability>
      <abilityName>全半角检查</abilityName>
      <candidateList>
        <item>（</item>
      </candidateList>
      <explain>文本全半角错误。</explain>
      <paraID>510FEB68</paraID>
      <start>124</start>
      <end>125</end>
      <status>unmodified</status>
      <modifiedWord/>
      <trackRevisions>false</trackRevisions>
    </reviewItem>
    <reviewItem>
      <errorID>ffa463c3-fc45-4de0-a551-837846d7b0ff</errorID>
      <errorWord>)</errorWord>
      <group>L1_Format</group>
      <groupName>格式问题</groupName>
      <ability>L2_HalfPunc</ability>
      <abilityName>全半角检查</abilityName>
      <candidateList>
        <item>）</item>
      </candidateList>
      <explain>文本全半角错误。</explain>
      <paraID>510FEB68</paraID>
      <start>134</start>
      <end>135</end>
      <status>unmodified</status>
      <modifiedWord/>
      <trackRevisions>false</trackRevisions>
    </reviewItem>
    <reviewItem>
      <errorID>2780b290-bb98-451a-9139-b46b8cb8d660</errorID>
      <errorWord>、</errorWord>
      <group>L1_AI</group>
      <groupName>深度校对</groupName>
      <ability>L2_AI_Punc</ability>
      <abilityName>标点纠错</abilityName>
      <candidateList>
        <item>，</item>
      </candidateList>
      <explain/>
      <paraID>54EC6B64</paraID>
      <start>22</start>
      <end>23</end>
      <status>unmodified</status>
      <modifiedWord/>
      <trackRevisions>false</trackRevisions>
    </reviewItem>
    <reviewItem>
      <errorID>bf9d45f3-79d9-4f0f-a483-8859e0a72945</errorID>
      <errorWord>，</errorWord>
      <group>L1_AI</group>
      <groupName>深度校对</groupName>
      <ability>L2_AI_Punc</ability>
      <abilityName>标点纠错</abilityName>
      <candidateList>
        <item>。</item>
      </candidateList>
      <explain/>
      <paraID>54EC6B64</paraID>
      <start>30</start>
      <end>31</end>
      <status>unmodified</status>
      <modifiedWord/>
      <trackRevisions>false</trackRevisions>
    </reviewItem>
    <reviewItem>
      <errorID>7bc459e6-bcc3-4ccb-80bc-3f797ac2abf3</errorID>
      <errorWord>达标排放</errorWord>
      <group>L1_AI</group>
      <groupName>深度校对</groupName>
      <ability>L2_AI_Punc</ability>
      <abilityName>标点纠错</abilityName>
      <candidateList>
        <item>达标排放。</item>
      </candidateList>
      <explain/>
      <paraID>54EC6B64</paraID>
      <start>80</start>
      <end>84</end>
      <status>unmodified</status>
      <modifiedWord/>
      <trackRevisions>false</trackRevisions>
    </reviewItem>
    <reviewItem>
      <errorID>dd60ea7b-e9e0-4926-8335-857b581e1461</errorID>
      <errorWord>(</errorWord>
      <group>L1_Format</group>
      <groupName>格式问题</groupName>
      <ability>L2_HalfPunc</ability>
      <abilityName>全半角检查</abilityName>
      <candidateList>
        <item>（</item>
      </candidateList>
      <explain>文本全半角错误。</explain>
      <paraID>37937FFB</paraID>
      <start>237</start>
      <end>238</end>
      <status>unmodified</status>
      <modifiedWord/>
      <trackRevisions>false</trackRevisions>
    </reviewItem>
    <reviewItem>
      <errorID>b74700e5-91fd-4aff-b663-18b745da3caa</errorID>
      <errorWord>)</errorWord>
      <group>L1_Format</group>
      <groupName>格式问题</groupName>
      <ability>L2_HalfPunc</ability>
      <abilityName>全半角检查</abilityName>
      <candidateList>
        <item>）</item>
      </candidateList>
      <explain>文本全半角错误。</explain>
      <paraID>37937FFB</paraID>
      <start>239</start>
      <end>240</end>
      <status>unmodified</status>
      <modifiedWord/>
      <trackRevisions>false</trackRevisions>
    </reviewItem>
    <reviewItem>
      <errorID>b6d26ea6-d6db-4d95-9a08-3757eead2606</errorID>
      <errorWord>(</errorWord>
      <group>L1_Format</group>
      <groupName>格式问题</groupName>
      <ability>L2_HalfPunc</ability>
      <abilityName>全半角检查</abilityName>
      <candidateList>
        <item>（</item>
      </candidateList>
      <explain>文本全半角错误。</explain>
      <paraID>15A36539</paraID>
      <start>257</start>
      <end>258</end>
      <status>unmodified</status>
      <modifiedWord/>
      <trackRevisions>false</trackRevisions>
    </reviewItem>
    <reviewItem>
      <errorID>24131f92-3e4b-4bf3-82fa-62d4de276abd</errorID>
      <errorWord>焉耆县</errorWord>
      <group>L1_Knowledge</group>
      <groupName>知识性问题</groupName>
      <ability>L2_Location</ability>
      <abilityName>地名检查</abilityName>
      <candidateList>
        <item>焉耆回族自治县</item>
      </candidateList>
      <explain>自治区州县缩写不规范。《地名管理条例》第十八条规定，标识牌、公共平台发布的信息、各类公文证件、学习类公开出版物、地图、法律法规规定等场景范围内必须使用标准地名。</explain>
      <paraID>15A36539</paraID>
      <start>298</start>
      <end>301</end>
      <status>unmodified</status>
      <modifiedWord/>
      <trackRevisions>false</trackRevisions>
    </reviewItem>
    <reviewItem>
      <errorID>6be69984-726f-48c9-8547-51e22781f1c0</errorID>
      <errorWord>)</errorWord>
      <group>L1_Format</group>
      <groupName>格式问题</groupName>
      <ability>L2_HalfPunc</ability>
      <abilityName>全半角检查</abilityName>
      <candidateList>
        <item>）</item>
      </candidateList>
      <explain>文本全半角错误。</explain>
      <paraID>15A36539</paraID>
      <start>308</start>
      <end>309</end>
      <status>unmodified</status>
      <modifiedWord/>
      <trackRevisions>false</trackRevisions>
    </reviewItem>
    <reviewItem>
      <errorID>5a5090e2-70da-4413-b430-3b3ea91d413a</errorID>
      <errorWord>二O三五</errorWord>
      <group>L1_Knowledge</group>
      <groupName>知识性问题</groupName>
      <ability>L2_Knowledge</ability>
      <abilityName>其他知识</abilityName>
      <candidateList>
        <item>二〇三五</item>
      </candidateList>
      <explain/>
      <paraID>59A7C4CD</paraID>
      <start>29</start>
      <end>33</end>
      <status>unmodified</status>
      <modifiedWord/>
      <trackRevisions>false</trackRevisions>
    </reviewItem>
    <reviewItem>
      <errorID>8be8cdb9-df18-4c0a-9a92-2b7433b678c9</errorID>
      <errorWord>二O三五</errorWord>
      <group>L1_Knowledge</group>
      <groupName>知识性问题</groupName>
      <ability>L2_Knowledge</ability>
      <abilityName>其他知识</abilityName>
      <candidateList>
        <item>二〇三五</item>
      </candidateList>
      <explain/>
      <paraID>6B872E89</paraID>
      <start>25</start>
      <end>29</end>
      <status>unmodified</status>
      <modifiedWord/>
      <trackRevisions>false</trackRevisions>
    </reviewItem>
    <reviewItem>
      <errorID>7626e363-a376-4efe-9063-37ff3b113682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48DAE4D2</paraID>
      <start>21</start>
      <end>22</end>
      <status>unmodified</status>
      <modifiedWord/>
      <trackRevisions>false</trackRevisions>
    </reviewItem>
    <reviewItem>
      <errorID>1272f4a4-b519-4c39-a735-e8a00ed12416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2FE90E70</paraID>
      <start>20</start>
      <end>21</end>
      <status>unmodified</status>
      <modifiedWord/>
      <trackRevisions>false</trackRevisions>
    </reviewItem>
    <reviewItem>
      <errorID>755748e2-388c-43f1-a718-cac718846484</errorID>
      <errorWord>&lt;</errorWord>
      <group>L1_Format</group>
      <groupName>格式问题</groupName>
      <ability>L2_HalfPunc</ability>
      <abilityName>全半角检查</abilityName>
      <candidateList>
        <item>〈</item>
      </candidateList>
      <explain>文本全半角错误。</explain>
      <paraID>12F2BF3D</paraID>
      <start>9</start>
      <end>10</end>
      <status>unmodified</status>
      <modifiedWord/>
      <trackRevisions>false</trackRevisions>
    </reviewItem>
    <reviewItem>
      <errorID>d2a5d406-a4f5-4d69-8099-a564acefcac0</errorID>
      <errorWord>&gt;的通知》</errorWord>
      <group>L1_Punc</group>
      <groupName>标点问题</groupName>
      <ability>L2_Punc</ability>
      <abilityName>标点符号检查</abilityName>
      <candidateList>
        <item>〉的通知》</item>
      </candidateList>
      <explain/>
      <paraID>12F2BF3D</paraID>
      <start>22</start>
      <end>27</end>
      <status>unmodified</status>
      <modifiedWord/>
      <trackRevisions>false</trackRevisions>
    </reviewItem>
    <reviewItem>
      <errorID>29c1dc59-22f2-4065-b4d8-02eb34fa529a</errorID>
      <errorWord>&lt;</errorWord>
      <group>L1_Format</group>
      <groupName>格式问题</groupName>
      <ability>L2_HalfPunc</ability>
      <abilityName>全半角检查</abilityName>
      <candidateList>
        <item>〈</item>
      </candidateList>
      <explain>文本全半角错误。</explain>
      <paraID> 81802F7</paraID>
      <start>7</start>
      <end>8</end>
      <status>unmodified</status>
      <modifiedWord/>
      <trackRevisions>false</trackRevisions>
    </reviewItem>
    <reviewItem>
      <errorID>b0f0c6ca-d9c4-4b40-bd41-a74d96776966</errorID>
      <errorWord>&gt;的通知》</errorWord>
      <group>L1_Punc</group>
      <groupName>标点问题</groupName>
      <ability>L2_Punc</ability>
      <abilityName>标点符号检查</abilityName>
      <candidateList>
        <item>〉的通知》</item>
      </candidateList>
      <explain/>
      <paraID> 81802F7</paraID>
      <start>20</start>
      <end>25</end>
      <status>unmodified</status>
      <modifiedWord/>
      <trackRevisions>false</trackRevisions>
    </reviewItem>
    <reviewItem>
      <errorID>c40a3aab-6e2d-4871-9802-34e8223d8abf</errorID>
      <errorWord>(</errorWord>
      <group>L1_Format</group>
      <groupName>格式问题</groupName>
      <ability>L2_HalfPunc</ability>
      <abilityName>全半角检查</abilityName>
      <candidateList>
        <item>（</item>
      </candidateList>
      <explain>文本全半角错误。</explain>
      <paraID>173A6BA6</paraID>
      <start>36</start>
      <end>37</end>
      <status>unmodified</status>
      <modifiedWord/>
      <trackRevisions>false</trackRevisions>
    </reviewItem>
    <reviewItem>
      <errorID>29486726-4063-40af-bbf0-487488811478</errorID>
      <errorWord>)</errorWord>
      <group>L1_Format</group>
      <groupName>格式问题</groupName>
      <ability>L2_HalfPunc</ability>
      <abilityName>全半角检查</abilityName>
      <candidateList>
        <item>）</item>
      </candidateList>
      <explain>文本全半角错误。</explain>
      <paraID>173A6BA6</paraID>
      <start>48</start>
      <end>49</end>
      <status>unmodified</status>
      <modifiedWord/>
      <trackRevisions>false</trackRevisions>
    </reviewItem>
    <reviewItem>
      <errorID>55682878-66ee-470b-8594-eb7a30af49cd</errorID>
      <errorWord>&lt;</errorWord>
      <group>L1_Format</group>
      <groupName>格式问题</groupName>
      <ability>L2_HalfPunc</ability>
      <abilityName>全半角检查</abilityName>
      <candidateList>
        <item>〈</item>
      </candidateList>
      <explain>文本全半角错误。</explain>
      <paraID>1FCC1E4B</paraID>
      <start>29</start>
      <end>30</end>
      <status>unmodified</status>
      <modifiedWord/>
      <trackRevisions>false</trackRevisions>
    </reviewItem>
    <reviewItem>
      <errorID>18a91f38-b9a9-47dc-9774-1c75ae4e91e5</errorID>
      <errorWord>&gt;的通知》</errorWord>
      <group>L1_Punc</group>
      <groupName>标点问题</groupName>
      <ability>L2_Punc</ability>
      <abilityName>标点符号检查</abilityName>
      <candidateList>
        <item>〉的通知》</item>
      </candidateList>
      <explain/>
      <paraID>1FCC1E4B</paraID>
      <start>57</start>
      <end>62</end>
      <status>unmodified</status>
      <modifiedWord/>
      <trackRevisions>false</trackRevisions>
    </reviewItem>
    <reviewItem>
      <errorID>6de15482-bb10-4325-8367-5b1bfb563e13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7614EFB7</paraID>
      <start>27</start>
      <end>28</end>
      <status>unmodified</status>
      <modifiedWord/>
      <trackRevisions>false</trackRevisions>
    </reviewItem>
    <reviewItem>
      <errorID>c8f03d2a-c0cb-45ec-8c35-89de3b1a75f7</errorID>
      <errorWord>&lt;</errorWord>
      <group>L1_Format</group>
      <groupName>格式问题</groupName>
      <ability>L2_HalfPunc</ability>
      <abilityName>全半角检查</abilityName>
      <candidateList>
        <item>〈</item>
      </candidateList>
      <explain>文本全半角错误。</explain>
      <paraID>42EA9DA2</paraID>
      <start>7</start>
      <end>8</end>
      <status>unmodified</status>
      <modifiedWord/>
      <trackRevisions>false</trackRevisions>
    </reviewItem>
    <reviewItem>
      <errorID>e1886737-fcbb-4132-bfc4-7d9ad902cbc7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42EA9DA2</paraID>
      <start>30</start>
      <end>31</end>
      <status>unmodified</status>
      <modifiedWord/>
      <trackRevisions>false</trackRevisions>
    </reviewItem>
    <reviewItem>
      <errorID>9179bfea-7b24-488b-81ab-85e7f5f74e9a</errorID>
      <errorWord>&gt;</errorWord>
      <group>L1_Format</group>
      <groupName>格式问题</groupName>
      <ability>L2_HalfPunc</ability>
      <abilityName>全半角检查</abilityName>
      <candidateList>
        <item>〉</item>
      </candidateList>
      <explain>文本全半角错误。</explain>
      <paraID>42EA9DA2</paraID>
      <start>37</start>
      <end>38</end>
      <status>unmodified</status>
      <modifiedWord/>
      <trackRevisions>false</trackRevisions>
    </reviewItem>
    <reviewItem>
      <errorID>de2e96ba-368a-4a8d-8a84-a34e93ab9f22</errorID>
      <errorWord>&lt;</errorWord>
      <group>L1_Format</group>
      <groupName>格式问题</groupName>
      <ability>L2_HalfPunc</ability>
      <abilityName>全半角检查</abilityName>
      <candidateList>
        <item>〈</item>
      </candidateList>
      <explain>文本全半角错误。</explain>
      <paraID> 4D2C7A6</paraID>
      <start>7</start>
      <end>8</end>
      <status>unmodified</status>
      <modifiedWord/>
      <trackRevisions>false</trackRevisions>
    </reviewItem>
    <reviewItem>
      <errorID>096f01f8-91e4-4986-9d18-0c80d6717293</errorID>
      <errorWord>&gt;的通知》</errorWord>
      <group>L1_Punc</group>
      <groupName>标点问题</groupName>
      <ability>L2_Punc</ability>
      <abilityName>标点符号检查</abilityName>
      <candidateList>
        <item>〉的通知》</item>
      </candidateList>
      <explain/>
      <paraID> 4D2C7A6</paraID>
      <start>23</start>
      <end>28</end>
      <status>unmodified</status>
      <modifiedWord/>
      <trackRevisions>false</trackRevisions>
    </reviewItem>
    <reviewItem>
      <errorID>7949771c-93fd-4ae7-b4d9-49d84c587e31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500CEEF2</paraID>
      <start>33</start>
      <end>34</end>
      <status>unmodified</status>
      <modifiedWord/>
      <trackRevisions>false</trackRevisions>
    </reviewItem>
    <reviewItem>
      <errorID>d7b52351-076d-458e-a965-a395ec6c02ea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3DC5659C</paraID>
      <start>30</start>
      <end>31</end>
      <status>unmodified</status>
      <modifiedWord/>
      <trackRevisions>false</trackRevisions>
    </reviewItem>
    <reviewItem>
      <errorID>37b78759-826a-46ac-aaef-fdaa9790323a</errorID>
      <errorWord>&lt;</errorWord>
      <group>L1_Format</group>
      <groupName>格式问题</groupName>
      <ability>L2_HalfPunc</ability>
      <abilityName>全半角检查</abilityName>
      <candidateList>
        <item>〈</item>
      </candidateList>
      <explain>文本全半角错误。</explain>
      <paraID>7C33DEE6</paraID>
      <start>7</start>
      <end>8</end>
      <status>unmodified</status>
      <modifiedWord/>
      <trackRevisions>false</trackRevisions>
    </reviewItem>
    <reviewItem>
      <errorID>ba963b36-d3d5-48e3-a09a-51582d438d96</errorID>
      <errorWord>&gt;的通知》</errorWord>
      <group>L1_Punc</group>
      <groupName>标点问题</groupName>
      <ability>L2_Punc</ability>
      <abilityName>标点符号检查</abilityName>
      <candidateList>
        <item>〉的通知》</item>
      </candidateList>
      <explain/>
      <paraID>7C33DEE6</paraID>
      <start>22</start>
      <end>27</end>
      <status>unmodified</status>
      <modifiedWord/>
      <trackRevisions>false</trackRevisions>
    </reviewItem>
    <reviewItem>
      <errorID>29b7e86b-51f0-4575-8af5-31a1e0c6f630</errorID>
      <errorWord>制订</errorWord>
      <group>L1_Word</group>
      <groupName>字词问题</groupName>
      <ability>L2_Typo</ability>
      <abilityName>字词错误</abilityName>
      <candidateList>
        <item>制定</item>
      </candidateList>
      <explain>〈动〉定出（法律、规程、政策等）：～宪法｜～学会章程。</explain>
      <paraID>1EBB1483</paraID>
      <start>2</start>
      <end>4</end>
      <status>unmodified</status>
      <modifiedWord/>
      <trackRevisions>false</trackRevisions>
    </reviewItem>
    <reviewItem>
      <errorID>cde82da2-dfbc-48f6-a75d-e253479a4587</errorID>
      <errorWord>外逸</errorWord>
      <group>L1_Word</group>
      <groupName>字词问题</groupName>
      <ability>L2_Typo</ability>
      <abilityName>字词错误</abilityName>
      <candidateList>
        <item>外溢</item>
      </candidateList>
      <explain/>
      <paraID> 62635DC</paraID>
      <start>92</start>
      <end>94</end>
      <status>unmodified</status>
      <modifiedWord/>
      <trackRevisions>false</trackRevisions>
    </reviewItem>
    <reviewItem>
      <errorID>8c012d91-abeb-4584-acea-bcf913a67aec</errorID>
      <errorWord>环保治理</errorWord>
      <group>L1_Word</group>
      <groupName>字词问题</groupName>
      <ability>L2_Typo</ability>
      <abilityName>字词错误</abilityName>
      <candidateList>
        <item>环境治理</item>
      </candidateList>
      <explain/>
      <paraID>4B3CB6AD</paraID>
      <start>174</start>
      <end>178</end>
      <status>unmodified</status>
      <modifiedWord/>
      <trackRevisions>false</trackRevisions>
    </reviewItem>
    <reviewItem>
      <errorID>f2d64b9d-ce62-4303-8703-bd15ab7e0c8e</errorID>
      <errorWord>&lt;</errorWord>
      <group>L1_Format</group>
      <groupName>格式问题</groupName>
      <ability>L2_HalfPunc</ability>
      <abilityName>全半角检查</abilityName>
      <candidateList>
        <item>〈</item>
      </candidateList>
      <explain>文本全半角错误。</explain>
      <paraID>114A3484</paraID>
      <start>7</start>
      <end>8</end>
      <status>unmodified</status>
      <modifiedWord/>
      <trackRevisions>false</trackRevisions>
    </reviewItem>
    <reviewItem>
      <errorID>616a72d1-c5d2-43ab-917b-833678c25cfa</errorID>
      <errorWord>&gt;的通知》</errorWord>
      <group>L1_Punc</group>
      <groupName>标点问题</groupName>
      <ability>L2_Punc</ability>
      <abilityName>标点符号检查</abilityName>
      <candidateList>
        <item>〉的通知》</item>
      </candidateList>
      <explain/>
      <paraID>114A3484</paraID>
      <start>32</start>
      <end>37</end>
      <status>unmodified</status>
      <modifiedWord/>
      <trackRevisions>false</trackRevisions>
    </reviewItem>
    <reviewItem>
      <errorID>abdf73be-f4b3-4a95-aefa-c4f74129527a</errorID>
      <errorWord>制订</errorWord>
      <group>L1_Word</group>
      <groupName>字词问题</groupName>
      <ability>L2_Typo</ability>
      <abilityName>字词错误</abilityName>
      <candidateList>
        <item>制定</item>
      </candidateList>
      <explain>〈动〉定出（法律、规程、政策等）：～宪法｜～学会章程。</explain>
      <paraID>35BA477E</paraID>
      <start>169</start>
      <end>171</end>
      <status>unmodified</status>
      <modifiedWord/>
      <trackRevisions>false</trackRevisions>
    </reviewItem>
    <reviewItem>
      <errorID>d9519238-5d04-49b4-b375-913bcd495bb3</errorID>
      <errorWord>外逸</errorWord>
      <group>L1_Word</group>
      <groupName>字词问题</groupName>
      <ability>L2_Typo</ability>
      <abilityName>字词错误</abilityName>
      <candidateList>
        <item>外溢</item>
      </candidateList>
      <explain/>
      <paraID>5ADA5466</paraID>
      <start>92</start>
      <end>94</end>
      <status>unmodified</status>
      <modifiedWord/>
      <trackRevisions>false</trackRevisions>
    </reviewItem>
    <reviewItem>
      <errorID>caa62fbc-c611-405b-87cb-9140c1d3d5b5</errorID>
      <errorWord>(</errorWord>
      <group>L1_Format</group>
      <groupName>格式问题</groupName>
      <ability>L2_HalfPunc</ability>
      <abilityName>全半角检查</abilityName>
      <candidateList>
        <item>（</item>
      </candidateList>
      <explain>文本全半角错误。</explain>
      <paraID>5ADA5466</paraID>
      <start>102</start>
      <end>103</end>
      <status>unmodified</status>
      <modifiedWord/>
      <trackRevisions>false</trackRevisions>
    </reviewItem>
    <reviewItem>
      <errorID>bbc342ee-c6ff-48d9-97de-ca47be3fa44c</errorID>
      <errorWord>)</errorWord>
      <group>L1_Format</group>
      <groupName>格式问题</groupName>
      <ability>L2_HalfPunc</ability>
      <abilityName>全半角检查</abilityName>
      <candidateList>
        <item>）</item>
      </candidateList>
      <explain>文本全半角错误。</explain>
      <paraID>5ADA5466</paraID>
      <start>105</start>
      <end>106</end>
      <status>unmodified</status>
      <modifiedWord/>
      <trackRevisions>false</trackRevisions>
    </reviewItem>
    <reviewItem>
      <errorID>756e4c4d-4654-495f-9b5f-7625b37a3abc</errorID>
      <errorWord>环保治理</errorWord>
      <group>L1_Word</group>
      <groupName>字词问题</groupName>
      <ability>L2_Typo</ability>
      <abilityName>字词错误</abilityName>
      <candidateList>
        <item>环境治理</item>
      </candidateList>
      <explain/>
      <paraID>5ECCF7F1</paraID>
      <start>166</start>
      <end>170</end>
      <status>unmodified</status>
      <modifiedWord/>
      <trackRevisions>false</trackRevisions>
    </reviewItem>
    <reviewItem>
      <errorID>0d6a5087-2cdb-41ee-a9e2-54dee77cf3ec</errorID>
      <errorWord>"</errorWord>
      <group>L1_Format</group>
      <groupName>格式问题</groupName>
      <ability>L2_HalfPunc</ability>
      <abilityName>全半角检查</abilityName>
      <candidateList>
        <item>“</item>
      </candidateList>
      <explain>文本全半角错误。</explain>
      <paraID>6896442C</paraID>
      <start>117</start>
      <end>118</end>
      <status>unmodified</status>
      <modifiedWord/>
      <trackRevisions>false</trackRevisions>
    </reviewItem>
    <reviewItem>
      <errorID>32565f44-b0f3-49f9-a9e3-894e8c454dd5</errorID>
      <errorWord>"</errorWord>
      <group>L1_Format</group>
      <groupName>格式问题</groupName>
      <ability>L2_HalfPunc</ability>
      <abilityName>全半角检查</abilityName>
      <candidateList>
        <item>”</item>
      </candidateList>
      <explain>文本全半角错误。</explain>
      <paraID>6896442C</paraID>
      <start>129</start>
      <end>130</end>
      <status>unmodified</status>
      <modifiedWord/>
      <trackRevisions>false</trackRevisions>
    </reviewItem>
    <reviewItem>
      <errorID>0e5dfb57-70c2-4098-bc59-304ee189a4d3</errorID>
      <errorWord>&lt;</errorWord>
      <group>L1_Format</group>
      <groupName>格式问题</groupName>
      <ability>L2_HalfPunc</ability>
      <abilityName>全半角检查</abilityName>
      <candidateList>
        <item>〈</item>
      </candidateList>
      <explain>文本全半角错误。</explain>
      <paraID>4A631C7E</paraID>
      <start>7</start>
      <end>8</end>
      <status>unmodified</status>
      <modifiedWord/>
      <trackRevisions>false</trackRevisions>
    </reviewItem>
    <reviewItem>
      <errorID>7cc5dbe0-1df8-4e80-97e9-62e8caea75ba</errorID>
      <errorWord>&gt;的通知》</errorWord>
      <group>L1_Punc</group>
      <groupName>标点问题</groupName>
      <ability>L2_Punc</ability>
      <abilityName>标点符号检查</abilityName>
      <candidateList>
        <item>〉的通知》</item>
      </candidateList>
      <explain/>
      <paraID>4A631C7E</paraID>
      <start>27</start>
      <end>32</end>
      <status>unmodified</status>
      <modifiedWord/>
      <trackRevisions>false</trackRevisions>
    </reviewItem>
    <reviewItem>
      <errorID>0ddf2d4b-0276-4c2a-be3c-2c18f473c950</errorID>
      <errorWord>；</errorWord>
      <group>L1_Word</group>
      <groupName>字词问题</groupName>
      <ability>L2_Typo</ability>
      <abilityName>字词错误</abilityName>
      <candidateList>
        <item>；在</item>
      </candidateList>
      <explain/>
      <paraID>6F60FD70</paraID>
      <start>267</start>
      <end>268</end>
      <status>unmodified</status>
      <modifiedWord/>
      <trackRevisions>false</trackRevisions>
    </reviewItem>
    <reviewItem>
      <errorID>875abe3a-362f-4185-8fda-942737a49203</errorID>
      <errorWord>(</errorWord>
      <group>L1_Format</group>
      <groupName>格式问题</groupName>
      <ability>L2_HalfPunc</ability>
      <abilityName>全半角检查</abilityName>
      <candidateList>
        <item>（</item>
      </candidateList>
      <explain>文本全半角错误。</explain>
      <paraID>56324654</paraID>
      <start>125</start>
      <end>126</end>
      <status>unmodified</status>
      <modifiedWord/>
      <trackRevisions>false</trackRevisions>
    </reviewItem>
    <reviewItem>
      <errorID>d519c7d0-734e-45f9-9071-ef7559a6de89</errorID>
      <errorWord>)</errorWord>
      <group>L1_Format</group>
      <groupName>格式问题</groupName>
      <ability>L2_HalfPunc</ability>
      <abilityName>全半角检查</abilityName>
      <candidateList>
        <item>）</item>
      </candidateList>
      <explain>文本全半角错误。</explain>
      <paraID>56324654</paraID>
      <start>130</start>
      <end>131</end>
      <status>unmodified</status>
      <modifiedWord/>
      <trackRevisions>false</trackRevisions>
    </reviewItem>
    <reviewItem>
      <errorID>a9481c9d-793b-4cd7-ad98-0afcc59c2f5d</errorID>
      <errorWord>制订</errorWord>
      <group>L1_Word</group>
      <groupName>字词问题</groupName>
      <ability>L2_Typo</ability>
      <abilityName>字词错误</abilityName>
      <candidateList>
        <item>制定</item>
      </candidateList>
      <explain>〈动〉定出（法律、规程、政策等）：～宪法｜～学会章程。</explain>
      <paraID>56324654</paraID>
      <start>171</start>
      <end>173</end>
      <status>unmodified</status>
      <modifiedWord/>
      <trackRevisions>false</trackRevisions>
    </reviewItem>
    <reviewItem>
      <errorID>1e72b6fb-9324-441a-b3e2-e480eac986f8</errorID>
      <errorWord>(</errorWord>
      <group>L1_Format</group>
      <groupName>格式问题</groupName>
      <ability>L2_HalfPunc</ability>
      <abilityName>全半角检查</abilityName>
      <candidateList>
        <item>（</item>
      </candidateList>
      <explain>文本全半角错误。</explain>
      <paraID>56324654</paraID>
      <start>229</start>
      <end>230</end>
      <status>unmodified</status>
      <modifiedWord/>
      <trackRevisions>false</trackRevisions>
    </reviewItem>
    <reviewItem>
      <errorID>405196e1-a946-40d6-bec4-07a4529640af</errorID>
      <errorWord>)</errorWord>
      <group>L1_Format</group>
      <groupName>格式问题</groupName>
      <ability>L2_HalfPunc</ability>
      <abilityName>全半角检查</abilityName>
      <candidateList>
        <item>）</item>
      </candidateList>
      <explain>文本全半角错误。</explain>
      <paraID>56324654</paraID>
      <start>231</start>
      <end>232</end>
      <status>unmodified</status>
      <modifiedWord/>
      <trackRevisions>false</trackRevisions>
    </reviewItem>
    <reviewItem>
      <errorID>fd262f3d-ad4c-44f9-ad92-fdf15908b7d2</errorID>
      <errorWord>外逸</errorWord>
      <group>L1_Word</group>
      <groupName>字词问题</groupName>
      <ability>L2_Typo</ability>
      <abilityName>字词错误</abilityName>
      <candidateList>
        <item>外溢</item>
      </candidateList>
      <explain/>
      <paraID>14A9F78E</paraID>
      <start>92</start>
      <end>94</end>
      <status>unmodified</status>
      <modifiedWord/>
      <trackRevisions>false</trackRevisions>
    </reviewItem>
    <reviewItem>
      <errorID>7cc12139-6483-4e77-9773-40009dc16e61</errorID>
      <errorWord>环保治理</errorWord>
      <group>L1_Word</group>
      <groupName>字词问题</groupName>
      <ability>L2_Typo</ability>
      <abilityName>字词错误</abilityName>
      <candidateList>
        <item>环境治理</item>
      </candidateList>
      <explain/>
      <paraID>52F6FADC</paraID>
      <start>181</start>
      <end>185</end>
      <status>unmodified</status>
      <modifiedWord/>
      <trackRevisions>false</trackRevisions>
    </reviewItem>
    <reviewItem>
      <errorID>00e6b4ed-24f4-4417-a881-ecd20963f5bd</errorID>
      <errorWord>"</errorWord>
      <group>L1_Format</group>
      <groupName>格式问题</groupName>
      <ability>L2_HalfPunc</ability>
      <abilityName>全半角检查</abilityName>
      <candidateList>
        <item>“</item>
      </candidateList>
      <explain>文本全半角错误。</explain>
      <paraID>68C33E36</paraID>
      <start>169</start>
      <end>170</end>
      <status>unmodified</status>
      <modifiedWord/>
      <trackRevisions>false</trackRevisions>
    </reviewItem>
    <reviewItem>
      <errorID>06837126-2e03-4b5f-a70d-70b94a6b753c</errorID>
      <errorWord>"</errorWord>
      <group>L1_Format</group>
      <groupName>格式问题</groupName>
      <ability>L2_HalfPunc</ability>
      <abilityName>全半角检查</abilityName>
      <candidateList>
        <item>”</item>
      </candidateList>
      <explain>文本全半角错误。</explain>
      <paraID>68C33E36</paraID>
      <start>181</start>
      <end>182</end>
      <status>unmodified</status>
      <modifiedWord/>
      <trackRevisions>false</trackRevisions>
    </reviewItem>
    <reviewItem>
      <errorID>0799998e-5206-4a0f-8d7f-02fbdeb00512</errorID>
      <errorWord>:</errorWord>
      <group>L1_Format</group>
      <groupName>格式问题</groupName>
      <ability>L2_HalfPunc</ability>
      <abilityName>全半角检查</abilityName>
      <candidateList>
        <item>：</item>
      </candidateList>
      <explain>文本全半角错误。</explain>
      <paraID>26DA7ACE</paraID>
      <start>170</start>
      <end>171</end>
      <status>unmodified</status>
      <modifiedWord/>
      <trackRevisions>false</trackRevisions>
    </reviewItem>
    <reviewItem>
      <errorID>faa32416-1367-476e-a8a8-094ce6e4ee5f</errorID>
      <errorWord>(</errorWord>
      <group>L1_Format</group>
      <groupName>格式问题</groupName>
      <ability>L2_HalfPunc</ability>
      <abilityName>全半角检查</abilityName>
      <candidateList>
        <item>（</item>
      </candidateList>
      <explain>文本全半角错误。</explain>
      <paraID>3A333460</paraID>
      <start>4</start>
      <end>5</end>
      <status>unmodified</status>
      <modifiedWord/>
      <trackRevisions>false</trackRevisions>
    </reviewItem>
    <reviewItem>
      <errorID>3951c1d6-f44e-4274-a644-e1203897953d</errorID>
      <errorWord>)</errorWord>
      <group>L1_Format</group>
      <groupName>格式问题</groupName>
      <ability>L2_HalfPunc</ability>
      <abilityName>全半角检查</abilityName>
      <candidateList>
        <item>）</item>
      </candidateList>
      <explain>文本全半角错误。</explain>
      <paraID>3A333460</paraID>
      <start>10</start>
      <end>11</end>
      <status>unmodified</status>
      <modifiedWord/>
      <trackRevisions>false</trackRevisions>
    </reviewItem>
    <reviewItem>
      <errorID>fe5bac03-5e22-480c-96bb-a09ef0a52418</errorID>
      <errorWord>～</errorWord>
      <group>L1_Format</group>
      <groupName>格式问题</groupName>
      <ability>L2_HalfPunc</ability>
      <abilityName>全半角检查</abilityName>
      <candidateList>
        <item>~</item>
      </candidateList>
      <explain>文本全半角错误。</explain>
      <paraID>71B79F2E</paraID>
      <start>4</start>
      <end>5</end>
      <status>unmodified</status>
      <modifiedWord/>
      <trackRevisions>false</trackRevisions>
    </reviewItem>
    <reviewItem>
      <errorID>eadbae89-66a5-4e13-9f45-18fcdb3bcf81</errorID>
      <errorWord>～</errorWord>
      <group>L1_Format</group>
      <groupName>格式问题</groupName>
      <ability>L2_HalfPunc</ability>
      <abilityName>全半角检查</abilityName>
      <candidateList>
        <item>~</item>
      </candidateList>
      <explain>文本全半角错误。</explain>
      <paraID>57271382</paraID>
      <start>3</start>
      <end>4</end>
      <status>unmodified</status>
      <modifiedWord/>
      <trackRevisions>false</trackRevisions>
    </reviewItem>
    <reviewItem>
      <errorID>6e31590f-3fda-493c-8bb6-96e4da396bfb</errorID>
      <errorWord>～</errorWord>
      <group>L1_Format</group>
      <groupName>格式问题</groupName>
      <ability>L2_HalfPunc</ability>
      <abilityName>全半角检查</abilityName>
      <candidateList>
        <item>~</item>
      </candidateList>
      <explain>文本全半角错误。</explain>
      <paraID>6204FCDE</paraID>
      <start>4</start>
      <end>5</end>
      <status>unmodified</status>
      <modifiedWord/>
      <trackRevisions>false</trackRevisions>
    </reviewItem>
    <reviewItem>
      <errorID>37fe9f45-46b0-4f9b-a294-77ba171c972c</errorID>
      <errorWord>～</errorWord>
      <group>L1_Format</group>
      <groupName>格式问题</groupName>
      <ability>L2_HalfPunc</ability>
      <abilityName>全半角检查</abilityName>
      <candidateList>
        <item>~</item>
      </candidateList>
      <explain>文本全半角错误。</explain>
      <paraID>592BAE55</paraID>
      <start>4</start>
      <end>5</end>
      <status>unmodified</status>
      <modifiedWord/>
      <trackRevisions>false</trackRevisions>
    </reviewItem>
    <reviewItem>
      <errorID>7b8adf66-dd61-41c4-b36f-c341306316ea</errorID>
      <errorWord>～</errorWord>
      <group>L1_Format</group>
      <groupName>格式问题</groupName>
      <ability>L2_HalfPunc</ability>
      <abilityName>全半角检查</abilityName>
      <candidateList>
        <item>~</item>
      </candidateList>
      <explain>文本全半角错误。</explain>
      <paraID>7AE4C39A</paraID>
      <start>3</start>
      <end>4</end>
      <status>unmodified</status>
      <modifiedWord/>
      <trackRevisions>false</trackRevisions>
    </reviewItem>
    <reviewItem>
      <errorID>3ffefb62-0a41-4997-8594-644e403deb99</errorID>
      <errorWord>～</errorWord>
      <group>L1_Format</group>
      <groupName>格式问题</groupName>
      <ability>L2_HalfPunc</ability>
      <abilityName>全半角检查</abilityName>
      <candidateList>
        <item>~</item>
      </candidateList>
      <explain>文本全半角错误。</explain>
      <paraID>2757FF59</paraID>
      <start>4</start>
      <end>5</end>
      <status>unmodified</status>
      <modifiedWord/>
      <trackRevisions>false</trackRevisions>
    </reviewItem>
    <reviewItem>
      <errorID>00570911-6573-4bf0-bffa-ac6f6cdb1059</errorID>
      <errorWord>(</errorWord>
      <group>L1_Format</group>
      <groupName>格式问题</groupName>
      <ability>L2_HalfPunc</ability>
      <abilityName>全半角检查</abilityName>
      <candidateList>
        <item>（</item>
      </candidateList>
      <explain>文本全半角错误。</explain>
      <paraID>39BCE56C</paraID>
      <start>12</start>
      <end>13</end>
      <status>unmodified</status>
      <modifiedWord/>
      <trackRevisions>false</trackRevisions>
    </reviewItem>
    <reviewItem>
      <errorID>47d9d048-a357-463f-8200-04d3405d4392</errorID>
      <errorWord>)</errorWord>
      <group>L1_Format</group>
      <groupName>格式问题</groupName>
      <ability>L2_HalfPunc</ability>
      <abilityName>全半角检查</abilityName>
      <candidateList>
        <item>）</item>
      </candidateList>
      <explain>文本全半角错误。</explain>
      <paraID>39BCE56C</paraID>
      <start>18</start>
      <end>19</end>
      <status>unmodified</status>
      <modifiedWord/>
      <trackRevisions>false</trackRevisions>
    </reviewItem>
    <reviewItem>
      <errorID>0a796392-c638-4d48-a207-765dbb1a4a41</errorID>
      <errorWord>～</errorWord>
      <group>L1_Format</group>
      <groupName>格式问题</groupName>
      <ability>L2_HalfPunc</ability>
      <abilityName>全半角检查</abilityName>
      <candidateList>
        <item>~</item>
      </candidateList>
      <explain>文本全半角错误。</explain>
      <paraID>5CE7DA1D</paraID>
      <start>2</start>
      <end>3</end>
      <status>unmodified</status>
      <modifiedWord/>
      <trackRevisions>false</trackRevisions>
    </reviewItem>
    <reviewItem>
      <errorID>f11ff200-79a4-4896-a153-b8abe07586d8</errorID>
      <errorWord>(</errorWord>
      <group>L1_Format</group>
      <groupName>格式问题</groupName>
      <ability>L2_HalfPunc</ability>
      <abilityName>全半角检查</abilityName>
      <candidateList>
        <item>（</item>
      </candidateList>
      <explain>文本全半角错误。</explain>
      <paraID>43A5B2F0</paraID>
      <start>12</start>
      <end>13</end>
      <status>unmodified</status>
      <modifiedWord/>
      <trackRevisions>false</trackRevisions>
    </reviewItem>
    <reviewItem>
      <errorID>dbb0e90d-1dfb-453b-b20b-9ab8ddae78c7</errorID>
      <errorWord>)</errorWord>
      <group>L1_Format</group>
      <groupName>格式问题</groupName>
      <ability>L2_HalfPunc</ability>
      <abilityName>全半角检查</abilityName>
      <candidateList>
        <item>）</item>
      </candidateList>
      <explain>文本全半角错误。</explain>
      <paraID>43A5B2F0</paraID>
      <start>18</start>
      <end>19</end>
      <status>unmodified</status>
      <modifiedWord/>
      <trackRevisions>false</trackRevisions>
    </reviewItem>
    <reviewItem>
      <errorID>29043422-4f7f-4d89-bd71-5e6afe7b79fd</errorID>
      <errorWord>～</errorWord>
      <group>L1_Format</group>
      <groupName>格式问题</groupName>
      <ability>L2_HalfPunc</ability>
      <abilityName>全半角检查</abilityName>
      <candidateList>
        <item>~</item>
      </candidateList>
      <explain>文本全半角错误。</explain>
      <paraID>224F198D</paraID>
      <start>2</start>
      <end>3</end>
      <status>unmodified</status>
      <modifiedWord/>
      <trackRevisions>false</trackRevisions>
    </reviewItem>
    <reviewItem>
      <errorID>e9e7315e-ea90-4366-9903-c66a6f44c8c5</errorID>
      <errorWord>(</errorWord>
      <group>L1_Format</group>
      <groupName>格式问题</groupName>
      <ability>L2_HalfPunc</ability>
      <abilityName>全半角检查</abilityName>
      <candidateList>
        <item>（</item>
      </candidateList>
      <explain>文本全半角错误。</explain>
      <paraID> BC8E4EA</paraID>
      <start>12</start>
      <end>13</end>
      <status>unmodified</status>
      <modifiedWord/>
      <trackRevisions>false</trackRevisions>
    </reviewItem>
    <reviewItem>
      <errorID>a407d80a-7469-459e-8534-e33970ad6b27</errorID>
      <errorWord>)</errorWord>
      <group>L1_Format</group>
      <groupName>格式问题</groupName>
      <ability>L2_HalfPunc</ability>
      <abilityName>全半角检查</abilityName>
      <candidateList>
        <item>）</item>
      </candidateList>
      <explain>文本全半角错误。</explain>
      <paraID> BC8E4EA</paraID>
      <start>18</start>
      <end>19</end>
      <status>unmodified</status>
      <modifiedWord/>
      <trackRevisions>false</trackRevisions>
    </reviewItem>
    <reviewItem>
      <errorID>a9824a5e-c4eb-4d43-b8ac-41f145ef935b</errorID>
      <errorWord>～</errorWord>
      <group>L1_Format</group>
      <groupName>格式问题</groupName>
      <ability>L2_HalfPunc</ability>
      <abilityName>全半角检查</abilityName>
      <candidateList>
        <item>~</item>
      </candidateList>
      <explain>文本全半角错误。</explain>
      <paraID>6CA85396</paraID>
      <start>2</start>
      <end>3</end>
      <status>unmodified</status>
      <modifiedWord/>
      <trackRevisions>false</trackRevisions>
    </reviewItem>
    <reviewItem>
      <errorID>579cf4d6-a555-4463-a067-311f31f2eba7</errorID>
      <errorWord>～</errorWord>
      <group>L1_Format</group>
      <groupName>格式问题</groupName>
      <ability>L2_HalfPunc</ability>
      <abilityName>全半角检查</abilityName>
      <candidateList>
        <item>~</item>
      </candidateList>
      <explain>文本全半角错误。</explain>
      <paraID> 7E6E102</paraID>
      <start>2</start>
      <end>3</end>
      <status>unmodified</status>
      <modifiedWord/>
      <trackRevisions>false</trackRevisions>
    </reviewItem>
    <reviewItem>
      <errorID>edd7d13a-2c24-46fa-96a2-b284ac7d8ff8</errorID>
      <errorWord>～</errorWord>
      <group>L1_Format</group>
      <groupName>格式问题</groupName>
      <ability>L2_HalfPunc</ability>
      <abilityName>全半角检查</abilityName>
      <candidateList>
        <item>~</item>
      </candidateList>
      <explain>文本全半角错误。</explain>
      <paraID>4218CDA3</paraID>
      <start>2</start>
      <end>3</end>
      <status>unmodified</status>
      <modifiedWord/>
      <trackRevisions>false</trackRevisions>
    </reviewItem>
    <reviewItem>
      <errorID>5c711772-f7ce-49b6-a0a3-4f04a05ce2e7</errorID>
      <errorWord>～</errorWord>
      <group>L1_Format</group>
      <groupName>格式问题</groupName>
      <ability>L2_HalfPunc</ability>
      <abilityName>全半角检查</abilityName>
      <candidateList>
        <item>~</item>
      </candidateList>
      <explain>文本全半角错误。</explain>
      <paraID>6F83A728</paraID>
      <start>2</start>
      <end>3</end>
      <status>unmodified</status>
      <modifiedWord/>
      <trackRevisions>false</trackRevisions>
    </reviewItem>
    <reviewItem>
      <errorID>199f02ba-68ad-453d-93a8-6daf1f57a4c1</errorID>
      <errorWord>～</errorWord>
      <group>L1_Format</group>
      <groupName>格式问题</groupName>
      <ability>L2_HalfPunc</ability>
      <abilityName>全半角检查</abilityName>
      <candidateList>
        <item>~</item>
      </candidateList>
      <explain>文本全半角错误。</explain>
      <paraID>34BF12A1</paraID>
      <start>2</start>
      <end>3</end>
      <status>unmodified</status>
      <modifiedWord/>
      <trackRevisions>false</trackRevisions>
    </reviewItem>
    <reviewItem>
      <errorID>8c23be9b-77be-42f4-8c0d-7c064097920c</errorID>
      <errorWord>～</errorWord>
      <group>L1_Format</group>
      <groupName>格式问题</groupName>
      <ability>L2_HalfPunc</ability>
      <abilityName>全半角检查</abilityName>
      <candidateList>
        <item>~</item>
      </candidateList>
      <explain>文本全半角错误。</explain>
      <paraID>580A3A65</paraID>
      <start>2</start>
      <end>3</end>
      <status>unmodified</status>
      <modifiedWord/>
      <trackRevisions>false</trackRevisions>
    </reviewItem>
    <reviewItem>
      <errorID>71aa68e2-1516-4f12-bbba-e52ab211e9ff</errorID>
      <errorWord>～</errorWord>
      <group>L1_Format</group>
      <groupName>格式问题</groupName>
      <ability>L2_HalfPunc</ability>
      <abilityName>全半角检查</abilityName>
      <candidateList>
        <item>~</item>
      </candidateList>
      <explain>文本全半角错误。</explain>
      <paraID>55B6C492</paraID>
      <start>2</start>
      <end>3</end>
      <status>unmodified</status>
      <modifiedWord/>
      <trackRevisions>false</trackRevisions>
    </reviewItem>
    <reviewItem>
      <errorID>423c71cf-215d-4397-a2f7-5a8fc34a6b9b</errorID>
      <errorWord>～</errorWord>
      <group>L1_Format</group>
      <groupName>格式问题</groupName>
      <ability>L2_HalfPunc</ability>
      <abilityName>全半角检查</abilityName>
      <candidateList>
        <item>~</item>
      </candidateList>
      <explain>文本全半角错误。</explain>
      <paraID>5535289B</paraID>
      <start>2</start>
      <end>3</end>
      <status>unmodified</status>
      <modifiedWord/>
      <trackRevisions>false</trackRevisions>
    </reviewItem>
    <reviewItem>
      <errorID>5f7f80e2-a3c0-4333-abca-72bfb374344b</errorID>
      <errorWord>～</errorWord>
      <group>L1_Format</group>
      <groupName>格式问题</groupName>
      <ability>L2_HalfPunc</ability>
      <abilityName>全半角检查</abilityName>
      <candidateList>
        <item>~</item>
      </candidateList>
      <explain>文本全半角错误。</explain>
      <paraID>3DE847A8</paraID>
      <start>2</start>
      <end>3</end>
      <status>unmodified</status>
      <modifiedWord/>
      <trackRevisions>false</trackRevisions>
    </reviewItem>
    <reviewItem>
      <errorID>b1605a83-d93d-4e40-bb93-8943aad957b6</errorID>
      <errorWord>～</errorWord>
      <group>L1_Format</group>
      <groupName>格式问题</groupName>
      <ability>L2_HalfPunc</ability>
      <abilityName>全半角检查</abilityName>
      <candidateList>
        <item>~</item>
      </candidateList>
      <explain>文本全半角错误。</explain>
      <paraID>7549A655</paraID>
      <start>2</start>
      <end>3</end>
      <status>unmodified</status>
      <modifiedWord/>
      <trackRevisions>false</trackRevisions>
    </reviewItem>
    <reviewItem>
      <errorID>8dcb51db-14b1-45a3-ac36-eff373492541</errorID>
      <errorWord>～</errorWord>
      <group>L1_Format</group>
      <groupName>格式问题</groupName>
      <ability>L2_HalfPunc</ability>
      <abilityName>全半角检查</abilityName>
      <candidateList>
        <item>~</item>
      </candidateList>
      <explain>文本全半角错误。</explain>
      <paraID>26BA28FC</paraID>
      <start>2</start>
      <end>3</end>
      <status>unmodified</status>
      <modifiedWord/>
      <trackRevisions>false</trackRevisions>
    </reviewItem>
    <reviewItem>
      <errorID>b905a859-7e46-4397-a4bb-347bcfc0f3a4</errorID>
      <errorWord>～</errorWord>
      <group>L1_Format</group>
      <groupName>格式问题</groupName>
      <ability>L2_HalfPunc</ability>
      <abilityName>全半角检查</abilityName>
      <candidateList>
        <item>~</item>
      </candidateList>
      <explain>文本全半角错误。</explain>
      <paraID>33F7340B</paraID>
      <start>2</start>
      <end>3</end>
      <status>unmodified</status>
      <modifiedWord/>
      <trackRevisions>false</trackRevisions>
    </reviewItem>
    <reviewItem>
      <errorID>e1634b09-011d-4f6f-8d67-a5ea5d1466a9</errorID>
      <errorWord>～</errorWord>
      <group>L1_Format</group>
      <groupName>格式问题</groupName>
      <ability>L2_HalfPunc</ability>
      <abilityName>全半角检查</abilityName>
      <candidateList>
        <item>~</item>
      </candidateList>
      <explain>文本全半角错误。</explain>
      <paraID>66D87A7E</paraID>
      <start>2</start>
      <end>3</end>
      <status>unmodified</status>
      <modifiedWord/>
      <trackRevisions>false</trackRevisions>
    </reviewItem>
    <reviewItem>
      <errorID>05e0b8a2-7a3f-44db-9a77-ae442b0d012c</errorID>
      <errorWord>～</errorWord>
      <group>L1_Format</group>
      <groupName>格式问题</groupName>
      <ability>L2_HalfPunc</ability>
      <abilityName>全半角检查</abilityName>
      <candidateList>
        <item>~</item>
      </candidateList>
      <explain>文本全半角错误。</explain>
      <paraID> 4D84979</paraID>
      <start>2</start>
      <end>3</end>
      <status>unmodified</status>
      <modifiedWord/>
      <trackRevisions>false</trackRevisions>
    </reviewItem>
    <reviewItem>
      <errorID>2a425a02-a7f0-48c4-ae4f-5f04c0afdabe</errorID>
      <errorWord>～</errorWord>
      <group>L1_Format</group>
      <groupName>格式问题</groupName>
      <ability>L2_HalfPunc</ability>
      <abilityName>全半角检查</abilityName>
      <candidateList>
        <item>~</item>
      </candidateList>
      <explain>文本全半角错误。</explain>
      <paraID>1CAB785E</paraID>
      <start>2</start>
      <end>3</end>
      <status>unmodified</status>
      <modifiedWord/>
      <trackRevisions>false</trackRevisions>
    </reviewItem>
    <reviewItem>
      <errorID>0f152c39-2b20-42b2-90fd-4fff5f30eea5</errorID>
      <errorWord>～</errorWord>
      <group>L1_Format</group>
      <groupName>格式问题</groupName>
      <ability>L2_HalfPunc</ability>
      <abilityName>全半角检查</abilityName>
      <candidateList>
        <item>~</item>
      </candidateList>
      <explain>文本全半角错误。</explain>
      <paraID>7D6A3407</paraID>
      <start>2</start>
      <end>3</end>
      <status>unmodified</status>
      <modifiedWord/>
      <trackRevisions>false</trackRevisions>
    </reviewItem>
    <reviewItem>
      <errorID>63aff6cf-952c-41a3-a5fe-59d14570ee01</errorID>
      <errorWord>～</errorWord>
      <group>L1_Format</group>
      <groupName>格式问题</groupName>
      <ability>L2_HalfPunc</ability>
      <abilityName>全半角检查</abilityName>
      <candidateList>
        <item>~</item>
      </candidateList>
      <explain>文本全半角错误。</explain>
      <paraID>1855BB4A</paraID>
      <start>2</start>
      <end>3</end>
      <status>unmodified</status>
      <modifiedWord/>
      <trackRevisions>false</trackRevisions>
    </reviewItem>
    <reviewItem>
      <errorID>e1a0be9f-6f7e-4203-8ec7-b2dd72664254</errorID>
      <errorWord>～</errorWord>
      <group>L1_Format</group>
      <groupName>格式问题</groupName>
      <ability>L2_HalfPunc</ability>
      <abilityName>全半角检查</abilityName>
      <candidateList>
        <item>~</item>
      </candidateList>
      <explain>文本全半角错误。</explain>
      <paraID>3ABB7029</paraID>
      <start>2</start>
      <end>3</end>
      <status>unmodified</status>
      <modifiedWord/>
      <trackRevisions>false</trackRevisions>
    </reviewItem>
    <reviewItem>
      <errorID>9aec6d9b-4bf4-452d-a55f-a74623fff83d</errorID>
      <errorWord>&lt;</errorWord>
      <group>L1_Format</group>
      <groupName>格式问题</groupName>
      <ability>L2_HalfPunc</ability>
      <abilityName>全半角检查</abilityName>
      <candidateList>
        <item>〈</item>
      </candidateList>
      <explain>文本全半角错误。</explain>
      <paraID>450D48FF</paraID>
      <start>18</start>
      <end>19</end>
      <status>unmodified</status>
      <modifiedWord/>
      <trackRevisions>false</trackRevisions>
    </reviewItem>
    <reviewItem>
      <errorID>6c87db14-8c3f-476b-a61b-91c28649e494</errorID>
      <errorWord>&gt;的通知》</errorWord>
      <group>L1_Punc</group>
      <groupName>标点问题</groupName>
      <ability>L2_Punc</ability>
      <abilityName>标点符号检查</abilityName>
      <candidateList>
        <item>〉的通知》</item>
      </candidateList>
      <explain/>
      <paraID>450D48FF</paraID>
      <start>38</start>
      <end>43</end>
      <status>unmodified</status>
      <modifiedWord/>
      <trackRevisions>false</trackRevisions>
    </reviewItem>
    <reviewItem>
      <errorID>1c2e2476-5da6-42f4-9961-e5f7b08953b4</errorID>
      <errorWord>（</errorWord>
      <group>L1_Format</group>
      <groupName>格式问题</groupName>
      <ability>L2_HalfPunc</ability>
      <abilityName>全半角检查</abilityName>
      <candidateList>
        <item>(</item>
      </candidateList>
      <explain>文本全半角错误。</explain>
      <paraID>5F637231</paraID>
      <start>2</start>
      <end>3</end>
      <status>unmodified</status>
      <modifiedWord/>
      <trackRevisions>false</trackRevisions>
    </reviewItem>
    <reviewItem>
      <errorID>2c27bedd-49c1-452a-b494-9cef1d61ef59</errorID>
      <errorWord>）</errorWord>
      <group>L1_Format</group>
      <groupName>格式问题</groupName>
      <ability>L2_HalfPunc</ability>
      <abilityName>全半角检查</abilityName>
      <candidateList>
        <item>)</item>
      </candidateList>
      <explain>文本全半角错误。</explain>
      <paraID>5F637231</paraID>
      <start>8</start>
      <end>9</end>
      <status>unmodified</status>
      <modifiedWord/>
      <trackRevisions>false</trackRevisions>
    </reviewItem>
    <reviewItem>
      <errorID>cc5c978a-c06e-451e-a2e2-8d8e541b7c58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70D753CB</paraID>
      <start>44</start>
      <end>45</end>
      <status>unmodified</status>
      <modifiedWord/>
      <trackRevisions>false</trackRevisions>
    </reviewItem>
    <reviewItem>
      <errorID>05f425c4-eca9-4788-a39c-2874b00531b3</errorID>
      <errorWord>～</errorWord>
      <group>L1_Format</group>
      <groupName>格式问题</groupName>
      <ability>L2_HalfPunc</ability>
      <abilityName>全半角检查</abilityName>
      <candidateList>
        <item>~</item>
      </candidateList>
      <explain>文本全半角错误。</explain>
      <paraID>47727D5B</paraID>
      <start>5</start>
      <end>6</end>
      <status>unmodified</status>
      <modifiedWord/>
      <trackRevisions>false</trackRevisions>
    </reviewItem>
    <reviewItem>
      <errorID>441d35b4-fbd1-41d8-80a7-da26fd09bb51</errorID>
      <errorWord>&lt;</errorWord>
      <group>L1_Format</group>
      <groupName>格式问题</groupName>
      <ability>L2_HalfPunc</ability>
      <abilityName>全半角检查</abilityName>
      <candidateList>
        <item>〈</item>
      </candidateList>
      <explain>文本全半角错误。</explain>
      <paraID>6CEC9545</paraID>
      <start>26</start>
      <end>27</end>
      <status>unmodified</status>
      <modifiedWord/>
      <trackRevisions>false</trackRevisions>
    </reviewItem>
    <reviewItem>
      <errorID>e9ff5e59-7bf5-4d3d-a39a-ca2408381514</errorID>
      <errorWord>&gt;</errorWord>
      <group>L1_Format</group>
      <groupName>格式问题</groupName>
      <ability>L2_HalfPunc</ability>
      <abilityName>全半角检查</abilityName>
      <candidateList>
        <item>〉</item>
      </candidateList>
      <explain>文本全半角错误。</explain>
      <paraID>6CEC9545</paraID>
      <start>53</start>
      <end>54</end>
      <status>unmodified</status>
      <modifiedWord/>
      <trackRevisions>false</trackRevisions>
    </reviewItem>
    <reviewItem>
      <errorID>ba22ca45-5d5d-4e79-86ff-db9c7cab5352</errorID>
      <errorWord>&lt;</errorWord>
      <group>L1_Format</group>
      <groupName>格式问题</groupName>
      <ability>L2_HalfPunc</ability>
      <abilityName>全半角检查</abilityName>
      <candidateList>
        <item>〈</item>
      </candidateList>
      <explain>文本全半角错误。</explain>
      <paraID>6CEC9545</paraID>
      <start>100</start>
      <end>101</end>
      <status>unmodified</status>
      <modifiedWord/>
      <trackRevisions>false</trackRevisions>
    </reviewItem>
    <reviewItem>
      <errorID>e5c14841-c97b-429f-a745-87176a279095</errorID>
      <errorWord>&gt;</errorWord>
      <group>L1_Format</group>
      <groupName>格式问题</groupName>
      <ability>L2_HalfPunc</ability>
      <abilityName>全半角检查</abilityName>
      <candidateList>
        <item>〉</item>
      </candidateList>
      <explain>文本全半角错误。</explain>
      <paraID>6CEC9545</paraID>
      <start>128</start>
      <end>129</end>
      <status>unmodified</status>
      <modifiedWord/>
      <trackRevisions>false</trackRevisions>
    </reviewItem>
    <reviewItem>
      <errorID>dd71d29d-cdfd-45ab-adbb-8aeef35fc9f6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17FB3F97</paraID>
      <start>34</start>
      <end>35</end>
      <status>unmodified</status>
      <modifiedWord/>
      <trackRevisions>false</trackRevisions>
    </reviewItem>
    <reviewItem>
      <errorID>9b14bd20-bcaa-4ae1-887a-f69334160656</errorID>
      <errorWord>（2011）第32号</errorWord>
      <group>L1_Knowledge</group>
      <groupName>知识性问题</groupName>
      <ability>L2_Knowledge</ability>
      <abilityName>其他知识</abilityName>
      <candidateList>
        <item>〔2011〕32号</item>
      </candidateList>
      <explain>发文字号格式错误。</explain>
      <paraID> 86448C8</paraID>
      <start>55</start>
      <end>65</end>
      <status>unmodified</status>
      <modifiedWord/>
      <trackRevisions>false</trackRevisions>
    </reviewItem>
    <reviewItem>
      <errorID>5ca7d194-2167-4ff0-ae94-f22a9f68afd0</errorID>
      <errorWord>(</errorWord>
      <group>L1_Format</group>
      <groupName>格式问题</groupName>
      <ability>L2_HalfPunc</ability>
      <abilityName>全半角检查</abilityName>
      <candidateList>
        <item>（</item>
      </candidateList>
      <explain>文本全半角错误。</explain>
      <paraID>7CCE2EF6</paraID>
      <start>36</start>
      <end>37</end>
      <status>unmodified</status>
      <modifiedWord/>
      <trackRevisions>false</trackRevisions>
    </reviewItem>
    <reviewItem>
      <errorID>2156ef1e-40b3-48c3-8e3e-03813138fd63</errorID>
      <errorWord>)</errorWord>
      <group>L1_Format</group>
      <groupName>格式问题</groupName>
      <ability>L2_HalfPunc</ability>
      <abilityName>全半角检查</abilityName>
      <candidateList>
        <item>）</item>
      </candidateList>
      <explain>文本全半角错误。</explain>
      <paraID>7CCE2EF6</paraID>
      <start>48</start>
      <end>49</end>
      <status>unmodified</status>
      <modifiedWord/>
      <trackRevisions>false</trackRevisions>
    </reviewItem>
    <reviewItem>
      <errorID>ffa70950-0da2-43bd-8184-ce7f136418fa</errorID>
      <errorWord>(</errorWord>
      <group>L1_Format</group>
      <groupName>格式问题</groupName>
      <ability>L2_HalfPunc</ability>
      <abilityName>全半角检查</abilityName>
      <candidateList>
        <item>（</item>
      </candidateList>
      <explain>文本全半角错误。</explain>
      <paraID>2F1C8E05</paraID>
      <start>25</start>
      <end>26</end>
      <status>unmodified</status>
      <modifiedWord/>
      <trackRevisions>false</trackRevisions>
    </reviewItem>
    <reviewItem>
      <errorID>000dc9a8-0b5b-475c-b49b-25fec83aba2d</errorID>
      <errorWord>～</errorWord>
      <group>L1_Format</group>
      <groupName>格式问题</groupName>
      <ability>L2_HalfPunc</ability>
      <abilityName>全半角检查</abilityName>
      <candidateList>
        <item>~</item>
      </candidateList>
      <explain>文本全半角错误。</explain>
      <paraID>5437526E</paraID>
      <start>1</start>
      <end>2</end>
      <status>unmodified</status>
      <modifiedWord/>
      <trackRevisions>false</trackRevisions>
    </reviewItem>
    <reviewItem>
      <errorID>3647b8cb-ab2e-4d33-b8f4-404bb03b842f</errorID>
      <errorWord>(</errorWord>
      <group>L1_Format</group>
      <groupName>格式问题</groupName>
      <ability>L2_HalfPunc</ability>
      <abilityName>全半角检查</abilityName>
      <candidateList>
        <item>（</item>
      </candidateList>
      <explain>文本全半角错误。</explain>
      <paraID>1869CB72</paraID>
      <start>16</start>
      <end>17</end>
      <status>unmodified</status>
      <modifiedWord/>
      <trackRevisions>false</trackRevisions>
    </reviewItem>
    <reviewItem>
      <errorID>099c7f52-73d1-4bae-add9-ebc4a91fb78b</errorID>
      <errorWord>-</errorWord>
      <group>L1_Format</group>
      <groupName>格式问题</groupName>
      <ability>L2_HalfPunc</ability>
      <abilityName>全半角检查</abilityName>
      <candidateList>
        <item>－</item>
      </candidateList>
      <explain>文本全半角错误。</explain>
      <paraID>672F2DE5</paraID>
      <start>197</start>
      <end>198</end>
      <status>unmodified</status>
      <modifiedWord/>
      <trackRevisions>false</trackRevisions>
    </reviewItem>
    <reviewItem>
      <errorID>9b4be399-9627-4b50-b3fc-2e588d26e65c</errorID>
      <errorWord>计</errorWord>
      <group>L1_Word</group>
      <groupName>字词问题</groupName>
      <ability>L2_Typo</ability>
      <abilityName>字词错误</abilityName>
      <candidateList>
        <item>计算</item>
      </candidateList>
      <explain/>
      <paraID>1046AAF5</paraID>
      <start>60</start>
      <end>61</end>
      <status>unmodified</status>
      <modifiedWord/>
      <trackRevisions>false</trackRevisions>
    </reviewItem>
    <reviewItem>
      <errorID>906893ca-c31f-4024-a498-ea07f0362cf3</errorID>
      <errorWord>(</errorWord>
      <group>L1_Format</group>
      <groupName>格式问题</groupName>
      <ability>L2_HalfPunc</ability>
      <abilityName>全半角检查</abilityName>
      <candidateList>
        <item>（</item>
      </candidateList>
      <explain>文本全半角错误。</explain>
      <paraID>5F550F57</paraID>
      <start>71</start>
      <end>72</end>
      <status>unmodified</status>
      <modifiedWord/>
      <trackRevisions>false</trackRevisions>
    </reviewItem>
    <reviewItem>
      <errorID>f6029bc5-8b96-4a77-b33d-19ccbcb21a48</errorID>
      <errorWord>)</errorWord>
      <group>L1_Format</group>
      <groupName>格式问题</groupName>
      <ability>L2_HalfPunc</ability>
      <abilityName>全半角检查</abilityName>
      <candidateList>
        <item>）</item>
      </candidateList>
      <explain>文本全半角错误。</explain>
      <paraID>5F550F57</paraID>
      <start>84</start>
      <end>85</end>
      <status>unmodified</status>
      <modifiedWord/>
      <trackRevisions>false</trackRevisions>
    </reviewItem>
    <reviewItem>
      <errorID>adf1000d-dc56-4a5b-b43d-6ffb149cdaee</errorID>
      <errorWord>(</errorWord>
      <group>L1_Format</group>
      <groupName>格式问题</groupName>
      <ability>L2_HalfPunc</ability>
      <abilityName>全半角检查</abilityName>
      <candidateList>
        <item>（</item>
      </candidateList>
      <explain>文本全半角错误。</explain>
      <paraID>5F550F57</paraID>
      <start>108</start>
      <end>109</end>
      <status>unmodified</status>
      <modifiedWord/>
      <trackRevisions>false</trackRevisions>
    </reviewItem>
    <reviewItem>
      <errorID>6cee4376-4cac-43b5-93dc-b76c7c5afe8d</errorID>
      <errorWord>)</errorWord>
      <group>L1_Format</group>
      <groupName>格式问题</groupName>
      <ability>L2_HalfPunc</ability>
      <abilityName>全半角检查</abilityName>
      <candidateList>
        <item>）</item>
      </candidateList>
      <explain>文本全半角错误。</explain>
      <paraID>5F550F57</paraID>
      <start>123</start>
      <end>124</end>
      <status>unmodified</status>
      <modifiedWord/>
      <trackRevisions>false</trackRevisions>
    </reviewItem>
    <reviewItem>
      <errorID>45616409-2c07-46b7-bcee-4949694c80e0</errorID>
      <errorWord>(</errorWord>
      <group>L1_Format</group>
      <groupName>格式问题</groupName>
      <ability>L2_HalfPunc</ability>
      <abilityName>全半角检查</abilityName>
      <candidateList>
        <item>（</item>
      </candidateList>
      <explain>文本全半角错误。</explain>
      <paraID>5F550F57</paraID>
      <start>172</start>
      <end>173</end>
      <status>unmodified</status>
      <modifiedWord/>
      <trackRevisions>false</trackRevisions>
    </reviewItem>
    <reviewItem>
      <errorID>b4badc5b-ecdd-48a6-a119-520529349892</errorID>
      <errorWord>)</errorWord>
      <group>L1_Format</group>
      <groupName>格式问题</groupName>
      <ability>L2_HalfPunc</ability>
      <abilityName>全半角检查</abilityName>
      <candidateList>
        <item>）</item>
      </candidateList>
      <explain>文本全半角错误。</explain>
      <paraID>5F550F57</paraID>
      <start>185</start>
      <end>186</end>
      <status>unmodified</status>
      <modifiedWord/>
      <trackRevisions>false</trackRevisions>
    </reviewItem>
    <reviewItem>
      <errorID>903ce940-f2d6-4162-8a0e-226294a5e8f4</errorID>
      <errorWord>(</errorWord>
      <group>L1_Format</group>
      <groupName>格式问题</groupName>
      <ability>L2_HalfPunc</ability>
      <abilityName>全半角检查</abilityName>
      <candidateList>
        <item>（</item>
      </candidateList>
      <explain>文本全半角错误。</explain>
      <paraID>5F550F57</paraID>
      <start>210</start>
      <end>211</end>
      <status>unmodified</status>
      <modifiedWord/>
      <trackRevisions>false</trackRevisions>
    </reviewItem>
    <reviewItem>
      <errorID>2069919a-ff9d-4c1f-be3e-e4eb1300d2cb</errorID>
      <errorWord>)</errorWord>
      <group>L1_Format</group>
      <groupName>格式问题</groupName>
      <ability>L2_HalfPunc</ability>
      <abilityName>全半角检查</abilityName>
      <candidateList>
        <item>）</item>
      </candidateList>
      <explain>文本全半角错误。</explain>
      <paraID>5F550F57</paraID>
      <start>225</start>
      <end>226</end>
      <status>unmodified</status>
      <modifiedWord/>
      <trackRevisions>false</trackRevisions>
    </reviewItem>
    <reviewItem>
      <errorID>2c9a6e70-def6-4e7e-a711-0c1f203ec7dd</errorID>
      <errorWord>&lt;</errorWord>
      <group>L1_Format</group>
      <groupName>格式问题</groupName>
      <ability>L2_HalfPunc</ability>
      <abilityName>全半角检查</abilityName>
      <candidateList>
        <item>〈</item>
      </candidateList>
      <explain>文本全半角错误。</explain>
      <paraID>5A620E33</paraID>
      <start>83</start>
      <end>84</end>
      <status>unmodified</status>
      <modifiedWord/>
      <trackRevisions>false</trackRevisions>
    </reviewItem>
    <reviewItem>
      <errorID>4e6ecdf3-7a50-46c0-b0e8-3738c5c94576</errorID>
      <errorWord>&gt;</errorWord>
      <group>L1_Format</group>
      <groupName>格式问题</groupName>
      <ability>L2_HalfPunc</ability>
      <abilityName>全半角检查</abilityName>
      <candidateList>
        <item>〉</item>
      </candidateList>
      <explain>文本全半角错误。</explain>
      <paraID>5A620E33</paraID>
      <start>112</start>
      <end>113</end>
      <status>unmodified</status>
      <modifiedWord/>
      <trackRevisions>false</trackRevisions>
    </reviewItem>
    <reviewItem>
      <errorID>07280899-c331-44db-8d9c-ad1a4a1c7ada</errorID>
      <errorWord>&lt;</errorWord>
      <group>L1_Format</group>
      <groupName>格式问题</groupName>
      <ability>L2_HalfPunc</ability>
      <abilityName>全半角检查</abilityName>
      <candidateList>
        <item>〈</item>
      </candidateList>
      <explain>文本全半角错误。</explain>
      <paraID>5A620E33</paraID>
      <start>174</start>
      <end>175</end>
      <status>unmodified</status>
      <modifiedWord/>
      <trackRevisions>false</trackRevisions>
    </reviewItem>
    <reviewItem>
      <errorID>e4b5766a-0bf8-44b6-bc8a-f5e191d04b17</errorID>
      <errorWord>&gt;</errorWord>
      <group>L1_Format</group>
      <groupName>格式问题</groupName>
      <ability>L2_HalfPunc</ability>
      <abilityName>全半角检查</abilityName>
      <candidateList>
        <item>〉</item>
      </candidateList>
      <explain>文本全半角错误。</explain>
      <paraID>5A620E33</paraID>
      <start>198</start>
      <end>199</end>
      <status>unmodified</status>
      <modifiedWord/>
      <trackRevisions>false</trackRevisions>
    </reviewItem>
    <reviewItem>
      <errorID>bd776a1c-7263-4063-b4a6-49e691008ab7</errorID>
      <errorWord>（</errorWord>
      <group>L1_Format</group>
      <groupName>格式问题</groupName>
      <ability>L2_HalfPunc</ability>
      <abilityName>全半角检查</abilityName>
      <candidateList>
        <item>(</item>
      </candidateList>
      <explain>文本全半角错误。</explain>
      <paraID>354F09AC</paraID>
      <start>0</start>
      <end>1</end>
      <status>unmodified</status>
      <modifiedWord/>
      <trackRevisions>false</trackRevisions>
    </reviewItem>
    <reviewItem>
      <errorID>f32ccc04-d363-4268-a450-da8aa115f23e</errorID>
      <errorWord>（</errorWord>
      <group>L1_Punc</group>
      <groupName>标点问题</groupName>
      <ability>L2_Punc</ability>
      <abilityName>标点符号检查</abilityName>
      <candidateList/>
      <explain>同一形式括号套用。</explain>
      <paraID>354F09AC</paraID>
      <start>3</start>
      <end>4</end>
      <status>unmodified</status>
      <modifiedWord/>
      <trackRevisions>false</trackRevisions>
    </reviewItem>
    <reviewItem>
      <errorID>168728c2-6958-47e6-8aac-439ec7ddcff9</errorID>
      <errorWord>）</errorWord>
      <group>L1_Punc</group>
      <groupName>标点问题</groupName>
      <ability>L2_Punc</ability>
      <abilityName>标点符号检查</abilityName>
      <candidateList/>
      <explain>同一形式括号套用。</explain>
      <paraID>354F09AC</paraID>
      <start>5</start>
      <end>6</end>
      <status>unmodified</status>
      <modifiedWord/>
      <trackRevisions>false</trackRevisions>
    </reviewItem>
    <reviewItem>
      <errorID>6f7e6809-feac-4dca-8021-30f24a8ea0d4</errorID>
      <errorWord>，。</errorWord>
      <group>L1_Punc</group>
      <groupName>标点问题</groupName>
      <ability>L2_Punc</ability>
      <abilityName>标点符号检查</abilityName>
      <candidateList>
        <item>，</item>
      </candidateList>
      <explain/>
      <paraID> 7AF8DA2</paraID>
      <start>63</start>
      <end>65</end>
      <status>unmodified</status>
      <modifiedWord/>
      <trackRevisions>false</trackRevisions>
    </reviewItem>
    <reviewItem>
      <errorID>ee74d5d8-2aa8-4908-b380-d393b905a7d0</errorID>
      <errorWord>(</errorWord>
      <group>L1_Format</group>
      <groupName>格式问题</groupName>
      <ability>L2_HalfPunc</ability>
      <abilityName>全半角检查</abilityName>
      <candidateList>
        <item>（</item>
      </candidateList>
      <explain>文本全半角错误。</explain>
      <paraID>2204C257</paraID>
      <start>16</start>
      <end>17</end>
      <status>unmodified</status>
      <modifiedWord/>
      <trackRevisions>false</trackRevisions>
    </reviewItem>
    <reviewItem>
      <errorID>fdcd324e-9661-4b47-853b-d95631d2d931</errorID>
      <errorWord>(</errorWord>
      <group>L1_Format</group>
      <groupName>格式问题</groupName>
      <ability>L2_HalfPunc</ability>
      <abilityName>全半角检查</abilityName>
      <candidateList>
        <item>（</item>
      </candidateList>
      <explain>文本全半角错误。</explain>
      <paraID>42790D29</paraID>
      <start>55</start>
      <end>56</end>
      <status>unmodified</status>
      <modifiedWord/>
      <trackRevisions>false</trackRevisions>
    </reviewItem>
    <reviewItem>
      <errorID>98ac7db9-956c-4fed-a025-3ea7e864cba5</errorID>
      <errorWord>)</errorWord>
      <group>L1_Format</group>
      <groupName>格式问题</groupName>
      <ability>L2_HalfPunc</ability>
      <abilityName>全半角检查</abilityName>
      <candidateList>
        <item>）</item>
      </candidateList>
      <explain>文本全半角错误。</explain>
      <paraID>42790D29</paraID>
      <start>66</start>
      <end>67</end>
      <status>unmodified</status>
      <modifiedWord/>
      <trackRevisions>false</trackRevisions>
    </reviewItem>
    <reviewItem>
      <errorID>862b0d30-d9d9-4cd0-acc5-f74749a5df90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42790D29</paraID>
      <start>74</start>
      <end>75</end>
      <status>unmodified</status>
      <modifiedWord/>
      <trackRevisions>false</trackRevisions>
    </reviewItem>
    <reviewItem>
      <errorID>c4198d60-5e44-4197-84f8-eb8055eece93</errorID>
      <errorWord>放</errorWord>
      <group>L1_Word</group>
      <groupName>字词问题</groupName>
      <ability>L2_Typo</ability>
      <abilityName>字词错误</abilityName>
      <candidateList>
        <item>放在</item>
      </candidateList>
      <explain/>
      <paraID>258B6955</paraID>
      <start>45</start>
      <end>46</end>
      <status>unmodified</status>
      <modifiedWord/>
      <trackRevisions>false</trackRevisions>
    </reviewItem>
    <reviewItem>
      <errorID>566a8527-9830-4225-be05-5b924c0a6067</errorID>
      <errorWord>(</errorWord>
      <group>L1_Format</group>
      <groupName>格式问题</groupName>
      <ability>L2_HalfPunc</ability>
      <abilityName>全半角检查</abilityName>
      <candidateList>
        <item>（</item>
      </candidateList>
      <explain>文本全半角错误。</explain>
      <paraID>3B57D84C</paraID>
      <start>18</start>
      <end>19</end>
      <status>unmodified</status>
      <modifiedWord/>
      <trackRevisions>false</trackRevisions>
    </reviewItem>
    <reviewItem>
      <errorID>7e2a3167-a9e0-4da2-bdc9-2da957d6cc4a</errorID>
      <errorWord>)</errorWord>
      <group>L1_Format</group>
      <groupName>格式问题</groupName>
      <ability>L2_HalfPunc</ability>
      <abilityName>全半角检查</abilityName>
      <candidateList>
        <item>）</item>
      </candidateList>
      <explain>文本全半角错误。</explain>
      <paraID>3B57D84C</paraID>
      <start>29</start>
      <end>30</end>
      <status>unmodified</status>
      <modifiedWord/>
      <trackRevisions>false</trackRevisions>
    </reviewItem>
    <reviewItem>
      <errorID>24828701-e1f8-427a-898a-a9c758ce6e50</errorID>
      <errorWord>、…</errorWord>
      <group>L1_Punc</group>
      <groupName>标点问题</groupName>
      <ability>L2_Punc</ability>
      <abilityName>标点符号检查</abilityName>
      <candidateList>
        <item>、</item>
      </candidateList>
      <explain/>
      <paraID> 41E40FC</paraID>
      <start>5</start>
      <end>7</end>
      <status>unmodified</status>
      <modifiedWord/>
      <trackRevisions>false</trackRevisions>
    </reviewItem>
    <reviewItem>
      <errorID>f1ec65e9-0616-4da5-a751-d103d2807108</errorID>
      <errorWord>、…</errorWord>
      <group>L1_Punc</group>
      <groupName>标点问题</groupName>
      <ability>L2_Punc</ability>
      <abilityName>标点符号检查</abilityName>
      <candidateList>
        <item>、</item>
      </candidateList>
      <explain/>
      <paraID> CC622AC</paraID>
      <start>5</start>
      <end>7</end>
      <status>unmodified</status>
      <modifiedWord/>
      <trackRevisions>false</trackRevisions>
    </reviewItem>
    <reviewItem>
      <errorID>a51600cd-2a42-422b-a974-fbe9cc7f0577</errorID>
      <errorWord>(</errorWord>
      <group>L1_Format</group>
      <groupName>格式问题</groupName>
      <ability>L2_HalfPunc</ability>
      <abilityName>全半角检查</abilityName>
      <candidateList>
        <item>（</item>
      </candidateList>
      <explain>文本全半角错误。</explain>
      <paraID>42685810</paraID>
      <start>45</start>
      <end>46</end>
      <status>unmodified</status>
      <modifiedWord/>
      <trackRevisions>false</trackRevisions>
    </reviewItem>
    <reviewItem>
      <errorID>a1999497-6f16-4fdc-b92b-9735ffa16ad0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42685810</paraID>
      <start>59</start>
      <end>60</end>
      <status>unmodified</status>
      <modifiedWord/>
      <trackRevisions>false</trackRevisions>
    </reviewItem>
    <reviewItem>
      <errorID>08c7578b-ffaa-46de-a0c6-8b66ff582750</errorID>
      <errorWord>(</errorWord>
      <group>L1_Format</group>
      <groupName>格式问题</groupName>
      <ability>L2_HalfPunc</ability>
      <abilityName>全半角检查</abilityName>
      <candidateList>
        <item>（</item>
      </candidateList>
      <explain>文本全半角错误。</explain>
      <paraID>4E372971</paraID>
      <start>16</start>
      <end>17</end>
      <status>unmodified</status>
      <modifiedWord/>
      <trackRevisions>false</trackRevisions>
    </reviewItem>
    <reviewItem>
      <errorID>25f2a205-fd6c-454d-a740-69d13faacc1e</errorID>
      <errorWord>(</errorWord>
      <group>L1_Format</group>
      <groupName>格式问题</groupName>
      <ability>L2_HalfPunc</ability>
      <abilityName>全半角检查</abilityName>
      <candidateList>
        <item>（</item>
      </candidateList>
      <explain>文本全半角错误。</explain>
      <paraID>34E095E1</paraID>
      <start>3</start>
      <end>4</end>
      <status>unmodified</status>
      <modifiedWord/>
      <trackRevisions>false</trackRevisions>
    </reviewItem>
    <reviewItem>
      <errorID>abefbd49-5796-4e20-9d04-775db1aa8fbf</errorID>
      <errorWord>)</errorWord>
      <group>L1_Format</group>
      <groupName>格式问题</groupName>
      <ability>L2_HalfPunc</ability>
      <abilityName>全半角检查</abilityName>
      <candidateList>
        <item>）</item>
      </candidateList>
      <explain>文本全半角错误。</explain>
      <paraID>34E095E1</paraID>
      <start>9</start>
      <end>10</end>
      <status>unmodified</status>
      <modifiedWord/>
      <trackRevisions>false</trackRevisions>
    </reviewItem>
    <reviewItem>
      <errorID>44b252d9-fd07-4f7f-a125-974ac2e7ad70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1CAE3A69</paraID>
      <start>0</start>
      <end>2</end>
      <status>unmodified</status>
      <modifiedWord/>
      <trackRevisions>false</trackRevisions>
    </reviewItem>
    <reviewItem>
      <errorID>64bcfec9-1777-4478-8f83-0d11868fc8f3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7A6D29C8</paraID>
      <start>0</start>
      <end>2</end>
      <status>unmodified</status>
      <modifiedWord/>
      <trackRevisions>false</trackRevisions>
    </reviewItem>
    <reviewItem>
      <errorID>ccbafe46-0a40-47a9-82d6-3776d556d615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20791A09</paraID>
      <start>0</start>
      <end>2</end>
      <status>unmodified</status>
      <modifiedWord/>
      <trackRevisions>false</trackRevisions>
    </reviewItem>
    <reviewItem>
      <errorID>0d830e72-d242-44d8-8a80-fc7d48c2c3ba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577D6084</paraID>
      <start>0</start>
      <end>2</end>
      <status>unmodified</status>
      <modifiedWord/>
      <trackRevisions>false</trackRevisions>
    </reviewItem>
    <reviewItem>
      <errorID>03b3be62-4c58-4be2-a93e-fd7103ca4b14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33CA85B5</paraID>
      <start>0</start>
      <end>2</end>
      <status>unmodified</status>
      <modifiedWord/>
      <trackRevisions>false</trackRevisions>
    </reviewItem>
    <reviewItem>
      <errorID>93fb6ce0-7323-4a97-a249-e81e282cb0c4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3739E0EE</paraID>
      <start>0</start>
      <end>2</end>
      <status>unmodified</status>
      <modifiedWord/>
      <trackRevisions>false</trackRevisions>
    </reviewItem>
    <reviewItem>
      <errorID>38fdb335-bef9-42b9-a3a0-5cb50104eef2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525C1AF7</paraID>
      <start>0</start>
      <end>2</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a6164f-7f67-4b48-bdd6-2ba23a27ee30}">
  <ds:schemaRefs/>
</ds:datastoreItem>
</file>

<file path=customXml/itemProps3.xml><?xml version="1.0" encoding="utf-8"?>
<ds:datastoreItem xmlns:ds="http://schemas.openxmlformats.org/officeDocument/2006/customXml" ds:itemID="{BBBEA4D1-CE06-4FD7-9F88-84B86311768B}">
  <ds:schemaRefs/>
</ds:datastoreItem>
</file>

<file path=docProps/app.xml><?xml version="1.0" encoding="utf-8"?>
<Properties xmlns="http://schemas.openxmlformats.org/officeDocument/2006/extended-properties" xmlns:vt="http://schemas.openxmlformats.org/officeDocument/2006/docPropsVTypes">
  <Template>天普志诚--报告书---模板文档.dot</Template>
  <Company>Home</Company>
  <Pages>68</Pages>
  <Words>19222</Words>
  <Characters>20423</Characters>
  <Lines>366</Lines>
  <Paragraphs>103</Paragraphs>
  <TotalTime>58</TotalTime>
  <ScaleCrop>false</ScaleCrop>
  <LinksUpToDate>false</LinksUpToDate>
  <CharactersWithSpaces>20647</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2024-07-28T13:52:00Z</dcterms:created>
  <dc:creator></dc:creator>
  <cp:lastModifiedBy>Administrator</cp:lastModifiedBy>
  <cp:lastPrinted>2024-09-10T04:46:00Z</cp:lastPrinted>
  <dcterms:modified xsi:type="dcterms:W3CDTF">2026-05-26T12:27:44Z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CE01A0670FC44BB0A3EC2731933159D9_13</vt:lpwstr>
  </property>
  <property fmtid="{D5CDD505-2E9C-101B-9397-08002B2CF9AE}" pid="3" name="KSOProductBuildVer">
    <vt:lpwstr>2052-11.8.2.11500</vt:lpwstr>
  </property>
  <property fmtid="{D5CDD505-2E9C-101B-9397-08002B2CF9AE}" pid="4" name="KSOTemplateDocerSaveRecord">
    <vt:lpwstr>eyJoZGlkIjoiNDU2YjJmODkxMWVhZDE4N2RjMjJlZTg1YjMwYzQwODMiLCJ1c2VySWQiOiIxOTE1NDMyMDcifQ==</vt:lpwstr>
  </property>
</Properties>
</file>