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hint="eastAsia" w:ascii="仿宋_GB2312" w:hAnsi="仿宋_GB2312" w:eastAsia="仿宋_GB2312" w:cs="仿宋_GB2312"/>
          <w:sz w:val="36"/>
          <w:szCs w:val="36"/>
        </w:rPr>
      </w:pPr>
    </w:p>
    <w:p>
      <w:pPr>
        <w:adjustRightInd w:val="0"/>
        <w:snapToGrid w:val="0"/>
        <w:jc w:val="center"/>
        <w:outlineLvl w:val="0"/>
        <w:rPr>
          <w:rFonts w:hint="eastAsia" w:ascii="方正小标宋_GBK" w:hAnsi="Times New Roman" w:eastAsia="方正小标宋_GBK" w:cs="Times New Roman"/>
          <w:bCs/>
          <w:sz w:val="72"/>
          <w:szCs w:val="72"/>
        </w:rPr>
      </w:pPr>
      <w:r>
        <w:rPr>
          <w:rFonts w:hint="eastAsia" w:ascii="方正小标宋_GBK" w:hAnsi="Times New Roman" w:eastAsia="方正小标宋_GBK" w:cs="Times New Roman"/>
          <w:bCs/>
          <w:sz w:val="72"/>
          <w:szCs w:val="72"/>
        </w:rPr>
        <w:t>建设项目环境影响报告表</w:t>
      </w:r>
    </w:p>
    <w:p>
      <w:pPr>
        <w:adjustRightInd w:val="0"/>
        <w:snapToGrid w:val="0"/>
        <w:spacing w:before="192" w:beforeLines="80"/>
        <w:jc w:val="center"/>
        <w:rPr>
          <w:rFonts w:hint="eastAsia" w:ascii="楷体_GB2312" w:hAnsi="Times New Roman" w:eastAsia="楷体_GB2312" w:cs="Times New Roman"/>
          <w:bCs/>
          <w:sz w:val="48"/>
          <w:szCs w:val="48"/>
        </w:rPr>
      </w:pPr>
      <w:r>
        <w:rPr>
          <w:rFonts w:hint="eastAsia" w:ascii="楷体_GB2312" w:hAnsi="Times New Roman" w:eastAsia="楷体_GB2312" w:cs="Times New Roman"/>
          <w:bCs/>
          <w:sz w:val="48"/>
          <w:szCs w:val="48"/>
        </w:rPr>
        <w:t>（</w:t>
      </w:r>
      <w:r>
        <w:rPr>
          <w:rFonts w:hint="eastAsia" w:ascii="楷体_GB2312" w:hAnsi="Times New Roman" w:eastAsia="楷体_GB2312" w:cs="Times New Roman"/>
          <w:bCs/>
          <w:sz w:val="48"/>
          <w:szCs w:val="48"/>
          <w:lang w:val="en-US" w:eastAsia="zh-CN"/>
        </w:rPr>
        <w:t>生态</w:t>
      </w:r>
      <w:r>
        <w:rPr>
          <w:rFonts w:hint="eastAsia" w:ascii="楷体_GB2312" w:hAnsi="Times New Roman" w:eastAsia="楷体_GB2312" w:cs="Times New Roman"/>
          <w:bCs/>
          <w:sz w:val="48"/>
          <w:szCs w:val="48"/>
        </w:rPr>
        <w:t>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ascii="Times New Roman" w:hAnsi="Times New Roman" w:eastAsia="仿宋" w:cs="Times New Roman"/>
          <w:sz w:val="52"/>
          <w:szCs w:val="52"/>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adjustRightInd w:val="0"/>
        <w:snapToGrid w:val="0"/>
        <w:spacing w:line="288" w:lineRule="auto"/>
        <w:jc w:val="both"/>
        <w:rPr>
          <w:rFonts w:hint="eastAsia" w:ascii="仿宋_GB2312" w:hAnsi="Times New Roman" w:eastAsia="仿宋_GB2312" w:cs="Times New Roman"/>
          <w:sz w:val="36"/>
          <w:szCs w:val="36"/>
        </w:rPr>
      </w:pPr>
      <w:bookmarkStart w:id="1" w:name="_Hlk57884087"/>
    </w:p>
    <w:p>
      <w:pPr>
        <w:adjustRightInd w:val="0"/>
        <w:snapToGrid w:val="0"/>
        <w:spacing w:line="288" w:lineRule="auto"/>
        <w:jc w:val="both"/>
        <w:rPr>
          <w:rFonts w:hint="eastAsia" w:ascii="仿宋_GB2312" w:hAnsi="Times New Roman" w:eastAsia="仿宋_GB2312" w:cs="Times New Roman"/>
          <w:sz w:val="36"/>
          <w:szCs w:val="36"/>
        </w:rPr>
      </w:pPr>
    </w:p>
    <w:p>
      <w:pPr>
        <w:adjustRightInd w:val="0"/>
        <w:snapToGrid w:val="0"/>
        <w:spacing w:line="288" w:lineRule="auto"/>
        <w:jc w:val="both"/>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项目名称：</w:t>
      </w:r>
      <w:r>
        <w:rPr>
          <w:rFonts w:hint="eastAsia" w:ascii="仿宋_GB2312" w:eastAsia="仿宋_GB2312" w:cs="Times New Roman"/>
          <w:sz w:val="36"/>
          <w:szCs w:val="36"/>
          <w:u w:val="single"/>
          <w:lang w:val="en-US" w:eastAsia="zh-CN"/>
        </w:rPr>
        <w:t xml:space="preserve">新疆和硕县绰汗哈尔肯铜多金属矿勘探     </w:t>
      </w:r>
    </w:p>
    <w:p>
      <w:pPr>
        <w:adjustRightInd w:val="0"/>
        <w:snapToGrid w:val="0"/>
        <w:spacing w:line="288" w:lineRule="auto"/>
        <w:jc w:val="both"/>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建设单位（盖章）：</w:t>
      </w:r>
      <w:r>
        <w:rPr>
          <w:rFonts w:hint="eastAsia" w:ascii="仿宋_GB2312" w:eastAsia="仿宋_GB2312" w:cs="Times New Roman"/>
          <w:sz w:val="36"/>
          <w:szCs w:val="36"/>
          <w:u w:val="single"/>
          <w:lang w:val="en-US" w:eastAsia="zh-CN"/>
        </w:rPr>
        <w:t>北京天承盛西矿业技术开发有限公司</w:t>
      </w:r>
    </w:p>
    <w:p>
      <w:pPr>
        <w:adjustRightInd w:val="0"/>
        <w:snapToGrid w:val="0"/>
        <w:spacing w:line="288" w:lineRule="auto"/>
        <w:ind w:firstLine="720" w:firstLineChars="200"/>
        <w:rPr>
          <w:rFonts w:hint="default" w:ascii="仿宋_GB2312" w:hAnsi="Times New Roman" w:eastAsia="仿宋_GB2312" w:cs="Times New Roman"/>
          <w:sz w:val="36"/>
          <w:szCs w:val="36"/>
          <w:u w:val="single"/>
          <w:lang w:val="en-US" w:eastAsia="zh-CN"/>
        </w:rPr>
      </w:pPr>
      <w:r>
        <w:rPr>
          <w:rFonts w:hint="eastAsia" w:ascii="仿宋_GB2312" w:hAnsi="Times New Roman" w:eastAsia="仿宋_GB2312" w:cs="Times New Roman"/>
          <w:sz w:val="36"/>
          <w:szCs w:val="36"/>
        </w:rPr>
        <w:t>编制日期：</w:t>
      </w:r>
      <w:r>
        <w:rPr>
          <w:rFonts w:hint="eastAsia" w:ascii="仿宋_GB2312" w:hAnsi="Times New Roman" w:eastAsia="仿宋_GB2312" w:cs="Times New Roman"/>
          <w:sz w:val="36"/>
          <w:szCs w:val="36"/>
          <w:u w:val="single"/>
          <w:lang w:val="en-US" w:eastAsia="zh-CN"/>
        </w:rPr>
        <w:t xml:space="preserve">           2026年</w:t>
      </w:r>
      <w:r>
        <w:rPr>
          <w:rFonts w:hint="eastAsia" w:ascii="仿宋_GB2312" w:eastAsia="仿宋_GB2312" w:cs="Times New Roman"/>
          <w:sz w:val="36"/>
          <w:szCs w:val="36"/>
          <w:u w:val="single"/>
          <w:lang w:val="en-US" w:eastAsia="zh-CN"/>
        </w:rPr>
        <w:t>7</w:t>
      </w:r>
      <w:r>
        <w:rPr>
          <w:rFonts w:hint="eastAsia" w:ascii="仿宋_GB2312" w:hAnsi="Times New Roman" w:eastAsia="仿宋_GB2312" w:cs="Times New Roman"/>
          <w:sz w:val="36"/>
          <w:szCs w:val="36"/>
          <w:u w:val="single"/>
          <w:lang w:val="en-US" w:eastAsia="zh-CN"/>
        </w:rPr>
        <w:t>月</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r>
        <w:rPr>
          <w:rFonts w:ascii="仿宋_GB2312" w:hAnsi="Times New Roman" w:eastAsia="仿宋_GB2312" w:cs="Times New Roman"/>
          <w:sz w:val="36"/>
          <w:szCs w:val="36"/>
          <w:u w:val="single"/>
        </w:rPr>
        <w:t xml:space="preserve">   </w:t>
      </w:r>
      <w:r>
        <w:rPr>
          <w:rFonts w:hint="eastAsia" w:ascii="仿宋_GB2312" w:hAnsi="Times New Roman" w:eastAsia="仿宋_GB2312" w:cs="Times New Roman"/>
          <w:sz w:val="36"/>
          <w:szCs w:val="36"/>
          <w:u w:val="single"/>
          <w:lang w:val="en-US" w:eastAsia="zh-CN"/>
        </w:rPr>
        <w:t xml:space="preserve">    </w:t>
      </w:r>
    </w:p>
    <w:p>
      <w:pPr>
        <w:adjustRightInd w:val="0"/>
        <w:snapToGrid w:val="0"/>
        <w:spacing w:line="288" w:lineRule="auto"/>
        <w:ind w:firstLine="1040"/>
        <w:rPr>
          <w:rFonts w:ascii="仿宋_GB2312" w:hAnsi="Times New Roman" w:eastAsia="仿宋_GB2312" w:cs="Times New Roman"/>
          <w:sz w:val="36"/>
          <w:szCs w:val="36"/>
          <w:u w:val="single"/>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hint="eastAsia" w:ascii="仿宋_GB2312" w:hAnsi="Times New Roman" w:eastAsia="仿宋_GB2312" w:cs="Times New Roman"/>
          <w:sz w:val="36"/>
          <w:szCs w:val="36"/>
        </w:rPr>
      </w:pPr>
    </w:p>
    <w:bookmarkEnd w:id="1"/>
    <w:p>
      <w:pPr>
        <w:adjustRightInd w:val="0"/>
        <w:snapToGrid w:val="0"/>
        <w:spacing w:line="288" w:lineRule="auto"/>
        <w:jc w:val="center"/>
        <w:rPr>
          <w:rFonts w:hint="eastAsia" w:ascii="楷体_GB2312" w:hAnsi="Times New Roman" w:eastAsia="楷体_GB2312" w:cs="Times New Roman"/>
          <w:sz w:val="36"/>
          <w:szCs w:val="36"/>
        </w:rPr>
      </w:pPr>
      <w:r>
        <w:rPr>
          <w:rFonts w:hint="eastAsia" w:ascii="楷体_GB2312" w:hAnsi="Times New Roman" w:eastAsia="楷体_GB2312" w:cs="Times New Roman"/>
          <w:sz w:val="36"/>
          <w:szCs w:val="36"/>
        </w:rPr>
        <w:t>中华人民共和国生态环境部制</w:t>
      </w:r>
    </w:p>
    <w:p>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fmt="decimal" w:start="3"/>
          <w:cols w:space="720" w:num="1"/>
          <w:docGrid w:linePitch="312" w:charSpace="0"/>
        </w:sectPr>
      </w:pPr>
    </w:p>
    <w:p>
      <w:pPr>
        <w:rPr>
          <w:rFonts w:ascii="仿宋_GB2312" w:hAnsi="仿宋_GB2312" w:eastAsia="仿宋_GB2312" w:cs="仿宋_GB2312"/>
          <w:sz w:val="36"/>
          <w:szCs w:val="36"/>
        </w:rPr>
      </w:pPr>
    </w:p>
    <w:bookmarkEnd w:id="0"/>
    <w:p>
      <w:pPr>
        <w:adjustRightInd w:val="0"/>
        <w:snapToGrid w:val="0"/>
        <w:spacing w:line="288" w:lineRule="auto"/>
        <w:rPr>
          <w:rFonts w:ascii="仿宋_GB2312" w:eastAsia="仿宋_GB2312"/>
          <w:sz w:val="36"/>
          <w:szCs w:val="36"/>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建设项目名称</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新疆和硕县绰汗哈尔肯铜多金属矿勘探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项目代码</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建设单位联系人</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highlight w:val="none"/>
                <w:lang w:val="en-US" w:eastAsia="zh-CN"/>
              </w:rPr>
            </w:pP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highlight w:val="none"/>
              </w:rPr>
            </w:pP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eastAsia="宋体"/>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建设地点</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b/>
                <w:bC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地理坐标</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bookmarkStart w:id="4" w:name="_GoBack"/>
            <w:bookmarkEnd w:id="4"/>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建设项目</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行业类别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rFonts w:hint="default"/>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临时占地面积为660m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建设性质</w:t>
            </w:r>
          </w:p>
        </w:tc>
        <w:tc>
          <w:tcPr>
            <w:tcW w:w="2512"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□改建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□扩建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rPr>
              <w:t>建设项目</w:t>
            </w:r>
            <w:r>
              <w:rPr>
                <w:rFonts w:hint="eastAsia" w:ascii="宋体" w:hAnsi="宋体" w:cs="宋体"/>
                <w:color w:val="auto"/>
                <w:szCs w:val="21"/>
                <w:lang w:val="en-US" w:eastAsia="zh-CN"/>
              </w:rPr>
              <w:t xml:space="preserve">   </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□不予批准后再次申报项目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□超五年重新审核项目</w:t>
            </w:r>
          </w:p>
          <w:p>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备案）部门（选填）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备案）文号（选填）</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总投资（万元）</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388.74</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环保投资（万元）</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4.04</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施工工期</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6天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是否开工建设</w:t>
            </w:r>
          </w:p>
        </w:tc>
        <w:tc>
          <w:tcPr>
            <w:tcW w:w="7405" w:type="dxa"/>
            <w:gridSpan w:val="3"/>
            <w:noWrap w:val="0"/>
            <w:vAlign w:val="center"/>
          </w:tcPr>
          <w:p>
            <w:pPr>
              <w:keepNext w:val="0"/>
              <w:keepLines w:val="0"/>
              <w:suppressLineNumbers w:val="0"/>
              <w:adjustRightInd w:val="0"/>
              <w:snapToGrid w:val="0"/>
              <w:spacing w:before="0" w:beforeAutospacing="0" w:after="0" w:afterAutospacing="0"/>
              <w:ind w:left="0" w:right="0" w:firstLine="105"/>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否</w:t>
            </w:r>
          </w:p>
          <w:p>
            <w:pPr>
              <w:keepNext w:val="0"/>
              <w:keepLines w:val="0"/>
              <w:suppressLineNumbers w:val="0"/>
              <w:adjustRightInd w:val="0"/>
              <w:snapToGrid w:val="0"/>
              <w:spacing w:before="0" w:beforeAutospacing="0" w:after="0" w:afterAutospacing="0"/>
              <w:ind w:left="0" w:right="0" w:firstLine="92"/>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hint="default" w:ascii="宋体" w:hAnsi="宋体" w:cs="宋体"/>
                <w:szCs w:val="21"/>
                <w:u w:val="single"/>
              </w:rPr>
              <w:t xml:space="preserve"> </w:t>
            </w:r>
            <w:r>
              <w:rPr>
                <w:rFonts w:hint="eastAsia" w:ascii="宋体" w:hAnsi="宋体" w:cs="宋体"/>
                <w:szCs w:val="21"/>
                <w:u w:val="single"/>
              </w:rPr>
              <w:t xml:space="preserve">                     </w:t>
            </w:r>
            <w:r>
              <w:rPr>
                <w:rFonts w:hint="default"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专项评价设置情况</w:t>
            </w:r>
          </w:p>
        </w:tc>
        <w:tc>
          <w:tcPr>
            <w:tcW w:w="7405" w:type="dxa"/>
            <w:gridSpan w:val="3"/>
            <w:noWrap w:val="0"/>
            <w:tcMar>
              <w:top w:w="16" w:type="dxa"/>
              <w:left w:w="16" w:type="dxa"/>
              <w:right w:w="16" w:type="dxa"/>
            </w:tcMar>
            <w:vAlign w:val="center"/>
          </w:tcPr>
          <w:p>
            <w:pPr>
              <w:pStyle w:val="54"/>
              <w:keepNext w:val="0"/>
              <w:keepLines w:val="0"/>
              <w:suppressLineNumbers w:val="0"/>
              <w:bidi w:val="0"/>
              <w:spacing w:before="0" w:beforeAutospacing="0" w:after="0" w:afterAutospacing="0"/>
              <w:ind w:left="0" w:right="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审批机关：自然资源部</w:t>
            </w:r>
            <w:r>
              <w:rPr>
                <w:rFonts w:hint="eastAsia"/>
                <w:lang w:eastAsia="zh-CN"/>
              </w:rPr>
              <w:t>；</w:t>
            </w:r>
          </w:p>
          <w:p>
            <w:pPr>
              <w:pStyle w:val="67"/>
              <w:keepNext w:val="0"/>
              <w:keepLines w:val="0"/>
              <w:suppressLineNumbers w:val="0"/>
              <w:spacing w:before="0" w:beforeAutospacing="0" w:after="0" w:afterAutospacing="0"/>
              <w:ind w:left="0" w:right="0"/>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7"/>
              <w:keepNext w:val="0"/>
              <w:keepLines w:val="0"/>
              <w:suppressLineNumbers w:val="0"/>
              <w:spacing w:before="0" w:beforeAutospacing="0" w:after="0" w:afterAutospacing="0"/>
              <w:ind w:left="0" w:right="0"/>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7"/>
              <w:keepNext w:val="0"/>
              <w:keepLines w:val="0"/>
              <w:suppressLineNumbers w:val="0"/>
              <w:spacing w:before="0" w:beforeAutospacing="0" w:after="0" w:afterAutospacing="0"/>
              <w:ind w:left="0" w:right="0"/>
              <w:rPr>
                <w:rFonts w:hint="default" w:ascii="Times New Roman" w:hAnsi="Times New Roman" w:cs="Times New Roman"/>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0" w:hRule="atLeast"/>
        </w:trPr>
        <w:tc>
          <w:tcPr>
            <w:tcW w:w="1634"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规划环境影响</w:t>
            </w:r>
          </w:p>
          <w:p>
            <w:pPr>
              <w:pStyle w:val="58"/>
              <w:keepNext w:val="0"/>
              <w:keepLines w:val="0"/>
              <w:suppressLineNumbers w:val="0"/>
              <w:bidi w:val="0"/>
              <w:spacing w:before="0" w:beforeAutospacing="0" w:after="0" w:afterAutospacing="0"/>
              <w:ind w:left="0" w:right="0"/>
              <w:rPr>
                <w:rFonts w:hint="default"/>
              </w:rPr>
            </w:pPr>
            <w:r>
              <w:rPr>
                <w:rFonts w:hint="eastAsia"/>
              </w:rPr>
              <w:t>评价情况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7"/>
              <w:keepNext w:val="0"/>
              <w:keepLines w:val="0"/>
              <w:suppressLineNumbers w:val="0"/>
              <w:spacing w:before="0" w:beforeAutospacing="0" w:after="0" w:afterAutospacing="0"/>
              <w:ind w:left="0" w:right="0"/>
              <w:jc w:val="left"/>
              <w:rPr>
                <w:rFonts w:hint="eastAsia" w:eastAsia="宋体"/>
                <w:lang w:eastAsia="zh-CN"/>
              </w:rPr>
            </w:pPr>
            <w:r>
              <w:rPr>
                <w:rFonts w:hint="eastAsia"/>
              </w:rPr>
              <w:t>审查机关：生态环境部</w:t>
            </w:r>
            <w:r>
              <w:rPr>
                <w:rFonts w:hint="eastAsia"/>
                <w:lang w:eastAsia="zh-CN"/>
              </w:rPr>
              <w:t>；</w:t>
            </w:r>
          </w:p>
          <w:p>
            <w:pPr>
              <w:pStyle w:val="58"/>
              <w:keepNext w:val="0"/>
              <w:keepLines w:val="0"/>
              <w:suppressLineNumbers w:val="0"/>
              <w:bidi w:val="0"/>
              <w:spacing w:before="0" w:beforeAutospacing="0" w:after="0" w:afterAutospacing="0"/>
              <w:ind w:left="0" w:right="0"/>
              <w:jc w:val="left"/>
              <w:rPr>
                <w:rFonts w:hint="default" w:ascii="Times New Roman" w:hAnsi="Times New Roman" w:cs="Times New Roman"/>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61"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gridSpan w:val="3"/>
            <w:noWrap w:val="0"/>
            <w:tcMar>
              <w:top w:w="16" w:type="dxa"/>
              <w:left w:w="16" w:type="dxa"/>
              <w:right w:w="16" w:type="dxa"/>
            </w:tcMar>
            <w:vAlign w:val="center"/>
          </w:tcPr>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6"/>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3"/>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65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4"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265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铜多金属矿</w:t>
                  </w:r>
                  <w:r>
                    <w:rPr>
                      <w:rFonts w:hint="default"/>
                      <w:color w:val="auto"/>
                    </w:rPr>
                    <w:t>进行勘</w:t>
                  </w:r>
                  <w:r>
                    <w:rPr>
                      <w:rFonts w:hint="eastAsia"/>
                      <w:color w:val="auto"/>
                      <w:lang w:val="en-US" w:eastAsia="zh-CN"/>
                    </w:rPr>
                    <w:t>查</w:t>
                  </w:r>
                  <w:r>
                    <w:rPr>
                      <w:rFonts w:hint="default"/>
                      <w:color w:val="auto"/>
                    </w:rPr>
                    <w:t>，</w:t>
                  </w:r>
                  <w:r>
                    <w:rPr>
                      <w:rFonts w:hint="eastAsia"/>
                      <w:color w:val="auto"/>
                      <w:lang w:val="en-US" w:eastAsia="zh-CN"/>
                    </w:rPr>
                    <w:t>属于重点勘查开采矿种，不属于限制和禁止开采矿种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6"/>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65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严格管控施工各环节。在满足地质勘查目的前提下，实现对地质环境的破坏最小化。项目施工时，剥离表土临时堆放，待项目结束后进行表土回填及植被恢复，尽可能地恢复施工迹地原有使用功能。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w:t>
                  </w:r>
                  <w:r>
                    <w:rPr>
                      <w:rFonts w:hint="eastAsia" w:cs="Times New Roman"/>
                      <w:sz w:val="21"/>
                      <w:szCs w:val="21"/>
                      <w:highlight w:val="none"/>
                      <w:lang w:eastAsia="zh-CN"/>
                    </w:rPr>
                    <w:t>、</w:t>
                  </w:r>
                  <w:r>
                    <w:rPr>
                      <w:rFonts w:hint="eastAsia" w:cs="Times New Roman"/>
                      <w:sz w:val="21"/>
                      <w:szCs w:val="21"/>
                      <w:highlight w:val="none"/>
                      <w:lang w:val="en-US" w:eastAsia="zh-CN"/>
                    </w:rPr>
                    <w:t>钻探</w:t>
                  </w:r>
                  <w:r>
                    <w:rPr>
                      <w:rFonts w:hint="default" w:ascii="Times New Roman" w:hAnsi="Times New Roman" w:eastAsia="宋体" w:cs="Times New Roman"/>
                      <w:sz w:val="21"/>
                      <w:szCs w:val="21"/>
                      <w:highlight w:val="none"/>
                    </w:rPr>
                    <w:t>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eastAsia="zh-CN"/>
                    </w:rPr>
                    <w:t>符合</w:t>
                  </w:r>
                </w:p>
              </w:tc>
            </w:tr>
          </w:tbl>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6"/>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8"/>
              <w:gridCol w:w="2584"/>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2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79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2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79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eastAsia"/>
                      <w:lang w:val="en-US" w:eastAsia="zh-CN"/>
                    </w:rPr>
                    <w:t>不涉及</w:t>
                  </w:r>
                  <w:r>
                    <w:rPr>
                      <w:rFonts w:hint="default"/>
                    </w:rPr>
                    <w:t>生态保护红线</w:t>
                  </w:r>
                  <w:r>
                    <w:rPr>
                      <w:rFonts w:hint="eastAsia"/>
                      <w:lang w:eastAsia="zh-CN"/>
                    </w:rPr>
                    <w:t>，</w:t>
                  </w:r>
                  <w:r>
                    <w:rPr>
                      <w:rFonts w:hint="eastAsia"/>
                      <w:lang w:val="en-US" w:eastAsia="zh-CN"/>
                    </w:rPr>
                    <w:t>符合相关</w:t>
                  </w:r>
                  <w:r>
                    <w:rPr>
                      <w:rFonts w:hint="default"/>
                    </w:rPr>
                    <w:t>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72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本项目产生的生活污水经一体化污水处理设施处理后用于洒水绿化，不外排</w:t>
                  </w:r>
                  <w:r>
                    <w:rPr>
                      <w:rFonts w:hint="eastAsia"/>
                      <w:lang w:eastAsia="zh-CN"/>
                    </w:rPr>
                    <w:t>。</w:t>
                  </w:r>
                  <w:r>
                    <w:rPr>
                      <w:rFonts w:hint="eastAsia"/>
                      <w:lang w:val="en-US" w:eastAsia="zh-CN"/>
                    </w:rPr>
                    <w:t>钻井设备冲洗水经沉淀池处理后用于洒水降尘，不外排；泥浆废水经泥浆沉淀池处理后全部回用于泥浆配制、不外排，不与地表水体发生水力关系。不会影响区域水环境质量。</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918"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eastAsia"/>
                      <w:lang w:val="en-US" w:eastAsia="zh-CN"/>
                    </w:rPr>
                  </w:pPr>
                  <w:r>
                    <w:rPr>
                      <w:rFonts w:hint="eastAsia"/>
                      <w:lang w:val="en-US" w:eastAsia="zh-CN"/>
                    </w:rPr>
                    <w:t>本项目对应探矿权目前已过有效期，相关延续手续正在办理，和硕县自然资源局已出具《关于和硕县绰汗哈尔肯铜多金属矿勘探探矿权变更延续的调查意见》（硕自然资发〔2026〕39号），文件中明确同意该探矿权办理变更延续登记手续。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6"/>
              <w:keepNext w:val="0"/>
              <w:keepLines w:val="0"/>
              <w:suppressLineNumbers w:val="0"/>
              <w:bidi w:val="0"/>
              <w:spacing w:before="0" w:beforeAutospacing="0" w:after="0" w:afterAutospacing="0"/>
              <w:ind w:left="0" w:right="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70" w:hRule="atLeast"/>
        </w:trPr>
        <w:tc>
          <w:tcPr>
            <w:tcW w:w="1634"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gridSpan w:val="3"/>
            <w:noWrap w:val="0"/>
            <w:tcMar>
              <w:top w:w="16" w:type="dxa"/>
              <w:left w:w="16" w:type="dxa"/>
              <w:right w:w="16" w:type="dxa"/>
            </w:tcMar>
            <w:vAlign w:val="center"/>
          </w:tcPr>
          <w:p>
            <w:pPr>
              <w:pStyle w:val="50"/>
              <w:keepNext w:val="0"/>
              <w:keepLines w:val="0"/>
              <w:suppressLineNumbers w:val="0"/>
              <w:bidi w:val="0"/>
              <w:spacing w:before="0" w:beforeAutospacing="0" w:after="0" w:afterAutospacing="0"/>
              <w:ind w:left="0" w:right="0" w:firstLine="0" w:firstLineChars="0"/>
              <w:rPr>
                <w:rFonts w:hint="eastAsia" w:ascii="Times New Roman" w:hAnsi="Times New Roman"/>
                <w:lang w:val="en-US" w:eastAsia="zh-CN"/>
              </w:rPr>
            </w:pPr>
            <w:r>
              <w:rPr>
                <w:rFonts w:hint="eastAsia" w:ascii="Times New Roman" w:hAnsi="Times New Roman"/>
                <w:lang w:val="en-US" w:eastAsia="zh-CN"/>
              </w:rPr>
              <w:t>1.产业政策符合性分析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属于陆地矿产资源地质勘查项目，项目对应探矿权目前已过有效期，相关延续手续正在办理，和硕县自然资源局已出具《关于和硕县绰汗哈尔肯铜多金属矿勘探探矿权变更延续的调查意见》（硕自然资发〔2026〕39号），文件中明确同意该探矿权办理变更延续登记手续。根据《产业结构调整指导目录（2024年本）》，不属于鼓励类、限制类及淘汰类，为允许类，符合《产业结构调整指导目录（2024年本）》要求。本项目为陆地矿产资源地质勘查项目，不在《新疆维吾尔自治区28个国家重点生态功能区县（市）产业准入负面清单（试行）》产业准入负面清单的禁止类和限制类中。综上所述，本项目符合产业政策。</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表1-4    本项目</w:t>
            </w:r>
            <w:r>
              <w:rPr>
                <w:rFonts w:hint="default"/>
                <w:lang w:val="en-US" w:eastAsia="zh-CN"/>
              </w:rPr>
              <w:t>与《关于印发〈新疆维吾尔自治区生态环境分区管控动态更新成果〉的通知》（新环环评发〔2024〕157号）</w:t>
            </w:r>
            <w:r>
              <w:rPr>
                <w:rFonts w:hint="eastAsia"/>
                <w:lang w:val="en-US" w:eastAsia="zh-CN"/>
              </w:rPr>
              <w:t>符合性分析</w:t>
            </w:r>
          </w:p>
          <w:tbl>
            <w:tblPr>
              <w:tblStyle w:val="26"/>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693"/>
              <w:gridCol w:w="2582"/>
              <w:gridCol w:w="2712"/>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177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环境管理政策有关要求</w:t>
                  </w:r>
                </w:p>
              </w:tc>
              <w:tc>
                <w:tcPr>
                  <w:tcW w:w="1868"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本项目情况</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restar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A1</w:t>
                  </w:r>
                  <w:r>
                    <w:rPr>
                      <w:rFonts w:hint="eastAsia"/>
                      <w:lang w:val="en-US" w:eastAsia="zh-CN"/>
                    </w:rPr>
                    <w:t>空间布局约束</w:t>
                  </w:r>
                </w:p>
              </w:tc>
              <w:tc>
                <w:tcPr>
                  <w:tcW w:w="477" w:type="pct"/>
                  <w:vMerge w:val="restar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A1.1禁止开发建设的活动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本项目也不属于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477" w:type="pct"/>
                  <w:vMerge w:val="continue"/>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位于新疆维吾尔自治区巴音郭楞蒙古自治州和硕县城东北17°方向，直线距离39千米处，不涉及水源涵养区、地下水源、饮用水源、自然保护区、风景名胜区、森林公园、重要湿地及人群密集区等生态敏感区域。本项目勘探以铜多金属矿为主攻矿种。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A2污染物排放管控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val="en-US" w:eastAsia="zh-CN"/>
                    </w:rPr>
                    <w:t>A2</w:t>
                  </w:r>
                  <w:r>
                    <w:rPr>
                      <w:rFonts w:hint="eastAsia"/>
                      <w:lang w:val="en-US" w:eastAsia="zh-CN"/>
                    </w:rPr>
                    <w:t>.2污染控制措施要求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项目用水定期从附近</w:t>
                  </w:r>
                  <w:r>
                    <w:rPr>
                      <w:rFonts w:hint="eastAsia"/>
                      <w:lang w:val="en-US" w:eastAsia="zh-CN"/>
                    </w:rPr>
                    <w:t>乡镇</w:t>
                  </w:r>
                  <w:r>
                    <w:rPr>
                      <w:rFonts w:hint="default"/>
                      <w:lang w:val="en-US" w:eastAsia="zh-CN"/>
                    </w:rPr>
                    <w:t>拉运。项目采用较为先进的地质勘查技术，勘探过程中水耗不超过国家要求。产生的生活污水排入一体化污水处理设施处理达标后，用于洒水绿化，不外排；钻井设备冲洗水经沉淀池处理后</w:t>
                  </w:r>
                  <w:r>
                    <w:rPr>
                      <w:rFonts w:hint="eastAsia"/>
                      <w:lang w:val="en-US" w:eastAsia="zh-CN"/>
                    </w:rPr>
                    <w:t>用于洒水降尘，不外排</w:t>
                  </w:r>
                  <w:r>
                    <w:rPr>
                      <w:rFonts w:hint="default"/>
                      <w:lang w:val="en-US" w:eastAsia="zh-CN"/>
                    </w:rPr>
                    <w:t>；泥浆废水经泥浆沉淀池处理后全部回用于泥浆配制，不外排，不与地表水体发生水力关系，不会影响区域水环境质量。</w:t>
                  </w:r>
                  <w:r>
                    <w:rPr>
                      <w:rFonts w:hint="eastAsia"/>
                      <w:lang w:val="en-US" w:eastAsia="zh-CN"/>
                    </w:rPr>
                    <w:t>符合相关要求</w:t>
                  </w:r>
                  <w:r>
                    <w:rPr>
                      <w:rFonts w:hint="default"/>
                      <w:lang w:val="en-US" w:eastAsia="zh-CN"/>
                    </w:rPr>
                    <w:t>。</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A3环境风险防控</w:t>
                  </w:r>
                </w:p>
              </w:tc>
              <w:tc>
                <w:tcPr>
                  <w:tcW w:w="477"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A3.2联防联控要求</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A4资源利用要求</w:t>
                  </w:r>
                </w:p>
              </w:tc>
              <w:tc>
                <w:tcPr>
                  <w:tcW w:w="477" w:type="pct"/>
                  <w:shd w:val="clear" w:color="auto" w:fill="auto"/>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A4.5资源综合利用</w:t>
                  </w:r>
                </w:p>
              </w:tc>
              <w:tc>
                <w:tcPr>
                  <w:tcW w:w="177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868" w:type="pct"/>
                  <w:noWrap w:val="0"/>
                  <w:vAlign w:val="center"/>
                </w:tcPr>
                <w:p>
                  <w:pPr>
                    <w:pStyle w:val="54"/>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槽探产生的土石方就近堆存并覆盖彩布条，在勘探期结束后全部回填至开挖地，钻探岩心交至单位统一保管，岩屑回填于封孔，泥浆固化后拉运至一般固废处置单位统一处理，沉淀池沉渣就地掩埋；生活营地内设置一定数量的垃圾桶，用于临时存放生活垃圾，统一收集后送至和硕县垃圾填埋场，符合相关要求。</w:t>
                  </w:r>
                </w:p>
              </w:tc>
              <w:tc>
                <w:tcPr>
                  <w:tcW w:w="476" w:type="pct"/>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2.2《巴音郭楞蒙古自治州“三线一单”生态环境分区管控动态更新成果（2023年）》（巴政办发〔2024〕32号）符合性分析</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本工程建设地点位于新疆维吾尔自治区巴音郭楞蒙古自治州和硕县</w:t>
            </w:r>
            <w:r>
              <w:rPr>
                <w:rFonts w:hint="eastAsia"/>
                <w:lang w:eastAsia="zh-CN"/>
              </w:rPr>
              <w:t>，</w:t>
            </w:r>
            <w:r>
              <w:rPr>
                <w:rFonts w:hint="eastAsia"/>
                <w:lang w:val="en-US" w:eastAsia="zh-CN"/>
              </w:rPr>
              <w:t>根据《巴音郭楞蒙古自治州“三线一单”生态环境分区管控动态更新成果（2023年）》（巴政办发〔2024〕32号）可知，本项目涉及优先保护单元和重点管控单元，环境管控单元管控要求详见下表。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表1-5    本项目与《巴音郭楞蒙古自治州“三线一单”生态环境分区管控动态更新成果（2023年）》（巴政办发〔2024〕32号）符合性分析</w:t>
            </w:r>
          </w:p>
          <w:tbl>
            <w:tblPr>
              <w:tblStyle w:val="26"/>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35"/>
              <w:gridCol w:w="2497"/>
              <w:gridCol w:w="2701"/>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环境管控单元编码</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ZH652828</w:t>
                  </w:r>
                  <w:r>
                    <w:rPr>
                      <w:rFonts w:hint="eastAsia"/>
                      <w:lang w:val="en-US" w:eastAsia="zh-CN"/>
                    </w:rPr>
                    <w:t>1</w:t>
                  </w:r>
                  <w:r>
                    <w:rPr>
                      <w:rFonts w:hint="default"/>
                      <w:lang w:val="en-US" w:eastAsia="zh-CN"/>
                    </w:rPr>
                    <w:t>000</w:t>
                  </w:r>
                  <w:r>
                    <w:rPr>
                      <w:rFonts w:hint="eastAsia"/>
                      <w:lang w:val="en-US" w:eastAsia="zh-CN"/>
                    </w:rPr>
                    <w:t>7</w:t>
                  </w:r>
                </w:p>
              </w:tc>
              <w:tc>
                <w:tcPr>
                  <w:tcW w:w="2701"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本工程情况</w:t>
                  </w:r>
                </w:p>
              </w:tc>
              <w:tc>
                <w:tcPr>
                  <w:tcW w:w="690" w:type="dxa"/>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环境管控单元名称</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和硕县</w:t>
                  </w:r>
                  <w:r>
                    <w:rPr>
                      <w:rFonts w:hint="eastAsia"/>
                    </w:rPr>
                    <w:t>一般</w:t>
                  </w:r>
                  <w:r>
                    <w:rPr>
                      <w:rFonts w:hint="eastAsia"/>
                      <w:lang w:val="en-US" w:eastAsia="zh-CN"/>
                    </w:rPr>
                    <w:t>生态空间</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环境管控单元类别</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优先保护单元</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空间布局约束</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default"/>
                    </w:rPr>
                  </w:pPr>
                  <w:r>
                    <w:rPr>
                      <w:rFonts w:hint="default"/>
                      <w:lang w:val="en-US" w:eastAsia="zh-CN"/>
                    </w:rPr>
                    <w:t>1.</w:t>
                  </w:r>
                  <w:r>
                    <w:rPr>
                      <w:rFonts w:hint="eastAsia"/>
                      <w:lang w:val="en-US" w:eastAsia="zh-CN"/>
                    </w:rPr>
                    <w:t>执行总体管控要求。</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严格执行主体功能区划，明确不同功能区的环境准入条件和污染物排放标准；限制开发区，坚持保护优先，严格限制高污染项目，允许已列入规划的矿产项目、现有矿山企业，景区旅游开发项目以及水库、机场、公路、工业园区等项目合理开发。科学制定并严格实施县域规划，形成有利于污染物处理及扩散的区域空间格局。</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default"/>
                    </w:rPr>
                  </w:pPr>
                  <w:r>
                    <w:rPr>
                      <w:rFonts w:hint="default"/>
                    </w:rPr>
                    <w:t>本探矿项目严格落实区域准入总体管控及主体功能区划相关要求，项目为矿产勘查类项目，不属于政策严控的高污染项目，勘查区块已纳入相关矿产规划，属于清单列明准许合理开发的矿产项目范畴；项目按规定落实各项环保措施，污染物排放执行对应排放标准，契合县域空间布局管控思路，符合准入清单各项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lang w:val="en-US" w:eastAsia="zh-CN"/>
                    </w:rPr>
                    <w:t>环境管控单元编码</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default"/>
                      <w:lang w:val="en-US" w:eastAsia="zh-CN"/>
                    </w:rPr>
                    <w:t>ZH65282820001</w:t>
                  </w:r>
                </w:p>
              </w:tc>
              <w:tc>
                <w:tcPr>
                  <w:tcW w:w="2701" w:type="dxa"/>
                  <w:vMerge w:val="restart"/>
                  <w:noWrap w:val="0"/>
                  <w:vAlign w:val="center"/>
                </w:tcPr>
                <w:p>
                  <w:pPr>
                    <w:pStyle w:val="58"/>
                    <w:keepNext w:val="0"/>
                    <w:keepLines w:val="0"/>
                    <w:suppressLineNumbers w:val="0"/>
                    <w:bidi w:val="0"/>
                    <w:spacing w:before="0" w:beforeAutospacing="0" w:after="0" w:afterAutospacing="0"/>
                    <w:ind w:left="0" w:right="0"/>
                    <w:jc w:val="center"/>
                    <w:rPr>
                      <w:rFonts w:hint="default"/>
                    </w:rPr>
                  </w:pPr>
                  <w:r>
                    <w:rPr>
                      <w:rFonts w:hint="eastAsia"/>
                      <w:lang w:val="en-US" w:eastAsia="zh-CN"/>
                    </w:rPr>
                    <w:t>本工程情况</w:t>
                  </w:r>
                </w:p>
              </w:tc>
              <w:tc>
                <w:tcPr>
                  <w:tcW w:w="690" w:type="dxa"/>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lang w:val="en-US" w:eastAsia="zh-CN"/>
                    </w:rPr>
                    <w:t>环境管控单元名称</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jc w:val="both"/>
                    <w:rPr>
                      <w:rFonts w:hint="eastAsia" w:ascii="Times New Roman" w:hAnsi="Times New Roman" w:eastAsia="宋体" w:cs="Times New Roman"/>
                      <w:kern w:val="2"/>
                      <w:sz w:val="21"/>
                      <w:szCs w:val="21"/>
                      <w:lang w:val="en-US" w:eastAsia="zh-CN" w:bidi="ar-SA"/>
                    </w:rPr>
                  </w:pPr>
                  <w:r>
                    <w:rPr>
                      <w:rFonts w:hint="eastAsia"/>
                      <w:lang w:val="en-US" w:eastAsia="zh-CN"/>
                    </w:rPr>
                    <w:t>和硕县大气布局敏感区</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jc w:val="both"/>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环境管控单元类别</w:t>
                  </w:r>
                </w:p>
              </w:tc>
              <w:tc>
                <w:tcPr>
                  <w:tcW w:w="2497" w:type="dxa"/>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重点管控单元</w:t>
                  </w:r>
                </w:p>
              </w:tc>
              <w:tc>
                <w:tcPr>
                  <w:tcW w:w="2701" w:type="dxa"/>
                  <w:vMerge w:val="continue"/>
                  <w:noWrap w:val="0"/>
                  <w:vAlign w:val="center"/>
                </w:tcPr>
                <w:p>
                  <w:pPr>
                    <w:pStyle w:val="58"/>
                    <w:keepNext w:val="0"/>
                    <w:keepLines w:val="0"/>
                    <w:suppressLineNumbers w:val="0"/>
                    <w:bidi w:val="0"/>
                    <w:spacing w:before="0" w:beforeAutospacing="0" w:after="0" w:afterAutospacing="0"/>
                    <w:ind w:left="0" w:right="0"/>
                    <w:jc w:val="both"/>
                    <w:rPr>
                      <w:rFonts w:hint="default"/>
                    </w:rPr>
                  </w:pPr>
                </w:p>
              </w:tc>
              <w:tc>
                <w:tcPr>
                  <w:tcW w:w="690"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管控要求</w:t>
                  </w: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空间布局约束</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1.严格建设项目节能环保准入，涉及大气污染物排放的，执行国家大气污染物排放限值，待地方大气污染物排放标准出台后一并执行。</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2.禁止引进国家和自治区明令禁止或淘汰的产业及工艺、园区规划的项目；引进符合国家产业政策和清洁生产要求的、采用先进生产工艺和设备的、自动化程度高的、具有可靠先进的污染治理技术的生产项目。</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eastAsia"/>
                      <w:lang w:eastAsia="zh-CN"/>
                    </w:rPr>
                  </w:pPr>
                  <w:r>
                    <w:rPr>
                      <w:rFonts w:hint="eastAsia"/>
                      <w:lang w:val="en-US" w:eastAsia="zh-CN"/>
                    </w:rPr>
                    <w:t>本项目为勘查项目，勘查过程中产生的粉尘执行</w:t>
                  </w:r>
                  <w:r>
                    <w:rPr>
                      <w:rFonts w:hint="default"/>
                    </w:rPr>
                    <w:t>《大气污染物综合排放标准》（GB16297-1996）无组织排放限值</w:t>
                  </w:r>
                  <w:r>
                    <w:rPr>
                      <w:rFonts w:hint="eastAsia"/>
                      <w:lang w:eastAsia="zh-CN"/>
                    </w:rPr>
                    <w:t>。</w:t>
                  </w:r>
                </w:p>
                <w:p>
                  <w:pPr>
                    <w:pStyle w:val="58"/>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本项目为陆地矿产资源地质勘查项目，不涉及国家和自治区明令禁止或淘汰的产业及工艺。</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污染物排放管控</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1.执行环境空气质量二级标准。</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严格实施污染物总量控制和排污许可证制度，严格落实大气主要污染物排放总量控制，实现区域污染物减排目标。加强环境监管工作，严格执行建设项目环境保护“三同时”制度，所有新建项目必须实现污染物达标排放才能允许生产，从源头上控制污染物的排放。</w:t>
                  </w:r>
                </w:p>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3.协同控制温室气体排放。按照国家统一要求，逐步开展对温室气体排放源的监测和监管。</w:t>
                  </w:r>
                </w:p>
              </w:tc>
              <w:tc>
                <w:tcPr>
                  <w:tcW w:w="2701"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both"/>
                    <w:textAlignment w:val="auto"/>
                    <w:rPr>
                      <w:rFonts w:hint="default"/>
                    </w:rPr>
                  </w:pPr>
                  <w:r>
                    <w:rPr>
                      <w:rFonts w:hint="default"/>
                    </w:rPr>
                    <w:t>项目所在区域环境空气功能区划为二类区，执行《环境空气质量标准》（GB3095-20</w:t>
                  </w:r>
                  <w:r>
                    <w:rPr>
                      <w:rFonts w:hint="eastAsia"/>
                      <w:lang w:val="en-US" w:eastAsia="zh-CN"/>
                    </w:rPr>
                    <w:t>26</w:t>
                  </w:r>
                  <w:r>
                    <w:rPr>
                      <w:rFonts w:hint="default"/>
                    </w:rPr>
                    <w:t>）二级标准。通过采用符合国标排放标准的施工机械、洒水抑尘、物料篷布覆盖等措施，确保颗粒物浓度满足《大气污染物综合排放标准》（GB16297-1996）无组织排放限值，区域环境空气质量不受明显影响，可稳定达到二级标准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环境风险防控</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合理规划居住区与工业功能区，在居住区和工业区、工业企业之间设置防护绿化隔离带。</w:t>
                  </w:r>
                </w:p>
              </w:tc>
              <w:tc>
                <w:tcPr>
                  <w:tcW w:w="2701" w:type="dxa"/>
                  <w:noWrap w:val="0"/>
                  <w:vAlign w:val="center"/>
                </w:tcPr>
                <w:p>
                  <w:pPr>
                    <w:pStyle w:val="58"/>
                    <w:keepNext w:val="0"/>
                    <w:keepLines w:val="0"/>
                    <w:suppressLineNumbers w:val="0"/>
                    <w:bidi w:val="0"/>
                    <w:spacing w:before="0" w:beforeAutospacing="0" w:after="0" w:afterAutospacing="0"/>
                    <w:ind w:left="0" w:right="0"/>
                    <w:jc w:val="center"/>
                    <w:rPr>
                      <w:rFonts w:hint="default" w:eastAsia="宋体"/>
                      <w:lang w:val="en-US" w:eastAsia="zh-CN"/>
                    </w:rPr>
                  </w:pPr>
                  <w:r>
                    <w:rPr>
                      <w:rFonts w:hint="eastAsia"/>
                      <w:lang w:val="en-US" w:eastAsia="zh-CN"/>
                    </w:rPr>
                    <w:t>不适用上述要求。</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dxa"/>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35"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资源利用效率</w:t>
                  </w:r>
                </w:p>
              </w:tc>
              <w:tc>
                <w:tcPr>
                  <w:tcW w:w="2497" w:type="dxa"/>
                  <w:noWrap w:val="0"/>
                  <w:vAlign w:val="center"/>
                </w:tcPr>
                <w:p>
                  <w:pPr>
                    <w:pStyle w:val="58"/>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大力发展循环经济，推广高效绿色适用技术，降低污染物排放强度。</w:t>
                  </w:r>
                </w:p>
              </w:tc>
              <w:tc>
                <w:tcPr>
                  <w:tcW w:w="2701" w:type="dxa"/>
                  <w:noWrap w:val="0"/>
                  <w:vAlign w:val="center"/>
                </w:tcPr>
                <w:p>
                  <w:pPr>
                    <w:pStyle w:val="58"/>
                    <w:keepNext w:val="0"/>
                    <w:keepLines w:val="0"/>
                    <w:suppressLineNumbers w:val="0"/>
                    <w:bidi w:val="0"/>
                    <w:spacing w:before="0" w:beforeAutospacing="0" w:after="0" w:afterAutospacing="0"/>
                    <w:ind w:left="0" w:right="0"/>
                    <w:jc w:val="both"/>
                    <w:rPr>
                      <w:rFonts w:hint="default" w:eastAsia="宋体"/>
                      <w:lang w:val="en-US" w:eastAsia="zh-CN"/>
                    </w:rPr>
                  </w:pPr>
                  <w:r>
                    <w:rPr>
                      <w:rFonts w:hint="eastAsia"/>
                      <w:lang w:val="en-US" w:eastAsia="zh-CN"/>
                    </w:rPr>
                    <w:t>本项目属于绿色勘查类探矿项目，全过程严格落实《绿色地质勘查工作规范》。</w:t>
                  </w:r>
                </w:p>
              </w:tc>
              <w:tc>
                <w:tcPr>
                  <w:tcW w:w="69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环境管理政策</w:t>
            </w:r>
            <w:r>
              <w:rPr>
                <w:rFonts w:hint="eastAsia"/>
                <w:lang w:val="en-US" w:eastAsia="zh-CN"/>
              </w:rPr>
              <w:t>、环境保护规划</w:t>
            </w:r>
            <w:r>
              <w:rPr>
                <w:rFonts w:hint="default"/>
                <w:lang w:val="en-US" w:eastAsia="zh-CN"/>
              </w:rPr>
              <w:t>相符性分析</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keepNext w:val="0"/>
              <w:keepLines w:val="0"/>
              <w:suppressLineNumbers w:val="0"/>
              <w:bidi w:val="0"/>
              <w:spacing w:before="0" w:beforeAutospacing="0" w:after="0" w:afterAutospacing="0"/>
              <w:ind w:left="0" w:right="0"/>
              <w:jc w:val="both"/>
              <w:rPr>
                <w:rFonts w:hint="eastAsia"/>
                <w:lang w:eastAsia="zh-CN"/>
              </w:rPr>
            </w:pPr>
            <w:r>
              <w:rPr>
                <w:rFonts w:hint="eastAsia"/>
                <w:lang w:eastAsia="zh-CN"/>
              </w:rPr>
              <w:t>本项目为陆地矿产资源地质勘查项目，项目所属探矿权现已届满，探矿权变更延续相关手续正在办理阶段；和硕县自然资源局已出具《关于和硕县绰汗哈尔肯铜多金属矿勘探探矿权变更延续的调查意见》（硕自然资发〔2026〕39号），文件明确同意该探矿权办理变更延续登记手续。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本项目属于矿产资源勘查项目，</w:t>
            </w:r>
            <w:r>
              <w:rPr>
                <w:rFonts w:hint="eastAsia"/>
                <w:highlight w:val="none"/>
                <w:lang w:val="en-US" w:eastAsia="zh-CN"/>
              </w:rPr>
              <w:t>槽探</w:t>
            </w:r>
            <w:r>
              <w:rPr>
                <w:rFonts w:hint="eastAsia"/>
                <w:highlight w:val="none"/>
                <w:lang w:eastAsia="zh-CN"/>
              </w:rPr>
              <w:t>开挖过程中同步采集勘探样品并外运留存，开挖土方临时堆置于探槽一侧，采用</w:t>
            </w:r>
            <w:r>
              <w:rPr>
                <w:rFonts w:hint="eastAsia"/>
                <w:highlight w:val="none"/>
                <w:lang w:val="en-US" w:eastAsia="zh-CN"/>
              </w:rPr>
              <w:t>彩布条</w:t>
            </w:r>
            <w:r>
              <w:rPr>
                <w:rFonts w:hint="eastAsia"/>
                <w:highlight w:val="none"/>
                <w:lang w:eastAsia="zh-CN"/>
              </w:rPr>
              <w:t>苫盖防护；</w:t>
            </w:r>
            <w:r>
              <w:rPr>
                <w:rFonts w:hint="eastAsia"/>
                <w:lang w:val="en-US" w:eastAsia="zh-CN"/>
              </w:rPr>
              <w:t>钻探结束后岩心交至单位统一保管，岩屑用于回填；泥浆固化后送至一般固废处置单位统一处理，沉淀池沉渣就地掩埋。</w:t>
            </w:r>
            <w:r>
              <w:rPr>
                <w:rFonts w:hint="eastAsia"/>
                <w:highlight w:val="none"/>
                <w:lang w:eastAsia="zh-CN"/>
              </w:rPr>
              <w:t>无弃土产生，可有效防治水土流失，</w:t>
            </w:r>
            <w:r>
              <w:rPr>
                <w:rFonts w:hint="eastAsia"/>
                <w:lang w:eastAsia="zh-CN"/>
              </w:rPr>
              <w:t>对周边环境影响较小。符合《矿山生态环境保护与污染防治技术政策》的要求。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施工产生的坑、沟等，严格按照森林、草原、湿地、防沙治沙有关法律法规和标准规范在规定时间内做好复绿、复植等。</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槽探、钻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严格执行能源、矿产资源开发自治区人民政府“一支笔”审批制度、环境保护“一票否决”制度，守住生态保护红线、环境质量底线和自然资源利用上线。本项目已依法取得探矿权，在探矿权属范围内开展勘探活动，项目用地不在生态保护红线内，符合《巴音郭楞蒙古自治州生态环境“十四五”规划》的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（6）《新疆维吾尔自治区2025年空气质量持续改善行动实施方案》（新政办发〔2024〕58号）符合性分析。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本项目属于矿产资源勘查项目，不涉及矿产资源的开采，勘探区采用了边开挖、边回填、边复垦的勘探方式，</w:t>
            </w:r>
            <w:r>
              <w:rPr>
                <w:rFonts w:hint="eastAsia"/>
                <w:highlight w:val="none"/>
                <w:lang w:val="en-US" w:eastAsia="zh-CN"/>
              </w:rPr>
              <w:t>项目区属于非沙化土地，在勘查过程中加强防沙治沙工作，防止从非沙化土地转变为沙化土地。</w:t>
            </w:r>
          </w:p>
          <w:p>
            <w:pPr>
              <w:pStyle w:val="48"/>
              <w:keepNext w:val="0"/>
              <w:keepLines w:val="0"/>
              <w:numPr>
                <w:ilvl w:val="0"/>
                <w:numId w:val="0"/>
              </w:numPr>
              <w:suppressLineNumbers w:val="0"/>
              <w:bidi w:val="0"/>
              <w:spacing w:before="0" w:beforeAutospacing="0" w:after="0" w:afterAutospacing="0"/>
              <w:ind w:left="0" w:leftChars="0" w:right="0" w:righ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7</w:t>
            </w:r>
            <w:r>
              <w:rPr>
                <w:rFonts w:hint="eastAsia" w:ascii="Times New Roman" w:hAnsi="Times New Roman" w:eastAsia="宋体" w:cs="宋体"/>
                <w:kern w:val="0"/>
                <w:sz w:val="24"/>
                <w:szCs w:val="24"/>
                <w:lang w:val="en-US" w:eastAsia="zh-CN" w:bidi="ar-SA"/>
              </w:rPr>
              <w:t>）</w:t>
            </w:r>
            <w:r>
              <w:rPr>
                <w:rFonts w:hint="eastAsia"/>
                <w:lang w:val="en-US" w:eastAsia="zh-CN"/>
              </w:rPr>
              <w:t>《绿色地质勘查工作规范》（DZ/T0374-2021）符合性分析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本项目在勘查工作前对工作人员进行绿色勘查培训，在勘查过程中加强监督管理，提高勘查水平，本着谁施工、谁恢复、谁治理的原则。勘查完成后，对所破坏的环境进行恢复治理，符合绿色地质勘查工作规范。</w:t>
            </w: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default"/>
                <w:lang w:val="en-US" w:eastAsia="zh-CN"/>
              </w:rPr>
            </w:pPr>
          </w:p>
        </w:tc>
      </w:tr>
    </w:tbl>
    <w:p>
      <w:pPr>
        <w:spacing w:line="360" w:lineRule="auto"/>
        <w:outlineLvl w:val="0"/>
        <w:rPr>
          <w:rFonts w:eastAsia="黑体"/>
          <w:sz w:val="30"/>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8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地理位置</w:t>
            </w:r>
          </w:p>
        </w:tc>
        <w:tc>
          <w:tcPr>
            <w:tcW w:w="7812" w:type="dxa"/>
            <w:noWrap w:val="0"/>
            <w:vAlign w:val="center"/>
          </w:tcPr>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eastAsia="宋体"/>
                <w:lang w:val="en-US" w:eastAsia="zh-C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新疆维吾尔自治区巴音郭楞蒙古自治州和硕县城东北17°方向，直线距离39千米处</w:t>
            </w:r>
            <w:r>
              <w:rPr>
                <w:rFonts w:hint="default" w:ascii="Times New Roman" w:hAnsi="Times New Roman" w:cs="Times New Roman"/>
              </w:rPr>
              <w:t>，</w:t>
            </w:r>
            <w:r>
              <w:rPr>
                <w:rFonts w:hint="eastAsia" w:cs="Times New Roman"/>
                <w:lang w:val="en-US" w:eastAsia="zh-CN"/>
              </w:rPr>
              <w:t>本项目</w:t>
            </w:r>
            <w:r>
              <w:rPr>
                <w:rFonts w:hint="default" w:ascii="Times New Roman" w:hAnsi="Times New Roman" w:cs="Times New Roman"/>
                <w:lang w:val="en-US" w:eastAsia="zh-CN"/>
              </w:rPr>
              <w:t>中心</w:t>
            </w:r>
            <w:r>
              <w:rPr>
                <w:rFonts w:hint="eastAsia" w:cs="Times New Roman"/>
                <w:lang w:val="en-US" w:eastAsia="zh-CN"/>
              </w:rPr>
              <w:t>地理</w:t>
            </w:r>
            <w:r>
              <w:rPr>
                <w:rFonts w:hint="default" w:ascii="Times New Roman" w:hAnsi="Times New Roman" w:cs="Times New Roman"/>
                <w:lang w:val="en-US" w:eastAsia="zh-CN"/>
              </w:rPr>
              <w:t>坐标：E：87°1′56.571″，N：42°39′9.476″</w:t>
            </w:r>
            <w:r>
              <w:rPr>
                <w:rFonts w:hint="eastAsia" w:cs="Times New Roman"/>
                <w:lang w:eastAsia="zh-CN"/>
              </w:rPr>
              <w:t>，</w:t>
            </w:r>
            <w:r>
              <w:rPr>
                <w:rFonts w:hint="default" w:ascii="Times New Roman" w:hAnsi="Times New Roman" w:cs="Times New Roman"/>
              </w:rPr>
              <w:t>工作区面积</w:t>
            </w:r>
            <w:r>
              <w:rPr>
                <w:rFonts w:hint="eastAsia" w:cs="Times New Roman"/>
                <w:lang w:val="en-US" w:eastAsia="zh-CN"/>
              </w:rPr>
              <w:t>15.048平方公里</w:t>
            </w:r>
            <w:r>
              <w:rPr>
                <w:rFonts w:hint="eastAsia"/>
              </w:rPr>
              <w:t>。行政区划</w:t>
            </w:r>
            <w:r>
              <w:rPr>
                <w:rFonts w:hint="eastAsia"/>
                <w:lang w:eastAsia="zh-CN"/>
              </w:rPr>
              <w:t>隶属</w:t>
            </w:r>
            <w:r>
              <w:rPr>
                <w:rFonts w:hint="eastAsia"/>
                <w:lang w:val="en-US" w:eastAsia="zh-CN"/>
              </w:rPr>
              <w:t>和硕县</w:t>
            </w:r>
            <w:r>
              <w:rPr>
                <w:rFonts w:hint="eastAsia"/>
              </w:rPr>
              <w:t>管辖。</w:t>
            </w:r>
            <w:r>
              <w:rPr>
                <w:rFonts w:hint="eastAsia"/>
                <w:lang w:val="en-US" w:eastAsia="zh-CN"/>
              </w:rPr>
              <w:t>项目拐点坐标见表2-1，项目地理位置详见附图。</w:t>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表2-1    勘探</w:t>
            </w:r>
            <w:r>
              <w:rPr>
                <w:rFonts w:hint="eastAsia"/>
              </w:rPr>
              <w:t>区范围拐点坐标表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141"/>
              <w:gridCol w:w="2516"/>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点号</w:t>
                  </w:r>
                </w:p>
              </w:tc>
              <w:tc>
                <w:tcPr>
                  <w:tcW w:w="3070" w:type="pct"/>
                  <w:gridSpan w:val="2"/>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default" w:ascii="Times New Roman" w:hAnsi="Times New Roman" w:cs="Times New Roman"/>
                    </w:rPr>
                    <w:t>CGCS</w:t>
                  </w:r>
                  <w:r>
                    <w:rPr>
                      <w:rFonts w:hint="eastAsia" w:cs="Times New Roman"/>
                      <w:lang w:val="en-US" w:eastAsia="zh-CN"/>
                    </w:rPr>
                    <w:t>2000</w:t>
                  </w:r>
                  <w:r>
                    <w:rPr>
                      <w:rFonts w:hint="default" w:ascii="Times New Roman" w:hAnsi="Times New Roman" w:cs="Times New Roman"/>
                    </w:rPr>
                    <w:t>坐标系</w:t>
                  </w:r>
                </w:p>
              </w:tc>
              <w:tc>
                <w:tcPr>
                  <w:tcW w:w="1420" w:type="pct"/>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c>
                <w:tcPr>
                  <w:tcW w:w="1411"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经度</w:t>
                  </w:r>
                </w:p>
              </w:tc>
              <w:tc>
                <w:tcPr>
                  <w:tcW w:w="165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纬度</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1411"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87°00′24.000″</w:t>
                  </w:r>
                </w:p>
              </w:tc>
              <w:tc>
                <w:tcPr>
                  <w:tcW w:w="1658"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42°39′36.631″</w:t>
                  </w:r>
                </w:p>
              </w:tc>
              <w:tc>
                <w:tcPr>
                  <w:tcW w:w="1420" w:type="pct"/>
                  <w:vMerge w:val="restar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共由</w:t>
                  </w:r>
                  <w:r>
                    <w:rPr>
                      <w:rFonts w:hint="eastAsia" w:cs="Times New Roman"/>
                      <w:lang w:val="en-US" w:eastAsia="zh-CN"/>
                    </w:rPr>
                    <w:t>14</w:t>
                  </w:r>
                  <w:r>
                    <w:rPr>
                      <w:rFonts w:hint="default" w:ascii="Times New Roman" w:hAnsi="Times New Roman" w:cs="Times New Roman"/>
                    </w:rPr>
                    <w:t>个拐点圈连，面积</w:t>
                  </w:r>
                  <w:r>
                    <w:rPr>
                      <w:rFonts w:hint="eastAsia" w:cs="Times New Roman"/>
                      <w:lang w:val="en-US" w:eastAsia="zh-CN"/>
                    </w:rPr>
                    <w:t>15.048平方公里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6"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2</w:t>
                  </w:r>
                </w:p>
              </w:tc>
              <w:tc>
                <w:tcPr>
                  <w:tcW w:w="1411"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87°00′47.865″</w:t>
                  </w:r>
                </w:p>
              </w:tc>
              <w:tc>
                <w:tcPr>
                  <w:tcW w:w="1658"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42°39′36.631″</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3</w:t>
                  </w:r>
                </w:p>
              </w:tc>
              <w:tc>
                <w:tcPr>
                  <w:tcW w:w="1411"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87°00′47.865″</w:t>
                  </w:r>
                </w:p>
              </w:tc>
              <w:tc>
                <w:tcPr>
                  <w:tcW w:w="1658" w:type="pct"/>
                  <w:tcBorders>
                    <w:tl2br w:val="nil"/>
                    <w:tr2bl w:val="nil"/>
                  </w:tcBorders>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rPr>
                    <w:t>42°39′28.301″</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87°01′30.540″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42°39′28.301″</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5</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87°01′30.540″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42°39′41.400″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6</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87°02′00.800″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42°39′41.400″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7</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87°02′00.800″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42°40′01.000″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8</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87°03′44.000″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42°40′01.000″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9</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87°03′44.000″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42°37′47.000″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10</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87°02′17.734″</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42°37′47.000″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11</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87°02′17.734″</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42°38′41.581″</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eastAsia" w:cs="Times New Roman"/>
                      <w:lang w:val="en-US" w:eastAsia="zh-CN"/>
                    </w:rPr>
                    <w:t>12</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87°01′26.040″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42°38′41.581″</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cs="Times New Roman"/>
                      <w:lang w:val="en-US" w:eastAsia="zh-CN"/>
                    </w:rPr>
                  </w:pPr>
                  <w:r>
                    <w:rPr>
                      <w:rFonts w:hint="eastAsia" w:cs="Times New Roman"/>
                      <w:lang w:val="en-US" w:eastAsia="zh-CN"/>
                    </w:rPr>
                    <w:t>13</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87°01′26.040″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42°37′47.000″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08" w:type="pc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cs="Times New Roman"/>
                      <w:lang w:val="en-US" w:eastAsia="zh-CN"/>
                    </w:rPr>
                  </w:pPr>
                  <w:r>
                    <w:rPr>
                      <w:rFonts w:hint="eastAsia" w:cs="Times New Roman"/>
                      <w:lang w:val="en-US" w:eastAsia="zh-CN"/>
                    </w:rPr>
                    <w:t>14</w:t>
                  </w:r>
                </w:p>
              </w:tc>
              <w:tc>
                <w:tcPr>
                  <w:tcW w:w="1411"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87°00′24.000″</w:t>
                  </w:r>
                </w:p>
              </w:tc>
              <w:tc>
                <w:tcPr>
                  <w:tcW w:w="1658" w:type="pct"/>
                  <w:tcBorders>
                    <w:tl2br w:val="nil"/>
                    <w:tr2bl w:val="nil"/>
                  </w:tcBorders>
                  <w:shd w:val="clear" w:color="auto" w:fill="auto"/>
                  <w:noWrap/>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42°37′47.000″</w:t>
                  </w:r>
                </w:p>
              </w:tc>
              <w:tc>
                <w:tcPr>
                  <w:tcW w:w="1420" w:type="pct"/>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bl>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default" w:eastAsia="宋体"/>
                <w:lang w:val="en-US" w:eastAsia="zh-CN"/>
              </w:rPr>
              <w:t>工作区对外交通条件较为便利，吐和高速（G3012）</w:t>
            </w:r>
            <w:r>
              <w:rPr>
                <w:rFonts w:hint="eastAsia"/>
                <w:lang w:val="en-US" w:eastAsia="zh-CN"/>
              </w:rPr>
              <w:t>北行40km土路即可到达项目区，</w:t>
            </w:r>
            <w:r>
              <w:rPr>
                <w:rFonts w:hint="default" w:eastAsia="宋体"/>
                <w:lang w:val="en-US" w:eastAsia="zh-CN"/>
              </w:rPr>
              <w:t>区域交通通达性良好，无需新建简易施工道路。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项目组成及规模</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1.项目基本情况</w:t>
            </w:r>
          </w:p>
          <w:p>
            <w:pPr>
              <w:pStyle w:val="48"/>
              <w:keepNext w:val="0"/>
              <w:keepLines w:val="0"/>
              <w:suppressLineNumbers w:val="0"/>
              <w:bidi w:val="0"/>
              <w:spacing w:before="0" w:beforeAutospacing="0" w:after="0" w:afterAutospacing="0"/>
              <w:ind w:left="0" w:right="0"/>
              <w:jc w:val="left"/>
              <w:rPr>
                <w:rFonts w:hint="default" w:eastAsia="宋体"/>
                <w:highlight w:val="green"/>
                <w:lang w:val="en-US" w:eastAsia="zh-CN"/>
              </w:rPr>
            </w:pPr>
            <w:r>
              <w:rPr>
                <w:rFonts w:hint="eastAsia"/>
                <w:lang w:val="en-US" w:eastAsia="zh-CN"/>
              </w:rPr>
              <w:t>北京天承盛西矿业技术开发有限公司于</w:t>
            </w:r>
            <w:r>
              <w:rPr>
                <w:rFonts w:hint="eastAsia"/>
                <w:highlight w:val="none"/>
                <w:lang w:val="en-US" w:eastAsia="zh-CN"/>
              </w:rPr>
              <w:t>2021年4月6日取得“</w:t>
            </w:r>
            <w:r>
              <w:rPr>
                <w:rFonts w:hint="eastAsia"/>
                <w:highlight w:val="none"/>
                <w:lang w:eastAsia="zh-CN"/>
              </w:rPr>
              <w:t>新疆和硕县绰汗哈尔肯铜多金属矿勘探</w:t>
            </w:r>
            <w:r>
              <w:rPr>
                <w:rFonts w:hint="eastAsia"/>
                <w:highlight w:val="none"/>
                <w:lang w:val="en-US" w:eastAsia="zh-CN"/>
              </w:rPr>
              <w:t>”</w:t>
            </w:r>
            <w:r>
              <w:rPr>
                <w:rFonts w:hint="default"/>
                <w:highlight w:val="none"/>
              </w:rPr>
              <w:t>探矿权</w:t>
            </w:r>
            <w:r>
              <w:rPr>
                <w:rFonts w:hint="eastAsia"/>
                <w:highlight w:val="none"/>
                <w:lang w:eastAsia="zh-CN"/>
              </w:rPr>
              <w:t>，</w:t>
            </w:r>
            <w:r>
              <w:rPr>
                <w:rFonts w:hint="eastAsia"/>
                <w:highlight w:val="none"/>
                <w:lang w:val="en-US" w:eastAsia="zh-CN"/>
              </w:rPr>
              <w:t>该探矿权已于2026年4月6日届满，目前正在办理变更延续手续；和硕县自然资源局已出具《关于和硕县绰汗哈尔肯铜多金属矿勘探探矿权变更延续的调查意见》（硕自然资发〔2026〕39号），文件明确同意该探矿权办理变更延续登记手续。</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项目名称：新疆和硕县绰汗哈尔肯铜多金属矿勘探；</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探矿权人：</w:t>
            </w:r>
            <w:r>
              <w:rPr>
                <w:rFonts w:hint="eastAsia"/>
                <w:lang w:val="en-US" w:eastAsia="zh-CN"/>
              </w:rPr>
              <w:t>北京天承盛西矿业技术开发有限公司；</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地理位置：新疆维吾尔自治区巴音郭楞蒙古自治州</w:t>
            </w:r>
            <w:r>
              <w:rPr>
                <w:rFonts w:hint="eastAsia"/>
                <w:lang w:val="en-US" w:eastAsia="zh-CN"/>
              </w:rPr>
              <w:t>和硕县；</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勘查面积：</w:t>
            </w:r>
            <w:r>
              <w:rPr>
                <w:rFonts w:hint="eastAsia"/>
                <w:lang w:val="en-US" w:eastAsia="zh-CN"/>
              </w:rPr>
              <w:t>15.048平方公里；</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color w:val="auto"/>
                <w:lang w:val="en-US" w:eastAsia="zh-CN"/>
              </w:rPr>
            </w:pPr>
            <w:r>
              <w:rPr>
                <w:rFonts w:hint="eastAsia"/>
                <w:lang w:val="en-US" w:eastAsia="zh-CN"/>
              </w:rPr>
              <w:t>北京天承盛西矿业技术开发有限公司</w:t>
            </w:r>
            <w:r>
              <w:rPr>
                <w:rFonts w:hint="eastAsia"/>
                <w:highlight w:val="none"/>
                <w:lang w:val="en-US" w:eastAsia="zh-CN"/>
              </w:rPr>
              <w:t>法定代表人为杜武平，</w:t>
            </w:r>
            <w:r>
              <w:rPr>
                <w:rFonts w:hint="eastAsia"/>
                <w:color w:val="auto"/>
                <w:highlight w:val="none"/>
                <w:lang w:val="en-US" w:eastAsia="zh-CN"/>
              </w:rPr>
              <w:t>统一社会信用代码：911101056684154412。</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2.项目主要建设内容</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本项目目的任务，以及工作区内实际情况，拟采用地形测量、槽探、钻探、样品采集等手段来开展勘查工作。本次选择1:1万地质草测、1:1万水工环地质调查、1:2000地化剖面测量、1:25000化探测量、槽探、钻探、采样等探矿工程手段对该矿进行勘查评价工作。</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本项目主要建设内容详见下表。</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表2-2    主要建设内容一览表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35"/>
              <w:gridCol w:w="1271"/>
              <w:gridCol w:w="977"/>
              <w:gridCol w:w="1799"/>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类别</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建设内容</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计量单位</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主体工程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地质测量</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1:1万地质草测</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15.048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1:1万水工环地质调查</w:t>
                  </w:r>
                </w:p>
              </w:tc>
              <w:tc>
                <w:tcPr>
                  <w:tcW w:w="1186" w:type="pct"/>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15.048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1:2000地化剖面测量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平方</w:t>
                  </w:r>
                  <w:r>
                    <w:rPr>
                      <w:rFonts w:hint="default" w:ascii="Times New Roman" w:hAnsi="Times New Roman" w:cs="Times New Roman" w:eastAsiaTheme="minorEastAsia"/>
                      <w:color w:val="auto"/>
                      <w:sz w:val="21"/>
                      <w:szCs w:val="21"/>
                      <w:lang w:val="en-US" w:eastAsia="zh-CN"/>
                    </w:rPr>
                    <w:t>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1:25000化探测量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平方千米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探矿工程</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槽探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立方</w:t>
                  </w: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钻探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tcBorders>
                    <w:top w:val="single" w:color="000000"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采样与分析</w:t>
                  </w:r>
                </w:p>
              </w:tc>
              <w:tc>
                <w:tcPr>
                  <w:tcW w:w="148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bidi="ar"/>
                    </w:rPr>
                    <w:t>基本分析样</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6" w:type="pct"/>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eastAsia" w:cs="Times New Roman" w:eastAsiaTheme="minorEastAsia"/>
                      <w:color w:val="auto"/>
                      <w:kern w:val="0"/>
                      <w:sz w:val="21"/>
                      <w:szCs w:val="21"/>
                      <w:highlight w:val="none"/>
                      <w:lang w:val="en-US" w:eastAsia="zh-CN" w:bidi="ar"/>
                    </w:rPr>
                  </w:pPr>
                  <w:r>
                    <w:rPr>
                      <w:rFonts w:hint="eastAsia" w:cs="Times New Roman"/>
                      <w:color w:val="auto"/>
                      <w:sz w:val="21"/>
                      <w:szCs w:val="21"/>
                      <w:lang w:val="en-US" w:eastAsia="zh-CN"/>
                    </w:rPr>
                    <w:t>组合分析样</w:t>
                  </w:r>
                </w:p>
              </w:tc>
              <w:tc>
                <w:tcPr>
                  <w:tcW w:w="1186"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临时工程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生活营地</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设置一个生活营地，占地</w:t>
                  </w:r>
                  <w:r>
                    <w:rPr>
                      <w:rFonts w:hint="eastAsia" w:cs="Times New Roman" w:eastAsiaTheme="minorEastAsia"/>
                      <w:color w:val="auto"/>
                      <w:sz w:val="21"/>
                      <w:szCs w:val="21"/>
                      <w:highlight w:val="none"/>
                      <w:lang w:val="en-US" w:eastAsia="zh-CN"/>
                    </w:rPr>
                    <w:t>100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施工道路</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lang w:val="en-US" w:eastAsia="zh-CN"/>
                    </w:rPr>
                    <w:t>勘查区域交通较为便利，无需新修临时道路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临时堆场</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槽探</w:t>
                  </w:r>
                  <w:r>
                    <w:rPr>
                      <w:rFonts w:hint="eastAsia" w:cs="Times New Roman" w:eastAsiaTheme="minorEastAsia"/>
                      <w:color w:val="auto"/>
                      <w:sz w:val="21"/>
                      <w:szCs w:val="21"/>
                      <w:lang w:val="en-US" w:eastAsia="zh-CN"/>
                    </w:rPr>
                    <w:t>一侧</w:t>
                  </w:r>
                  <w:r>
                    <w:rPr>
                      <w:rFonts w:hint="default" w:ascii="Times New Roman" w:hAnsi="Times New Roman" w:cs="Times New Roman" w:eastAsiaTheme="minorEastAsia"/>
                      <w:color w:val="auto"/>
                      <w:sz w:val="21"/>
                      <w:szCs w:val="21"/>
                      <w:lang w:val="en-US" w:eastAsia="zh-CN"/>
                    </w:rPr>
                    <w:t>设置</w:t>
                  </w:r>
                  <w:r>
                    <w:rPr>
                      <w:rFonts w:hint="eastAsia" w:cs="Times New Roman" w:eastAsiaTheme="minorEastAsia"/>
                      <w:color w:val="auto"/>
                      <w:sz w:val="21"/>
                      <w:szCs w:val="21"/>
                      <w:lang w:val="en-US" w:eastAsia="zh-CN"/>
                    </w:rPr>
                    <w:t>300</w:t>
                  </w:r>
                  <w:r>
                    <w:rPr>
                      <w:rFonts w:hint="default" w:ascii="Times New Roman" w:hAnsi="Times New Roman" w:cs="Times New Roman" w:eastAsiaTheme="minorEastAsia"/>
                      <w:color w:val="auto"/>
                      <w:sz w:val="21"/>
                      <w:szCs w:val="21"/>
                      <w:lang w:val="en-US" w:eastAsia="zh-CN"/>
                    </w:rPr>
                    <w:t>m</w:t>
                  </w:r>
                  <w:r>
                    <w:rPr>
                      <w:rFonts w:hint="default" w:ascii="Times New Roman" w:hAnsi="Times New Roman" w:cs="Times New Roman" w:eastAsiaTheme="minorEastAsia"/>
                      <w:color w:val="auto"/>
                      <w:sz w:val="21"/>
                      <w:szCs w:val="21"/>
                      <w:vertAlign w:val="superscript"/>
                      <w:lang w:val="en-US" w:eastAsia="zh-CN"/>
                    </w:rPr>
                    <w:t>2</w:t>
                  </w:r>
                  <w:r>
                    <w:rPr>
                      <w:rFonts w:hint="default" w:ascii="Times New Roman" w:hAnsi="Times New Roman" w:cs="Times New Roman" w:eastAsiaTheme="minorEastAsia"/>
                      <w:color w:val="auto"/>
                      <w:sz w:val="21"/>
                      <w:szCs w:val="21"/>
                      <w:lang w:val="en-US" w:eastAsia="zh-CN"/>
                    </w:rPr>
                    <w:t>临时堆场</w:t>
                  </w:r>
                  <w:r>
                    <w:rPr>
                      <w:rFonts w:hint="eastAsia" w:cs="Times New Roman" w:eastAsiaTheme="minorEastAsia"/>
                      <w:color w:val="auto"/>
                      <w:sz w:val="21"/>
                      <w:szCs w:val="21"/>
                      <w:lang w:val="en-US" w:eastAsia="zh-CN"/>
                    </w:rPr>
                    <w:t>，堆放槽探施工产生的土石方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柴油贮存点</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eastAsia="宋体" w:cs="Times New Roman"/>
                      <w:color w:val="auto"/>
                      <w:sz w:val="21"/>
                      <w:szCs w:val="21"/>
                      <w:highlight w:val="none"/>
                      <w:lang w:val="en-US" w:eastAsia="zh-CN"/>
                    </w:rPr>
                  </w:pPr>
                  <w:r>
                    <w:rPr>
                      <w:rFonts w:hint="default" w:eastAsia="宋体" w:cs="Times New Roman"/>
                      <w:color w:val="auto"/>
                      <w:sz w:val="21"/>
                      <w:szCs w:val="21"/>
                      <w:highlight w:val="none"/>
                      <w:lang w:val="en-US" w:eastAsia="zh-CN"/>
                    </w:rPr>
                    <w:t>在生活营地内设置一处10m</w:t>
                  </w:r>
                  <w:r>
                    <w:rPr>
                      <w:rFonts w:hint="default" w:eastAsia="宋体" w:cs="Times New Roman"/>
                      <w:color w:val="auto"/>
                      <w:sz w:val="21"/>
                      <w:szCs w:val="21"/>
                      <w:highlight w:val="none"/>
                      <w:vertAlign w:val="superscript"/>
                      <w:lang w:val="en-US" w:eastAsia="zh-CN"/>
                    </w:rPr>
                    <w:t>2</w:t>
                  </w:r>
                  <w:r>
                    <w:rPr>
                      <w:rFonts w:hint="default" w:eastAsia="宋体" w:cs="Times New Roman"/>
                      <w:color w:val="auto"/>
                      <w:sz w:val="21"/>
                      <w:szCs w:val="21"/>
                      <w:highlight w:val="none"/>
                      <w:lang w:val="en-US" w:eastAsia="zh-CN"/>
                    </w:rPr>
                    <w:t>的柴油贮存点，采用防渗柴油桶盛装并置于防渗托盘上，贮存点做好防日晒、防雨淋、防渗漏等措施。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公用工程</w:t>
                  </w: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定期从</w:t>
                  </w:r>
                  <w:r>
                    <w:rPr>
                      <w:rFonts w:hint="eastAsia" w:cs="Times New Roman" w:eastAsiaTheme="minorEastAsia"/>
                      <w:color w:val="auto"/>
                      <w:sz w:val="21"/>
                      <w:szCs w:val="21"/>
                      <w:lang w:val="en-US" w:eastAsia="zh-CN"/>
                    </w:rPr>
                    <w:t>附近乡镇</w:t>
                  </w:r>
                  <w:r>
                    <w:rPr>
                      <w:rFonts w:hint="default" w:ascii="Times New Roman" w:hAnsi="Times New Roman" w:cs="Times New Roman" w:eastAsiaTheme="minorEastAsia"/>
                      <w:color w:val="auto"/>
                      <w:sz w:val="21"/>
                      <w:szCs w:val="21"/>
                      <w:lang w:val="en-US" w:eastAsia="zh-CN"/>
                    </w:rPr>
                    <w:t>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排水</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洒水绿化</w:t>
                  </w:r>
                  <w:r>
                    <w:rPr>
                      <w:rFonts w:hint="default" w:ascii="Times New Roman" w:hAnsi="Times New Roman" w:eastAsia="宋体" w:cs="Times New Roman"/>
                      <w:color w:val="auto"/>
                      <w:sz w:val="21"/>
                      <w:szCs w:val="21"/>
                      <w:lang w:val="en-US" w:eastAsia="zh-CN"/>
                    </w:rPr>
                    <w:t>，不外排</w:t>
                  </w:r>
                  <w:r>
                    <w:rPr>
                      <w:rFonts w:hint="default" w:ascii="Times New Roman" w:hAnsi="Times New Roman" w:cs="Times New Roman" w:eastAsiaTheme="minorEastAsia"/>
                      <w:color w:val="auto"/>
                      <w:sz w:val="21"/>
                      <w:szCs w:val="21"/>
                      <w:lang w:val="en-US" w:eastAsia="zh-CN"/>
                    </w:rPr>
                    <w:t>；钻井设备冲洗水经沉淀池处理后</w:t>
                  </w:r>
                  <w:r>
                    <w:rPr>
                      <w:rFonts w:hint="eastAsia" w:cs="Times New Roman" w:eastAsiaTheme="minorEastAsia"/>
                      <w:color w:val="auto"/>
                      <w:sz w:val="21"/>
                      <w:szCs w:val="21"/>
                      <w:lang w:val="en-US" w:eastAsia="zh-CN"/>
                    </w:rPr>
                    <w:t>用于洒水降尘，不外排</w:t>
                  </w:r>
                  <w:r>
                    <w:rPr>
                      <w:rFonts w:hint="default" w:ascii="Times New Roman" w:hAnsi="Times New Roman" w:cs="Times New Roman" w:eastAsiaTheme="minorEastAsia"/>
                      <w:color w:val="auto"/>
                      <w:sz w:val="21"/>
                      <w:szCs w:val="21"/>
                      <w:lang w:val="en-US" w:eastAsia="zh-CN"/>
                    </w:rPr>
                    <w:t>；泥浆废水经泥浆沉淀池处理后全部回用于泥浆配制</w:t>
                  </w:r>
                  <w:r>
                    <w:rPr>
                      <w:rFonts w:hint="eastAsia" w:cs="Times New Roman" w:eastAsiaTheme="minorEastAsia"/>
                      <w:color w:val="auto"/>
                      <w:sz w:val="21"/>
                      <w:szCs w:val="21"/>
                      <w:lang w:val="en-US" w:eastAsia="zh-CN"/>
                    </w:rPr>
                    <w:t>；勘查过程中产生的粉尘通过洒水降尘的措施进行处理，全部蒸发逸散，不外排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供电</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rPr>
                    <w:t>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环保工程</w:t>
                  </w: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废气治理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扬尘</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开挖土</w:t>
                  </w:r>
                  <w:r>
                    <w:rPr>
                      <w:rFonts w:hint="default" w:ascii="Times New Roman" w:hAnsi="Times New Roman" w:cs="Times New Roman" w:eastAsiaTheme="minorEastAsia"/>
                      <w:color w:val="auto"/>
                      <w:sz w:val="21"/>
                      <w:szCs w:val="21"/>
                      <w:lang w:val="en-US" w:eastAsia="zh-CN"/>
                    </w:rPr>
                    <w:t>石</w:t>
                  </w:r>
                  <w:r>
                    <w:rPr>
                      <w:rFonts w:hint="default" w:ascii="Times New Roman" w:hAnsi="Times New Roman" w:cs="Times New Roman" w:eastAsiaTheme="minorEastAsia"/>
                      <w:color w:val="auto"/>
                      <w:sz w:val="21"/>
                      <w:szCs w:val="21"/>
                    </w:rPr>
                    <w:t>方使用</w:t>
                  </w:r>
                  <w:r>
                    <w:rPr>
                      <w:rFonts w:hint="eastAsia" w:cs="Times New Roman" w:eastAsiaTheme="minorEastAsia"/>
                      <w:color w:val="auto"/>
                      <w:sz w:val="21"/>
                      <w:szCs w:val="21"/>
                      <w:lang w:val="en-US" w:eastAsia="zh-CN"/>
                    </w:rPr>
                    <w:t>彩布条</w:t>
                  </w:r>
                  <w:r>
                    <w:rPr>
                      <w:rFonts w:hint="default" w:ascii="Times New Roman" w:hAnsi="Times New Roman" w:cs="Times New Roman" w:eastAsiaTheme="minorEastAsia"/>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燃油废气</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对</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发电机及运输车辆定期维护保养，使用正品</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废水治理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生活污水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排入一体化污水处理设施处理达标后，用于</w:t>
                  </w:r>
                  <w:r>
                    <w:rPr>
                      <w:rFonts w:hint="eastAsia" w:cs="Times New Roman" w:eastAsiaTheme="minorEastAsia"/>
                      <w:color w:val="auto"/>
                      <w:sz w:val="21"/>
                      <w:szCs w:val="21"/>
                      <w:lang w:val="en-US" w:eastAsia="zh-CN"/>
                    </w:rPr>
                    <w:t>洒水</w:t>
                  </w:r>
                  <w:r>
                    <w:rPr>
                      <w:rFonts w:hint="default" w:ascii="Times New Roman" w:hAnsi="Times New Roman" w:cs="Times New Roman" w:eastAsiaTheme="minorEastAsia"/>
                      <w:color w:val="auto"/>
                      <w:sz w:val="21"/>
                      <w:szCs w:val="21"/>
                      <w:lang w:val="en-US" w:eastAsia="zh-CN"/>
                    </w:rPr>
                    <w:t>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eastAsia="zh-CN"/>
                    </w:rPr>
                    <w:t>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5m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）收集</w:t>
                  </w:r>
                  <w:r>
                    <w:rPr>
                      <w:rFonts w:hint="default" w:ascii="Times New Roman" w:hAnsi="Times New Roman" w:cs="Times New Roman" w:eastAsiaTheme="minorEastAsia"/>
                      <w:color w:val="auto"/>
                      <w:sz w:val="21"/>
                      <w:szCs w:val="21"/>
                      <w:highlight w:val="none"/>
                      <w:lang w:val="en-US" w:eastAsia="zh-CN"/>
                    </w:rPr>
                    <w:t>后</w:t>
                  </w:r>
                  <w:r>
                    <w:rPr>
                      <w:rFonts w:hint="eastAsia" w:cs="Times New Roman" w:eastAsiaTheme="minorEastAsia"/>
                      <w:color w:val="auto"/>
                      <w:sz w:val="21"/>
                      <w:szCs w:val="21"/>
                      <w:highlight w:val="none"/>
                      <w:lang w:val="en-US" w:eastAsia="zh-CN"/>
                    </w:rPr>
                    <w:t>用于洒水降尘</w:t>
                  </w:r>
                  <w:r>
                    <w:rPr>
                      <w:rFonts w:hint="default" w:ascii="Times New Roman" w:hAnsi="Times New Roman" w:cs="Times New Roman" w:eastAsiaTheme="minorEastAsia"/>
                      <w:color w:val="auto"/>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泥浆废水</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val="en-US" w:eastAsia="zh-CN"/>
                    </w:rPr>
                    <w:t>）</w:t>
                  </w:r>
                  <w:r>
                    <w:rPr>
                      <w:rFonts w:hint="eastAsia" w:ascii="Times New Roman" w:hAnsi="Times New Roman" w:cs="Times New Roman"/>
                      <w:lang w:val="en-US" w:eastAsia="zh-CN"/>
                    </w:rPr>
                    <w:t>处理后全部回用于泥浆配制，循环使用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固废治理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生活垃圾</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集中收集后送至</w:t>
                  </w:r>
                  <w:r>
                    <w:rPr>
                      <w:rFonts w:hint="eastAsia" w:cs="Times New Roman" w:eastAsiaTheme="minorEastAsia"/>
                      <w:color w:val="auto"/>
                      <w:sz w:val="21"/>
                      <w:szCs w:val="21"/>
                      <w:lang w:val="en-US" w:eastAsia="zh-CN"/>
                    </w:rPr>
                    <w:t>和硕县</w:t>
                  </w:r>
                  <w:r>
                    <w:rPr>
                      <w:rFonts w:hint="default" w:ascii="Times New Roman" w:hAnsi="Times New Roman" w:cs="Times New Roman" w:eastAsiaTheme="minorEastAsia"/>
                      <w:color w:val="auto"/>
                      <w:sz w:val="21"/>
                      <w:szCs w:val="21"/>
                      <w:lang w:val="en-US" w:eastAsia="zh-CN"/>
                    </w:rPr>
                    <w:t>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开挖土石</w:t>
                  </w:r>
                  <w:r>
                    <w:rPr>
                      <w:rFonts w:hint="default" w:ascii="Times New Roman" w:hAnsi="Times New Roman" w:cs="Times New Roman" w:eastAsiaTheme="minorEastAsia"/>
                      <w:color w:val="auto"/>
                      <w:sz w:val="21"/>
                      <w:szCs w:val="21"/>
                      <w:lang w:val="en-US" w:eastAsia="zh-CN"/>
                    </w:rPr>
                    <w:t>方</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回填</w:t>
                  </w:r>
                  <w:r>
                    <w:rPr>
                      <w:rFonts w:hint="eastAsia" w:cs="Times New Roman" w:eastAsiaTheme="minorEastAsia"/>
                      <w:color w:val="auto"/>
                      <w:sz w:val="21"/>
                      <w:szCs w:val="21"/>
                      <w:lang w:val="en-US" w:eastAsia="zh-CN"/>
                    </w:rPr>
                    <w:t>或用于周边场地平整</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钻井泥浆</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固化后</w:t>
                  </w:r>
                  <w:r>
                    <w:rPr>
                      <w:rFonts w:hint="eastAsia" w:cs="Times New Roman" w:eastAsiaTheme="minorEastAsia"/>
                      <w:color w:val="auto"/>
                      <w:sz w:val="21"/>
                      <w:szCs w:val="21"/>
                      <w:lang w:val="en-US" w:eastAsia="zh-CN"/>
                    </w:rPr>
                    <w:t>拉运至一般固废处置单位统一处理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钻井</w:t>
                  </w:r>
                  <w:r>
                    <w:rPr>
                      <w:rFonts w:hint="eastAsia" w:cs="Times New Roman" w:eastAsiaTheme="minorEastAsia"/>
                      <w:color w:val="auto"/>
                      <w:sz w:val="21"/>
                      <w:szCs w:val="21"/>
                      <w:lang w:val="en-US" w:eastAsia="zh-CN"/>
                    </w:rPr>
                    <w:t>岩屑</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岩屑回填</w:t>
                  </w:r>
                  <w:r>
                    <w:rPr>
                      <w:rFonts w:hint="eastAsia" w:cs="Times New Roman" w:eastAsiaTheme="minorEastAsia"/>
                      <w:color w:val="auto"/>
                      <w:sz w:val="21"/>
                      <w:szCs w:val="21"/>
                      <w:lang w:val="en-US"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default" w:ascii="Times New Roman" w:hAnsi="Times New Roman" w:eastAsia="宋体" w:cs="Times New Roman"/>
                      <w:color w:val="auto"/>
                      <w:sz w:val="21"/>
                      <w:szCs w:val="21"/>
                      <w:lang w:val="en-US" w:eastAsia="zh-CN"/>
                    </w:rPr>
                    <w:t>沉淀池沉渣</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eastAsia" w:cs="Times New Roman"/>
                      <w:color w:val="auto"/>
                      <w:sz w:val="21"/>
                      <w:szCs w:val="21"/>
                      <w:lang w:val="en-US" w:eastAsia="zh-CN"/>
                    </w:rPr>
                    <w:t>固化后</w:t>
                  </w:r>
                  <w:r>
                    <w:rPr>
                      <w:rFonts w:hint="default" w:ascii="Times New Roman" w:hAnsi="Times New Roman" w:eastAsia="宋体" w:cs="Times New Roman"/>
                      <w:color w:val="auto"/>
                      <w:sz w:val="21"/>
                      <w:szCs w:val="21"/>
                      <w:lang w:val="en-US" w:eastAsia="zh-CN"/>
                    </w:rPr>
                    <w:t>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噪声治理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施工、钻井设备噪声</w:t>
                  </w:r>
                </w:p>
              </w:tc>
              <w:tc>
                <w:tcPr>
                  <w:tcW w:w="2896"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生态保护与恢复工程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5"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环境风险防范工程</w:t>
                  </w:r>
                </w:p>
              </w:tc>
              <w:tc>
                <w:tcPr>
                  <w:tcW w:w="3734"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制定环境风险管理制度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000" w:type="pct"/>
                  <w:gridSpan w:val="6"/>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color w:val="auto"/>
                      <w:sz w:val="20"/>
                      <w:szCs w:val="20"/>
                      <w:highlight w:val="none"/>
                      <w:lang w:val="en-US" w:eastAsia="zh-CN"/>
                    </w:rPr>
                    <w:t>备注：本项目勘探作业车辆均于进矿前完成维修保养，勘探实施阶段无废润滑油产生，故不单独再设置危险废物贮存点</w:t>
                  </w:r>
                </w:p>
              </w:tc>
            </w:tr>
          </w:tbl>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r>
              <w:rPr>
                <w:rFonts w:hint="default"/>
                <w:color w:val="auto"/>
                <w:lang w:val="en-US" w:eastAsia="zh-CN"/>
              </w:rPr>
              <w:t>主要勘探设备及原、辅材料</w:t>
            </w:r>
          </w:p>
          <w:p>
            <w:pPr>
              <w:pStyle w:val="48"/>
              <w:keepNext w:val="0"/>
              <w:keepLines w:val="0"/>
              <w:suppressLineNumbers w:val="0"/>
              <w:bidi w:val="0"/>
              <w:spacing w:before="0" w:beforeAutospacing="0" w:after="0" w:afterAutospacing="0"/>
              <w:ind w:left="0" w:right="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 xml:space="preserve">3    </w:t>
            </w:r>
            <w:r>
              <w:rPr>
                <w:rFonts w:hint="default"/>
                <w:lang w:val="en-US" w:eastAsia="zh-CN"/>
              </w:rPr>
              <w:t>工程主要设备一览表</w:t>
            </w:r>
          </w:p>
          <w:tbl>
            <w:tblPr>
              <w:tblStyle w:val="2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35"/>
              <w:gridCol w:w="2654"/>
              <w:gridCol w:w="1997"/>
              <w:gridCol w:w="1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序号</w:t>
                  </w: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装备名称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数量</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RTK测绘仪器</w:t>
                  </w:r>
                </w:p>
              </w:tc>
              <w:tc>
                <w:tcPr>
                  <w:tcW w:w="1316"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1套</w:t>
                  </w:r>
                </w:p>
              </w:tc>
              <w:tc>
                <w:tcPr>
                  <w:tcW w:w="1118" w:type="pct"/>
                  <w:tcBorders>
                    <w:top w:val="single" w:color="auto" w:sz="4" w:space="0"/>
                    <w:left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地形测量、工程定测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无人机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手持GPS</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数码相机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野外影像采集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笔记本电脑</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野外数据汇集及整理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多功能一体机(打印、复印)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图件输入、文件输出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对讲机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地质锤、地质罗盘、放大镜</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地质、矿产工作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单面弹簧度盘秤</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样品称重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手持式XRF分析仪</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野外快速分析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挖掘机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探槽施工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LF90全液压钻机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岩芯切割机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w:t>
                  </w:r>
                  <w:r>
                    <w:rPr>
                      <w:rFonts w:hint="eastAsia" w:cs="Times New Roman" w:eastAsiaTheme="minorEastAsia"/>
                      <w:color w:val="auto"/>
                      <w:sz w:val="21"/>
                      <w:szCs w:val="21"/>
                      <w:highlight w:val="none"/>
                      <w:lang w:val="en-US" w:eastAsia="zh-CN"/>
                    </w:rPr>
                    <w:t>取样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lang w:val="en-US" w:eastAsia="zh-CN"/>
                    </w:rPr>
                  </w:pPr>
                  <w:r>
                    <w:rPr>
                      <w:rFonts w:hint="eastAsia"/>
                      <w:lang w:val="en-US" w:eastAsia="zh-CN"/>
                    </w:rPr>
                    <w:t>刻槽取样机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打样槽、取化验样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柴油发电机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生活、生产发电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越野小汽车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皮卡车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柴油</w:t>
                  </w:r>
                  <w:r>
                    <w:rPr>
                      <w:rFonts w:hint="eastAsia" w:ascii="Times New Roman" w:hAnsi="Times New Roman" w:cs="Times New Roman" w:eastAsiaTheme="minorEastAsia"/>
                      <w:color w:val="auto"/>
                      <w:sz w:val="21"/>
                      <w:szCs w:val="21"/>
                      <w:highlight w:val="none"/>
                      <w:lang w:val="en-US" w:eastAsia="zh-CN"/>
                    </w:rPr>
                    <w:t>发电机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2</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生活、勘查</w:t>
                  </w:r>
                  <w:r>
                    <w:rPr>
                      <w:rFonts w:hint="eastAsia" w:ascii="Times New Roman" w:hAnsi="Times New Roman" w:cs="Times New Roman" w:eastAsiaTheme="minorEastAsia"/>
                      <w:color w:val="auto"/>
                      <w:sz w:val="21"/>
                      <w:szCs w:val="21"/>
                      <w:highlight w:val="none"/>
                      <w:lang w:val="en-US" w:eastAsia="zh-CN"/>
                    </w:rPr>
                    <w:t>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卫星电话</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r>
                    <w:rPr>
                      <w:rFonts w:hint="eastAsia" w:cs="Times New Roman" w:eastAsiaTheme="minorEastAsia"/>
                      <w:color w:val="auto"/>
                      <w:sz w:val="21"/>
                      <w:szCs w:val="21"/>
                      <w:highlight w:val="none"/>
                      <w:lang w:val="en-US" w:eastAsia="zh-CN"/>
                    </w:rPr>
                    <w:t>部</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通信联络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安全帽</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6</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8"/>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灭火器</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防火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棉帐篷</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营地住宿</w:t>
                  </w:r>
                </w:p>
              </w:tc>
            </w:tr>
          </w:tbl>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4    </w:t>
            </w:r>
            <w:r>
              <w:rPr>
                <w:rFonts w:hint="default"/>
              </w:rPr>
              <w:t>工程主要原、辅材料一览表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20"/>
              <w:gridCol w:w="1272"/>
              <w:gridCol w:w="1250"/>
              <w:gridCol w:w="1650"/>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序号</w:t>
                  </w:r>
                </w:p>
              </w:tc>
              <w:tc>
                <w:tcPr>
                  <w:tcW w:w="474"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类别</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名称</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用量</w:t>
                  </w:r>
                </w:p>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w:t>
                  </w:r>
                  <w:r>
                    <w:rPr>
                      <w:rFonts w:hint="eastAsia"/>
                      <w:lang w:val="en-US" w:eastAsia="zh-CN"/>
                    </w:rPr>
                    <w:t>勘探期</w:t>
                  </w:r>
                  <w:r>
                    <w:rPr>
                      <w:rFonts w:hint="eastAsia"/>
                      <w:lang w:eastAsia="zh-CN"/>
                    </w:rPr>
                    <w: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来源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辅料</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彩布条</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800m</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对槽探开挖石料进行</w:t>
                  </w:r>
                  <w:r>
                    <w:rPr>
                      <w:rFonts w:hint="eastAsia"/>
                      <w:lang w:val="en-US" w:eastAsia="zh-CN"/>
                    </w:rPr>
                    <w:t>苫盖，</w:t>
                  </w:r>
                  <w:r>
                    <w:rPr>
                      <w:rFonts w:hint="default"/>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膨润土</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0.04t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外购</w:t>
                  </w:r>
                </w:p>
              </w:tc>
              <w:tc>
                <w:tcPr>
                  <w:tcW w:w="131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聚合物、降失水剂等</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0.01t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水泥</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0.02t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5</w:t>
                  </w:r>
                </w:p>
              </w:tc>
              <w:tc>
                <w:tcPr>
                  <w:tcW w:w="47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资源</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rPr>
                    <w:t>水</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25.48</w:t>
                  </w:r>
                  <w:r>
                    <w:rPr>
                      <w:rFonts w:hint="default"/>
                      <w:color w:val="auto"/>
                      <w:lang w:eastAsia="zh-CN"/>
                    </w:rPr>
                    <w:t>m</w:t>
                  </w:r>
                  <w:r>
                    <w:rPr>
                      <w:rFonts w:hint="eastAsia"/>
                      <w:color w:val="auto"/>
                      <w:vertAlign w:val="superscript"/>
                      <w:lang w:val="en-US" w:eastAsia="zh-CN"/>
                    </w:rPr>
                    <w:t>3</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定期从附近乡镇拉运至生活营后用储水箱储存</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474"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柴油</w:t>
                  </w:r>
                </w:p>
              </w:tc>
              <w:tc>
                <w:tcPr>
                  <w:tcW w:w="82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2t</w:t>
                  </w:r>
                </w:p>
              </w:tc>
              <w:tc>
                <w:tcPr>
                  <w:tcW w:w="108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定期从</w:t>
                  </w:r>
                  <w:r>
                    <w:rPr>
                      <w:rFonts w:hint="eastAsia"/>
                      <w:lang w:val="en-US" w:eastAsia="zh-CN"/>
                    </w:rPr>
                    <w:t>附近乡镇</w:t>
                  </w:r>
                  <w:r>
                    <w:rPr>
                      <w:rFonts w:hint="default"/>
                      <w:lang w:val="en-US" w:eastAsia="zh-CN"/>
                    </w:rPr>
                    <w:t>拉运</w:t>
                  </w:r>
                </w:p>
              </w:tc>
              <w:tc>
                <w:tcPr>
                  <w:tcW w:w="131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油桶储存，最大储存量为2t，设置专门的柴油存放区</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4.公用工程</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4.1给水</w:t>
            </w:r>
          </w:p>
          <w:p>
            <w:pPr>
              <w:pStyle w:val="6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项目用水主要为生活用水和生产用水，车辆定期</w:t>
            </w:r>
            <w:r>
              <w:rPr>
                <w:rFonts w:hint="default"/>
                <w:lang w:val="en-US" w:eastAsia="zh-CN"/>
              </w:rPr>
              <w:t>从</w:t>
            </w:r>
            <w:r>
              <w:rPr>
                <w:rFonts w:hint="eastAsia"/>
                <w:lang w:val="en-US" w:eastAsia="zh-CN"/>
              </w:rPr>
              <w:t>邻近乡镇</w:t>
            </w:r>
            <w:r>
              <w:rPr>
                <w:rFonts w:hint="default"/>
                <w:lang w:val="en-US" w:eastAsia="zh-CN"/>
              </w:rPr>
              <w:t>拉运至生活营地内储水箱储存</w:t>
            </w:r>
            <w:r>
              <w:rPr>
                <w:rFonts w:hint="eastAsia"/>
                <w:lang w:val="en-US"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lang w:val="en-US" w:eastAsia="zh-CN"/>
              </w:rPr>
              <w:t>探矿</w:t>
            </w:r>
            <w:r>
              <w:rPr>
                <w:rFonts w:hint="eastAsia" w:ascii="Times New Roman" w:hAnsi="Times New Roman" w:eastAsia="宋体" w:cs="Times New Roman"/>
                <w:color w:val="auto"/>
                <w:sz w:val="24"/>
                <w:szCs w:val="24"/>
                <w:highlight w:val="none"/>
                <w:lang w:eastAsia="zh-CN"/>
              </w:rPr>
              <w:t>过程中，劳动定员约为</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食宿，根据《新疆维吾尔自治区生活用水定额》</w:t>
            </w:r>
            <w:r>
              <w:rPr>
                <w:rFonts w:hint="eastAsia" w:cs="Times New Roman"/>
                <w:color w:val="auto"/>
                <w:sz w:val="24"/>
                <w:szCs w:val="24"/>
                <w:highlight w:val="none"/>
                <w:lang w:val="en-US" w:eastAsia="zh-CN"/>
              </w:rPr>
              <w:t>可知，生</w:t>
            </w:r>
            <w:r>
              <w:rPr>
                <w:rFonts w:hint="default" w:ascii="Times New Roman" w:hAnsi="Times New Roman" w:eastAsia="宋体" w:cs="Times New Roman"/>
                <w:color w:val="auto"/>
                <w:sz w:val="24"/>
                <w:szCs w:val="24"/>
                <w:highlight w:val="none"/>
                <w:lang w:eastAsia="zh-CN"/>
              </w:rPr>
              <w:t>活用水量为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施工期和勘探期共计36</w:t>
            </w:r>
            <w:r>
              <w:rPr>
                <w:rFonts w:hint="default" w:ascii="Times New Roman" w:hAnsi="Times New Roman" w:eastAsia="宋体" w:cs="Times New Roman"/>
                <w:color w:val="auto"/>
                <w:sz w:val="24"/>
                <w:szCs w:val="24"/>
                <w:highlight w:val="none"/>
                <w:lang w:eastAsia="zh-CN"/>
              </w:rPr>
              <w:t>d，则可知本项目生活用水量为</w:t>
            </w:r>
            <w:r>
              <w:rPr>
                <w:rFonts w:hint="eastAsia" w:cs="Times New Roman"/>
                <w:color w:val="auto"/>
                <w:sz w:val="24"/>
                <w:szCs w:val="24"/>
                <w:highlight w:val="none"/>
                <w:lang w:val="en-US" w:eastAsia="zh-CN"/>
              </w:rPr>
              <w:t>0.18</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生活用水总量为6.48</w:t>
            </w:r>
            <w:r>
              <w:rPr>
                <w:rFonts w:hint="default" w:ascii="Times New Roman" w:hAnsi="Times New Roman" w:eastAsia="宋体" w:cs="Times New Roman"/>
                <w:color w:val="auto"/>
                <w:sz w:val="24"/>
                <w:szCs w:val="24"/>
                <w:highlight w:val="none"/>
                <w:lang w:eastAsia="zh-CN"/>
              </w:rPr>
              <w:t>m</w:t>
            </w:r>
            <w:r>
              <w:rPr>
                <w:rFonts w:hint="eastAsia"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（2）生产用水</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vertAlign w:val="baseline"/>
                <w:lang w:val="en-US" w:eastAsia="zh-CN"/>
              </w:rPr>
            </w:pPr>
            <w:r>
              <w:rPr>
                <w:rFonts w:hint="eastAsia" w:ascii="Times New Roman" w:hAnsi="Times New Roman" w:eastAsia="宋体" w:cs="Times New Roman"/>
                <w:color w:val="auto"/>
                <w:sz w:val="24"/>
                <w:szCs w:val="24"/>
                <w:highlight w:val="none"/>
                <w:lang w:val="en-US" w:eastAsia="zh-CN"/>
              </w:rPr>
              <w:t>泥浆调配用水：</w:t>
            </w:r>
            <w:r>
              <w:rPr>
                <w:rFonts w:hint="eastAsia" w:ascii="Times New Roman" w:hAnsi="Times New Roman" w:eastAsia="宋体" w:cs="Times New Roman"/>
                <w:sz w:val="24"/>
                <w:szCs w:val="24"/>
                <w:highlight w:val="none"/>
                <w:lang w:val="en-US" w:eastAsia="zh-CN"/>
              </w:rPr>
              <w:t>项目钻井期间泥浆调配用水</w:t>
            </w:r>
            <w:r>
              <w:rPr>
                <w:rFonts w:hint="eastAsia" w:cs="Times New Roman"/>
                <w:sz w:val="24"/>
                <w:szCs w:val="24"/>
                <w:highlight w:val="none"/>
                <w:lang w:val="en-US" w:eastAsia="zh-CN"/>
              </w:rPr>
              <w:t>补充量</w:t>
            </w:r>
            <w:r>
              <w:rPr>
                <w:rFonts w:hint="eastAsia" w:ascii="Times New Roman" w:hAnsi="Times New Roman" w:eastAsia="宋体" w:cs="Times New Roman"/>
                <w:sz w:val="24"/>
                <w:szCs w:val="24"/>
                <w:highlight w:val="none"/>
                <w:lang w:val="en-US" w:eastAsia="zh-CN"/>
              </w:rPr>
              <w:t>为</w:t>
            </w:r>
            <w:r>
              <w:rPr>
                <w:rFonts w:hint="eastAsia"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，调配好的泥浆循环使用。</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钻井设备冲洗用水：</w:t>
            </w:r>
            <w:r>
              <w:rPr>
                <w:rFonts w:hint="eastAsia"/>
                <w:color w:val="auto"/>
                <w:highlight w:val="none"/>
                <w:lang w:val="en-US" w:eastAsia="zh-CN"/>
              </w:rPr>
              <w:t>项目</w:t>
            </w:r>
            <w:r>
              <w:rPr>
                <w:rFonts w:hint="eastAsia" w:cs="Times New Roman"/>
                <w:color w:val="auto"/>
                <w:sz w:val="24"/>
                <w:szCs w:val="24"/>
                <w:highlight w:val="none"/>
                <w:lang w:val="en-US" w:eastAsia="zh-CN"/>
              </w:rPr>
              <w:t>勘探期间</w:t>
            </w:r>
            <w:r>
              <w:rPr>
                <w:rFonts w:hint="eastAsia"/>
                <w:color w:val="auto"/>
                <w:highlight w:val="none"/>
                <w:lang w:val="en-US" w:eastAsia="zh-CN"/>
              </w:rPr>
              <w:t>用水量约为</w:t>
            </w:r>
            <w:r>
              <w:rPr>
                <w:rFonts w:hint="eastAsia"/>
                <w:color w:val="auto"/>
                <w:highlight w:val="none"/>
                <w:vertAlign w:val="baseline"/>
                <w:lang w:val="en-US" w:eastAsia="zh-CN"/>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vertAlign w:val="baseline"/>
                <w:lang w:val="en-US" w:eastAsia="zh-CN"/>
              </w:rPr>
              <w:t>，</w:t>
            </w:r>
            <w:r>
              <w:rPr>
                <w:rFonts w:hint="eastAsia"/>
                <w:color w:val="auto"/>
                <w:highlight w:val="none"/>
                <w:lang w:val="en-US" w:eastAsia="zh-CN"/>
              </w:rPr>
              <w:t>经沉淀池处理后用于洒水降尘、蒸发逸散，不外排。</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4.2排水</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keepNext w:val="0"/>
              <w:keepLines w:val="0"/>
              <w:suppressLineNumbers w:val="0"/>
              <w:bidi w:val="0"/>
              <w:spacing w:before="0" w:beforeAutospacing="0" w:after="0" w:afterAutospacing="0"/>
              <w:ind w:left="0" w:right="0"/>
              <w:rPr>
                <w:rFonts w:hint="default"/>
                <w:color w:val="auto"/>
                <w:highlight w:val="yellow"/>
                <w:lang w:val="en-US" w:eastAsia="zh-CN"/>
              </w:rPr>
            </w:pPr>
            <w:r>
              <w:rPr>
                <w:rFonts w:hint="eastAsia"/>
                <w:color w:val="auto"/>
                <w:highlight w:val="none"/>
                <w:lang w:val="en-US" w:eastAsia="zh-CN"/>
              </w:rPr>
              <w:t>生活污水产生量较少，生活污水排入一体化污水处理设施后，其出水标准可达到《农村生活污水处理排放标准》（DB654275-2019）表2中A级标准，用于洒水绿化，不外排。</w:t>
            </w:r>
            <w:r>
              <w:rPr>
                <w:rFonts w:hint="default"/>
                <w:color w:val="auto"/>
                <w:highlight w:val="none"/>
                <w:lang w:val="en-US" w:eastAsia="zh-CN"/>
              </w:rPr>
              <w:t>生活污水量以生活用水量的80%计，则可知本项目探矿期生活污水产生量为</w:t>
            </w:r>
            <w:r>
              <w:rPr>
                <w:rFonts w:hint="eastAsia"/>
                <w:color w:val="auto"/>
                <w:highlight w:val="none"/>
                <w:lang w:val="en-US" w:eastAsia="zh-CN"/>
              </w:rPr>
              <w:t>5.184m</w:t>
            </w:r>
            <w:r>
              <w:rPr>
                <w:rFonts w:hint="eastAsia"/>
                <w:color w:val="auto"/>
                <w:highlight w:val="none"/>
                <w:vertAlign w:val="superscript"/>
                <w:lang w:val="en-US" w:eastAsia="zh-CN"/>
              </w:rPr>
              <w:t>3</w:t>
            </w:r>
            <w:r>
              <w:rPr>
                <w:rFonts w:hint="default"/>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（2）生产废水</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泥浆废水：经防渗沉淀池处理后全部回用于钻孔泥浆配制，定期补充，循环使用，不外排。</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钻井设备冲洗用水：经沉淀池处理后用于洒水降尘，不外排。</w:t>
            </w:r>
          </w:p>
          <w:p>
            <w:pPr>
              <w:pStyle w:val="52"/>
              <w:keepNext w:val="0"/>
              <w:keepLines w:val="0"/>
              <w:suppressLineNumbers w:val="0"/>
              <w:bidi w:val="0"/>
              <w:spacing w:before="0" w:beforeAutospacing="0" w:after="0" w:afterAutospacing="0"/>
              <w:ind w:left="0" w:right="0"/>
              <w:rPr>
                <w:rFonts w:hint="eastAsia"/>
                <w:lang w:val="en-US" w:eastAsia="zh-CN"/>
              </w:rPr>
            </w:pPr>
            <w:r>
              <w:rPr>
                <w:rFonts w:hint="default"/>
              </w:rPr>
              <w:drawing>
                <wp:inline distT="0" distB="0" distL="114300" distR="114300">
                  <wp:extent cx="4613275" cy="2684145"/>
                  <wp:effectExtent l="0" t="0" r="15875" b="1905"/>
                  <wp:docPr id="5" name="F360BE8B-6686-4F3D-AEAF-501FE73E4058-1" descr="C:/Users/Administrator/AppData/Local/Temp/绘图1(137).png绘图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60BE8B-6686-4F3D-AEAF-501FE73E4058-1" descr="C:/Users/Administrator/AppData/Local/Temp/绘图1(137).png绘图1(137)"/>
                          <pic:cNvPicPr>
                            <a:picLocks noChangeAspect="1"/>
                          </pic:cNvPicPr>
                        </pic:nvPicPr>
                        <pic:blipFill>
                          <a:blip r:embed="rId9"/>
                          <a:stretch>
                            <a:fillRect/>
                          </a:stretch>
                        </pic:blipFill>
                        <pic:spPr>
                          <a:xfrm>
                            <a:off x="0" y="0"/>
                            <a:ext cx="4613275" cy="2684145"/>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图2-1    探矿工作期水平衡示意图    （m</w:t>
            </w:r>
            <w:r>
              <w:rPr>
                <w:rFonts w:hint="eastAsia"/>
                <w:vertAlign w:val="superscript"/>
                <w:lang w:val="en-US" w:eastAsia="zh-CN"/>
              </w:rPr>
              <w:t>3</w:t>
            </w:r>
            <w:r>
              <w:rPr>
                <w:rFonts w:hint="eastAsia"/>
                <w:lang w:val="en-US" w:eastAsia="zh-CN"/>
              </w:rPr>
              <w:t>/探矿期）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4.3供电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使用</w:t>
            </w:r>
            <w:r>
              <w:rPr>
                <w:rFonts w:hint="eastAsia"/>
                <w:lang w:val="en-US" w:eastAsia="zh-CN"/>
              </w:rPr>
              <w:t>两台柴油</w:t>
            </w:r>
            <w:r>
              <w:rPr>
                <w:rFonts w:hint="eastAsia"/>
                <w:lang w:eastAsia="zh-CN"/>
              </w:rPr>
              <w:t>发电机供电</w:t>
            </w:r>
            <w:r>
              <w:rPr>
                <w:rFonts w:hint="default"/>
                <w:lang w:eastAsia="zh-CN"/>
              </w:rPr>
              <w:t>，柴油用量一共为</w:t>
            </w:r>
            <w:r>
              <w:rPr>
                <w:rFonts w:hint="eastAsia"/>
                <w:lang w:val="en-US" w:eastAsia="zh-CN"/>
              </w:rPr>
              <w:t>2</w:t>
            </w:r>
            <w:r>
              <w:rPr>
                <w:rFonts w:hint="default"/>
                <w:lang w:eastAsia="zh-CN"/>
              </w:rPr>
              <w:t>t/</w:t>
            </w:r>
            <w:r>
              <w:rPr>
                <w:rFonts w:hint="eastAsia"/>
                <w:lang w:val="en-US" w:eastAsia="zh-CN"/>
              </w:rPr>
              <w:t>探矿期</w:t>
            </w:r>
            <w:r>
              <w:rPr>
                <w:rFonts w:hint="eastAsia"/>
                <w:lang w:eastAsia="zh-CN"/>
              </w:rPr>
              <w:t>。</w:t>
            </w:r>
            <w:r>
              <w:rPr>
                <w:rFonts w:hint="eastAsia"/>
                <w:color w:val="auto"/>
                <w:lang w:val="en-US" w:eastAsia="zh-CN"/>
              </w:rPr>
              <w:t>存放于铺有防渗托盘的柴油贮存点。</w:t>
            </w:r>
          </w:p>
          <w:p>
            <w:pPr>
              <w:pStyle w:val="50"/>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本项目劳动定员为6人，建设周期为2026年8月1日-2026年9月5日，其中施工期6天，勘查期30天，采取8小时工作制。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总平面及现场布置</w:t>
            </w:r>
          </w:p>
        </w:tc>
        <w:tc>
          <w:tcPr>
            <w:tcW w:w="7812" w:type="dxa"/>
            <w:noWrap w:val="0"/>
            <w:vAlign w:val="center"/>
          </w:tcPr>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1、生活营地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lang w:val="en-US" w:eastAsia="zh-CN"/>
              </w:rPr>
            </w:pPr>
            <w:r>
              <w:rPr>
                <w:rFonts w:hint="eastAsia"/>
                <w:color w:val="auto"/>
                <w:lang w:val="en-US" w:eastAsia="zh-CN"/>
              </w:rPr>
              <w:t>本项目在矿区内设置一个临时生活营地搭建帐篷，占地面积共100m</w:t>
            </w:r>
            <w:r>
              <w:rPr>
                <w:rFonts w:hint="eastAsia"/>
                <w:color w:val="auto"/>
                <w:vertAlign w:val="superscript"/>
                <w:lang w:val="en-US" w:eastAsia="zh-CN"/>
              </w:rPr>
              <w:t>2</w:t>
            </w:r>
            <w:r>
              <w:rPr>
                <w:rFonts w:hint="eastAsia"/>
                <w:color w:val="auto"/>
                <w:lang w:val="en-US" w:eastAsia="zh-CN"/>
              </w:rPr>
              <w:t>，布置在地势平缓植被稀疏处，探矿工作结束后对临时生活营地进行拆除和恢复。</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2、柴油贮存点</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在生活营地内设置一处10m</w:t>
            </w:r>
            <w:r>
              <w:rPr>
                <w:rFonts w:hint="eastAsia"/>
                <w:color w:val="auto"/>
                <w:vertAlign w:val="superscript"/>
                <w:lang w:val="en-US" w:eastAsia="zh-CN"/>
              </w:rPr>
              <w:t>2</w:t>
            </w:r>
            <w:r>
              <w:rPr>
                <w:rFonts w:hint="eastAsia"/>
                <w:color w:val="auto"/>
                <w:lang w:val="en-US" w:eastAsia="zh-CN"/>
              </w:rPr>
              <w:t>的柴油贮存点，采用防渗柴油桶盛装并置于防渗托盘上，贮存点做好防日晒、防雨淋、防渗漏等措施。</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3、临时堆场</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highlight w:val="none"/>
                <w:lang w:val="en-US" w:eastAsia="zh-CN"/>
              </w:rPr>
              <w:t>临时堆场</w:t>
            </w:r>
            <w:r>
              <w:rPr>
                <w:rFonts w:hint="eastAsia"/>
                <w:color w:val="auto"/>
                <w:highlight w:val="none"/>
                <w:lang w:val="en-US" w:eastAsia="zh-CN"/>
              </w:rPr>
              <w:t>位于</w:t>
            </w:r>
            <w:r>
              <w:rPr>
                <w:rFonts w:hint="default"/>
                <w:color w:val="auto"/>
                <w:highlight w:val="none"/>
                <w:lang w:val="en-US" w:eastAsia="zh-CN"/>
              </w:rPr>
              <w:t>槽探一侧</w:t>
            </w:r>
            <w:r>
              <w:rPr>
                <w:rFonts w:hint="eastAsia"/>
                <w:color w:val="auto"/>
                <w:highlight w:val="none"/>
                <w:lang w:val="en-US" w:eastAsia="zh-CN"/>
              </w:rPr>
              <w:t>，占地面积共300</w:t>
            </w:r>
            <w:r>
              <w:rPr>
                <w:rFonts w:hint="default"/>
                <w:color w:val="auto"/>
                <w:highlight w:val="none"/>
                <w:lang w:val="en-US" w:eastAsia="zh-CN"/>
              </w:rPr>
              <w:t>m</w:t>
            </w:r>
            <w:r>
              <w:rPr>
                <w:rFonts w:hint="default"/>
                <w:color w:val="auto"/>
                <w:highlight w:val="none"/>
                <w:vertAlign w:val="superscript"/>
                <w:lang w:val="en-US" w:eastAsia="zh-CN"/>
              </w:rPr>
              <w:t>2</w:t>
            </w:r>
            <w:r>
              <w:rPr>
                <w:rFonts w:hint="default"/>
                <w:color w:val="auto"/>
                <w:lang w:val="en-US" w:eastAsia="zh-CN"/>
              </w:rPr>
              <w:t>，堆放槽探施工产生的土石方，</w:t>
            </w:r>
            <w:r>
              <w:rPr>
                <w:rFonts w:hint="eastAsia"/>
                <w:color w:val="auto"/>
                <w:lang w:val="en-US" w:eastAsia="zh-CN"/>
              </w:rPr>
              <w:t>采用彩布条</w:t>
            </w:r>
            <w:r>
              <w:rPr>
                <w:rFonts w:hint="default"/>
                <w:color w:val="auto"/>
                <w:lang w:val="en-US" w:eastAsia="zh-CN"/>
              </w:rPr>
              <w:t>苫盖，用于后期恢复</w:t>
            </w:r>
            <w:r>
              <w:rPr>
                <w:rFonts w:hint="eastAsia"/>
                <w:color w:val="auto"/>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4、勘探工程</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总工作量300m</w:t>
            </w:r>
            <w:r>
              <w:rPr>
                <w:rFonts w:hint="eastAsia"/>
                <w:color w:val="auto"/>
                <w:highlight w:val="none"/>
                <w:vertAlign w:val="superscript"/>
                <w:lang w:val="en-US" w:eastAsia="zh-CN"/>
              </w:rPr>
              <w:t>3</w:t>
            </w:r>
            <w:r>
              <w:rPr>
                <w:rFonts w:hint="eastAsia"/>
                <w:color w:val="auto"/>
                <w:highlight w:val="none"/>
                <w:lang w:val="en-US" w:eastAsia="zh-CN"/>
              </w:rPr>
              <w:t>，探槽施工深度一般2-3米，本项目按2米计，故探槽占地150m</w:t>
            </w:r>
            <w:r>
              <w:rPr>
                <w:rFonts w:hint="eastAsia"/>
                <w:color w:val="auto"/>
                <w:highlight w:val="none"/>
                <w:vertAlign w:val="superscript"/>
                <w:lang w:val="en-US" w:eastAsia="zh-CN"/>
              </w:rPr>
              <w:t>2</w:t>
            </w:r>
            <w:r>
              <w:rPr>
                <w:rFonts w:hint="eastAsia"/>
                <w:color w:val="auto"/>
                <w:highlight w:val="none"/>
                <w:lang w:val="en-US" w:eastAsia="zh-CN"/>
              </w:rPr>
              <w:t>。项目共布设35个钻孔，钻孔位于探槽倾斜坡面，不额外新增占地，钻探工程所需材料利用便道随用随卸，不单设固定的施工场地。</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本项目设置1个3m</w:t>
            </w:r>
            <w:r>
              <w:rPr>
                <w:rFonts w:hint="eastAsia"/>
                <w:color w:val="auto"/>
                <w:highlight w:val="none"/>
                <w:vertAlign w:val="superscript"/>
                <w:lang w:val="en-US" w:eastAsia="zh-CN"/>
              </w:rPr>
              <w:t>3</w:t>
            </w:r>
            <w:r>
              <w:rPr>
                <w:rFonts w:hint="eastAsia"/>
                <w:color w:val="auto"/>
                <w:highlight w:val="none"/>
                <w:lang w:val="en-US" w:eastAsia="zh-CN"/>
              </w:rPr>
              <w:t>移动式泥浆沉淀池和1个5m</w:t>
            </w:r>
            <w:r>
              <w:rPr>
                <w:rFonts w:hint="eastAsia"/>
                <w:color w:val="auto"/>
                <w:highlight w:val="none"/>
                <w:vertAlign w:val="superscript"/>
                <w:lang w:val="en-US" w:eastAsia="zh-CN"/>
              </w:rPr>
              <w:t>3</w:t>
            </w:r>
            <w:r>
              <w:rPr>
                <w:rFonts w:hint="eastAsia"/>
                <w:color w:val="auto"/>
                <w:highlight w:val="none"/>
                <w:vertAlign w:val="baseline"/>
                <w:lang w:val="en-US" w:eastAsia="zh-CN"/>
              </w:rPr>
              <w:t>钻井设备</w:t>
            </w:r>
            <w:r>
              <w:rPr>
                <w:rFonts w:hint="eastAsia"/>
                <w:color w:val="auto"/>
                <w:highlight w:val="none"/>
                <w:lang w:val="en-US" w:eastAsia="zh-CN"/>
              </w:rPr>
              <w:t>冲洗水沉淀池。钻探泥浆自孔口连续排出、流动性强，为实现即时收集、防止漫流渗漏，泥浆沉淀池需紧邻钻孔布设；项目共计35个钻孔，则泥浆沉淀池占地面积共为105m</w:t>
            </w:r>
            <w:r>
              <w:rPr>
                <w:rFonts w:hint="eastAsia"/>
                <w:color w:val="auto"/>
                <w:highlight w:val="none"/>
                <w:vertAlign w:val="superscript"/>
                <w:lang w:val="en-US" w:eastAsia="zh-CN"/>
              </w:rPr>
              <w:t>2</w:t>
            </w:r>
            <w:r>
              <w:rPr>
                <w:rFonts w:hint="eastAsia"/>
                <w:color w:val="auto"/>
                <w:highlight w:val="none"/>
                <w:lang w:val="en-US" w:eastAsia="zh-CN"/>
              </w:rPr>
              <w:t>，冲洗水沉淀池占地面积5m</w:t>
            </w:r>
            <w:r>
              <w:rPr>
                <w:rFonts w:hint="eastAsia"/>
                <w:color w:val="auto"/>
                <w:highlight w:val="none"/>
                <w:vertAlign w:val="superscript"/>
                <w:lang w:val="en-US" w:eastAsia="zh-CN"/>
              </w:rPr>
              <w:t>2</w:t>
            </w:r>
            <w:r>
              <w:rPr>
                <w:rFonts w:hint="eastAsia"/>
                <w:color w:val="auto"/>
                <w:highlight w:val="none"/>
                <w:lang w:val="en-US" w:eastAsia="zh-CN"/>
              </w:rPr>
              <w:t>，则沉淀池总占地面积为110m</w:t>
            </w:r>
            <w:r>
              <w:rPr>
                <w:rFonts w:hint="eastAsia"/>
                <w:color w:val="auto"/>
                <w:highlight w:val="none"/>
                <w:vertAlign w:val="superscript"/>
                <w:lang w:val="en-US" w:eastAsia="zh-CN"/>
              </w:rPr>
              <w:t>2</w:t>
            </w:r>
            <w:r>
              <w:rPr>
                <w:rFonts w:hint="eastAsia"/>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本项目占地类型一览表见下表。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5</w:t>
            </w:r>
            <w:r>
              <w:rPr>
                <w:rFonts w:hint="default"/>
                <w:lang w:val="en-US" w:eastAsia="zh-CN"/>
              </w:rPr>
              <w:t xml:space="preserve">    项目占地类型一览表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1470"/>
              <w:gridCol w:w="1162"/>
              <w:gridCol w:w="1785"/>
              <w:gridCol w:w="1313"/>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名称</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占地面积（m</w:t>
                  </w:r>
                  <w:r>
                    <w:rPr>
                      <w:rFonts w:hint="default"/>
                      <w:color w:val="auto"/>
                      <w:highlight w:val="none"/>
                      <w:vertAlign w:val="superscript"/>
                      <w:lang w:val="en-US" w:eastAsia="zh-CN"/>
                    </w:rPr>
                    <w:t>2</w:t>
                  </w:r>
                  <w:r>
                    <w:rPr>
                      <w:rFonts w:hint="default"/>
                      <w:color w:val="auto"/>
                      <w:highlight w:val="none"/>
                      <w:lang w:val="en-US" w:eastAsia="zh-CN"/>
                    </w:rPr>
                    <w:t>）</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占地类型</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占地性质</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23"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探矿权范围</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15048000</w:t>
                  </w:r>
                </w:p>
              </w:tc>
              <w:tc>
                <w:tcPr>
                  <w:tcW w:w="117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低覆盖度草地、中覆盖度草地、裸岩石砾地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54" w:type="pct"/>
                  <w:vMerge w:val="restar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其中</w:t>
                  </w:r>
                </w:p>
              </w:tc>
              <w:tc>
                <w:tcPr>
                  <w:tcW w:w="969"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槽探区</w:t>
                  </w:r>
                </w:p>
              </w:tc>
              <w:tc>
                <w:tcPr>
                  <w:tcW w:w="766"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150</w:t>
                  </w:r>
                </w:p>
              </w:tc>
              <w:tc>
                <w:tcPr>
                  <w:tcW w:w="1176" w:type="pct"/>
                  <w:noWrap w:val="0"/>
                  <w:vAlign w:val="center"/>
                </w:tcPr>
                <w:p>
                  <w:pPr>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钻探施工</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lang w:val="en-US" w:eastAsia="zh-CN"/>
                    </w:rPr>
                    <w:t>钻孔</w:t>
                  </w:r>
                  <w:r>
                    <w:rPr>
                      <w:rFonts w:hint="eastAsia"/>
                      <w:color w:val="auto"/>
                      <w:szCs w:val="21"/>
                      <w:highlight w:val="none"/>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沉淀池</w:t>
                  </w:r>
                </w:p>
              </w:tc>
              <w:tc>
                <w:tcPr>
                  <w:tcW w:w="766"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110</w:t>
                  </w:r>
                </w:p>
              </w:tc>
              <w:tc>
                <w:tcPr>
                  <w:tcW w:w="1176" w:type="pct"/>
                  <w:noWrap w:val="0"/>
                  <w:vAlign w:val="center"/>
                </w:tcPr>
                <w:p>
                  <w:pPr>
                    <w:keepNext w:val="0"/>
                    <w:keepLines w:val="0"/>
                    <w:suppressLineNumbers w:val="0"/>
                    <w:bidi w:val="0"/>
                    <w:spacing w:before="0" w:beforeAutospacing="0" w:after="0" w:afterAutospacing="0"/>
                    <w:ind w:left="0" w:right="0"/>
                    <w:jc w:val="center"/>
                    <w:rPr>
                      <w:rFonts w:hint="eastAsia" w:cs="Times New Roman"/>
                      <w:color w:val="auto"/>
                      <w:kern w:val="0"/>
                      <w:szCs w:val="21"/>
                      <w:highlight w:val="none"/>
                      <w:lang w:val="en-US" w:eastAsia="zh-CN"/>
                    </w:rPr>
                  </w:pPr>
                  <w:r>
                    <w:rPr>
                      <w:rFonts w:hint="eastAsia"/>
                      <w:color w:val="auto"/>
                      <w:highlight w:val="none"/>
                      <w:lang w:val="en-US" w:eastAsia="zh-CN"/>
                    </w:rPr>
                    <w:t>低覆盖度草地、中覆盖度草地</w:t>
                  </w:r>
                </w:p>
              </w:tc>
              <w:tc>
                <w:tcPr>
                  <w:tcW w:w="865" w:type="pct"/>
                  <w:noWrap w:val="0"/>
                  <w:vAlign w:val="center"/>
                </w:tcPr>
                <w:p>
                  <w:pPr>
                    <w:keepNext w:val="0"/>
                    <w:keepLines w:val="0"/>
                    <w:suppressLineNumbers w:val="0"/>
                    <w:bidi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临时占地</w:t>
                  </w:r>
                </w:p>
              </w:tc>
              <w:tc>
                <w:tcPr>
                  <w:tcW w:w="967"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5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临时堆场</w:t>
                  </w:r>
                </w:p>
              </w:tc>
              <w:tc>
                <w:tcPr>
                  <w:tcW w:w="76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低覆盖度草地、中覆盖度草地</w:t>
                  </w:r>
                </w:p>
              </w:tc>
              <w:tc>
                <w:tcPr>
                  <w:tcW w:w="865"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临时占地</w:t>
                  </w:r>
                </w:p>
              </w:tc>
              <w:tc>
                <w:tcPr>
                  <w:tcW w:w="9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位于探槽</w:t>
                  </w:r>
                  <w:r>
                    <w:rPr>
                      <w:rFonts w:hint="eastAsia"/>
                      <w:color w:val="auto"/>
                      <w:highlight w:val="none"/>
                      <w:lang w:val="en-US" w:eastAsia="zh-CN"/>
                    </w:rPr>
                    <w:t>一</w:t>
                  </w:r>
                  <w:r>
                    <w:rPr>
                      <w:rFonts w:hint="default"/>
                      <w:color w:val="auto"/>
                      <w:highlight w:val="none"/>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4" w:type="pct"/>
                  <w:vMerge w:val="continue"/>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p>
              </w:tc>
              <w:tc>
                <w:tcPr>
                  <w:tcW w:w="969"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eastAsia" w:ascii="Times New Roman" w:hAnsi="Times New Roman" w:cs="Times New Roman"/>
                      <w:color w:val="auto"/>
                      <w:kern w:val="0"/>
                      <w:szCs w:val="21"/>
                      <w:highlight w:val="none"/>
                      <w:lang w:eastAsia="zh-CN"/>
                    </w:rPr>
                  </w:pPr>
                  <w:r>
                    <w:rPr>
                      <w:rFonts w:hint="eastAsia" w:ascii="Times New Roman" w:hAnsi="Times New Roman" w:cs="Times New Roman"/>
                      <w:color w:val="auto"/>
                      <w:kern w:val="0"/>
                      <w:szCs w:val="21"/>
                      <w:highlight w:val="none"/>
                      <w:lang w:eastAsia="zh-CN"/>
                    </w:rPr>
                    <w:t>生活营地</w:t>
                  </w:r>
                </w:p>
              </w:tc>
              <w:tc>
                <w:tcPr>
                  <w:tcW w:w="766"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100</w:t>
                  </w:r>
                </w:p>
              </w:tc>
              <w:tc>
                <w:tcPr>
                  <w:tcW w:w="1176"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裸岩石砾地</w:t>
                  </w:r>
                </w:p>
              </w:tc>
              <w:tc>
                <w:tcPr>
                  <w:tcW w:w="865"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临时占地</w:t>
                  </w:r>
                </w:p>
              </w:tc>
              <w:tc>
                <w:tcPr>
                  <w:tcW w:w="967"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r>
          </w:tbl>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施工方案</w:t>
            </w:r>
          </w:p>
        </w:tc>
        <w:tc>
          <w:tcPr>
            <w:tcW w:w="7812" w:type="dxa"/>
            <w:noWrap w:val="0"/>
            <w:vAlign w:val="center"/>
          </w:tcPr>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50"/>
              <w:keepNext w:val="0"/>
              <w:keepLines w:val="0"/>
              <w:suppressLineNumbers w:val="0"/>
              <w:bidi w:val="0"/>
              <w:spacing w:before="0" w:beforeAutospacing="0" w:after="0" w:afterAutospacing="0"/>
              <w:ind w:left="0" w:right="0"/>
              <w:rPr>
                <w:rFonts w:hint="default"/>
                <w:highlight w:val="green"/>
                <w:lang w:val="en-US" w:eastAsia="zh-CN"/>
              </w:rPr>
            </w:pPr>
            <w:r>
              <w:rPr>
                <w:rFonts w:hint="eastAsia"/>
                <w:color w:val="auto"/>
                <w:lang w:val="en-US" w:eastAsia="zh-CN"/>
              </w:rPr>
              <w:t>1.1</w:t>
            </w:r>
            <w:r>
              <w:rPr>
                <w:rFonts w:hint="eastAsia"/>
                <w:color w:val="auto"/>
                <w:highlight w:val="none"/>
                <w:lang w:val="en-US" w:eastAsia="zh-CN"/>
              </w:rPr>
              <w:t>地质勘查工作</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default"/>
                <w:highlight w:val="none"/>
                <w:lang w:val="en-US" w:eastAsia="zh-CN"/>
              </w:rPr>
            </w:pPr>
            <w:r>
              <w:rPr>
                <w:rFonts w:hint="eastAsia"/>
                <w:highlight w:val="none"/>
                <w:lang w:val="en-US" w:eastAsia="zh-CN"/>
              </w:rPr>
              <w:t>（1）1︰10000地质草测</w:t>
            </w:r>
          </w:p>
          <w:p>
            <w:pPr>
              <w:pStyle w:val="4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highlight w:val="none"/>
                <w:lang w:val="en-US" w:eastAsia="zh-CN"/>
              </w:rPr>
            </w:pPr>
            <w:r>
              <w:rPr>
                <w:rFonts w:hint="default"/>
                <w:highlight w:val="none"/>
                <w:lang w:val="en-US" w:eastAsia="zh-CN"/>
              </w:rPr>
              <w:t>针对整个</w:t>
            </w:r>
            <w:r>
              <w:rPr>
                <w:rFonts w:hint="eastAsia"/>
                <w:highlight w:val="none"/>
                <w:lang w:val="en-US" w:eastAsia="zh-CN"/>
              </w:rPr>
              <w:t>调查范围内开展1︰10000地质草测，测量面积为15.048km</w:t>
            </w:r>
            <w:r>
              <w:rPr>
                <w:rFonts w:hint="eastAsia"/>
                <w:highlight w:val="none"/>
                <w:vertAlign w:val="superscript"/>
                <w:lang w:val="en-US" w:eastAsia="zh-CN"/>
              </w:rPr>
              <w:t>2</w:t>
            </w:r>
            <w:r>
              <w:rPr>
                <w:rFonts w:hint="eastAsia"/>
                <w:highlight w:val="none"/>
                <w:lang w:val="en-US" w:eastAsia="zh-CN"/>
              </w:rPr>
              <w:t>。</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highlight w:val="none"/>
                <w:lang w:val="en-US" w:eastAsia="zh-CN"/>
              </w:rPr>
              <w:t>（2）</w:t>
            </w:r>
            <w:r>
              <w:rPr>
                <w:rFonts w:hint="eastAsia"/>
                <w:lang w:val="en-US" w:eastAsia="zh-CN"/>
              </w:rPr>
              <w:t>1:1万水工环地质调查</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以1∶10000比例尺为精度标准，采用综合地质测绘、地表调查、剖面测量、取样测试、简易水文观测等手段，系统查明工作区水文地质条件、工程地质条件、环境地质问题及其相互作用关系，编制相应图件与报告，为场地选址、工程设计、矿产开采、地下水开发利用及地质环境管控提供高精度基础地质依据。</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lang w:val="en-US" w:eastAsia="zh-CN"/>
              </w:rPr>
            </w:pPr>
            <w:r>
              <w:rPr>
                <w:rFonts w:hint="eastAsia"/>
                <w:lang w:val="en-US" w:eastAsia="zh-CN"/>
              </w:rPr>
              <w:t>（3）1:2000地化剖面测量</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精确获取地质信息，详细记录岩石矿物成分、地层产状及构造细节，为构建精准地质模型提供支撑。作用主要体现在矿化特征研究上，可细致剖析矿化与地质体关联，精准识别矿化蚀变带与矿脉，总结矿化规律。在勘探工程指导方面，能精准规划探槽等工程位置与方向，提升勘探效率，降低成本。</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default"/>
                <w:lang w:val="en-US" w:eastAsia="zh-CN"/>
              </w:rPr>
            </w:pPr>
            <w:r>
              <w:rPr>
                <w:rFonts w:hint="eastAsia"/>
                <w:lang w:val="en-US" w:eastAsia="zh-CN"/>
              </w:rPr>
              <w:t>（4）1:25000化探测量</w:t>
            </w:r>
          </w:p>
          <w:p>
            <w:pPr>
              <w:pStyle w:val="48"/>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default"/>
                <w:lang w:val="en-US" w:eastAsia="zh-CN"/>
              </w:rPr>
            </w:pPr>
            <w:r>
              <w:rPr>
                <w:rFonts w:hint="eastAsia"/>
                <w:highlight w:val="none"/>
                <w:lang w:val="en-US" w:eastAsia="zh-CN"/>
              </w:rPr>
              <w:t>在探矿权工作范围内部署</w:t>
            </w:r>
            <w:r>
              <w:rPr>
                <w:rFonts w:hint="eastAsia"/>
                <w:lang w:val="en-US" w:eastAsia="zh-CN"/>
              </w:rPr>
              <w:t>1:25000化探测量，为了大致了解成矿及伴生元素含量及地球化学分布特征，圈定地球化学异常，优选找矿靶区。</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5</w:t>
            </w:r>
            <w:r>
              <w:rPr>
                <w:rFonts w:hint="default"/>
                <w:color w:val="auto"/>
                <w:lang w:val="en-US" w:eastAsia="zh-CN"/>
              </w:rPr>
              <w:t>）槽探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本次设计槽探工作量</w:t>
            </w:r>
            <w:r>
              <w:rPr>
                <w:rFonts w:hint="eastAsia"/>
                <w:color w:val="auto"/>
                <w:lang w:val="en-US" w:eastAsia="zh-CN"/>
              </w:rPr>
              <w:t>300</w:t>
            </w:r>
            <w:r>
              <w:rPr>
                <w:rFonts w:hint="default"/>
                <w:color w:val="auto"/>
                <w:lang w:val="en-US" w:eastAsia="zh-CN"/>
              </w:rPr>
              <w:t>立方米。用于揭露地表矿体、构造、重要地质界线，为深部钻探工程提供地质依据。</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7</w:t>
            </w:r>
            <w:r>
              <w:rPr>
                <w:rFonts w:hint="default"/>
                <w:color w:val="auto"/>
                <w:lang w:val="en-US" w:eastAsia="zh-CN"/>
              </w:rPr>
              <w:t>）钻探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本次设计钻探</w:t>
            </w:r>
            <w:r>
              <w:rPr>
                <w:rFonts w:hint="eastAsia"/>
                <w:color w:val="auto"/>
                <w:lang w:val="en-US" w:eastAsia="zh-CN"/>
              </w:rPr>
              <w:t>2000</w:t>
            </w:r>
            <w:r>
              <w:rPr>
                <w:rFonts w:hint="default"/>
                <w:color w:val="auto"/>
                <w:lang w:val="en-US" w:eastAsia="zh-CN"/>
              </w:rPr>
              <w:t>米，用于深部矿（化）体的控制，在充分了解矿化体（层）赋存状态、断裂、矿带分布及特征的基础上，确定钻孔位置，编写钻孔设计书。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DZ/T0054的相关规定；在有磁性干扰的地层（含矿体）中，采用不受干扰的测斜仪测斜，各种测斜仪器在使用前应经过检查和校正。</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1.2</w:t>
            </w:r>
            <w:r>
              <w:rPr>
                <w:rFonts w:hint="default"/>
                <w:color w:val="auto"/>
                <w:lang w:val="en-US" w:eastAsia="zh-CN"/>
              </w:rPr>
              <w:t>样品采集</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本次工作设计采取基本分析样、基岩光谱分析样等，样品合计</w:t>
            </w:r>
            <w:r>
              <w:rPr>
                <w:rFonts w:hint="eastAsia"/>
                <w:color w:val="auto"/>
                <w:lang w:val="en-US" w:eastAsia="zh-CN"/>
              </w:rPr>
              <w:t>700</w:t>
            </w:r>
            <w:r>
              <w:rPr>
                <w:rFonts w:hint="default"/>
                <w:color w:val="auto"/>
                <w:lang w:val="en-US" w:eastAsia="zh-CN"/>
              </w:rPr>
              <w:t>件。设计样品数可根据野外实际情况，以达到地质目的为原则，可</w:t>
            </w:r>
            <w:r>
              <w:rPr>
                <w:rFonts w:hint="eastAsia"/>
                <w:color w:val="auto"/>
                <w:lang w:val="en-US" w:eastAsia="zh-CN"/>
              </w:rPr>
              <w:t>做</w:t>
            </w:r>
            <w:r>
              <w:rPr>
                <w:rFonts w:hint="default"/>
                <w:color w:val="auto"/>
                <w:lang w:val="en-US" w:eastAsia="zh-CN"/>
              </w:rPr>
              <w:t>适当增减或调整。</w:t>
            </w:r>
            <w:r>
              <w:rPr>
                <w:rFonts w:hint="eastAsia"/>
                <w:color w:val="auto"/>
                <w:lang w:val="en-US" w:eastAsia="zh-CN"/>
              </w:rPr>
              <w:t>本次探矿只包含取样工作，现场不设实验室，样品测试工作交由实验室承担。</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2.施工期流程简述</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本项目为新建项目，施工期主要污染来自临时生活营地建设时产生的施工废气、施工扬尘、施工噪声、开挖土石方等，施工期工艺流程图及产污环节见下图。</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mc:AlternateContent>
                <mc:Choice Requires="wps">
                  <w:drawing>
                    <wp:anchor distT="0" distB="0" distL="114300" distR="114300" simplePos="0" relativeHeight="251663360" behindDoc="0" locked="0" layoutInCell="1" allowOverlap="1">
                      <wp:simplePos x="0" y="0"/>
                      <wp:positionH relativeFrom="column">
                        <wp:posOffset>2609215</wp:posOffset>
                      </wp:positionH>
                      <wp:positionV relativeFrom="paragraph">
                        <wp:posOffset>690245</wp:posOffset>
                      </wp:positionV>
                      <wp:extent cx="796925" cy="252095"/>
                      <wp:effectExtent l="0" t="0" r="3175" b="14605"/>
                      <wp:wrapNone/>
                      <wp:docPr id="17" name="文本框 17"/>
                      <wp:cNvGraphicFramePr/>
                      <a:graphic xmlns:a="http://schemas.openxmlformats.org/drawingml/2006/main">
                        <a:graphicData uri="http://schemas.microsoft.com/office/word/2010/wordprocessingShape">
                          <wps:wsp>
                            <wps:cNvSpPr txBox="1"/>
                            <wps:spPr>
                              <a:xfrm>
                                <a:off x="4187190" y="1986915"/>
                                <a:ext cx="79692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45pt;margin-top:54.35pt;height:19.85pt;width:62.75pt;z-index:251663360;mso-width-relative:page;mso-height-relative:page;" fillcolor="#FFFFFF [3212]" filled="t" stroked="f" coordsize="21600,21600" o:gfxdata="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3Dp&#10;n9YAAAALAQAADwAAAAAAAAABACAAAAAiAAAAZHJzL2Rvd25yZXYueG1sUEsBAhQAFAAAAAgAh07i&#10;QHqzeTldAgAAnAQAAA4AAAAAAAAAAQAgAAAAJQEAAGRycy9lMm9Eb2MueG1sUEsFBgAAAAAGAAYA&#10;WQEAAPQFA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lang w:val="en-US" w:eastAsia="zh-CN"/>
              </w:rPr>
              <w:drawing>
                <wp:anchor distT="0" distB="0" distL="114300" distR="114300" simplePos="0" relativeHeight="251662336" behindDoc="0" locked="0" layoutInCell="1" allowOverlap="1">
                  <wp:simplePos x="0" y="0"/>
                  <wp:positionH relativeFrom="column">
                    <wp:posOffset>109855</wp:posOffset>
                  </wp:positionH>
                  <wp:positionV relativeFrom="paragraph">
                    <wp:posOffset>42545</wp:posOffset>
                  </wp:positionV>
                  <wp:extent cx="4674235" cy="989330"/>
                  <wp:effectExtent l="0" t="0" r="12065" b="1270"/>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0"/>
                          <a:stretch>
                            <a:fillRect/>
                          </a:stretch>
                        </pic:blipFill>
                        <pic:spPr>
                          <a:xfrm>
                            <a:off x="0" y="0"/>
                            <a:ext cx="4674235" cy="989330"/>
                          </a:xfrm>
                          <a:prstGeom prst="rect">
                            <a:avLst/>
                          </a:prstGeom>
                          <a:noFill/>
                          <a:ln>
                            <a:noFill/>
                          </a:ln>
                        </pic:spPr>
                      </pic:pic>
                    </a:graphicData>
                  </a:graphic>
                </wp:anchor>
              </w:drawing>
            </w:r>
            <w:r>
              <w:rPr>
                <w:rFonts w:hint="default"/>
                <w:lang w:val="en-US" w:eastAsia="zh-CN"/>
              </w:rPr>
              <w:t>图2-2    生活营地建设工艺及产污环节图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3.勘探期流程简述</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勘探期</w:t>
            </w:r>
            <w:r>
              <w:rPr>
                <w:rFonts w:hint="eastAsia"/>
              </w:rPr>
              <w:t>主要包括槽探和钻探，工程实施过程中主要污染来自槽探和钻探过程中扬尘、机械噪声、工程弃渣及工作人员生活过程中产生的生活污水和生活垃圾。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3.1槽探</w:t>
            </w:r>
          </w:p>
          <w:p>
            <w:pPr>
              <w:pStyle w:val="56"/>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1"/>
                          <a:stretch>
                            <a:fillRect/>
                          </a:stretch>
                        </pic:blipFill>
                        <pic:spPr>
                          <a:xfrm>
                            <a:off x="0" y="0"/>
                            <a:ext cx="4231640" cy="1612265"/>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使用防风彩布条苫盖。施工结束后表土及</w:t>
            </w:r>
            <w:r>
              <w:rPr>
                <w:rFonts w:hint="default"/>
                <w:lang w:val="en-US" w:eastAsia="zh-CN"/>
              </w:rPr>
              <w:t>开挖废石全部回填探槽。</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3.2钻探</w:t>
            </w:r>
          </w:p>
          <w:p>
            <w:pPr>
              <w:pStyle w:val="56"/>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lang w:eastAsia="zh-CN"/>
              </w:rPr>
            </w:pPr>
            <w:r>
              <w:rPr>
                <w:rFonts w:hint="default"/>
                <w:sz w:val="21"/>
              </w:rPr>
              <mc:AlternateContent>
                <mc:Choice Requires="wps">
                  <w:drawing>
                    <wp:anchor distT="0" distB="0" distL="114300" distR="114300" simplePos="0" relativeHeight="251661312" behindDoc="0" locked="0" layoutInCell="1" allowOverlap="1">
                      <wp:simplePos x="0" y="0"/>
                      <wp:positionH relativeFrom="column">
                        <wp:posOffset>1515110</wp:posOffset>
                      </wp:positionH>
                      <wp:positionV relativeFrom="paragraph">
                        <wp:posOffset>516255</wp:posOffset>
                      </wp:positionV>
                      <wp:extent cx="871855" cy="362585"/>
                      <wp:effectExtent l="0" t="0" r="0" b="0"/>
                      <wp:wrapNone/>
                      <wp:docPr id="3" name="文本框 3"/>
                      <wp:cNvGraphicFramePr/>
                      <a:graphic xmlns:a="http://schemas.openxmlformats.org/drawingml/2006/main">
                        <a:graphicData uri="http://schemas.microsoft.com/office/word/2010/wordprocessingShape">
                          <wps:wsp>
                            <wps:cNvSpPr txBox="1"/>
                            <wps:spPr>
                              <a:xfrm>
                                <a:off x="3178810" y="3946525"/>
                                <a:ext cx="871855" cy="362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3pt;margin-top:40.65pt;height:28.55pt;width:68.65pt;z-index:251661312;mso-width-relative:page;mso-height-relative:page;" filled="f" stroked="f" coordsize="21600,21600" o:gfxdata="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AKgJ82wAAAAoBAAAPAAAAAAAA&#10;AAEAIAAAACIAAABkcnMvZG93bnJldi54bWxQSwECFAAUAAAACACHTuJAc8ELpUgCAABxBAAADgAA&#10;AAAAAAABACAAAAAq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v:textbox>
                    </v:shape>
                  </w:pict>
                </mc:Fallback>
              </mc:AlternateContent>
            </w:r>
            <w:r>
              <w:rPr>
                <w:rFonts w:hint="default" w:ascii="Times New Roman" w:hAnsi="Times New Roman" w:eastAsia="宋体" w:cs="Times New Roman"/>
                <w:b/>
                <w:color w:val="auto"/>
                <w:kern w:val="0"/>
                <w:szCs w:val="21"/>
                <w:lang w:eastAsia="zh-CN"/>
              </w:rPr>
              <w:drawing>
                <wp:inline distT="0" distB="0" distL="114300" distR="114300">
                  <wp:extent cx="4208780" cy="1427480"/>
                  <wp:effectExtent l="0" t="0" r="1270" b="12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2"/>
                          <a:srcRect b="2127"/>
                          <a:stretch>
                            <a:fillRect/>
                          </a:stretch>
                        </pic:blipFill>
                        <pic:spPr>
                          <a:xfrm>
                            <a:off x="0" y="0"/>
                            <a:ext cx="4208780" cy="1427480"/>
                          </a:xfrm>
                          <a:prstGeom prst="rect">
                            <a:avLst/>
                          </a:prstGeom>
                          <a:noFill/>
                          <a:ln>
                            <a:noFill/>
                          </a:ln>
                        </pic:spPr>
                      </pic:pic>
                    </a:graphicData>
                  </a:graphic>
                </wp:inline>
              </w:drawing>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keepNext w:val="0"/>
              <w:keepLines w:val="0"/>
              <w:suppressLineNumbers w:val="0"/>
              <w:shd w:val="clear" w:color="auto" w:fill="auto"/>
              <w:bidi w:val="0"/>
              <w:spacing w:before="0" w:beforeAutospacing="0" w:after="0" w:afterAutospacing="0"/>
              <w:ind w:left="0" w:right="0"/>
              <w:rPr>
                <w:rFonts w:hint="default" w:ascii="Times New Roman" w:hAnsi="Times New Roman" w:eastAsia="宋体" w:cs="宋体"/>
                <w:shd w:val="clear" w:color="auto" w:fill="auto"/>
                <w:lang w:val="en-US" w:eastAsia="zh-CN"/>
              </w:rPr>
            </w:pPr>
            <w:r>
              <w:rPr>
                <w:rFonts w:hint="eastAsia" w:ascii="Times New Roman" w:hAnsi="Times New Roman" w:eastAsia="宋体" w:cs="宋体"/>
                <w:shd w:val="clear" w:color="auto" w:fill="auto"/>
                <w:lang w:val="en-US" w:eastAsia="zh-CN"/>
              </w:rPr>
              <w:t>钻探施工时先进行钻孔定位、放线，然后开展施工平台场地平整，接着依次进行井架安装、钻孔施工，之后进行岩心取样、化验分析，最后实施钻孔封堵、表土回填恢复。本项目</w:t>
            </w:r>
            <w:r>
              <w:rPr>
                <w:rFonts w:hint="default" w:ascii="Times New Roman" w:hAnsi="Times New Roman" w:eastAsia="宋体" w:cs="宋体"/>
                <w:shd w:val="clear" w:color="auto" w:fill="auto"/>
                <w:lang w:val="en-US" w:eastAsia="zh-CN"/>
              </w:rPr>
              <w:t>根据矿区矿</w:t>
            </w:r>
            <w:r>
              <w:rPr>
                <w:rFonts w:hint="eastAsia" w:ascii="Times New Roman" w:hAnsi="Times New Roman" w:eastAsia="宋体" w:cs="宋体"/>
                <w:shd w:val="clear" w:color="auto" w:fill="auto"/>
                <w:lang w:val="en-US" w:eastAsia="zh-CN"/>
              </w:rPr>
              <w:t>体</w:t>
            </w:r>
            <w:r>
              <w:rPr>
                <w:rFonts w:hint="default" w:ascii="Times New Roman" w:hAnsi="Times New Roman" w:eastAsia="宋体" w:cs="宋体"/>
                <w:shd w:val="clear" w:color="auto" w:fill="auto"/>
                <w:lang w:val="en-US" w:eastAsia="zh-CN"/>
              </w:rPr>
              <w:t>实际情况，采用机械岩心</w:t>
            </w:r>
            <w:r>
              <w:rPr>
                <w:rFonts w:hint="eastAsia" w:cs="宋体"/>
                <w:shd w:val="clear" w:color="auto" w:fill="auto"/>
                <w:lang w:val="en-US" w:eastAsia="zh-CN"/>
              </w:rPr>
              <w:t>金刚石钻头</w:t>
            </w:r>
            <w:r>
              <w:rPr>
                <w:rFonts w:hint="default" w:ascii="Times New Roman" w:hAnsi="Times New Roman" w:eastAsia="宋体" w:cs="宋体"/>
                <w:shd w:val="clear" w:color="auto" w:fill="auto"/>
                <w:lang w:val="en-US" w:eastAsia="zh-CN"/>
              </w:rPr>
              <w:t>，终孔孔径不小于75毫米，孔口下套管护壁。钻孔布设时，应坚持</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一基多孔</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一孔多用</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的原则，尽量减少钻孔机场的开挖导致的对自然地貌、自然景观的破坏。</w:t>
            </w:r>
          </w:p>
          <w:p>
            <w:pPr>
              <w:pStyle w:val="48"/>
              <w:keepNext w:val="0"/>
              <w:keepLines w:val="0"/>
              <w:suppressLineNumbers w:val="0"/>
              <w:shd w:val="clear" w:color="auto" w:fill="auto"/>
              <w:bidi w:val="0"/>
              <w:spacing w:before="0" w:beforeAutospacing="0" w:after="0" w:afterAutospacing="0"/>
              <w:ind w:left="0" w:right="0"/>
              <w:rPr>
                <w:rFonts w:hint="eastAsia" w:ascii="Times New Roman" w:hAnsi="Times New Roman" w:eastAsia="宋体" w:cs="宋体"/>
                <w:shd w:val="clear" w:color="auto" w:fill="auto"/>
                <w:lang w:val="en-US" w:eastAsia="zh-CN"/>
              </w:rPr>
            </w:pPr>
            <w:r>
              <w:rPr>
                <w:rFonts w:hint="default" w:ascii="Times New Roman" w:hAnsi="Times New Roman" w:eastAsia="宋体" w:cs="宋体"/>
                <w:shd w:val="clear" w:color="auto" w:fill="auto"/>
                <w:lang w:val="en-US" w:eastAsia="zh-CN"/>
              </w:rPr>
              <w:t>钻探施工</w:t>
            </w:r>
            <w:r>
              <w:rPr>
                <w:rFonts w:hint="eastAsia" w:cs="宋体"/>
                <w:shd w:val="clear" w:color="auto" w:fill="auto"/>
                <w:lang w:val="en-US" w:eastAsia="zh-CN"/>
              </w:rPr>
              <w:t>时</w:t>
            </w:r>
            <w:r>
              <w:rPr>
                <w:rFonts w:hint="default" w:ascii="Times New Roman" w:hAnsi="Times New Roman" w:eastAsia="宋体" w:cs="宋体"/>
                <w:shd w:val="clear" w:color="auto" w:fill="auto"/>
                <w:lang w:val="en-US" w:eastAsia="zh-CN"/>
              </w:rPr>
              <w:t>布设</w:t>
            </w:r>
            <w:r>
              <w:rPr>
                <w:rFonts w:hint="eastAsia" w:cs="宋体"/>
                <w:shd w:val="clear" w:color="auto" w:fill="auto"/>
                <w:lang w:val="en-US" w:eastAsia="zh-CN"/>
              </w:rPr>
              <w:t>移动式泥浆</w:t>
            </w:r>
            <w:r>
              <w:rPr>
                <w:rFonts w:hint="default" w:ascii="Times New Roman" w:hAnsi="Times New Roman" w:eastAsia="宋体" w:cs="宋体"/>
                <w:shd w:val="clear" w:color="auto" w:fill="auto"/>
                <w:lang w:val="en-US" w:eastAsia="zh-CN"/>
              </w:rPr>
              <w:t>沉淀池，收集处置钻井泥浆废水，废水经沉淀处理后循环回用；勘探完工后，池内剩余泥浆固化</w:t>
            </w:r>
            <w:r>
              <w:rPr>
                <w:rFonts w:hint="eastAsia" w:cs="宋体"/>
                <w:shd w:val="clear" w:color="auto" w:fill="auto"/>
                <w:lang w:val="en-US" w:eastAsia="zh-CN"/>
              </w:rPr>
              <w:t>后拉运至一般固废处置单位统一处理</w:t>
            </w:r>
            <w:r>
              <w:rPr>
                <w:rFonts w:hint="default" w:ascii="Times New Roman" w:hAnsi="Times New Roman" w:eastAsia="宋体" w:cs="宋体"/>
                <w:shd w:val="clear" w:color="auto" w:fill="auto"/>
                <w:lang w:val="en-US" w:eastAsia="zh-CN"/>
              </w:rPr>
              <w:t>。钻探作业涉及表土剥离及钻孔施工，</w:t>
            </w:r>
            <w:r>
              <w:rPr>
                <w:rFonts w:hint="eastAsia" w:ascii="Times New Roman" w:hAnsi="Times New Roman" w:eastAsia="宋体" w:cs="宋体"/>
                <w:shd w:val="clear" w:color="auto" w:fill="auto"/>
                <w:lang w:val="en-US" w:eastAsia="zh-CN"/>
              </w:rPr>
              <w:t>会产生泥浆等固废。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本项目具体工作计划与进度安排见下表</w:t>
            </w:r>
            <w:r>
              <w:rPr>
                <w:rFonts w:hint="eastAsia"/>
                <w:color w:val="auto"/>
                <w:shd w:val="clear" w:color="auto" w:fill="auto"/>
                <w:lang w:val="en-US" w:eastAsia="zh-CN"/>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表2-6    工作计划与时间安排表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1905"/>
              <w:gridCol w:w="4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 w:hRule="atLeast"/>
                <w:jc w:val="center"/>
              </w:trPr>
              <w:tc>
                <w:tcPr>
                  <w:tcW w:w="768"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工作年度</w:t>
                  </w:r>
                </w:p>
              </w:tc>
              <w:tc>
                <w:tcPr>
                  <w:tcW w:w="1256"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时间安排</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default"/>
                      <w:color w:val="auto"/>
                      <w:highlight w:val="none"/>
                    </w:rPr>
                  </w:pPr>
                  <w:r>
                    <w:rPr>
                      <w:rFonts w:hint="eastAsia"/>
                    </w:rPr>
                    <w:t>准备阶段</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2026年8</w:t>
                  </w:r>
                  <w:r>
                    <w:rPr>
                      <w:rFonts w:hint="default"/>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lang w:val="en-US" w:eastAsia="zh-CN"/>
                    </w:rPr>
                    <w:t>勘探阶段</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2026年8</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lang w:val="en-US" w:eastAsia="zh-CN"/>
                    </w:rPr>
                    <w:t>开展地形测量，地质测量，环境地质测量，钻探，采样测试等探矿工程。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68" w:type="pct"/>
                  <w:noWrap w:val="0"/>
                  <w:vAlign w:val="center"/>
                </w:tcPr>
                <w:p>
                  <w:pPr>
                    <w:pStyle w:val="54"/>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rPr>
                    <w:t>室内资料综合整理报告编写</w:t>
                  </w:r>
                </w:p>
              </w:tc>
              <w:tc>
                <w:tcPr>
                  <w:tcW w:w="1256" w:type="pct"/>
                  <w:noWrap w:val="0"/>
                  <w:vAlign w:val="center"/>
                </w:tcPr>
                <w:p>
                  <w:pPr>
                    <w:pStyle w:val="58"/>
                    <w:keepNext w:val="0"/>
                    <w:keepLines w:val="0"/>
                    <w:suppressLineNumbers w:val="0"/>
                    <w:bidi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2026年9</w:t>
                  </w:r>
                  <w:r>
                    <w:rPr>
                      <w:rFonts w:hint="eastAsia"/>
                      <w:color w:val="auto"/>
                      <w:highlight w:val="none"/>
                    </w:rPr>
                    <w:t>月</w:t>
                  </w:r>
                </w:p>
              </w:tc>
              <w:tc>
                <w:tcPr>
                  <w:tcW w:w="2975" w:type="pct"/>
                  <w:noWrap w:val="0"/>
                  <w:vAlign w:val="center"/>
                </w:tcPr>
                <w:p>
                  <w:pPr>
                    <w:pStyle w:val="58"/>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对野外所获的全部地质资料、测试成果及以往所获地质资料进行系统整理和综合研究，编制各类地质图件，编写报告。</w:t>
                  </w:r>
                </w:p>
              </w:tc>
            </w:tr>
          </w:tbl>
          <w:p>
            <w:pPr>
              <w:pStyle w:val="48"/>
              <w:keepNext w:val="0"/>
              <w:keepLines w:val="0"/>
              <w:suppressLineNumbers w:val="0"/>
              <w:shd w:val="clear" w:color="auto" w:fill="auto"/>
              <w:bidi w:val="0"/>
              <w:spacing w:before="0" w:beforeAutospacing="0" w:after="0" w:afterAutospacing="0"/>
              <w:ind w:left="0" w:right="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施工设备准备齐全，包含挖掘机、运输车辆等。④物资准备齐全，包含生活用品和安全生产用品等。⑤施工现场布置清晰、道路和设备、人员等进行合理管理。⑥明确施工环境保护措施。</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5.土石方平衡分析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本项目主要的土石方工程为槽探、钻探期间开挖的土壤与风化岩石剥离、回填产生的土石方。</w:t>
            </w:r>
          </w:p>
          <w:p>
            <w:pPr>
              <w:pStyle w:val="48"/>
              <w:keepNext w:val="0"/>
              <w:keepLines w:val="0"/>
              <w:suppressLineNumbers w:val="0"/>
              <w:tabs>
                <w:tab w:val="left" w:pos="3780"/>
              </w:tabs>
              <w:bidi w:val="0"/>
              <w:spacing w:before="0" w:beforeAutospacing="0" w:after="0" w:afterAutospacing="0"/>
              <w:ind w:left="0" w:right="0"/>
              <w:jc w:val="both"/>
              <w:rPr>
                <w:rFonts w:hint="eastAsia"/>
                <w:highlight w:val="none"/>
                <w:lang w:val="en-US" w:eastAsia="zh-CN"/>
              </w:rPr>
            </w:pPr>
            <w:r>
              <w:rPr>
                <w:rFonts w:hint="eastAsia"/>
                <w:highlight w:val="none"/>
                <w:lang w:val="en-US" w:eastAsia="zh-CN"/>
              </w:rPr>
              <w:t>本项目槽探总工作量300m</w:t>
            </w:r>
            <w:r>
              <w:rPr>
                <w:rFonts w:hint="eastAsia"/>
                <w:highlight w:val="none"/>
                <w:vertAlign w:val="superscript"/>
                <w:lang w:val="en-US" w:eastAsia="zh-CN"/>
              </w:rPr>
              <w:t>3</w:t>
            </w:r>
            <w:r>
              <w:rPr>
                <w:rFonts w:hint="eastAsia"/>
                <w:highlight w:val="none"/>
                <w:lang w:val="en-US" w:eastAsia="zh-CN"/>
              </w:rPr>
              <w:t>，钻探总工作量为2000m，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55mm岩心管），根据公式V=</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r>
              <w:rPr>
                <w:rFonts w:hint="eastAsia"/>
                <w:lang w:val="en-US" w:eastAsia="zh-CN"/>
              </w:rPr>
              <w:t>计算，钻孔产生的土石方量约为8.83m</w:t>
            </w:r>
            <w:r>
              <w:rPr>
                <w:rFonts w:hint="eastAsia"/>
                <w:vertAlign w:val="superscript"/>
                <w:lang w:val="en-US" w:eastAsia="zh-CN"/>
              </w:rPr>
              <w:t>3</w:t>
            </w:r>
            <w:r>
              <w:rPr>
                <w:rFonts w:hint="eastAsia"/>
                <w:vertAlign w:val="baseline"/>
                <w:lang w:val="en-US" w:eastAsia="zh-CN"/>
              </w:rPr>
              <w:t>，</w:t>
            </w:r>
            <w:r>
              <w:rPr>
                <w:rFonts w:hint="eastAsia"/>
                <w:lang w:val="en-US" w:eastAsia="zh-CN"/>
              </w:rPr>
              <w:t>钻探岩心产生的土石方量约为4.75m</w:t>
            </w:r>
            <w:r>
              <w:rPr>
                <w:rFonts w:hint="eastAsia"/>
                <w:vertAlign w:val="superscript"/>
                <w:lang w:val="en-US" w:eastAsia="zh-CN"/>
              </w:rPr>
              <w:t>3</w:t>
            </w:r>
            <w:r>
              <w:rPr>
                <w:rFonts w:hint="eastAsia"/>
                <w:vertAlign w:val="baseline"/>
                <w:lang w:val="en-US" w:eastAsia="zh-CN"/>
              </w:rPr>
              <w:t>，则岩屑产生的土石方量为4.08</w:t>
            </w:r>
            <w:r>
              <w:rPr>
                <w:rFonts w:hint="eastAsia"/>
                <w:lang w:val="en-US" w:eastAsia="zh-CN"/>
              </w:rPr>
              <w:t>m</w:t>
            </w:r>
            <w:r>
              <w:rPr>
                <w:rFonts w:hint="eastAsia"/>
                <w:vertAlign w:val="superscript"/>
                <w:lang w:val="en-US" w:eastAsia="zh-CN"/>
              </w:rPr>
              <w:t>3</w:t>
            </w:r>
            <w:r>
              <w:rPr>
                <w:rFonts w:hint="eastAsia"/>
                <w:vertAlign w:val="baseline"/>
                <w:lang w:val="en-US" w:eastAsia="zh-CN"/>
              </w:rPr>
              <w:t>。</w:t>
            </w:r>
            <w:r>
              <w:rPr>
                <w:rFonts w:hint="eastAsia"/>
                <w:lang w:val="en-US" w:eastAsia="zh-CN"/>
              </w:rPr>
              <w:t>钻探</w:t>
            </w:r>
            <w:r>
              <w:rPr>
                <w:rFonts w:hint="eastAsia" w:ascii="Times New Roman" w:hAnsi="Times New Roman" w:eastAsia="宋体" w:cs="宋体"/>
                <w:kern w:val="2"/>
                <w:sz w:val="24"/>
                <w:szCs w:val="24"/>
                <w:lang w:val="en-US" w:eastAsia="zh-CN" w:bidi="ar-SA"/>
              </w:rPr>
              <w:t>岩心由地质勘探队收集后交至单位岩心库统一保管，</w:t>
            </w:r>
            <w:r>
              <w:rPr>
                <w:rStyle w:val="86"/>
                <w:rFonts w:hint="eastAsia"/>
                <w:lang w:val="en-US" w:eastAsia="zh-CN"/>
              </w:rPr>
              <w:t>钻井岩屑回填钻孔</w:t>
            </w:r>
            <w:r>
              <w:rPr>
                <w:rFonts w:hint="eastAsia" w:cs="Times New Roman"/>
                <w:kern w:val="2"/>
                <w:sz w:val="21"/>
                <w:szCs w:val="21"/>
                <w:lang w:val="en-US" w:eastAsia="zh-CN" w:bidi="ar-SA"/>
              </w:rPr>
              <w:t>。</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表2-7    工程土石方平衡分析表    单位：m</w:t>
            </w:r>
            <w:r>
              <w:rPr>
                <w:rFonts w:hint="eastAsia"/>
                <w:vertAlign w:val="superscript"/>
                <w:lang w:val="en-US" w:eastAsia="zh-CN"/>
              </w:rPr>
              <w:t>3</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288"/>
              <w:gridCol w:w="1721"/>
              <w:gridCol w:w="1012"/>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28"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val="en-US" w:eastAsia="zh-CN"/>
                    </w:rPr>
                    <w:t>类型</w:t>
                  </w:r>
                </w:p>
              </w:tc>
              <w:tc>
                <w:tcPr>
                  <w:tcW w:w="84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挖方</w:t>
                  </w:r>
                </w:p>
              </w:tc>
              <w:tc>
                <w:tcPr>
                  <w:tcW w:w="113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回填</w:t>
                  </w:r>
                </w:p>
              </w:tc>
              <w:tc>
                <w:tcPr>
                  <w:tcW w:w="6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调出</w:t>
                  </w:r>
                </w:p>
              </w:tc>
              <w:tc>
                <w:tcPr>
                  <w:tcW w:w="15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生活营地</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300</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285</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15</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4.75</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4.75</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收集后交至单位统一保管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2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钻探岩屑</w:t>
                  </w:r>
                </w:p>
              </w:tc>
              <w:tc>
                <w:tcPr>
                  <w:tcW w:w="84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4.08</w:t>
                  </w:r>
                </w:p>
              </w:tc>
              <w:tc>
                <w:tcPr>
                  <w:tcW w:w="113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4.08</w:t>
                  </w:r>
                </w:p>
              </w:tc>
              <w:tc>
                <w:tcPr>
                  <w:tcW w:w="66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520"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rPr>
                    <w:t>总计</w:t>
                  </w:r>
                </w:p>
              </w:tc>
              <w:tc>
                <w:tcPr>
                  <w:tcW w:w="849"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338.83</w:t>
                  </w:r>
                </w:p>
              </w:tc>
              <w:tc>
                <w:tcPr>
                  <w:tcW w:w="1134"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319.08</w:t>
                  </w:r>
                </w:p>
              </w:tc>
              <w:tc>
                <w:tcPr>
                  <w:tcW w:w="667" w:type="pct"/>
                  <w:shd w:val="clear" w:color="auto" w:fill="auto"/>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19.75</w:t>
                  </w:r>
                </w:p>
              </w:tc>
              <w:tc>
                <w:tcPr>
                  <w:tcW w:w="1520" w:type="pct"/>
                  <w:shd w:val="clear" w:color="auto" w:fill="auto"/>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38"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12" w:type="dxa"/>
            <w:noWrap w:val="0"/>
            <w:vAlign w:val="center"/>
          </w:tcPr>
          <w:p>
            <w:pPr>
              <w:pStyle w:val="4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无</w:t>
            </w:r>
          </w:p>
        </w:tc>
      </w:tr>
    </w:tbl>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5"/>
        <w:tblW w:w="9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83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生态环境现状</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1.生态环境</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天山南坡中段山地草原生态功能区</w:t>
            </w:r>
            <w:r>
              <w:rPr>
                <w:rFonts w:hint="eastAsia"/>
                <w:lang w:eastAsia="zh-CN"/>
              </w:rPr>
              <w:t>”</w:t>
            </w:r>
            <w:r>
              <w:rPr>
                <w:rFonts w:hint="default"/>
              </w:rPr>
              <w:t>，</w:t>
            </w:r>
            <w:r>
              <w:rPr>
                <w:rFonts w:hint="default"/>
                <w:lang w:val="en-US" w:eastAsia="zh-CN"/>
              </w:rPr>
              <w:t>该功能区发展方向见下表。</w:t>
            </w:r>
          </w:p>
          <w:p>
            <w:pPr>
              <w:pStyle w:val="52"/>
              <w:keepNext w:val="0"/>
              <w:keepLines w:val="0"/>
              <w:suppressLineNumbers w:val="0"/>
              <w:bidi w:val="0"/>
              <w:spacing w:before="0" w:beforeAutospacing="0" w:after="0" w:afterAutospacing="0"/>
              <w:ind w:left="0" w:right="0"/>
              <w:rPr>
                <w:rFonts w:hint="default"/>
              </w:rPr>
            </w:pPr>
            <w:r>
              <w:rPr>
                <w:rFonts w:hint="eastAsia"/>
                <w:lang w:val="en-US" w:eastAsia="zh-CN"/>
              </w:rPr>
              <w:t xml:space="preserve">表3-1    </w:t>
            </w:r>
            <w:r>
              <w:rPr>
                <w:rFonts w:hint="default"/>
                <w:lang w:val="en-US" w:eastAsia="zh-CN"/>
              </w:rPr>
              <w:t>新疆重点生态功能区的类型和发展方向</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718"/>
              <w:gridCol w:w="3891"/>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名称</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类型</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综合评价</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5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天山南坡中段山地草原生态功能区</w:t>
                  </w:r>
                </w:p>
              </w:tc>
              <w:tc>
                <w:tcPr>
                  <w:tcW w:w="44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水源涵养</w:t>
                  </w:r>
                </w:p>
              </w:tc>
              <w:tc>
                <w:tcPr>
                  <w:tcW w:w="239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冰川发育，众多河流发源地，拥</w:t>
                  </w:r>
                  <w:r>
                    <w:rPr>
                      <w:rFonts w:hint="eastAsia"/>
                      <w:lang w:val="en-US" w:eastAsia="zh-CN"/>
                    </w:rPr>
                    <w:t>有全</w:t>
                  </w:r>
                  <w:r>
                    <w:rPr>
                      <w:rFonts w:hint="default"/>
                      <w:lang w:val="en-US" w:eastAsia="zh-CN"/>
                    </w:rPr>
                    <w:t>国最大的淡水内陆湖，分布有大面积的芦苇湿地，巴州重要的供水水源地。目前水土流失、土壤侵蚀严重、森林遭到破坏，草原退化，湖水水质污染、湿地萎缩</w:t>
                  </w:r>
                </w:p>
              </w:tc>
              <w:tc>
                <w:tcPr>
                  <w:tcW w:w="140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禁止过度放牧，恢复天然草原植被，加大水污染防治力度，加强野生动物和湿地保护</w:t>
                  </w:r>
                </w:p>
              </w:tc>
            </w:tr>
          </w:tbl>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lang w:val="en-US" w:eastAsia="zh-CN"/>
              </w:rPr>
              <w:t>“</w:t>
            </w:r>
            <w:r>
              <w:rPr>
                <w:rFonts w:hint="default" w:ascii="Times New Roman" w:hAnsi="Times New Roman" w:cs="Times New Roman"/>
              </w:rPr>
              <w:t>Ⅲ</w:t>
            </w:r>
            <w:r>
              <w:rPr>
                <w:rFonts w:hint="eastAsia" w:ascii="Times New Roman" w:hAnsi="Times New Roman"/>
              </w:rPr>
              <w:t>3 天山南坡草原牧业、绿洲农业生态亚区</w:t>
            </w:r>
            <w:r>
              <w:rPr>
                <w:rFonts w:hint="eastAsia" w:ascii="Times New Roman" w:hAnsi="Times New Roman"/>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2"/>
              <w:keepNext w:val="0"/>
              <w:keepLines w:val="0"/>
              <w:suppressLineNumbers w:val="0"/>
              <w:bidi w:val="0"/>
              <w:spacing w:before="0" w:beforeAutospacing="0" w:after="0" w:afterAutospacing="0"/>
              <w:ind w:left="0" w:right="0"/>
            </w:pPr>
            <w:r>
              <w:rPr>
                <w:rFonts w:hint="eastAsia"/>
              </w:rPr>
              <w:t>表3-</w:t>
            </w:r>
            <w:r>
              <w:rPr>
                <w:rFonts w:hint="eastAsia"/>
                <w:lang w:val="en-US" w:eastAsia="zh-CN"/>
              </w:rPr>
              <w:t xml:space="preserve">2    </w:t>
            </w:r>
            <w:r>
              <w:rPr>
                <w:rFonts w:hint="eastAsia"/>
              </w:rPr>
              <w:t>生态功能区划</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1178"/>
              <w:gridCol w:w="1440"/>
              <w:gridCol w:w="1363"/>
              <w:gridCol w:w="1468"/>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4"/>
                    <w:keepNext w:val="0"/>
                    <w:keepLines w:val="0"/>
                    <w:suppressLineNumbers w:val="0"/>
                    <w:bidi w:val="0"/>
                    <w:spacing w:before="0" w:beforeAutospacing="0" w:after="0" w:afterAutospacing="0"/>
                    <w:ind w:left="0" w:right="0"/>
                  </w:pPr>
                  <w:r>
                    <w:rPr>
                      <w:rFonts w:hint="eastAsia"/>
                    </w:rPr>
                    <w:t>生态功能分区</w:t>
                  </w:r>
                </w:p>
              </w:tc>
              <w:tc>
                <w:tcPr>
                  <w:tcW w:w="723"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主要生态服务功能</w:t>
                  </w:r>
                </w:p>
              </w:tc>
              <w:tc>
                <w:tcPr>
                  <w:tcW w:w="884"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主要生态问题</w:t>
                  </w:r>
                </w:p>
              </w:tc>
              <w:tc>
                <w:tcPr>
                  <w:tcW w:w="837" w:type="pct"/>
                  <w:noWrap w:val="0"/>
                  <w:vAlign w:val="center"/>
                </w:tcPr>
                <w:p>
                  <w:pPr>
                    <w:pStyle w:val="54"/>
                    <w:keepNext w:val="0"/>
                    <w:keepLines w:val="0"/>
                    <w:suppressLineNumbers w:val="0"/>
                    <w:bidi w:val="0"/>
                    <w:spacing w:before="0" w:beforeAutospacing="0" w:after="0" w:afterAutospacing="0"/>
                    <w:ind w:left="0" w:right="0"/>
                  </w:pPr>
                  <w:r>
                    <w:rPr>
                      <w:rFonts w:hint="eastAsia"/>
                    </w:rPr>
                    <w:t>主要生态</w:t>
                  </w:r>
                </w:p>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敏感因子</w:t>
                  </w:r>
                  <w:r>
                    <w:rPr>
                      <w:rFonts w:hint="eastAsia"/>
                      <w:lang w:eastAsia="zh-CN"/>
                    </w:rPr>
                    <w:t>、</w:t>
                  </w:r>
                  <w:r>
                    <w:rPr>
                      <w:rFonts w:hint="eastAsia"/>
                      <w:lang w:val="en-US" w:eastAsia="zh-CN"/>
                    </w:rPr>
                    <w:t>敏感程度</w:t>
                  </w:r>
                </w:p>
              </w:tc>
              <w:tc>
                <w:tcPr>
                  <w:tcW w:w="901" w:type="pct"/>
                  <w:noWrap w:val="0"/>
                  <w:vAlign w:val="center"/>
                </w:tcPr>
                <w:p>
                  <w:pPr>
                    <w:pStyle w:val="54"/>
                    <w:keepNext w:val="0"/>
                    <w:keepLines w:val="0"/>
                    <w:suppressLineNumbers w:val="0"/>
                    <w:bidi w:val="0"/>
                    <w:spacing w:before="0" w:beforeAutospacing="0" w:after="0" w:afterAutospacing="0"/>
                    <w:ind w:left="0" w:right="0"/>
                  </w:pPr>
                  <w:r>
                    <w:rPr>
                      <w:rFonts w:hint="eastAsia"/>
                      <w:lang w:val="en-US" w:eastAsia="zh-CN"/>
                    </w:rPr>
                    <w:t>主要</w:t>
                  </w:r>
                  <w:r>
                    <w:rPr>
                      <w:rFonts w:hint="eastAsia"/>
                    </w:rPr>
                    <w:t>保护目标</w:t>
                  </w:r>
                </w:p>
              </w:tc>
              <w:tc>
                <w:tcPr>
                  <w:tcW w:w="759" w:type="pct"/>
                  <w:noWrap w:val="0"/>
                  <w:vAlign w:val="center"/>
                </w:tcPr>
                <w:p>
                  <w:pPr>
                    <w:pStyle w:val="54"/>
                    <w:keepNext w:val="0"/>
                    <w:keepLines w:val="0"/>
                    <w:suppressLineNumbers w:val="0"/>
                    <w:bidi w:val="0"/>
                    <w:spacing w:before="0" w:beforeAutospacing="0" w:after="0" w:afterAutospacing="0"/>
                    <w:ind w:left="0" w:right="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42．托木尔峰和天山南坡中段冰雪水源及生物多样性保护生态功能区</w:t>
                  </w:r>
                </w:p>
              </w:tc>
              <w:tc>
                <w:tcPr>
                  <w:tcW w:w="723"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水源补给、生物多样性维护、土壤保持</w:t>
                  </w:r>
                </w:p>
              </w:tc>
              <w:tc>
                <w:tcPr>
                  <w:tcW w:w="884" w:type="pct"/>
                  <w:noWrap w:val="0"/>
                  <w:vAlign w:val="center"/>
                </w:tcPr>
                <w:p>
                  <w:pPr>
                    <w:pStyle w:val="54"/>
                    <w:keepNext w:val="0"/>
                    <w:keepLines w:val="0"/>
                    <w:suppressLineNumbers w:val="0"/>
                    <w:bidi w:val="0"/>
                    <w:spacing w:before="0" w:beforeAutospacing="0" w:after="0" w:afterAutospacing="0"/>
                    <w:ind w:left="0" w:right="0"/>
                    <w:jc w:val="center"/>
                    <w:rPr>
                      <w:rFonts w:hint="eastAsia"/>
                    </w:rPr>
                  </w:pPr>
                  <w:r>
                    <w:rPr>
                      <w:rFonts w:hint="eastAsia" w:ascii="宋体" w:hAnsi="宋体"/>
                    </w:rPr>
                    <w:t>水土流失、野生动物减少、土壤侵蚀、森林破坏</w:t>
                  </w:r>
                </w:p>
              </w:tc>
              <w:tc>
                <w:tcPr>
                  <w:tcW w:w="837" w:type="pct"/>
                  <w:noWrap w:val="0"/>
                  <w:vAlign w:val="center"/>
                </w:tcPr>
                <w:p>
                  <w:pPr>
                    <w:keepNext w:val="0"/>
                    <w:keepLines w:val="0"/>
                    <w:suppressLineNumbers w:val="0"/>
                    <w:spacing w:before="0" w:beforeAutospacing="0" w:after="0" w:afterAutospacing="0"/>
                    <w:ind w:left="0" w:right="0"/>
                    <w:jc w:val="center"/>
                    <w:rPr>
                      <w:rFonts w:hint="eastAsia"/>
                    </w:rPr>
                  </w:pPr>
                  <w:r>
                    <w:rPr>
                      <w:rFonts w:hint="eastAsia" w:ascii="宋体" w:hAnsi="宋体"/>
                    </w:rPr>
                    <w:t>生物多样性及其生境极度敏感，土壤侵蚀轻度敏感</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ascii="宋体" w:hAnsi="宋体"/>
                    </w:rPr>
                    <w:t>保护托木尔峰自然景观、保护高山冰川、保护野生动物、保护森林和草原</w:t>
                  </w:r>
                </w:p>
              </w:tc>
              <w:tc>
                <w:tcPr>
                  <w:tcW w:w="759"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ascii="宋体" w:hAnsi="宋体"/>
                    </w:rPr>
                    <w:t>草地减牧、森林禁伐、禁猎、加强保护区管理</w:t>
                  </w:r>
                </w:p>
              </w:tc>
            </w:tr>
          </w:tbl>
          <w:p>
            <w:pPr>
              <w:pStyle w:val="48"/>
              <w:keepNext w:val="0"/>
              <w:keepLines w:val="0"/>
              <w:numPr>
                <w:ilvl w:val="0"/>
                <w:numId w:val="0"/>
              </w:numPr>
              <w:suppressLineNumbers w:val="0"/>
              <w:bidi w:val="0"/>
              <w:spacing w:before="0" w:beforeAutospacing="0" w:after="0" w:afterAutospacing="0"/>
              <w:ind w:left="420" w:leftChars="200" w:right="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keepNext w:val="0"/>
              <w:keepLines w:val="0"/>
              <w:suppressLineNumbers w:val="0"/>
              <w:bidi w:val="0"/>
              <w:spacing w:before="0" w:beforeAutospacing="0" w:after="0" w:afterAutospacing="0"/>
              <w:ind w:left="0" w:right="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经现场调查，</w:t>
            </w:r>
            <w:r>
              <w:rPr>
                <w:rFonts w:hint="eastAsia"/>
              </w:rPr>
              <w:t>项目区</w:t>
            </w:r>
            <w:r>
              <w:rPr>
                <w:rFonts w:hint="eastAsia"/>
                <w:lang w:val="en-US" w:eastAsia="zh-CN"/>
              </w:rPr>
              <w:t>植被类型简单，群落稀疏</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6"/>
              <w:tblW w:w="4993"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166"/>
              <w:gridCol w:w="2309"/>
              <w:gridCol w:w="383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图片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蓼科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沙拐枣属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沙拐枣</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default"/>
                    </w:rPr>
                    <w:drawing>
                      <wp:inline distT="0" distB="0" distL="114300" distR="114300">
                        <wp:extent cx="2054225" cy="1772285"/>
                        <wp:effectExtent l="0" t="0" r="317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2054225" cy="177228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豆科</w:t>
                  </w:r>
                </w:p>
              </w:tc>
              <w:tc>
                <w:tcPr>
                  <w:tcW w:w="7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骆驼刺属</w:t>
                  </w:r>
                </w:p>
              </w:tc>
              <w:tc>
                <w:tcPr>
                  <w:tcW w:w="142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骆驼刺</w:t>
                  </w:r>
                  <w:r>
                    <w:rPr>
                      <w:rFonts w:hint="eastAsia"/>
                      <w:lang w:val="en-US" w:eastAsia="zh-CN"/>
                    </w:rPr>
                    <w:t>种</w:t>
                  </w:r>
                </w:p>
              </w:tc>
              <w:tc>
                <w:tcPr>
                  <w:tcW w:w="235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094865" cy="1684655"/>
                        <wp:effectExtent l="0" t="0" r="63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a:off x="0" y="0"/>
                                  <a:ext cx="2094865" cy="168465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2"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豆科</w:t>
                  </w:r>
                </w:p>
              </w:tc>
              <w:tc>
                <w:tcPr>
                  <w:tcW w:w="717"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锦鸡儿属</w:t>
                  </w:r>
                </w:p>
              </w:tc>
              <w:tc>
                <w:tcPr>
                  <w:tcW w:w="1420"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白皮锦鸡儿</w:t>
                  </w:r>
                </w:p>
              </w:tc>
              <w:tc>
                <w:tcPr>
                  <w:tcW w:w="2359"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drawing>
                      <wp:inline distT="0" distB="0" distL="114300" distR="114300">
                        <wp:extent cx="2089150" cy="2309495"/>
                        <wp:effectExtent l="0" t="0" r="6350" b="1460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5"/>
                                <a:stretch>
                                  <a:fillRect/>
                                </a:stretch>
                              </pic:blipFill>
                              <pic:spPr>
                                <a:xfrm>
                                  <a:off x="0" y="0"/>
                                  <a:ext cx="2089150" cy="230949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2"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禾本科</w:t>
                  </w:r>
                </w:p>
              </w:tc>
              <w:tc>
                <w:tcPr>
                  <w:tcW w:w="717"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针茅属</w:t>
                  </w:r>
                </w:p>
              </w:tc>
              <w:tc>
                <w:tcPr>
                  <w:tcW w:w="1420"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针茅</w:t>
                  </w:r>
                </w:p>
              </w:tc>
              <w:tc>
                <w:tcPr>
                  <w:tcW w:w="2359"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drawing>
                      <wp:inline distT="0" distB="0" distL="114300" distR="114300">
                        <wp:extent cx="2233930" cy="1458595"/>
                        <wp:effectExtent l="0" t="0" r="13970" b="825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6"/>
                                <a:stretch>
                                  <a:fillRect/>
                                </a:stretch>
                              </pic:blipFill>
                              <pic:spPr>
                                <a:xfrm>
                                  <a:off x="0" y="0"/>
                                  <a:ext cx="2233930" cy="1458595"/>
                                </a:xfrm>
                                <a:prstGeom prst="rect">
                                  <a:avLst/>
                                </a:prstGeom>
                                <a:noFill/>
                                <a:ln>
                                  <a:noFill/>
                                </a:ln>
                              </pic:spPr>
                            </pic:pic>
                          </a:graphicData>
                        </a:graphic>
                      </wp:inline>
                    </w:drawing>
                  </w:r>
                </w:p>
              </w:tc>
            </w:tr>
          </w:tbl>
          <w:p>
            <w:pPr>
              <w:pStyle w:val="48"/>
              <w:keepNext w:val="0"/>
              <w:keepLines w:val="0"/>
              <w:suppressLineNumbers w:val="0"/>
              <w:bidi w:val="0"/>
              <w:spacing w:before="0" w:beforeAutospacing="0" w:after="0" w:afterAutospacing="0"/>
              <w:ind w:left="0" w:right="0"/>
              <w:rPr>
                <w:rFonts w:hint="default"/>
              </w:rPr>
            </w:pPr>
            <w:r>
              <w:rPr>
                <w:rFonts w:hint="default"/>
              </w:rPr>
              <w:t>评价区的地质地貌、气候等自然因素处于相对稳定状态，地形、地貌等对植被的影响主要通过水分、盐分、矿质养分的分配差异体现出来</w:t>
            </w:r>
            <w:r>
              <w:rPr>
                <w:rFonts w:hint="eastAsia"/>
              </w:rPr>
              <w:t>。本区域植被</w:t>
            </w:r>
            <w:r>
              <w:rPr>
                <w:rFonts w:hint="default"/>
              </w:rPr>
              <w:t>主要为草本植物，植物类型主要</w:t>
            </w:r>
            <w:r>
              <w:rPr>
                <w:rFonts w:hint="eastAsia"/>
                <w:lang w:eastAsia="zh-CN"/>
              </w:rPr>
              <w:t>为</w:t>
            </w:r>
            <w:r>
              <w:rPr>
                <w:rFonts w:hint="eastAsia"/>
                <w:lang w:val="en-US" w:eastAsia="zh-CN"/>
              </w:rPr>
              <w:t>沙拐枣、骆驼刺、白皮锦鸡儿和针茅</w:t>
            </w:r>
            <w:r>
              <w:rPr>
                <w:rFonts w:hint="default"/>
              </w:rPr>
              <w:t>，</w:t>
            </w:r>
            <w:r>
              <w:rPr>
                <w:rFonts w:hint="eastAsia"/>
                <w:lang w:val="en-US" w:eastAsia="zh-CN"/>
              </w:rPr>
              <w:t>大部分区域</w:t>
            </w:r>
            <w:r>
              <w:rPr>
                <w:rFonts w:hint="default"/>
              </w:rPr>
              <w:t>植被生长稀疏，不涉及保护植物。</w:t>
            </w:r>
          </w:p>
          <w:p>
            <w:pPr>
              <w:pStyle w:val="48"/>
              <w:keepNext w:val="0"/>
              <w:keepLines w:val="0"/>
              <w:suppressLineNumbers w:val="0"/>
              <w:bidi w:val="0"/>
              <w:spacing w:before="0" w:beforeAutospacing="0" w:after="0" w:afterAutospacing="0"/>
              <w:ind w:left="0" w:right="0"/>
              <w:rPr>
                <w:rFonts w:hint="default"/>
              </w:rPr>
            </w:pPr>
            <w:r>
              <w:rPr>
                <w:rFonts w:hint="eastAsia"/>
              </w:rPr>
              <w:t>②</w:t>
            </w:r>
            <w:r>
              <w:rPr>
                <w:rFonts w:hint="default"/>
              </w:rPr>
              <w:t>野生动物现状调查及评价</w:t>
            </w:r>
          </w:p>
          <w:p>
            <w:pPr>
              <w:pStyle w:val="48"/>
              <w:keepNext w:val="0"/>
              <w:keepLines w:val="0"/>
              <w:suppressLineNumbers w:val="0"/>
              <w:bidi w:val="0"/>
              <w:spacing w:before="0" w:beforeAutospacing="0" w:after="0" w:afterAutospacing="0"/>
              <w:ind w:left="0" w:right="0"/>
              <w:rPr>
                <w:rFonts w:hint="eastAsia"/>
                <w:lang w:eastAsia="zh-CN"/>
              </w:rPr>
            </w:pPr>
            <w:r>
              <w:rPr>
                <w:rFonts w:hint="default"/>
              </w:rP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rPr>
                <w:rFonts w:hint="default"/>
              </w:rPr>
              <w:t>。本次评价于2026年</w:t>
            </w:r>
            <w:r>
              <w:rPr>
                <w:rFonts w:hint="eastAsia"/>
                <w:lang w:val="en-US" w:eastAsia="zh-CN"/>
              </w:rPr>
              <w:t>5</w:t>
            </w:r>
            <w:r>
              <w:rPr>
                <w:rFonts w:hint="default"/>
              </w:rPr>
              <w:t>月开展了专项调查。调查范围以槽探区及临时生活营地为中心，向四周外延1km。调查采用样线法、访问调查法与资料收集法相结合的方式：在槽探区及营地周边布设样线，以步行方式观察记录野生动物情况；同时走访附近乡镇人员，并查阅《新疆生态功能区划》及相关文献资料</w:t>
            </w:r>
            <w:r>
              <w:rPr>
                <w:rFonts w:hint="eastAsia"/>
                <w:lang w:eastAsia="zh-CN"/>
              </w:rPr>
              <w:t>，</w:t>
            </w:r>
            <w:r>
              <w:rPr>
                <w:rFonts w:hint="eastAsia"/>
                <w:lang w:val="en-US" w:eastAsia="zh-CN"/>
              </w:rPr>
              <w:t>未见国家及自治区级保护野生动物</w:t>
            </w:r>
            <w:r>
              <w:rPr>
                <w:rFonts w:hint="eastAsia"/>
                <w:lang w:eastAsia="zh-CN"/>
              </w:rPr>
              <w:t>。</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b/>
                <w:kern w:val="0"/>
                <w:szCs w:val="21"/>
                <w:lang w:eastAsia="zh-CN"/>
              </w:rPr>
            </w:pPr>
            <w:r>
              <w:rPr>
                <w:rFonts w:hint="eastAsia"/>
              </w:rPr>
              <w:t>评价区主要野生动物名录</w:t>
            </w:r>
            <w:r>
              <w:rPr>
                <w:rFonts w:hint="default"/>
              </w:rPr>
              <w:t>见</w:t>
            </w:r>
            <w:r>
              <w:rPr>
                <w:rFonts w:hint="eastAsia"/>
                <w:lang w:eastAsia="zh-CN"/>
              </w:rPr>
              <w:t>下</w:t>
            </w:r>
            <w:r>
              <w:rPr>
                <w:rFonts w:hint="default"/>
              </w:rPr>
              <w:t>表</w:t>
            </w:r>
            <w:r>
              <w:rPr>
                <w:rFonts w:hint="eastAsia"/>
                <w:lang w:eastAsia="zh-CN"/>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401"/>
              <w:gridCol w:w="1505"/>
              <w:gridCol w:w="1579"/>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28" w:type="pct"/>
                  <w:tcBorders>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rPr>
                    <w:t>哺乳纲</w:t>
                  </w:r>
                </w:p>
              </w:tc>
              <w:tc>
                <w:tcPr>
                  <w:tcW w:w="861" w:type="pct"/>
                  <w:tcBorders>
                    <w:top w:val="single" w:color="auto" w:sz="4" w:space="0"/>
                    <w:left w:val="nil"/>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lang w:val="en-US" w:eastAsia="zh-CN"/>
                    </w:rPr>
                    <w:t>哺乳纲</w:t>
                  </w:r>
                </w:p>
              </w:tc>
              <w:tc>
                <w:tcPr>
                  <w:tcW w:w="925" w:type="pct"/>
                  <w:tcBorders>
                    <w:top w:val="single" w:color="auto" w:sz="4" w:space="0"/>
                    <w:left w:val="nil"/>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lang w:val="en-US" w:eastAsia="zh-CN"/>
                    </w:rPr>
                    <w:t>兔科</w:t>
                  </w:r>
                </w:p>
              </w:tc>
              <w:tc>
                <w:tcPr>
                  <w:tcW w:w="970" w:type="pct"/>
                  <w:tcBorders>
                    <w:top w:val="single" w:color="auto" w:sz="4" w:space="0"/>
                    <w:left w:val="nil"/>
                    <w:bottom w:val="single" w:color="auto" w:sz="4" w:space="0"/>
                    <w:right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default"/>
                      <w:lang w:eastAsia="zh-CN"/>
                    </w:rPr>
                    <w:t>草兔</w:t>
                  </w:r>
                </w:p>
              </w:tc>
              <w:tc>
                <w:tcPr>
                  <w:tcW w:w="1414" w:type="pct"/>
                  <w:tcBorders>
                    <w:top w:val="single" w:color="auto" w:sz="4" w:space="0"/>
                    <w:left w:val="single" w:color="auto" w:sz="4" w:space="0"/>
                    <w:bottom w:val="single" w:color="auto" w:sz="4" w:space="0"/>
                  </w:tcBorders>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i/>
                      <w:iCs/>
                      <w:kern w:val="2"/>
                      <w:sz w:val="21"/>
                      <w:szCs w:val="21"/>
                      <w:lang w:val="en-US" w:eastAsia="zh-CN" w:bidi="ar-SA"/>
                    </w:rPr>
                  </w:pPr>
                  <w:r>
                    <w:rPr>
                      <w:rFonts w:hint="default"/>
                      <w:i/>
                      <w:iCs/>
                    </w:rPr>
                    <w:t>Lepus capensis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lang w:val="en-US" w:eastAsia="en-US"/>
                    </w:rPr>
                  </w:pPr>
                  <w:r>
                    <w:rPr>
                      <w:rFonts w:hint="default"/>
                      <w:i/>
                      <w:iCs/>
                    </w:rPr>
                    <w:t>Lizard</w:t>
                  </w:r>
                </w:p>
              </w:tc>
            </w:tr>
          </w:tbl>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③水土流失现状调查：2024年和硕县水土流失面积3387.82km</w:t>
            </w:r>
            <w:r>
              <w:rPr>
                <w:rFonts w:hint="eastAsia"/>
                <w:vertAlign w:val="superscript"/>
                <w:lang w:val="en-US" w:eastAsia="zh-CN"/>
              </w:rPr>
              <w:t>2</w:t>
            </w:r>
            <w:r>
              <w:rPr>
                <w:rFonts w:hint="eastAsia"/>
                <w:lang w:val="en-US" w:eastAsia="zh-CN"/>
              </w:rPr>
              <w:t>，占全县土地总面积的26.56%。其中水力侵蚀面积为582.76km</w:t>
            </w:r>
            <w:r>
              <w:rPr>
                <w:rFonts w:hint="eastAsia"/>
                <w:vertAlign w:val="superscript"/>
                <w:lang w:val="en-US" w:eastAsia="zh-CN"/>
              </w:rPr>
              <w:t>2</w:t>
            </w:r>
            <w:r>
              <w:rPr>
                <w:rFonts w:hint="eastAsia"/>
                <w:lang w:val="en-US" w:eastAsia="zh-CN"/>
              </w:rPr>
              <w:t>，占水土流失面积的17.20%；风力侵蚀面积为2805.06km</w:t>
            </w:r>
            <w:r>
              <w:rPr>
                <w:rFonts w:hint="eastAsia"/>
                <w:vertAlign w:val="superscript"/>
                <w:lang w:val="en-US" w:eastAsia="zh-CN"/>
              </w:rPr>
              <w:t>2</w:t>
            </w:r>
            <w:r>
              <w:rPr>
                <w:rFonts w:hint="eastAsia"/>
                <w:lang w:val="en-US" w:eastAsia="zh-CN"/>
              </w:rPr>
              <w:t>，占水土流失面积的82.80%。</w:t>
            </w:r>
          </w:p>
          <w:p>
            <w:pPr>
              <w:pStyle w:val="48"/>
              <w:keepNext w:val="0"/>
              <w:keepLines w:val="0"/>
              <w:suppressLineNumbers w:val="0"/>
              <w:bidi w:val="0"/>
              <w:spacing w:before="0" w:beforeAutospacing="0" w:after="0" w:afterAutospacing="0"/>
              <w:ind w:left="0" w:right="0"/>
              <w:rPr>
                <w:rFonts w:hint="default"/>
                <w:highlight w:val="none"/>
                <w:lang w:val="en-US" w:eastAsia="zh-CN"/>
              </w:rPr>
            </w:pPr>
            <w:r>
              <w:rPr>
                <w:rFonts w:hint="eastAsia"/>
                <w:lang w:val="en-US" w:eastAsia="zh-CN"/>
              </w:rPr>
              <w:t>和硕县2024年水土流失面积比2023年减少了5.17km</w:t>
            </w:r>
            <w:r>
              <w:rPr>
                <w:rFonts w:hint="eastAsia"/>
                <w:vertAlign w:val="superscript"/>
                <w:lang w:val="en-US" w:eastAsia="zh-CN"/>
              </w:rPr>
              <w:t>2</w:t>
            </w:r>
            <w:r>
              <w:rPr>
                <w:rFonts w:hint="eastAsia"/>
                <w:lang w:val="en-US" w:eastAsia="zh-CN"/>
              </w:rPr>
              <w:t>。</w:t>
            </w:r>
            <w:r>
              <w:rPr>
                <w:rFonts w:hint="eastAsia"/>
                <w:highlight w:val="none"/>
                <w:lang w:val="en-US" w:eastAsia="zh-CN"/>
              </w:rPr>
              <w:t>项目区水土流失情况为微度和轻度，</w:t>
            </w:r>
            <w:r>
              <w:rPr>
                <w:rFonts w:hint="eastAsia"/>
                <w:lang w:val="en-US" w:eastAsia="zh-CN"/>
              </w:rPr>
              <w:t>水土流失类型包括水力侵蚀，风力侵蚀和冻融侵蚀。</w:t>
            </w:r>
            <w:r>
              <w:rPr>
                <w:rFonts w:hint="eastAsia"/>
                <w:highlight w:val="none"/>
                <w:lang w:val="en-US" w:eastAsia="zh-CN"/>
              </w:rPr>
              <w:t>水土流失类型见附图。</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4"/>
                <w:szCs w:val="24"/>
                <w:highlight w:val="green"/>
                <w:lang w:val="en-US" w:eastAsia="zh-CN" w:bidi="ar-SA"/>
              </w:rPr>
            </w:pPr>
            <w:r>
              <w:rPr>
                <w:rFonts w:hint="eastAsia" w:cs="Times New Roman"/>
                <w:color w:val="auto"/>
                <w:kern w:val="2"/>
                <w:sz w:val="24"/>
                <w:szCs w:val="24"/>
                <w:highlight w:val="none"/>
                <w:lang w:val="en-US" w:eastAsia="zh-CN" w:bidi="ar-SA"/>
              </w:rPr>
              <w:t>⑤</w:t>
            </w:r>
            <w:r>
              <w:rPr>
                <w:rFonts w:hint="eastAsia"/>
                <w:color w:val="auto"/>
                <w:highlight w:val="none"/>
                <w:lang w:val="en-US" w:eastAsia="zh-CN"/>
              </w:rPr>
              <w:t>土地利用现状：本项目土地利用类型为低覆盖度草地，中覆盖度草地</w:t>
            </w:r>
            <w:r>
              <w:rPr>
                <w:rFonts w:hint="eastAsia" w:ascii="Times New Roman" w:hAnsi="Times New Roman" w:eastAsia="宋体" w:cs="Times New Roman"/>
                <w:color w:val="auto"/>
                <w:kern w:val="2"/>
                <w:sz w:val="24"/>
                <w:szCs w:val="24"/>
                <w:highlight w:val="none"/>
                <w:lang w:val="en-US" w:eastAsia="zh-CN" w:bidi="ar-SA"/>
              </w:rPr>
              <w:t>土地</w:t>
            </w:r>
            <w:r>
              <w:rPr>
                <w:rFonts w:hint="eastAsia" w:cs="Times New Roman"/>
                <w:color w:val="auto"/>
                <w:kern w:val="2"/>
                <w:sz w:val="24"/>
                <w:szCs w:val="24"/>
                <w:highlight w:val="none"/>
                <w:lang w:val="en-US" w:eastAsia="zh-CN" w:bidi="ar-SA"/>
              </w:rPr>
              <w:t>和裸岩石砾地。</w:t>
            </w:r>
            <w:r>
              <w:rPr>
                <w:rFonts w:hint="eastAsia" w:ascii="Times New Roman" w:hAnsi="Times New Roman" w:eastAsia="宋体" w:cs="Times New Roman"/>
                <w:color w:val="auto"/>
                <w:kern w:val="2"/>
                <w:sz w:val="24"/>
                <w:szCs w:val="24"/>
                <w:highlight w:val="none"/>
                <w:lang w:val="en-US" w:eastAsia="zh-CN" w:bidi="ar-SA"/>
              </w:rPr>
              <w:t>利用现状见附图。</w:t>
            </w:r>
          </w:p>
          <w:p>
            <w:pPr>
              <w:pStyle w:val="50"/>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2.大气环境质量现状</w:t>
            </w:r>
          </w:p>
          <w:p>
            <w:pPr>
              <w:pStyle w:val="48"/>
              <w:keepNext w:val="0"/>
              <w:keepLines w:val="0"/>
              <w:suppressLineNumbers w:val="0"/>
              <w:bidi w:val="0"/>
              <w:spacing w:before="0" w:beforeAutospacing="0" w:after="0" w:afterAutospacing="0"/>
              <w:ind w:left="0" w:right="0"/>
              <w:rPr>
                <w:rFonts w:hint="eastAsia"/>
                <w:lang w:eastAsia="zh-CN"/>
              </w:rPr>
            </w:pPr>
            <w:r>
              <w:rPr>
                <w:rFonts w:hint="eastAsia"/>
              </w:rPr>
              <w:t>（</w:t>
            </w:r>
            <w:r>
              <w:rPr>
                <w:rFonts w:hint="default"/>
              </w:rPr>
              <w:t>1</w:t>
            </w:r>
            <w:r>
              <w:rPr>
                <w:rFonts w:hint="eastAsia"/>
              </w:rPr>
              <w:t>）评价数据选用</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和硕县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等6项基本污染物数据来源</w:t>
            </w:r>
            <w:r>
              <w:rPr>
                <w:rFonts w:hint="eastAsia"/>
                <w:lang w:val="en-US" w:eastAsia="zh-CN"/>
              </w:rPr>
              <w:t>，所引用数据可以满足环境空气质量评价有效性要求。</w:t>
            </w:r>
          </w:p>
          <w:p>
            <w:pPr>
              <w:pStyle w:val="48"/>
              <w:keepNext w:val="0"/>
              <w:keepLines w:val="0"/>
              <w:suppressLineNumbers w:val="0"/>
              <w:bidi w:val="0"/>
              <w:spacing w:before="0" w:beforeAutospacing="0" w:after="0" w:afterAutospacing="0"/>
              <w:ind w:left="0" w:right="0"/>
              <w:rPr>
                <w:rFonts w:hint="default"/>
              </w:rPr>
            </w:pPr>
            <w:r>
              <w:rPr>
                <w:rFonts w:hint="eastAsia"/>
              </w:rPr>
              <w:t>①监测点位：</w:t>
            </w:r>
            <w:r>
              <w:rPr>
                <w:rFonts w:hint="eastAsia"/>
                <w:lang w:val="en-US" w:eastAsia="zh-CN"/>
              </w:rPr>
              <w:t>和硕县</w:t>
            </w:r>
            <w:r>
              <w:rPr>
                <w:rFonts w:hint="eastAsia"/>
              </w:rPr>
              <w:t>环境空气自动监测站。</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②监测项目：二氧化硫（</w:t>
            </w:r>
            <w:r>
              <w:rPr>
                <w:rFonts w:hint="default"/>
              </w:rPr>
              <w:t>SO</w:t>
            </w:r>
            <w:r>
              <w:rPr>
                <w:rFonts w:hint="default"/>
                <w:vertAlign w:val="subscript"/>
              </w:rPr>
              <w:t>2</w:t>
            </w:r>
            <w:r>
              <w:rPr>
                <w:rFonts w:hint="eastAsia"/>
              </w:rPr>
              <w:t>）、二氧化氮（</w:t>
            </w:r>
            <w:r>
              <w:rPr>
                <w:rFonts w:hint="default"/>
              </w:rPr>
              <w:t>NO</w:t>
            </w:r>
            <w:r>
              <w:rPr>
                <w:rFonts w:hint="default"/>
                <w:vertAlign w:val="subscript"/>
              </w:rPr>
              <w:t>2</w:t>
            </w:r>
            <w:r>
              <w:rPr>
                <w:rFonts w:hint="eastAsia"/>
              </w:rPr>
              <w:t>）、可吸入颗粒物（</w:t>
            </w:r>
            <w:r>
              <w:rPr>
                <w:rFonts w:hint="default"/>
              </w:rPr>
              <w:t>PM</w:t>
            </w:r>
            <w:r>
              <w:rPr>
                <w:rFonts w:hint="default"/>
                <w:vertAlign w:val="subscript"/>
              </w:rPr>
              <w:t>10</w:t>
            </w:r>
            <w:r>
              <w:rPr>
                <w:rFonts w:hint="eastAsia"/>
              </w:rPr>
              <w:t>）、一氧化碳（</w:t>
            </w:r>
            <w:r>
              <w:rPr>
                <w:rFonts w:hint="default"/>
              </w:rPr>
              <w:t>CO</w:t>
            </w:r>
            <w:r>
              <w:rPr>
                <w:rFonts w:hint="eastAsia"/>
              </w:rPr>
              <w:t>）、臭氧（</w:t>
            </w:r>
            <w:r>
              <w:rPr>
                <w:rFonts w:hint="default"/>
              </w:rPr>
              <w:t>O</w:t>
            </w:r>
            <w:r>
              <w:rPr>
                <w:rFonts w:hint="default"/>
                <w:vertAlign w:val="subscript"/>
              </w:rPr>
              <w:t>3</w:t>
            </w:r>
            <w:r>
              <w:rPr>
                <w:rFonts w:hint="eastAsia"/>
              </w:rPr>
              <w:t>）、细颗粒物（</w:t>
            </w:r>
            <w:r>
              <w:rPr>
                <w:rFonts w:hint="default"/>
              </w:rPr>
              <w:t>PM</w:t>
            </w:r>
            <w:r>
              <w:rPr>
                <w:rFonts w:hint="default"/>
                <w:vertAlign w:val="subscript"/>
              </w:rPr>
              <w:t>2.5</w:t>
            </w:r>
            <w:r>
              <w:rPr>
                <w:rFonts w:hint="eastAsia"/>
              </w:rPr>
              <w:t>）六项。</w:t>
            </w:r>
          </w:p>
          <w:p>
            <w:pPr>
              <w:pStyle w:val="48"/>
              <w:keepNext w:val="0"/>
              <w:keepLines w:val="0"/>
              <w:suppressLineNumbers w:val="0"/>
              <w:bidi w:val="0"/>
              <w:spacing w:before="0" w:beforeAutospacing="0" w:after="0" w:afterAutospacing="0"/>
              <w:ind w:left="0" w:right="0"/>
              <w:rPr>
                <w:rFonts w:hint="default"/>
              </w:rPr>
            </w:pPr>
            <w:r>
              <w:rPr>
                <w:rFonts w:hint="eastAsia"/>
              </w:rPr>
              <w:t>③监测时间：</w:t>
            </w:r>
            <w:r>
              <w:rPr>
                <w:rFonts w:hint="default"/>
              </w:rPr>
              <w:t>20</w:t>
            </w:r>
            <w:r>
              <w:rPr>
                <w:rFonts w:hint="eastAsia"/>
                <w:lang w:val="en-US" w:eastAsia="zh-CN"/>
              </w:rPr>
              <w:t>24年全年。</w:t>
            </w:r>
          </w:p>
          <w:p>
            <w:pPr>
              <w:pStyle w:val="48"/>
              <w:keepNext w:val="0"/>
              <w:keepLines w:val="0"/>
              <w:suppressLineNumbers w:val="0"/>
              <w:bidi w:val="0"/>
              <w:spacing w:before="0" w:beforeAutospacing="0" w:after="0" w:afterAutospacing="0"/>
              <w:ind w:left="0" w:right="0"/>
              <w:rPr>
                <w:rFonts w:hint="default"/>
              </w:rPr>
            </w:pPr>
            <w:r>
              <w:rPr>
                <w:rFonts w:hint="eastAsia"/>
              </w:rPr>
              <w:t>（</w:t>
            </w:r>
            <w:r>
              <w:rPr>
                <w:rFonts w:hint="default"/>
              </w:rPr>
              <w:t>2</w:t>
            </w:r>
            <w:r>
              <w:rPr>
                <w:rFonts w:hint="eastAsia"/>
              </w:rPr>
              <w:t>）评价标准</w:t>
            </w:r>
          </w:p>
          <w:p>
            <w:pPr>
              <w:pStyle w:val="48"/>
              <w:keepNext w:val="0"/>
              <w:keepLines w:val="0"/>
              <w:suppressLineNumbers w:val="0"/>
              <w:bidi w:val="0"/>
              <w:spacing w:before="0" w:beforeAutospacing="0" w:after="0" w:afterAutospacing="0"/>
              <w:ind w:left="0" w:right="0"/>
              <w:rPr>
                <w:rFonts w:hint="eastAsia"/>
              </w:rPr>
            </w:pPr>
            <w:r>
              <w:rPr>
                <w:rFonts w:hint="eastAsia"/>
              </w:rPr>
              <w:t>项目区属于二类环境空气功能区，评价标准采用环境空气质量执行《环境空气质量标准》（</w:t>
            </w:r>
            <w:r>
              <w:rPr>
                <w:rFonts w:hint="default"/>
              </w:rP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（3）评价方法</w:t>
            </w:r>
          </w:p>
          <w:p>
            <w:pPr>
              <w:pStyle w:val="48"/>
              <w:keepNext w:val="0"/>
              <w:keepLines w:val="0"/>
              <w:suppressLineNumbers w:val="0"/>
              <w:bidi w:val="0"/>
              <w:spacing w:before="0" w:beforeAutospacing="0" w:after="0" w:afterAutospacing="0"/>
              <w:ind w:left="0" w:right="0"/>
              <w:rPr>
                <w:rFonts w:hint="default"/>
              </w:rPr>
            </w:pPr>
            <w:r>
              <w:rPr>
                <w:rFonts w:hint="default"/>
              </w:rPr>
              <w:t>选用占标率进行评价，公式为：</w:t>
            </w:r>
          </w:p>
          <w:p>
            <w:pPr>
              <w:keepNext w:val="0"/>
              <w:keepLines w:val="0"/>
              <w:pageBreakBefore w:val="0"/>
              <w:suppressLineNumbers w:val="0"/>
              <w:kinsoku/>
              <w:wordWrap/>
              <w:overflowPunct/>
              <w:topLinePunct w:val="0"/>
              <w:autoSpaceDE/>
              <w:autoSpaceDN/>
              <w:bidi w:val="0"/>
              <w:spacing w:before="0" w:beforeAutospacing="0" w:after="0" w:afterAutospacing="0" w:line="480" w:lineRule="exact"/>
              <w:ind w:left="0" w:right="0"/>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8"/>
              <w:keepNext w:val="0"/>
              <w:keepLines w:val="0"/>
              <w:suppressLineNumbers w:val="0"/>
              <w:bidi w:val="0"/>
              <w:spacing w:before="0" w:beforeAutospacing="0" w:after="0" w:afterAutospacing="0"/>
              <w:ind w:left="0" w:right="0"/>
              <w:rPr>
                <w:rFonts w:hint="default"/>
              </w:rPr>
            </w:pPr>
            <w:r>
              <w:rPr>
                <w:rFonts w:hint="default"/>
              </w:rPr>
              <w:t>式中，Pi－第i个污染物的质量浓度占标率，%；</w:t>
            </w:r>
          </w:p>
          <w:p>
            <w:pPr>
              <w:pStyle w:val="48"/>
              <w:keepNext w:val="0"/>
              <w:keepLines w:val="0"/>
              <w:suppressLineNumbers w:val="0"/>
              <w:bidi w:val="0"/>
              <w:spacing w:before="0" w:beforeAutospacing="0" w:after="0" w:afterAutospacing="0"/>
              <w:ind w:left="0" w:right="0"/>
              <w:rPr>
                <w:rFonts w:hint="default"/>
              </w:rPr>
            </w:pPr>
            <w:r>
              <w:rPr>
                <w:rFonts w:hint="default"/>
              </w:rPr>
              <w:t>Ci－污染物的浓度，mg/m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rPr>
            </w:pPr>
            <w:r>
              <w:rPr>
                <w:rFonts w:hint="default"/>
              </w:rPr>
              <w:t>Coi－污染物的质量标准，mg/m</w:t>
            </w:r>
            <w:r>
              <w:rPr>
                <w:rFonts w:hint="default"/>
                <w:vertAlign w:val="superscript"/>
              </w:rPr>
              <w:t>3</w:t>
            </w:r>
            <w:r>
              <w:rPr>
                <w:rFonts w:hint="default"/>
              </w:rPr>
              <w:t>（标准状态）。</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（4）评价结果</w:t>
            </w:r>
          </w:p>
          <w:p>
            <w:pPr>
              <w:pStyle w:val="48"/>
              <w:keepNext w:val="0"/>
              <w:keepLines w:val="0"/>
              <w:suppressLineNumbers w:val="0"/>
              <w:bidi w:val="0"/>
              <w:spacing w:before="0" w:beforeAutospacing="0" w:after="0" w:afterAutospacing="0"/>
              <w:ind w:left="0" w:right="0"/>
              <w:rPr>
                <w:rFonts w:hint="default"/>
              </w:rPr>
            </w:pPr>
            <w:r>
              <w:rPr>
                <w:rFonts w:hint="default"/>
              </w:rPr>
              <w:t>评价结果见下表。</w:t>
            </w:r>
          </w:p>
          <w:p>
            <w:pPr>
              <w:pStyle w:val="52"/>
              <w:keepNext w:val="0"/>
              <w:keepLines w:val="0"/>
              <w:suppressLineNumbers w:val="0"/>
              <w:bidi w:val="0"/>
              <w:spacing w:before="0" w:beforeAutospacing="0" w:after="0" w:afterAutospacing="0"/>
              <w:ind w:left="0" w:right="0"/>
              <w:rPr>
                <w:rFonts w:hint="default"/>
                <w:highlight w:val="none"/>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6"/>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2502"/>
              <w:gridCol w:w="1158"/>
              <w:gridCol w:w="1405"/>
              <w:gridCol w:w="939"/>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污染物</w:t>
                  </w:r>
                </w:p>
              </w:tc>
              <w:tc>
                <w:tcPr>
                  <w:tcW w:w="1537" w:type="pct"/>
                  <w:tcBorders>
                    <w:tl2br w:val="nil"/>
                    <w:tr2bl w:val="nil"/>
                  </w:tcBorders>
                  <w:noWrap w:val="0"/>
                  <w:vAlign w:val="center"/>
                </w:tcPr>
                <w:p>
                  <w:pPr>
                    <w:pStyle w:val="52"/>
                    <w:keepNext w:val="0"/>
                    <w:keepLines w:val="0"/>
                    <w:suppressLineNumbers w:val="0"/>
                    <w:bidi w:val="0"/>
                    <w:spacing w:before="0" w:beforeAutospacing="0" w:after="0" w:afterAutospacing="0"/>
                    <w:ind w:left="0" w:right="0"/>
                  </w:pPr>
                  <w:r>
                    <w:rPr>
                      <w:rFonts w:hint="eastAsia"/>
                    </w:rPr>
                    <w:t>评价项目</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t>浓度</w:t>
                  </w:r>
                </w:p>
                <w:p>
                  <w:pPr>
                    <w:pStyle w:val="54"/>
                    <w:keepNext w:val="0"/>
                    <w:keepLines w:val="0"/>
                    <w:suppressLineNumbers w:val="0"/>
                    <w:bidi w:val="0"/>
                    <w:spacing w:before="0" w:beforeAutospacing="0" w:after="0" w:afterAutospacing="0"/>
                    <w:ind w:left="0" w:right="0"/>
                  </w:pP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标准（二级）</w:t>
                  </w: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57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占标率</w:t>
                  </w:r>
                  <w:r>
                    <w:rPr>
                      <w:rFonts w:hint="eastAsia"/>
                      <w:lang w:val="en-US" w:eastAsia="zh-CN"/>
                    </w:rPr>
                    <w:t>%</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eastAsia"/>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SO</w:t>
                  </w:r>
                  <w:r>
                    <w:rPr>
                      <w:rFonts w:hint="eastAsia"/>
                      <w:vertAlign w:val="subscript"/>
                    </w:rPr>
                    <w:t>2</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150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NO</w:t>
                  </w:r>
                  <w:r>
                    <w:rPr>
                      <w:rFonts w:hint="eastAsia"/>
                      <w:vertAlign w:val="subscript"/>
                    </w:rPr>
                    <w:t>2</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40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80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66</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CO</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1000</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rPr>
                    <w:t>4</w:t>
                  </w:r>
                  <w:r>
                    <w:rPr>
                      <w:rFonts w:hint="eastAsia"/>
                      <w:lang w:val="en-US" w:eastAsia="zh-CN"/>
                    </w:rPr>
                    <w:t>000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O</w:t>
                  </w:r>
                  <w:r>
                    <w:rPr>
                      <w:rFonts w:hint="eastAsia"/>
                      <w:vertAlign w:val="subscript"/>
                    </w:rPr>
                    <w:t>3</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最大8小时滑动平均值的第90百分位数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139</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160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10</w:t>
                  </w: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397</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120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331</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4"/>
                    <w:keepNext w:val="0"/>
                    <w:keepLines w:val="0"/>
                    <w:suppressLineNumbers w:val="0"/>
                    <w:bidi w:val="0"/>
                    <w:spacing w:before="0" w:beforeAutospacing="0" w:after="0" w:afterAutospacing="0"/>
                    <w:ind w:left="0" w:right="0"/>
                  </w:pPr>
                  <w:r>
                    <w:rPr>
                      <w:rFonts w:hint="eastAsia"/>
                    </w:rPr>
                    <w:t>PM</w:t>
                  </w:r>
                  <w:r>
                    <w:rPr>
                      <w:rFonts w:hint="eastAsia"/>
                      <w:vertAlign w:val="subscript"/>
                    </w:rPr>
                    <w:t>2.5</w:t>
                  </w: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140</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4"/>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w:t>
                  </w:r>
                </w:p>
              </w:tc>
              <w:tc>
                <w:tcPr>
                  <w:tcW w:w="863"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138</w:t>
                  </w:r>
                </w:p>
              </w:tc>
              <w:tc>
                <w:tcPr>
                  <w:tcW w:w="689" w:type="pct"/>
                  <w:tcBorders>
                    <w:tl2br w:val="nil"/>
                    <w:tr2bl w:val="nil"/>
                  </w:tcBorders>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年平均和</w:t>
            </w:r>
            <w:r>
              <w:rPr>
                <w:rFonts w:hint="eastAsia"/>
                <w:lang w:val="en-US" w:eastAsia="zh-CN"/>
              </w:rPr>
              <w:t>24h平均第95百分位数浓</w:t>
            </w:r>
            <w:r>
              <w:rPr>
                <w:rFonts w:hint="default"/>
                <w:lang w:val="en-US" w:eastAsia="zh-CN"/>
              </w:rPr>
              <w:t>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地表水环境》（HJ2.3-2018）要求，本项目无需开展地表水环境现状调查</w:t>
            </w:r>
            <w:r>
              <w:rPr>
                <w:rFonts w:hint="eastAsia"/>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4.</w:t>
            </w:r>
            <w:r>
              <w:rPr>
                <w:rFonts w:hint="default"/>
              </w:rPr>
              <w:t>声环境质量现状</w:t>
            </w:r>
          </w:p>
          <w:p>
            <w:pPr>
              <w:pStyle w:val="48"/>
              <w:keepNext w:val="0"/>
              <w:keepLines w:val="0"/>
              <w:suppressLineNumbers w:val="0"/>
              <w:bidi w:val="0"/>
              <w:spacing w:before="0" w:beforeAutospacing="0" w:after="0" w:afterAutospacing="0"/>
              <w:ind w:left="0" w:right="0"/>
              <w:rPr>
                <w:rFonts w:hint="default"/>
              </w:rPr>
            </w:pPr>
            <w:r>
              <w:rPr>
                <w:rFonts w:hint="default"/>
              </w:rPr>
              <w:t>根据《建设项目环境影响报告表编制技术指南（污染影响类）（试行）》，</w:t>
            </w:r>
            <w:r>
              <w:rPr>
                <w:rFonts w:hint="eastAsia"/>
                <w:lang w:val="en-US" w:eastAsia="zh-CN"/>
              </w:rPr>
              <w:t>本项目探矿区</w:t>
            </w:r>
            <w:r>
              <w:rPr>
                <w:rFonts w:hint="default"/>
              </w:rPr>
              <w:t>外周边50米范围内不存在声环境保护目标的建设项目，不需要监测声环境质量现状并评价达标情况。</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default" w:ascii="Times New Roman" w:hAnsi="Times New Roman" w:cs="Times New Roman"/>
                <w:sz w:val="24"/>
                <w:highlight w:val="none"/>
                <w:lang w:val="en-US" w:eastAsia="zh-CN"/>
              </w:rPr>
              <w:t>Ⅳ</w:t>
            </w:r>
            <w:r>
              <w:rPr>
                <w:rFonts w:hint="eastAsia" w:cs="Times New Roman"/>
                <w:sz w:val="24"/>
                <w:highlight w:val="none"/>
                <w:lang w:val="en-US" w:eastAsia="zh-CN"/>
              </w:rPr>
              <w:t>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6.土壤环境质量现状</w:t>
            </w:r>
          </w:p>
          <w:p>
            <w:pPr>
              <w:pStyle w:val="48"/>
              <w:keepNext w:val="0"/>
              <w:keepLines w:val="0"/>
              <w:suppressLineNumbers w:val="0"/>
              <w:bidi w:val="0"/>
              <w:spacing w:before="0" w:beforeAutospacing="0" w:after="0" w:afterAutospacing="0"/>
              <w:ind w:left="0" w:right="0"/>
              <w:rPr>
                <w:rFonts w:hint="default"/>
                <w:vertAlign w:val="superscript"/>
                <w:lang w:val="en-US" w:eastAsia="zh-CN"/>
              </w:rPr>
            </w:pPr>
            <w:r>
              <w:rPr>
                <w:rFonts w:hint="default"/>
                <w:lang w:eastAsia="zh-CN"/>
              </w:rPr>
              <w:t>根据《环境影响评价技术导则 土壤环境》（HJ964-2018），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default" w:ascii="Times New Roman" w:hAnsi="Times New Roman" w:cs="Times New Roman"/>
                <w:lang w:eastAsia="zh-CN"/>
              </w:rPr>
              <w:t>Ⅳ类项目，可不开展土壤</w:t>
            </w:r>
            <w:r>
              <w:rPr>
                <w:rFonts w:hint="default" w:ascii="Times New Roman" w:hAnsi="Times New Roman" w:cs="Times New Roman"/>
                <w:lang w:val="en-US" w:eastAsia="zh-CN"/>
              </w:rPr>
              <w:t>现状调查</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bCs/>
                <w:szCs w:val="21"/>
              </w:rPr>
              <w:t>与项目有关的原有环境污染和生态破坏问题</w:t>
            </w:r>
          </w:p>
        </w:tc>
        <w:tc>
          <w:tcPr>
            <w:tcW w:w="8368" w:type="dxa"/>
            <w:noWrap w:val="0"/>
            <w:vAlign w:val="center"/>
          </w:tcPr>
          <w:p>
            <w:pPr>
              <w:keepNext w:val="0"/>
              <w:keepLines w:val="0"/>
              <w:suppressLineNumbers w:val="0"/>
              <w:adjustRightInd w:val="0"/>
              <w:snapToGrid w:val="0"/>
              <w:spacing w:before="0" w:beforeAutospacing="0" w:after="0" w:afterAutospacing="0"/>
              <w:ind w:left="0" w:right="0"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生态环境保护目标</w:t>
            </w:r>
          </w:p>
        </w:tc>
        <w:tc>
          <w:tcPr>
            <w:tcW w:w="8368" w:type="dxa"/>
            <w:noWrap w:val="0"/>
            <w:vAlign w:val="center"/>
          </w:tcPr>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勘探</w:t>
            </w:r>
            <w:r>
              <w:rPr>
                <w:rFonts w:hint="eastAsia"/>
              </w:rPr>
              <w:t>区</w:t>
            </w:r>
            <w:r>
              <w:rPr>
                <w:rFonts w:hint="eastAsia"/>
                <w:lang w:val="en-US" w:eastAsia="zh-CN"/>
              </w:rPr>
              <w:t>位于新疆维吾尔自治区巴音郭楞蒙古自治州和硕县城东北17°方向，直线距离39千米处</w:t>
            </w:r>
            <w:r>
              <w:rPr>
                <w:rFonts w:hint="eastAsia" w:ascii="Times New Roman" w:hAnsi="Times New Roman" w:eastAsia="宋体" w:cs="Times New Roman"/>
                <w:sz w:val="24"/>
                <w:highlight w:val="none"/>
                <w:lang w:val="zh-CN" w:eastAsia="zh-CN"/>
              </w:rPr>
              <w:t>。</w:t>
            </w:r>
            <w:r>
              <w:rPr>
                <w:rFonts w:hint="eastAsia" w:ascii="Times New Roman" w:hAnsi="Times New Roman" w:eastAsia="宋体" w:cs="Times New Roman"/>
                <w:sz w:val="24"/>
                <w:highlight w:val="none"/>
                <w:lang w:val="en-US" w:eastAsia="zh-CN"/>
              </w:rPr>
              <w:t>根据《环境影响评价技术导则 生态影响》（HJ19-2022）</w:t>
            </w:r>
            <w:r>
              <w:rPr>
                <w:rFonts w:hint="eastAsia" w:cs="Times New Roman"/>
                <w:sz w:val="24"/>
                <w:highlight w:val="none"/>
                <w:lang w:val="en-US" w:eastAsia="zh-CN"/>
              </w:rPr>
              <w:t>第6章评价等级及评价范围的判定规则，本项目不在该章节a）、b）、c）、d）、e）、f）</w:t>
            </w:r>
            <w:r>
              <w:rPr>
                <w:rFonts w:hint="default" w:ascii="宋体" w:hAnsi="宋体" w:eastAsia="宋体" w:cs="宋体"/>
                <w:sz w:val="24"/>
                <w:szCs w:val="24"/>
              </w:rPr>
              <w:t>款规定的</w:t>
            </w:r>
            <w:r>
              <w:rPr>
                <w:rFonts w:hint="eastAsia" w:ascii="宋体" w:hAnsi="宋体" w:eastAsia="宋体" w:cs="宋体"/>
                <w:sz w:val="24"/>
                <w:szCs w:val="24"/>
                <w:lang w:val="en-US" w:eastAsia="zh-CN"/>
              </w:rPr>
              <w:t>评价范畴内</w:t>
            </w:r>
            <w:r>
              <w:rPr>
                <w:rFonts w:hint="eastAsia" w:cs="Times New Roman"/>
                <w:sz w:val="24"/>
                <w:highlight w:val="none"/>
                <w:lang w:val="en-US" w:eastAsia="zh-CN"/>
              </w:rPr>
              <w:t>，故生态影响评价等级定为三级，</w:t>
            </w:r>
            <w:r>
              <w:rPr>
                <w:rFonts w:hint="eastAsia" w:ascii="Times New Roman" w:hAnsi="Times New Roman" w:eastAsia="宋体" w:cs="Times New Roman"/>
                <w:sz w:val="24"/>
                <w:highlight w:val="none"/>
                <w:lang w:val="en-US" w:eastAsia="zh-CN"/>
              </w:rPr>
              <w:t>评价范围为项目占地范围内，项目</w:t>
            </w:r>
            <w:r>
              <w:rPr>
                <w:rFonts w:hint="eastAsia" w:cs="Times New Roman"/>
                <w:sz w:val="24"/>
                <w:highlight w:val="none"/>
                <w:lang w:val="en-US" w:eastAsia="zh-CN"/>
              </w:rPr>
              <w:t>占地范围内及</w:t>
            </w:r>
            <w:r>
              <w:rPr>
                <w:rFonts w:hint="eastAsia" w:ascii="Times New Roman" w:hAnsi="Times New Roman" w:eastAsia="宋体" w:cs="Times New Roman"/>
                <w:sz w:val="24"/>
                <w:highlight w:val="none"/>
                <w:lang w:val="en-US" w:eastAsia="zh-CN"/>
              </w:rPr>
              <w:t>沿线不涉及自然保护区、风景名胜</w:t>
            </w:r>
            <w:r>
              <w:rPr>
                <w:rFonts w:hint="eastAsia" w:cs="Times New Roman"/>
                <w:sz w:val="24"/>
                <w:highlight w:val="none"/>
                <w:lang w:val="en-US" w:eastAsia="zh-CN"/>
              </w:rPr>
              <w:t>区、</w:t>
            </w:r>
            <w:r>
              <w:rPr>
                <w:rFonts w:hint="eastAsia" w:ascii="Times New Roman" w:hAnsi="Times New Roman" w:eastAsia="宋体" w:cs="Times New Roman"/>
                <w:sz w:val="24"/>
                <w:highlight w:val="none"/>
                <w:lang w:val="en-US" w:eastAsia="zh-CN"/>
              </w:rPr>
              <w:t>不占基本农田</w:t>
            </w:r>
            <w:r>
              <w:rPr>
                <w:rFonts w:hint="eastAsia" w:cs="Times New Roman"/>
                <w:sz w:val="24"/>
                <w:highlight w:val="none"/>
                <w:lang w:val="en-US" w:eastAsia="zh-CN"/>
              </w:rPr>
              <w:t>、不涉及生态环境保护目标。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kern w:val="0"/>
                <w:szCs w:val="21"/>
              </w:rPr>
            </w:pPr>
            <w:r>
              <w:rPr>
                <w:rFonts w:hint="eastAsia" w:ascii="宋体" w:hAnsi="宋体" w:eastAsia="宋体" w:cs="宋体"/>
                <w:kern w:val="0"/>
                <w:szCs w:val="21"/>
              </w:rPr>
              <w:t>评价标准</w:t>
            </w:r>
          </w:p>
        </w:tc>
        <w:tc>
          <w:tcPr>
            <w:tcW w:w="8368"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1.环境质量标准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（1）环境空气</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环境空气质量执行《环境空气质量标准》（GB3095-20</w:t>
            </w:r>
            <w:r>
              <w:rPr>
                <w:rFonts w:hint="eastAsia"/>
                <w:lang w:val="en-US" w:eastAsia="zh-CN"/>
              </w:rPr>
              <w:t>26</w:t>
            </w:r>
            <w:r>
              <w:rPr>
                <w:rFonts w:hint="default"/>
                <w:lang w:val="en-US" w:eastAsia="zh-CN"/>
              </w:rPr>
              <w:t>）中过渡阶段的二级标准。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（2）声环境</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该项目所在地声环境质量执行《声环境质量标准》（GB3096－2008）2类标准执行，即昼间≤60dB（A），夜间≤50dB（A）。</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lang w:val="en-US" w:eastAsia="zh-CN"/>
              </w:rPr>
              <w:t>污染物排放标准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（1）大气污染物排放标准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1"/>
              <w:gridCol w:w="1900"/>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《大气污染物综合排放标准》（GB16297-1996）中表2</w:t>
                  </w: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勘探期：勘探过程中产生的废气执行《大气污染物综合排放标准》（GB16297-19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337"/>
              <w:gridCol w:w="1826"/>
              <w:gridCol w:w="1378"/>
              <w:gridCol w:w="2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工序</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勘探</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84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mg/m</w:t>
                  </w:r>
                  <w:r>
                    <w:rPr>
                      <w:rFonts w:hint="default"/>
                      <w:vertAlign w:val="superscript"/>
                      <w:lang w:val="en-US" w:eastAsia="zh-CN"/>
                    </w:rPr>
                    <w:t>3</w:t>
                  </w:r>
                </w:p>
              </w:tc>
              <w:tc>
                <w:tcPr>
                  <w:tcW w:w="167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非道路移动机械烟气</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CO</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3.5</w:t>
                  </w:r>
                </w:p>
              </w:tc>
              <w:tc>
                <w:tcPr>
                  <w:tcW w:w="846"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g/kWh</w:t>
                  </w:r>
                </w:p>
              </w:tc>
              <w:tc>
                <w:tcPr>
                  <w:tcW w:w="1679"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HC</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HC+NO</w:t>
                  </w:r>
                  <w:r>
                    <w:rPr>
                      <w:rFonts w:hint="eastAsia"/>
                      <w:vertAlign w:val="subscript"/>
                    </w:rPr>
                    <w:t>X</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6.4</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PM</w:t>
                  </w:r>
                </w:p>
              </w:tc>
              <w:tc>
                <w:tcPr>
                  <w:tcW w:w="1121"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0.20</w:t>
                  </w:r>
                </w:p>
              </w:tc>
              <w:tc>
                <w:tcPr>
                  <w:tcW w:w="84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（2）废水排放标准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生活污水排入一体化污水处理设施后，其出水标准执行《农村生活污水处理排放标准》（DB654275-2019）表2中A级标准。</w:t>
            </w:r>
          </w:p>
          <w:p>
            <w:pPr>
              <w:pStyle w:val="52"/>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表3-8    生活污水污染物排放限值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601"/>
              <w:gridCol w:w="1628"/>
              <w:gridCol w:w="1591"/>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污染物</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A级</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B级</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pH值</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化学需氧量，mg/L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180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悬浮物，mg/L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粪大肠菌群，MPN/L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10000</w:t>
                  </w:r>
                </w:p>
              </w:tc>
              <w:tc>
                <w:tcPr>
                  <w:tcW w:w="1884" w:type="pct"/>
                  <w:gridSpan w:val="2"/>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蛔虫卵个数，个/L</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噪声排放标准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施工期和勘探期噪声排放限值执行《建筑施工噪声排放标准》（GB12523-20</w:t>
            </w:r>
            <w:r>
              <w:rPr>
                <w:rFonts w:hint="eastAsia"/>
                <w:lang w:val="en-US" w:eastAsia="zh-CN"/>
              </w:rPr>
              <w:t>25</w:t>
            </w:r>
            <w:r>
              <w:rPr>
                <w:rFonts w:hint="default"/>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（4）固体废弃物</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5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rPr>
            </w:pPr>
            <w:r>
              <w:rPr>
                <w:rFonts w:hint="eastAsia" w:ascii="宋体" w:hAnsi="宋体" w:cs="宋体"/>
                <w:kern w:val="0"/>
                <w:szCs w:val="21"/>
              </w:rPr>
              <w:t>其他</w:t>
            </w:r>
          </w:p>
        </w:tc>
        <w:tc>
          <w:tcPr>
            <w:tcW w:w="8368" w:type="dxa"/>
            <w:noWrap w:val="0"/>
            <w:vAlign w:val="center"/>
          </w:tcPr>
          <w:p>
            <w:pPr>
              <w:pStyle w:val="48"/>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2"/>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5"/>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bookmarkStart w:id="3" w:name="_Hlk49796138"/>
            <w:r>
              <w:rPr>
                <w:rFonts w:hint="eastAsia" w:cs="宋体"/>
                <w:bCs/>
                <w:spacing w:val="10"/>
                <w:kern w:val="2"/>
                <w:sz w:val="21"/>
                <w:szCs w:val="21"/>
              </w:rPr>
              <w:t>施工期生态环境影响分析</w:t>
            </w:r>
            <w:bookmarkEnd w:id="3"/>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为临时营地的搭建</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项目施工期建设主要为临时生活营地的修筑，占地面积共计100m</w:t>
            </w:r>
            <w:r>
              <w:rPr>
                <w:rFonts w:hint="eastAsia"/>
                <w:vertAlign w:val="superscript"/>
                <w:lang w:val="en-US" w:eastAsia="zh-CN"/>
              </w:rPr>
              <w:t>2</w:t>
            </w:r>
            <w:r>
              <w:rPr>
                <w:rFonts w:hint="eastAsia"/>
                <w:lang w:val="en-US" w:eastAsia="zh-CN"/>
              </w:rPr>
              <w:t>，为临时占地。临时占地会改变土地原有使用功能，造成资源浪费，临时构筑物的压占会造成剥离后的表层土壤过于紧实，降低土壤的通透性和渗水性，对土壤环境、动植物以及区域景观生态产生不利的影响。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1.3对植物的影响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color w:val="auto"/>
                <w:lang w:val="en-US" w:eastAsia="zh-CN"/>
              </w:rPr>
              <w:t>本项目占地性质属于临时占地，</w:t>
            </w:r>
            <w:r>
              <w:rPr>
                <w:rFonts w:hint="eastAsia"/>
                <w:color w:val="auto"/>
                <w:highlight w:val="none"/>
                <w:lang w:val="en-US" w:eastAsia="zh-CN"/>
              </w:rPr>
              <w:t>土地利用类型为低覆盖度草地，中覆盖度草地和裸岩石砾地</w:t>
            </w:r>
            <w:r>
              <w:rPr>
                <w:rFonts w:hint="default"/>
                <w:color w:val="auto"/>
                <w:highlight w:val="none"/>
                <w:lang w:val="en-US" w:eastAsia="zh-CN"/>
              </w:rPr>
              <w:t>。</w:t>
            </w:r>
            <w:r>
              <w:rPr>
                <w:rFonts w:hint="eastAsia"/>
                <w:color w:val="auto"/>
                <w:highlight w:val="none"/>
                <w:lang w:val="en-US" w:eastAsia="zh-CN"/>
              </w:rPr>
              <w:t>项目区</w:t>
            </w:r>
            <w:r>
              <w:rPr>
                <w:rFonts w:hint="default"/>
                <w:color w:val="auto"/>
                <w:highlight w:val="none"/>
                <w:lang w:val="en-US" w:eastAsia="zh-CN"/>
              </w:rPr>
              <w:t>主要植物为</w:t>
            </w:r>
            <w:r>
              <w:rPr>
                <w:rFonts w:hint="eastAsia"/>
                <w:color w:val="auto"/>
                <w:highlight w:val="none"/>
                <w:lang w:val="en-US" w:eastAsia="zh-CN"/>
              </w:rPr>
              <w:t>沙拐枣、骆驼刺、白皮锦鸡儿和针茅</w:t>
            </w:r>
            <w:r>
              <w:rPr>
                <w:rFonts w:hint="default"/>
                <w:color w:val="auto"/>
                <w:lang w:val="en-US" w:eastAsia="zh-CN"/>
              </w:rPr>
              <w:t>。施工过程中施工机械的碾压、建筑材料的占</w:t>
            </w:r>
            <w:r>
              <w:rPr>
                <w:rFonts w:hint="default"/>
                <w:lang w:val="en-US" w:eastAsia="zh-CN"/>
              </w:rPr>
              <w:t>压、施工人员踩踏以及建筑物基础等都将不可避免对占地区域植被造成破坏性的影响。施工活动致使项目区转化为人工裸地，导致植被生产能力下降，植被覆盖度降低。</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1.4对动物的影响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1.6对区域沙化土地的影响分析</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区属于非沙化土地，施工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1.7对水土流失的影响分析</w:t>
            </w:r>
          </w:p>
          <w:p>
            <w:pPr>
              <w:pStyle w:val="65"/>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区水土流失情况为微度和轻度，水土流失类型包括水力侵蚀，风力侵蚀和冻融侵蚀。平整场地时将原有的表土结构完全破坏，使得具有肥力和保水保肥能力的表层土壤被剥离。搭建临时设施时，材料堆放、人员及机械的往来走动，进一步加剧了土壤的紧实度，给后续植被的扎根、生长带来了极大困难，使地表失去植被的有效保护，进而加剧水土流失。</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2.大气污染物影响分析</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（1）车辆行驶</w:t>
            </w:r>
            <w:r>
              <w:rPr>
                <w:rFonts w:hint="eastAsia"/>
              </w:rPr>
              <w:t>扬尘</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drawing>
                <wp:anchor distT="0" distB="0" distL="114300" distR="114300" simplePos="0" relativeHeight="251660288" behindDoc="1" locked="0" layoutInCell="1" allowOverlap="1">
                  <wp:simplePos x="0" y="0"/>
                  <wp:positionH relativeFrom="column">
                    <wp:posOffset>1379855</wp:posOffset>
                  </wp:positionH>
                  <wp:positionV relativeFrom="paragraph">
                    <wp:posOffset>8255</wp:posOffset>
                  </wp:positionV>
                  <wp:extent cx="2246630" cy="448310"/>
                  <wp:effectExtent l="0" t="0" r="1270" b="0"/>
                  <wp:wrapTight wrapText="bothSides">
                    <wp:wrapPolygon>
                      <wp:start x="0" y="0"/>
                      <wp:lineTo x="0" y="20407"/>
                      <wp:lineTo x="21429" y="20407"/>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7"/>
                          <a:stretch>
                            <a:fillRect/>
                          </a:stretch>
                        </pic:blipFill>
                        <pic:spPr>
                          <a:xfrm>
                            <a:off x="0" y="0"/>
                            <a:ext cx="2246630" cy="448310"/>
                          </a:xfrm>
                          <a:prstGeom prst="rect">
                            <a:avLst/>
                          </a:prstGeom>
                          <a:noFill/>
                          <a:ln>
                            <a:noFill/>
                          </a:ln>
                        </pic:spPr>
                      </pic:pic>
                    </a:graphicData>
                  </a:graphic>
                </wp:anchor>
              </w:drawing>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式中：Q—汽车行驶的扬尘，kg/km·辆；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V—汽车速度，km/hr；</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W—汽车载重量，t；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（2）施工机械尾气</w:t>
            </w:r>
          </w:p>
          <w:p>
            <w:pPr>
              <w:pStyle w:val="48"/>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keepNext w:val="0"/>
              <w:keepLines w:val="0"/>
              <w:suppressLineNumbers w:val="0"/>
              <w:bidi w:val="0"/>
              <w:spacing w:before="0" w:beforeAutospacing="0" w:after="0" w:afterAutospacing="0"/>
              <w:ind w:left="0" w:right="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本项目施工期施工废水沉淀后回用，不外排。由于本项目施工时间短，未涉及大规模用水环节，因此产生的生活污水排入一体化污水处理设施处理达标后，用于洒水绿化，不外排</w:t>
            </w:r>
            <w:r>
              <w:rPr>
                <w:rFonts w:hint="eastAsia"/>
                <w:shd w:val="clear" w:color="auto" w:fill="auto"/>
                <w:lang w:val="en-US" w:eastAsia="zh-CN"/>
              </w:rPr>
              <w:t>，</w:t>
            </w:r>
            <w:r>
              <w:rPr>
                <w:rFonts w:hint="eastAsia"/>
                <w:lang w:val="en-US" w:eastAsia="zh-CN"/>
              </w:rPr>
              <w:t>不会对周边水环境造成影响。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keepNext w:val="0"/>
              <w:keepLines w:val="0"/>
              <w:suppressLineNumbers w:val="0"/>
              <w:bidi w:val="0"/>
              <w:spacing w:before="0" w:beforeAutospacing="0" w:after="0" w:afterAutospacing="0"/>
              <w:ind w:left="0" w:right="0"/>
              <w:rPr>
                <w:rFonts w:hint="default"/>
              </w:rPr>
            </w:pPr>
            <w:r>
              <w:rPr>
                <w:rFonts w:hint="eastAsia"/>
              </w:rPr>
              <w:t>施工噪声可近似视为点声源处理，其衰减模式如下：</w:t>
            </w:r>
          </w:p>
          <w:p>
            <w:pPr>
              <w:pStyle w:val="48"/>
              <w:keepNext w:val="0"/>
              <w:keepLines w:val="0"/>
              <w:suppressLineNumbers w:val="0"/>
              <w:bidi w:val="0"/>
              <w:spacing w:before="0" w:beforeAutospacing="0" w:after="0" w:afterAutospacing="0"/>
              <w:ind w:left="0" w:right="0"/>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eastAsia" w:eastAsia="宋体"/>
                <w:lang w:eastAsia="zh-CN"/>
              </w:rPr>
            </w:pPr>
            <w:r>
              <w:rPr>
                <w:rFonts w:hint="eastAsia"/>
              </w:rPr>
              <w:t>ro——Lpo噪声的测点距离（1m），m</w:t>
            </w:r>
            <w:r>
              <w:rPr>
                <w:rFonts w:hint="eastAsia"/>
                <w:lang w:eastAsia="zh-CN"/>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施工期主要噪声源主要为</w:t>
            </w:r>
            <w:r>
              <w:rPr>
                <w:rFonts w:hint="eastAsia"/>
                <w:lang w:val="en-US" w:eastAsia="zh-CN"/>
              </w:rPr>
              <w:t>挖掘机、推土机等</w:t>
            </w:r>
            <w:r>
              <w:rPr>
                <w:rFonts w:hint="eastAsia"/>
              </w:rPr>
              <w:t>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rPr>
              <w:t>施工噪声预测结果及分析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1</w:t>
            </w:r>
            <w:r>
              <w:rPr>
                <w:rFonts w:hint="default"/>
              </w:rPr>
              <w:t xml:space="preserve"> </w:t>
            </w:r>
            <w:r>
              <w:rPr>
                <w:rFonts w:hint="eastAsia"/>
                <w:lang w:val="en-US" w:eastAsia="zh-CN"/>
              </w:rPr>
              <w:t xml:space="preserve"> </w:t>
            </w:r>
            <w:r>
              <w:rPr>
                <w:rFonts w:hint="default"/>
              </w:rPr>
              <w:t xml:space="preserve">  项目主要</w:t>
            </w:r>
            <w:r>
              <w:rPr>
                <w:rFonts w:hint="eastAsia"/>
              </w:rPr>
              <w:t>施工机械在不同距离处的噪声预测值</w:t>
            </w: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7039" w:type="dxa"/>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57"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推土机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8</w:t>
                  </w:r>
                  <w:r>
                    <w:rPr>
                      <w:rFonts w:hint="eastAsia"/>
                      <w:lang w:val="en-US" w:eastAsia="zh-CN"/>
                    </w:rPr>
                    <w:t>3</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77.0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71.0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63.0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57.0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53.5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51.0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47.4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挖掘机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运输车辆</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rPr>
              <w:t>本项目夜间不开展施工作业</w:t>
            </w:r>
            <w:r>
              <w:rPr>
                <w:rFonts w:hint="eastAsia"/>
                <w:lang w:eastAsia="zh-CN"/>
              </w:rPr>
              <w:t>，</w:t>
            </w:r>
            <w:r>
              <w:rPr>
                <w:rFonts w:hint="default"/>
              </w:rPr>
              <w:t>单台施工机械在</w:t>
            </w:r>
            <w:r>
              <w:rPr>
                <w:rFonts w:hint="eastAsia"/>
                <w:lang w:val="en-US" w:eastAsia="zh-CN"/>
              </w:rPr>
              <w:t>50</w:t>
            </w:r>
            <w:r>
              <w:rPr>
                <w:rFonts w:hint="default"/>
              </w:rPr>
              <w:t>米范围外的噪声值均符合《</w:t>
            </w:r>
            <w:r>
              <w:rPr>
                <w:rFonts w:hint="eastAsia"/>
                <w:lang w:eastAsia="zh-CN"/>
              </w:rPr>
              <w:t>建筑施工噪声排放标准</w:t>
            </w:r>
            <w:r>
              <w:rPr>
                <w:rFonts w:hint="default"/>
              </w:rPr>
              <w:t>》（GB12523－2025）</w:t>
            </w:r>
            <w:r>
              <w:rPr>
                <w:rFonts w:hint="default"/>
                <w:lang w:val="en-US" w:eastAsia="zh-CN"/>
              </w:rPr>
              <w:t>中施工噪声要求</w:t>
            </w:r>
            <w:r>
              <w:rPr>
                <w:rFonts w:hint="eastAsia"/>
                <w:lang w:val="en-US" w:eastAsia="zh-CN"/>
              </w:rPr>
              <w:t>，昼间限值为70dB(A)</w:t>
            </w:r>
            <w:r>
              <w:rPr>
                <w:rFonts w:hint="default"/>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5.固体废物影响分析</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根据工程分析，项目土石方仅产生于生活营地场地平整，开挖土石方临时堆存并采用防尘彩布全覆盖苫盖；施工结束后全部土石方就地回填、场地整平，实现土石方内部平衡、无弃土外运，可有效防控水土流失，土石方工程对周边环境影响较小。</w:t>
            </w:r>
          </w:p>
          <w:p>
            <w:pPr>
              <w:pStyle w:val="48"/>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6</w:t>
            </w:r>
            <w:r>
              <w:rPr>
                <w:rFonts w:hint="default"/>
              </w:rPr>
              <w:t>人计，</w:t>
            </w:r>
            <w:r>
              <w:rPr>
                <w:rFonts w:hint="eastAsia"/>
                <w:lang w:val="en-US" w:eastAsia="zh-CN"/>
              </w:rPr>
              <w:t>施工期约6</w:t>
            </w:r>
            <w:r>
              <w:rPr>
                <w:rFonts w:hint="eastAsia"/>
                <w:highlight w:val="none"/>
                <w:lang w:val="en-US" w:eastAsia="zh-CN"/>
              </w:rPr>
              <w:t>d，则</w:t>
            </w:r>
            <w:r>
              <w:rPr>
                <w:rFonts w:hint="default"/>
                <w:highlight w:val="none"/>
              </w:rPr>
              <w:t>生活垃圾产生量为</w:t>
            </w:r>
            <w:r>
              <w:rPr>
                <w:rFonts w:hint="eastAsia"/>
                <w:highlight w:val="none"/>
                <w:lang w:val="en-US" w:eastAsia="zh-CN"/>
              </w:rPr>
              <w:t>0.018</w:t>
            </w:r>
            <w:r>
              <w:rPr>
                <w:rFonts w:hint="default"/>
                <w:highlight w:val="none"/>
              </w:rPr>
              <w:t>t。</w:t>
            </w:r>
          </w:p>
          <w:p>
            <w:pPr>
              <w:pStyle w:val="48"/>
              <w:keepNext w:val="0"/>
              <w:keepLines w:val="0"/>
              <w:suppressLineNumbers w:val="0"/>
              <w:bidi w:val="0"/>
              <w:spacing w:before="0" w:beforeAutospacing="0" w:after="0" w:afterAutospacing="0"/>
              <w:ind w:left="0" w:right="0"/>
              <w:rPr>
                <w:rFonts w:hint="default"/>
                <w:shd w:val="clear" w:color="auto" w:fill="auto"/>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送至和硕县垃圾填埋场。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8522" w:type="dxa"/>
            <w:noWrap w:val="0"/>
            <w:vAlign w:val="top"/>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1.1占地影响</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20" w:lineRule="exact"/>
              <w:ind w:left="0" w:right="0"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和临时堆场，均为临时占地。勘探场地和临时堆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1.2土壤环境的影响</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（1）</w:t>
            </w:r>
            <w:r>
              <w:rPr>
                <w:rFonts w:hint="eastAsia"/>
              </w:rPr>
              <w:t>槽探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本次勘探槽探总工作量</w:t>
            </w:r>
            <w:r>
              <w:rPr>
                <w:rFonts w:hint="eastAsia"/>
                <w:lang w:val="en-US" w:eastAsia="zh-CN"/>
              </w:rPr>
              <w:t>为300</w:t>
            </w:r>
            <w:r>
              <w:rPr>
                <w:rFonts w:hint="eastAsia"/>
              </w:rPr>
              <w:t>m</w:t>
            </w:r>
            <w:r>
              <w:rPr>
                <w:rFonts w:hint="eastAsia"/>
                <w:vertAlign w:val="superscript"/>
                <w:lang w:val="en-US" w:eastAsia="zh-CN"/>
              </w:rPr>
              <w:t>3</w:t>
            </w:r>
            <w:r>
              <w:rPr>
                <w:rFonts w:hint="eastAsia"/>
                <w:lang w:eastAsia="zh-CN"/>
              </w:rPr>
              <w:t>，</w:t>
            </w:r>
            <w:r>
              <w:rPr>
                <w:rFonts w:hint="eastAsia"/>
                <w:lang w:val="en-US" w:eastAsia="zh-CN"/>
              </w:rPr>
              <w:t>占地面积为150</w:t>
            </w:r>
            <w:r>
              <w:rPr>
                <w:rFonts w:hint="eastAsia"/>
              </w:rPr>
              <w:t>m</w:t>
            </w:r>
            <w:r>
              <w:rPr>
                <w:rFonts w:hint="eastAsia"/>
                <w:vertAlign w:val="superscript"/>
                <w:lang w:val="en-US" w:eastAsia="zh-CN"/>
              </w:rPr>
              <w:t>2</w:t>
            </w:r>
            <w:r>
              <w:rPr>
                <w:rFonts w:hint="eastAsia"/>
                <w:lang w:eastAsia="zh-CN"/>
              </w:rPr>
              <w:t>，</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eastAsia"/>
                <w:lang w:val="en-US" w:eastAsia="zh-CN"/>
              </w:rPr>
              <w:t>钻</w:t>
            </w:r>
            <w:r>
              <w:rPr>
                <w:rFonts w:hint="eastAsia"/>
              </w:rPr>
              <w:t>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eastAsia="zh-CN"/>
              </w:rPr>
              <w:t>临时</w:t>
            </w:r>
            <w:r>
              <w:rPr>
                <w:rFonts w:hint="eastAsia"/>
                <w:lang w:val="en-US" w:eastAsia="zh-CN"/>
              </w:rPr>
              <w:t>堆场</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本次探矿勘探不设置固定堆渣场</w:t>
            </w:r>
            <w:r>
              <w:rPr>
                <w:rFonts w:hint="default"/>
              </w:rP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占地约300m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1.3动植物的影响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本项目占地性质属于临时占地，植被稀疏，主要植物为</w:t>
            </w:r>
            <w:r>
              <w:rPr>
                <w:rFonts w:hint="eastAsia"/>
                <w:lang w:val="en-US" w:eastAsia="zh-CN"/>
              </w:rPr>
              <w:t>沙拐枣、骆驼刺、白皮锦鸡儿和针茅</w:t>
            </w:r>
            <w:r>
              <w:rPr>
                <w:rFonts w:hint="default"/>
                <w:lang w:val="en-US" w:eastAsia="zh-CN"/>
              </w:rPr>
              <w:t>，</w:t>
            </w:r>
            <w:r>
              <w:rPr>
                <w:rFonts w:hint="eastAsia"/>
                <w:lang w:val="en-US" w:eastAsia="zh-CN"/>
              </w:rPr>
              <w:t>项目区植被大部分较为稀疏</w:t>
            </w:r>
            <w:r>
              <w:rPr>
                <w:rFonts w:hint="default"/>
                <w:lang w:val="en-US" w:eastAsia="zh-CN"/>
              </w:rPr>
              <w:t>。勘探过程中的车辆行驶、设备安装等活动会直接碾压、铲除植被，导致植被数量进一步减少。</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区域内各种野生动物经过长期的适应已形成较稳定的取食、饮水、栖息活动范围和分布，勘探过程中的槽探和地面建设占地将使原有的野生动物的分布、栖息活动范围受到压缩。</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lang w:val="en-US" w:eastAsia="zh-CN"/>
              </w:rPr>
              <w:t>从生物损失量分析：</w:t>
            </w:r>
            <w:r>
              <w:rPr>
                <w:rFonts w:hint="eastAsia"/>
                <w:lang w:val="en-US" w:eastAsia="zh-CN"/>
              </w:rPr>
              <w:t>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施工期和勘探期临时占地总面积为660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0.026t。在勘探结束后，利用之前收集的表土对临时占用的土地进行覆土。对勘探场地进行回填、进行迹地清理平整，区域生态将逐步恢复。</w:t>
            </w:r>
          </w:p>
          <w:p>
            <w:pPr>
              <w:pStyle w:val="6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过程中会改变野生动物的行为模式。许多动物对环境变化极为敏感，施工区域周边原本活动的野生动物，会因勘探作业产生的震动和噪声，而选择主动避开该区域。</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1.4</w:t>
            </w:r>
            <w:r>
              <w:rPr>
                <w:rFonts w:hint="default"/>
              </w:rPr>
              <w:t>自然景观影响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Style w:val="51"/>
                <w:rFonts w:hint="eastAsia"/>
                <w:b/>
                <w:lang w:val="en-US" w:eastAsia="zh-CN"/>
              </w:rPr>
              <w:t>1.5土地沙化的影响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；钻探、槽探等勘查活动产生大量堆土，在风力作用下，细小颗粒被吹扬，增加空气中沙尘含量，同时周边土壤被侵蚀，导致土地沙化范围扩大。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1.6水土流失的影响</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项目勘查</w:t>
            </w:r>
            <w:r>
              <w:rPr>
                <w:rFonts w:hint="eastAsia"/>
              </w:rPr>
              <w:t>过程中，</w:t>
            </w:r>
            <w:r>
              <w:rPr>
                <w:rFonts w:hint="eastAsia"/>
                <w:lang w:eastAsia="zh-CN"/>
              </w:rPr>
              <w:t>钻探、</w:t>
            </w:r>
            <w:r>
              <w:rPr>
                <w:rFonts w:hint="eastAsia"/>
                <w:lang w:val="en-US" w:eastAsia="zh-CN"/>
              </w:rPr>
              <w:t>槽</w:t>
            </w:r>
            <w:r>
              <w:rPr>
                <w:rFonts w:hint="eastAsia"/>
                <w:lang w:eastAsia="zh-CN"/>
              </w:rPr>
              <w:t>探等勘查作业会产生大量的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keepNext w:val="0"/>
              <w:keepLines w:val="0"/>
              <w:suppressLineNumbers w:val="0"/>
              <w:bidi w:val="0"/>
              <w:spacing w:before="0" w:beforeAutospacing="0" w:after="0" w:afterAutospacing="0"/>
              <w:ind w:left="0" w:right="0"/>
              <w:rPr>
                <w:rFonts w:hint="eastAsia"/>
              </w:rPr>
            </w:pPr>
            <w:r>
              <w:rPr>
                <w:rFonts w:hint="eastAsia"/>
                <w:lang w:val="en-US" w:eastAsia="zh-CN"/>
              </w:rPr>
              <w:t>2.1勘探过程中产生的</w:t>
            </w:r>
            <w:r>
              <w:rPr>
                <w:rFonts w:hint="eastAsia"/>
              </w:rPr>
              <w:t>扬尘</w:t>
            </w:r>
          </w:p>
          <w:p>
            <w:pPr>
              <w:pStyle w:val="48"/>
              <w:keepNext w:val="0"/>
              <w:keepLines w:val="0"/>
              <w:suppressLineNumbers w:val="0"/>
              <w:bidi w:val="0"/>
              <w:spacing w:before="0" w:beforeAutospacing="0" w:after="0" w:afterAutospacing="0"/>
              <w:ind w:left="0" w:right="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2.2燃油废气</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keepNext w:val="0"/>
              <w:keepLines w:val="0"/>
              <w:suppressLineNumbers w:val="0"/>
              <w:bidi w:val="0"/>
              <w:spacing w:before="0" w:beforeAutospacing="0" w:after="0" w:afterAutospacing="0"/>
              <w:ind w:left="0" w:right="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keepNext w:val="0"/>
              <w:keepLines w:val="0"/>
              <w:suppressLineNumbers w:val="0"/>
              <w:bidi w:val="0"/>
              <w:spacing w:before="0" w:beforeAutospacing="0" w:after="0" w:afterAutospacing="0"/>
              <w:ind w:left="0" w:right="0"/>
              <w:rPr>
                <w:rFonts w:hint="default"/>
              </w:rPr>
            </w:pPr>
            <w:r>
              <w:rPr>
                <w:rFonts w:hint="eastAsia"/>
              </w:rPr>
              <w:t>探矿期间将在营地内布置柴油发电机供生活用电。钻机及泥浆泵动力均来自柴油机，发电机及动力机工作期间油料燃烧将排放少量的尾气。</w:t>
            </w:r>
            <w:r>
              <w:rPr>
                <w:rFonts w:hint="eastAsia"/>
                <w:lang w:val="en-US" w:eastAsia="zh-CN"/>
              </w:rPr>
              <w:t>勘探</w:t>
            </w:r>
            <w:r>
              <w:rPr>
                <w:rFonts w:hint="default"/>
              </w:rPr>
              <w:t>机械设备燃烧燃油过程中将产生CO、NOx、SO</w:t>
            </w:r>
            <w:r>
              <w:rPr>
                <w:rFonts w:hint="default"/>
                <w:vertAlign w:val="subscript"/>
              </w:rPr>
              <w:t>2</w:t>
            </w:r>
            <w:r>
              <w:rPr>
                <w:rFonts w:hint="default"/>
              </w:rPr>
              <w:t>、碳氢化合物污染物。</w:t>
            </w:r>
          </w:p>
          <w:p>
            <w:pPr>
              <w:pStyle w:val="48"/>
              <w:keepNext w:val="0"/>
              <w:keepLines w:val="0"/>
              <w:suppressLineNumbers w:val="0"/>
              <w:bidi w:val="0"/>
              <w:spacing w:before="0" w:beforeAutospacing="0" w:after="0" w:afterAutospacing="0"/>
              <w:ind w:left="0" w:right="0"/>
              <w:rPr>
                <w:rFonts w:hint="eastAsia"/>
              </w:rPr>
            </w:pPr>
            <w:r>
              <w:rPr>
                <w:rFonts w:hint="eastAsia"/>
              </w:rPr>
              <w:t>探矿期内使用柴油量约</w:t>
            </w:r>
            <w:r>
              <w:rPr>
                <w:rFonts w:hint="eastAsia"/>
                <w:highlight w:val="none"/>
                <w:lang w:val="en-US" w:eastAsia="zh-CN"/>
              </w:rPr>
              <w:t>2</w:t>
            </w:r>
            <w:r>
              <w:rPr>
                <w:rFonts w:hint="eastAsia"/>
                <w:highlight w:val="none"/>
              </w:rPr>
              <w:t>t</w:t>
            </w:r>
            <w:r>
              <w:rPr>
                <w:rFonts w:hint="eastAsia"/>
              </w:rPr>
              <w:t>，</w:t>
            </w:r>
            <w:r>
              <w:rPr>
                <w:rFonts w:hint="eastAsia"/>
                <w:lang w:val="en-US" w:eastAsia="zh-CN"/>
              </w:rPr>
              <w:t>参照同类项目，</w:t>
            </w:r>
            <w:r>
              <w:rPr>
                <w:rFonts w:hint="default"/>
              </w:rPr>
              <w:t>柴油燃烧排放有害气体量详见</w:t>
            </w:r>
            <w:r>
              <w:rPr>
                <w:rFonts w:hint="eastAsia"/>
                <w:lang w:val="en-US" w:eastAsia="zh-CN"/>
              </w:rPr>
              <w:t>下</w:t>
            </w:r>
            <w:r>
              <w:rPr>
                <w:rFonts w:hint="eastAsia"/>
              </w:rPr>
              <w:t>表</w:t>
            </w:r>
            <w:r>
              <w:rPr>
                <w:rFonts w:hint="default"/>
              </w:rPr>
              <w:t>。</w:t>
            </w:r>
          </w:p>
          <w:p>
            <w:pPr>
              <w:pStyle w:val="52"/>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 xml:space="preserve">4-2    </w:t>
            </w:r>
            <w:r>
              <w:rPr>
                <w:rFonts w:hint="eastAsia"/>
              </w:rPr>
              <w:t>柴油排放的有害物质表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495"/>
              <w:gridCol w:w="1631"/>
              <w:gridCol w:w="1344"/>
              <w:gridCol w:w="1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有害物质</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SO</w:t>
                  </w:r>
                  <w:r>
                    <w:rPr>
                      <w:rFonts w:hint="default"/>
                      <w:vertAlign w:val="subscript"/>
                    </w:rPr>
                    <w:t>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CO</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default"/>
                    </w:rPr>
                    <w:t>NO</w:t>
                  </w:r>
                  <w:r>
                    <w:rPr>
                      <w:rFonts w:hint="eastAsia"/>
                      <w:vertAlign w:val="subscript"/>
                      <w:lang w:val="en-US" w:eastAsia="zh-CN"/>
                    </w:rPr>
                    <w:t>X</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排放量（kg</w:t>
                  </w:r>
                  <w:r>
                    <w:rPr>
                      <w:rFonts w:hint="eastAsia"/>
                    </w:rPr>
                    <w:t>/t</w:t>
                  </w:r>
                  <w:r>
                    <w:rPr>
                      <w:rFonts w:hint="default"/>
                    </w:rPr>
                    <w:t>）</w:t>
                  </w:r>
                </w:p>
              </w:tc>
              <w:tc>
                <w:tcPr>
                  <w:tcW w:w="9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3.522</w:t>
                  </w:r>
                </w:p>
              </w:tc>
              <w:tc>
                <w:tcPr>
                  <w:tcW w:w="983"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29.349</w:t>
                  </w:r>
                </w:p>
              </w:tc>
              <w:tc>
                <w:tcPr>
                  <w:tcW w:w="810"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48.263</w:t>
                  </w:r>
                </w:p>
              </w:tc>
              <w:tc>
                <w:tcPr>
                  <w:tcW w:w="1156"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keepNext w:val="0"/>
                    <w:keepLines w:val="0"/>
                    <w:suppressLineNumbers w:val="0"/>
                    <w:bidi w:val="0"/>
                    <w:spacing w:before="0" w:beforeAutospacing="0" w:after="0" w:afterAutospacing="0"/>
                    <w:ind w:left="0" w:right="0"/>
                    <w:rPr>
                      <w:rFonts w:hint="eastAsia"/>
                    </w:rPr>
                  </w:pPr>
                  <w:r>
                    <w:rPr>
                      <w:rFonts w:hint="eastAsia"/>
                    </w:rPr>
                    <w:t>探矿期内</w:t>
                  </w:r>
                  <w:r>
                    <w:rPr>
                      <w:rFonts w:hint="default"/>
                    </w:rPr>
                    <w:t>（kg）</w:t>
                  </w:r>
                </w:p>
              </w:tc>
              <w:tc>
                <w:tcPr>
                  <w:tcW w:w="1495"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7.044</w:t>
                  </w:r>
                </w:p>
              </w:tc>
              <w:tc>
                <w:tcPr>
                  <w:tcW w:w="163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73.3725</w:t>
                  </w:r>
                </w:p>
              </w:tc>
              <w:tc>
                <w:tcPr>
                  <w:tcW w:w="1344"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120.6575</w:t>
                  </w:r>
                </w:p>
              </w:tc>
              <w:tc>
                <w:tcPr>
                  <w:tcW w:w="1918"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12.065</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3.废水环境影响分析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（1）生活污水</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i w:val="0"/>
                <w:iCs w:val="0"/>
                <w:highlight w:val="none"/>
                <w:shd w:val="clear" w:color="auto" w:fill="auto"/>
                <w:lang w:val="en-US" w:eastAsia="zh-CN"/>
              </w:rPr>
            </w:pPr>
            <w:r>
              <w:rPr>
                <w:rFonts w:hint="eastAsia"/>
                <w:highlight w:val="none"/>
              </w:rPr>
              <w:t>本次探矿野外作业人员约</w:t>
            </w:r>
            <w:r>
              <w:rPr>
                <w:rFonts w:hint="eastAsia"/>
                <w:highlight w:val="none"/>
                <w:lang w:val="en-US" w:eastAsia="zh-CN"/>
              </w:rPr>
              <w:t>6</w:t>
            </w:r>
            <w:r>
              <w:rPr>
                <w:rFonts w:hint="eastAsia"/>
                <w:highlight w:val="none"/>
              </w:rPr>
              <w:t>人。勘探人员日常洗漱</w:t>
            </w:r>
            <w:r>
              <w:rPr>
                <w:rFonts w:hint="eastAsia"/>
                <w:highlight w:val="none"/>
                <w:lang w:val="en-US" w:eastAsia="zh-CN"/>
              </w:rPr>
              <w:t>和</w:t>
            </w:r>
            <w:r>
              <w:rPr>
                <w:rFonts w:hint="eastAsia"/>
                <w:highlight w:val="none"/>
              </w:rPr>
              <w:t>生活所产生的污水间断排放，主要含COD、BOD</w:t>
            </w:r>
            <w:r>
              <w:rPr>
                <w:rFonts w:hint="eastAsia"/>
                <w:highlight w:val="none"/>
                <w:vertAlign w:val="subscript"/>
              </w:rPr>
              <w:t>5</w:t>
            </w:r>
            <w:r>
              <w:rPr>
                <w:rFonts w:hint="eastAsia"/>
                <w:highlight w:val="none"/>
              </w:rPr>
              <w:t>、SS等污染物</w:t>
            </w:r>
            <w:r>
              <w:rPr>
                <w:rFonts w:hint="eastAsia"/>
                <w:highlight w:val="none"/>
                <w:lang w:eastAsia="zh-CN"/>
              </w:rPr>
              <w:t>，</w:t>
            </w:r>
            <w:r>
              <w:rPr>
                <w:rFonts w:hint="eastAsia"/>
                <w:lang w:val="en-US" w:eastAsia="zh-CN"/>
              </w:rPr>
              <w:t>勘探期为30d，则本项目勘探期</w:t>
            </w:r>
            <w:r>
              <w:rPr>
                <w:rFonts w:hint="eastAsia"/>
                <w:highlight w:val="none"/>
              </w:rPr>
              <w:t>生活污水</w:t>
            </w:r>
            <w:r>
              <w:rPr>
                <w:rFonts w:hint="eastAsia"/>
                <w:highlight w:val="none"/>
                <w:lang w:val="en-US" w:eastAsia="zh-CN"/>
              </w:rPr>
              <w:t>排放量为4.32</w:t>
            </w:r>
            <w:r>
              <w:rPr>
                <w:rFonts w:hint="eastAsia"/>
                <w:highlight w:val="none"/>
              </w:rPr>
              <w:t>m</w:t>
            </w:r>
            <w:r>
              <w:rPr>
                <w:rFonts w:hint="eastAsia"/>
                <w:highlight w:val="none"/>
                <w:vertAlign w:val="superscript"/>
              </w:rPr>
              <w:t>3</w:t>
            </w:r>
            <w:r>
              <w:rPr>
                <w:rFonts w:hint="eastAsia"/>
                <w:highlight w:val="none"/>
              </w:rPr>
              <w:t>。生活污水包括粪便污水</w:t>
            </w:r>
            <w:r>
              <w:rPr>
                <w:rFonts w:hint="eastAsia"/>
                <w:highlight w:val="none"/>
                <w:lang w:val="en-US" w:eastAsia="zh-CN"/>
              </w:rPr>
              <w:t>和洗漱用水</w:t>
            </w:r>
            <w:r>
              <w:rPr>
                <w:rFonts w:hint="eastAsia"/>
                <w:highlight w:val="none"/>
              </w:rPr>
              <w:t>等，类比一般生活污水污染物产生浓度，主要污染物中COD、BOD</w:t>
            </w:r>
            <w:r>
              <w:rPr>
                <w:rFonts w:hint="eastAsia"/>
                <w:highlight w:val="none"/>
                <w:vertAlign w:val="subscript"/>
                <w:lang w:val="en-US" w:eastAsia="zh-CN"/>
              </w:rPr>
              <w:t>5</w:t>
            </w:r>
            <w:r>
              <w:rPr>
                <w:rFonts w:hint="eastAsia"/>
                <w:highlight w:val="none"/>
              </w:rPr>
              <w:t>、SS、NH</w:t>
            </w:r>
            <w:r>
              <w:rPr>
                <w:rFonts w:hint="eastAsia"/>
                <w:highlight w:val="none"/>
                <w:vertAlign w:val="subscript"/>
                <w:lang w:val="en-US" w:eastAsia="zh-CN"/>
              </w:rPr>
              <w:t>4</w:t>
            </w:r>
            <w:r>
              <w:rPr>
                <w:rFonts w:hint="eastAsia"/>
                <w:highlight w:val="none"/>
              </w:rPr>
              <w:t>-N、动植物油的排放浓度分别为</w:t>
            </w:r>
            <w:r>
              <w:rPr>
                <w:rFonts w:hint="eastAsia"/>
                <w:highlight w:val="none"/>
                <w:lang w:eastAsia="zh-CN"/>
              </w:rPr>
              <w:t>：</w:t>
            </w:r>
            <w:r>
              <w:rPr>
                <w:rFonts w:hint="eastAsia"/>
                <w:highlight w:val="none"/>
              </w:rPr>
              <w:t>320mg/</w:t>
            </w:r>
            <w:r>
              <w:rPr>
                <w:rFonts w:hint="eastAsia"/>
                <w:highlight w:val="none"/>
                <w:lang w:val="en-US" w:eastAsia="zh-CN"/>
              </w:rPr>
              <w:t>L</w:t>
            </w:r>
            <w:r>
              <w:rPr>
                <w:rFonts w:hint="eastAsia"/>
                <w:highlight w:val="none"/>
                <w:lang w:eastAsia="zh-CN"/>
              </w:rPr>
              <w:t>、</w:t>
            </w:r>
            <w:r>
              <w:rPr>
                <w:rFonts w:hint="eastAsia"/>
                <w:highlight w:val="none"/>
              </w:rPr>
              <w:t>200mg/</w:t>
            </w:r>
            <w:r>
              <w:rPr>
                <w:rFonts w:hint="eastAsia"/>
                <w:highlight w:val="none"/>
                <w:lang w:val="en-US" w:eastAsia="zh-CN"/>
              </w:rPr>
              <w:t>L</w:t>
            </w:r>
            <w:r>
              <w:rPr>
                <w:rFonts w:hint="eastAsia"/>
                <w:highlight w:val="none"/>
              </w:rPr>
              <w:t>、360mg/</w:t>
            </w:r>
            <w:r>
              <w:rPr>
                <w:rFonts w:hint="eastAsia"/>
                <w:highlight w:val="none"/>
                <w:lang w:val="en-US" w:eastAsia="zh-CN"/>
              </w:rPr>
              <w:t>L</w:t>
            </w:r>
            <w:r>
              <w:rPr>
                <w:rFonts w:hint="eastAsia"/>
                <w:highlight w:val="none"/>
              </w:rPr>
              <w:t>、25mg/</w:t>
            </w:r>
            <w:r>
              <w:rPr>
                <w:rFonts w:hint="eastAsia"/>
                <w:highlight w:val="none"/>
                <w:lang w:val="en-US" w:eastAsia="zh-CN"/>
              </w:rPr>
              <w:t>L</w:t>
            </w:r>
            <w:r>
              <w:rPr>
                <w:rFonts w:hint="eastAsia"/>
                <w:highlight w:val="none"/>
              </w:rPr>
              <w:t>、30mg/</w:t>
            </w:r>
            <w:r>
              <w:rPr>
                <w:rFonts w:hint="eastAsia"/>
                <w:highlight w:val="none"/>
                <w:lang w:val="en-US" w:eastAsia="zh-CN"/>
              </w:rPr>
              <w:t>L</w:t>
            </w:r>
            <w:r>
              <w:rPr>
                <w:rFonts w:hint="eastAsia"/>
                <w:i w:val="0"/>
                <w:iCs w:val="0"/>
                <w:highlight w:val="none"/>
              </w:rPr>
              <w:t>。</w:t>
            </w:r>
            <w:r>
              <w:rPr>
                <w:rFonts w:hint="eastAsia"/>
                <w:i w:val="0"/>
                <w:iCs w:val="0"/>
                <w:highlight w:val="none"/>
                <w:shd w:val="clear" w:color="auto" w:fill="auto"/>
                <w:lang w:val="en-US" w:eastAsia="zh-CN"/>
              </w:rPr>
              <w:t>生活污水排入</w:t>
            </w:r>
            <w:r>
              <w:rPr>
                <w:rFonts w:hint="eastAsia"/>
                <w:lang w:val="en-US" w:eastAsia="zh-CN"/>
              </w:rPr>
              <w:t>一体化污水处理设施</w:t>
            </w:r>
            <w:r>
              <w:rPr>
                <w:rFonts w:hint="eastAsia"/>
                <w:i w:val="0"/>
                <w:iCs w:val="0"/>
                <w:highlight w:val="none"/>
                <w:shd w:val="clear" w:color="auto" w:fill="auto"/>
                <w:lang w:val="en-US" w:eastAsia="zh-CN"/>
              </w:rPr>
              <w:t>处理达标后，其出水标准可达到《农村生活污水处理排放标准》（DB654275-2019）表2中A级标准，用于洒水绿化，不外排，不与地表水体发生水力联系，对周围环境影</w:t>
            </w:r>
            <w:r>
              <w:rPr>
                <w:rFonts w:hint="eastAsia" w:ascii="Times New Roman" w:hAnsi="Times New Roman" w:eastAsia="宋体" w:cs="宋体"/>
                <w:i w:val="0"/>
                <w:iCs w:val="0"/>
                <w:highlight w:val="none"/>
                <w:shd w:val="clear" w:color="auto" w:fill="auto"/>
                <w:lang w:val="en-US" w:eastAsia="zh-CN"/>
              </w:rPr>
              <w:t>响较小。</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2）钻井设备冲洗水</w:t>
            </w:r>
          </w:p>
          <w:p>
            <w:pPr>
              <w:pStyle w:val="65"/>
              <w:keepNext w:val="0"/>
              <w:keepLines w:val="0"/>
              <w:suppressLineNumbers w:val="0"/>
              <w:bidi w:val="0"/>
              <w:spacing w:before="0" w:beforeAutospacing="0" w:after="0" w:afterAutospacing="0"/>
              <w:ind w:left="0" w:right="0"/>
              <w:rPr>
                <w:rFonts w:hint="default"/>
              </w:rPr>
            </w:pPr>
            <w:r>
              <w:rPr>
                <w:rFonts w:hint="eastAsia"/>
                <w:lang w:val="en-US" w:eastAsia="zh-CN"/>
              </w:rPr>
              <w:t>项目钻探过程中使用的钻井设备需清洗，勘探期产生的清洗废水经防渗沉淀池处理后用于洒水降尘，探矿期结束后自然蒸发，不外排。</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（3）泥浆废水</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泥浆废水经移动式防渗沉淀池处理后回用于钻孔泥浆配制，循环使用。勘查期结束后，沉淀池上清液用于洒水降尘，沉淀池内泥浆固化后拉运至一般固废处置单位统一处理。</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72</w:t>
            </w:r>
            <w:r>
              <w:rPr>
                <w:rFonts w:hint="eastAsia"/>
              </w:rPr>
              <w:t>~</w:t>
            </w:r>
            <w:r>
              <w:rPr>
                <w:rFonts w:hint="eastAsia"/>
                <w:lang w:val="en-US" w:eastAsia="zh-CN"/>
              </w:rPr>
              <w:t>87</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期施工噪声可近似视为点声源处理，其衰减模式如下：</w:t>
            </w:r>
          </w:p>
          <w:p>
            <w:pPr>
              <w:pStyle w:val="48"/>
              <w:keepNext w:val="0"/>
              <w:keepLines w:val="0"/>
              <w:suppressLineNumbers w:val="0"/>
              <w:wordWrap/>
              <w:bidi w:val="0"/>
              <w:spacing w:before="0" w:beforeAutospacing="0" w:after="0" w:afterAutospacing="0"/>
              <w:ind w:left="0" w:right="0"/>
              <w:jc w:val="center"/>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ro——Lpo噪声的测点距离（1m），m；</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期主要噪声源主要为施工机械产生的噪声。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①预测结果</w:t>
            </w:r>
          </w:p>
          <w:p>
            <w:pPr>
              <w:pStyle w:val="48"/>
              <w:keepNext w:val="0"/>
              <w:keepLines w:val="0"/>
              <w:suppressLineNumbers w:val="0"/>
              <w:bidi w:val="0"/>
              <w:spacing w:before="0" w:beforeAutospacing="0" w:after="0" w:afterAutospacing="0"/>
              <w:ind w:left="0" w:right="0"/>
              <w:rPr>
                <w:rFonts w:hint="default"/>
              </w:rPr>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4-3</w:t>
            </w:r>
            <w:r>
              <w:rPr>
                <w:rFonts w:hint="eastAsia"/>
              </w:rPr>
              <w:t>所示。</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3</w:t>
            </w:r>
            <w:r>
              <w:rPr>
                <w:rFonts w:hint="default"/>
              </w:rPr>
              <w:t xml:space="preserve">  </w:t>
            </w:r>
            <w:r>
              <w:rPr>
                <w:rFonts w:hint="eastAsia"/>
                <w:lang w:val="en-US" w:eastAsia="zh-CN"/>
              </w:rPr>
              <w:t xml:space="preserve"> </w:t>
            </w:r>
            <w:r>
              <w:rPr>
                <w:rFonts w:hint="default"/>
              </w:rPr>
              <w:t xml:space="preserve"> 项目主要</w:t>
            </w:r>
            <w:r>
              <w:rPr>
                <w:rFonts w:hint="eastAsia"/>
              </w:rPr>
              <w:t>机械在不同距离处的噪声预测值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498"/>
              <w:gridCol w:w="609"/>
              <w:gridCol w:w="609"/>
              <w:gridCol w:w="611"/>
              <w:gridCol w:w="611"/>
              <w:gridCol w:w="717"/>
              <w:gridCol w:w="717"/>
              <w:gridCol w:w="717"/>
              <w:gridCol w:w="71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052" w:type="pct"/>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3947" w:type="pct"/>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2"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全液压岩心钻机</w:t>
                  </w:r>
                </w:p>
              </w:tc>
              <w:tc>
                <w:tcPr>
                  <w:tcW w:w="3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85</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79.0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73.0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65.0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63.4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59.0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55.5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53.0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49.4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eastAsia="zh-CN"/>
                    </w:rPr>
                  </w:pPr>
                  <w:r>
                    <w:rPr>
                      <w:rFonts w:hint="default"/>
                    </w:rPr>
                    <w:t>运输车辆</w:t>
                  </w:r>
                </w:p>
              </w:tc>
              <w:tc>
                <w:tcPr>
                  <w:tcW w:w="301" w:type="pct"/>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岩芯切割机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81</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柴油发电机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default"/>
                    </w:rPr>
                    <w:t>72</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66.0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52.0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50.4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46.0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42.5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40.0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36.4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刻槽取样机</w:t>
                  </w:r>
                </w:p>
              </w:tc>
              <w:tc>
                <w:tcPr>
                  <w:tcW w:w="498"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81.0</w:t>
                  </w:r>
                </w:p>
              </w:tc>
              <w:tc>
                <w:tcPr>
                  <w:tcW w:w="609"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75.0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67.0</w:t>
                  </w:r>
                </w:p>
              </w:tc>
              <w:tc>
                <w:tcPr>
                  <w:tcW w:w="611"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65.4</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61.0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57.5</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55.0</w:t>
                  </w:r>
                </w:p>
              </w:tc>
              <w:tc>
                <w:tcPr>
                  <w:tcW w:w="717" w:type="dxa"/>
                  <w:noWrap w:val="0"/>
                  <w:vAlign w:val="center"/>
                </w:tcPr>
                <w:p>
                  <w:pPr>
                    <w:pStyle w:val="54"/>
                    <w:keepNext w:val="0"/>
                    <w:keepLines w:val="0"/>
                    <w:suppressLineNumbers w:val="0"/>
                    <w:bidi w:val="0"/>
                    <w:spacing w:before="0" w:beforeAutospacing="0" w:after="0" w:afterAutospacing="0"/>
                    <w:ind w:left="0" w:right="0"/>
                    <w:rPr>
                      <w:rFonts w:hint="default"/>
                    </w:rPr>
                  </w:pPr>
                  <w:r>
                    <w:rPr>
                      <w:rFonts w:hint="eastAsia"/>
                      <w:lang w:val="en-US" w:eastAsia="zh-CN"/>
                    </w:rPr>
                    <w:t>51.4</w:t>
                  </w:r>
                </w:p>
              </w:tc>
              <w:tc>
                <w:tcPr>
                  <w:tcW w:w="743" w:type="dxa"/>
                  <w:noWrap w:val="0"/>
                  <w:vAlign w:val="center"/>
                </w:tcPr>
                <w:p>
                  <w:pPr>
                    <w:pStyle w:val="54"/>
                    <w:keepNext w:val="0"/>
                    <w:keepLines w:val="0"/>
                    <w:suppressLineNumbers w:val="0"/>
                    <w:bidi w:val="0"/>
                    <w:spacing w:before="0" w:beforeAutospacing="0" w:after="0" w:afterAutospacing="0"/>
                    <w:ind w:left="0" w:right="0"/>
                    <w:rPr>
                      <w:rFonts w:hint="default"/>
                      <w:lang w:val="en-US"/>
                    </w:rPr>
                  </w:pPr>
                  <w:r>
                    <w:rPr>
                      <w:rFonts w:hint="eastAsia"/>
                      <w:lang w:val="en-US" w:eastAsia="zh-CN"/>
                    </w:rPr>
                    <w:t>48.9</w:t>
                  </w:r>
                </w:p>
              </w:tc>
            </w:tr>
          </w:tbl>
          <w:p>
            <w:pPr>
              <w:pStyle w:val="48"/>
              <w:keepNext w:val="0"/>
              <w:keepLines w:val="0"/>
              <w:suppressLineNumbers w:val="0"/>
              <w:bidi w:val="0"/>
              <w:spacing w:before="0" w:beforeAutospacing="0" w:after="0" w:afterAutospacing="0"/>
              <w:ind w:left="0" w:right="0"/>
              <w:rPr>
                <w:rFonts w:hint="default"/>
              </w:rPr>
            </w:pPr>
            <w:r>
              <w:rPr>
                <w:rFonts w:hint="default"/>
              </w:rPr>
              <w:t>本项目夜间不开展施工作业。单台施工机械在50米范围外的噪声值均符合《</w:t>
            </w:r>
            <w:r>
              <w:rPr>
                <w:rFonts w:hint="eastAsia"/>
                <w:lang w:eastAsia="zh-CN"/>
              </w:rPr>
              <w:t>建筑施工噪声排放标准</w:t>
            </w:r>
            <w:r>
              <w:rPr>
                <w:rFonts w:hint="default"/>
              </w:rPr>
              <w:t>》（GB12523－2025）</w:t>
            </w:r>
            <w:r>
              <w:rPr>
                <w:rFonts w:hint="default"/>
                <w:lang w:val="en-US" w:eastAsia="zh-CN"/>
              </w:rPr>
              <w:t>中施工噪声要求，昼间限值为70dB(A)</w:t>
            </w:r>
            <w:r>
              <w:rPr>
                <w:rFonts w:hint="default"/>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r>
              <w:rPr>
                <w:rFonts w:hint="default"/>
              </w:rPr>
              <w:t>固体废物</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本项目固体废物主要为</w:t>
            </w:r>
            <w:r>
              <w:rPr>
                <w:rFonts w:hint="eastAsia"/>
                <w:lang w:eastAsia="zh-CN"/>
              </w:rPr>
              <w:t>槽探开挖</w:t>
            </w:r>
            <w:r>
              <w:rPr>
                <w:rFonts w:hint="eastAsia"/>
              </w:rPr>
              <w:t>及钻探产生的临时土石方、</w:t>
            </w:r>
            <w:r>
              <w:rPr>
                <w:rFonts w:hint="eastAsia"/>
                <w:lang w:val="en-US" w:eastAsia="zh-CN"/>
              </w:rPr>
              <w:t>钻井泥浆、</w:t>
            </w:r>
            <w:r>
              <w:rPr>
                <w:rFonts w:hint="eastAsia"/>
              </w:rPr>
              <w:t>员工的生活垃圾等。</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工程分析，本项目勘探期土石方主要由槽探开挖产生。开挖过程中同步采集勘探样品并外运留存，开挖土方临时堆置于探槽一侧，采用彩布条苫盖防护。勘探工作结束后，取样剩余土石方全部原位回填并平整场地，现场无弃土产生，可有效防治水土流失，对周边环境影响较小</w:t>
            </w:r>
          </w:p>
          <w:p>
            <w:pPr>
              <w:pStyle w:val="48"/>
              <w:keepNext w:val="0"/>
              <w:keepLines w:val="0"/>
              <w:suppressLineNumbers w:val="0"/>
              <w:bidi w:val="0"/>
              <w:spacing w:before="0" w:beforeAutospacing="0" w:after="0" w:afterAutospacing="0"/>
              <w:ind w:left="0" w:right="0"/>
              <w:rPr>
                <w:rFonts w:hint="eastAsia"/>
              </w:rPr>
            </w:pPr>
            <w:r>
              <w:rPr>
                <w:rFonts w:hint="eastAsia"/>
              </w:rPr>
              <w:t>（2）生活垃圾</w:t>
            </w:r>
          </w:p>
          <w:p>
            <w:pPr>
              <w:pStyle w:val="48"/>
              <w:keepNext w:val="0"/>
              <w:keepLines w:val="0"/>
              <w:suppressLineNumbers w:val="0"/>
              <w:bidi w:val="0"/>
              <w:spacing w:before="0" w:beforeAutospacing="0" w:after="0" w:afterAutospacing="0"/>
              <w:ind w:left="0" w:right="0"/>
              <w:rPr>
                <w:rFonts w:hint="eastAsia" w:eastAsia="宋体"/>
                <w:shd w:val="clear" w:color="auto" w:fill="auto"/>
                <w:lang w:eastAsia="zh-CN"/>
              </w:rPr>
            </w:pPr>
            <w:r>
              <w:rPr>
                <w:rFonts w:hint="eastAsia"/>
              </w:rPr>
              <w:t>来自勘探人员日常生活，以纸张、塑料瓶为主，属一般固废。本项目野外探矿作业人员约</w:t>
            </w:r>
            <w:r>
              <w:rPr>
                <w:rFonts w:hint="eastAsia"/>
                <w:lang w:val="en-US" w:eastAsia="zh-CN"/>
              </w:rPr>
              <w:t>6</w:t>
            </w:r>
            <w:r>
              <w:rPr>
                <w:rFonts w:hint="eastAsia"/>
              </w:rPr>
              <w:t>人，</w:t>
            </w:r>
            <w:r>
              <w:rPr>
                <w:rFonts w:hint="eastAsia"/>
                <w:lang w:val="en-US" w:eastAsia="zh-CN"/>
              </w:rPr>
              <w:t>勘探期为30</w:t>
            </w:r>
            <w:r>
              <w:rPr>
                <w:rFonts w:hint="eastAsia"/>
                <w:highlight w:val="none"/>
                <w:lang w:val="en-US" w:eastAsia="zh-CN"/>
              </w:rPr>
              <w:t>d</w:t>
            </w:r>
            <w:r>
              <w:rPr>
                <w:rFonts w:hint="eastAsia"/>
                <w:highlight w:val="none"/>
              </w:rPr>
              <w:t>。</w:t>
            </w:r>
            <w:r>
              <w:rPr>
                <w:rFonts w:hint="eastAsia"/>
              </w:rPr>
              <w:t>按每人每天产生0.5kg生活垃圾计算，则生活垃圾产生量为</w:t>
            </w:r>
            <w:r>
              <w:rPr>
                <w:rFonts w:hint="eastAsia"/>
                <w:lang w:val="en-US" w:eastAsia="zh-CN"/>
              </w:rPr>
              <w:t>0.09</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送至和硕县垃圾填埋场</w:t>
            </w:r>
            <w:r>
              <w:rPr>
                <w:rFonts w:hint="eastAsia"/>
                <w:shd w:val="clear" w:color="auto" w:fill="auto"/>
                <w:lang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钻探岩屑</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本项目槽探总工作量300m</w:t>
            </w:r>
            <w:r>
              <w:rPr>
                <w:rFonts w:hint="eastAsia"/>
                <w:highlight w:val="none"/>
                <w:vertAlign w:val="superscript"/>
                <w:lang w:val="en-US" w:eastAsia="zh-CN"/>
              </w:rPr>
              <w:t>3</w:t>
            </w:r>
            <w:r>
              <w:rPr>
                <w:rFonts w:hint="eastAsia"/>
                <w:highlight w:val="none"/>
                <w:lang w:val="en-US" w:eastAsia="zh-CN"/>
              </w:rPr>
              <w:t>，钻探总工作量为2000m，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h——钻孔深度，2000m；</w:t>
            </w:r>
          </w:p>
          <w:p>
            <w:pPr>
              <w:pStyle w:val="48"/>
              <w:keepNext w:val="0"/>
              <w:keepLines w:val="0"/>
              <w:suppressLineNumbers w:val="0"/>
              <w:bidi w:val="0"/>
              <w:spacing w:before="0" w:beforeAutospacing="0" w:after="0" w:afterAutospacing="0"/>
              <w:ind w:left="0" w:right="0"/>
              <w:rPr>
                <w:rFonts w:hint="default"/>
                <w:vertAlign w:val="baseline"/>
                <w:lang w:val="en-US" w:eastAsia="zh-CN"/>
              </w:rPr>
            </w:pPr>
            <w:r>
              <w:rPr>
                <w:rFonts w:hint="eastAsia"/>
                <w:lang w:val="en-US" w:eastAsia="zh-CN"/>
              </w:rPr>
              <w:t>经计算，钻孔产生的土石方量为8.83m</w:t>
            </w:r>
            <w:r>
              <w:rPr>
                <w:rFonts w:hint="eastAsia"/>
                <w:vertAlign w:val="superscript"/>
                <w:lang w:val="en-US" w:eastAsia="zh-CN"/>
              </w:rPr>
              <w:t>3</w:t>
            </w:r>
            <w:r>
              <w:rPr>
                <w:rFonts w:hint="eastAsia"/>
                <w:lang w:val="en-US" w:eastAsia="zh-CN"/>
              </w:rPr>
              <w:t>，岩心产生量为4.75m</w:t>
            </w:r>
            <w:r>
              <w:rPr>
                <w:rFonts w:hint="eastAsia"/>
                <w:vertAlign w:val="superscript"/>
                <w:lang w:val="en-US" w:eastAsia="zh-CN"/>
              </w:rPr>
              <w:t>3</w:t>
            </w:r>
            <w:r>
              <w:rPr>
                <w:rFonts w:hint="eastAsia"/>
                <w:lang w:val="en-US" w:eastAsia="zh-CN"/>
              </w:rPr>
              <w:t>，则岩屑产生量为4.08m</w:t>
            </w:r>
            <w:r>
              <w:rPr>
                <w:rFonts w:hint="eastAsia"/>
                <w:vertAlign w:val="superscript"/>
                <w:lang w:val="en-US" w:eastAsia="zh-CN"/>
              </w:rPr>
              <w:t>3</w:t>
            </w:r>
            <w:r>
              <w:rPr>
                <w:rFonts w:hint="eastAsia"/>
                <w:vertAlign w:val="baseline"/>
                <w:lang w:val="en-US" w:eastAsia="zh-CN"/>
              </w:rPr>
              <w:t>。</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采集的钻井岩心由地质勘探队统一收集，最终交至单位统一保管，不能随意丢弃；岩屑就地回填至钻井内。</w:t>
            </w:r>
          </w:p>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w:t>
            </w:r>
            <w:r>
              <w:rPr>
                <w:rFonts w:hint="eastAsia"/>
              </w:rPr>
              <w:t>泥浆</w:t>
            </w:r>
            <w:r>
              <w:rPr>
                <w:rFonts w:hint="eastAsia"/>
                <w:lang w:val="en-US" w:eastAsia="zh-CN"/>
              </w:rPr>
              <w:t>和沉淀池沉渣</w:t>
            </w:r>
          </w:p>
          <w:p>
            <w:pPr>
              <w:pStyle w:val="6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勘探期产生固体泥浆废物约为0.6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可循环使用，钻探工程结束后利用自然条件，让泥浆中的水分通过蒸发作用逐渐散失，从而使泥浆实现固化，固化后拉运至一般固废处置单位统一处理。</w:t>
            </w:r>
          </w:p>
          <w:p>
            <w:pPr>
              <w:pStyle w:val="65"/>
              <w:keepNext w:val="0"/>
              <w:keepLines w:val="0"/>
              <w:suppressLineNumbers w:val="0"/>
              <w:bidi w:val="0"/>
              <w:spacing w:before="0" w:beforeAutospacing="0" w:after="0" w:afterAutospacing="0"/>
              <w:ind w:left="0" w:right="0"/>
              <w:rPr>
                <w:rFonts w:hint="default" w:ascii="Times New Roman" w:hAnsi="Times New Roman" w:eastAsia="宋体" w:cs="宋体"/>
                <w:lang w:val="en-US" w:eastAsia="zh-CN"/>
              </w:rPr>
            </w:pPr>
            <w:r>
              <w:rPr>
                <w:rFonts w:hint="eastAsia"/>
                <w:lang w:val="en-US" w:eastAsia="zh-CN"/>
              </w:rPr>
              <w:t>沉淀池沉渣在勘探结束后固化填埋，减少了运输过程中的环境风险和对沿途生态环境的影响。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03" w:hRule="atLeast"/>
          <w:jc w:val="center"/>
        </w:trPr>
        <w:tc>
          <w:tcPr>
            <w:tcW w:w="720" w:type="dxa"/>
            <w:noWrap w:val="0"/>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kern w:val="2"/>
                <w:sz w:val="21"/>
                <w:szCs w:val="21"/>
              </w:rPr>
              <w:t>选址选线环境合理性分析</w:t>
            </w:r>
          </w:p>
        </w:tc>
        <w:tc>
          <w:tcPr>
            <w:tcW w:w="8522" w:type="dxa"/>
            <w:noWrap w:val="0"/>
            <w:vAlign w:val="top"/>
          </w:tcPr>
          <w:p>
            <w:pPr>
              <w:pStyle w:val="48"/>
              <w:keepNext w:val="0"/>
              <w:keepLines w:val="0"/>
              <w:suppressLineNumbers w:val="0"/>
              <w:bidi w:val="0"/>
              <w:spacing w:before="0" w:beforeAutospacing="0" w:after="0" w:afterAutospacing="0"/>
              <w:ind w:left="0" w:right="0"/>
              <w:rPr>
                <w:rFonts w:hint="eastAsia"/>
                <w:lang w:val="en-US" w:eastAsia="zh-CN"/>
              </w:rPr>
            </w:pPr>
            <w:r>
              <w:rPr>
                <w:rFonts w:hint="default" w:ascii="Times New Roman" w:hAnsi="Times New Roman" w:cs="Times New Roman"/>
                <w:highlight w:val="none"/>
                <w:lang w:val="en-US" w:eastAsia="zh-CN"/>
              </w:rPr>
              <w:t>项目位于</w:t>
            </w:r>
            <w:r>
              <w:rPr>
                <w:rFonts w:hint="eastAsia" w:cs="Times New Roman"/>
                <w:highlight w:val="none"/>
                <w:lang w:val="en-US" w:eastAsia="zh-CN"/>
              </w:rPr>
              <w:t>新疆维吾尔自治区巴音郭楞蒙古自治州和硕县城东北17°方向，直线距离39千米处</w:t>
            </w:r>
            <w:r>
              <w:rPr>
                <w:rFonts w:hint="default" w:ascii="Times New Roman" w:hAnsi="Times New Roman" w:cs="Times New Roman"/>
                <w:highlight w:val="none"/>
                <w:lang w:val="en-US" w:eastAsia="zh-CN"/>
              </w:rPr>
              <w:t>，中心点坐标：E：87°1′56.571″，N：42°39′9.476″，工作区面积</w:t>
            </w:r>
            <w:r>
              <w:rPr>
                <w:rFonts w:hint="eastAsia" w:cs="Times New Roman"/>
                <w:highlight w:val="none"/>
                <w:lang w:val="en-US" w:eastAsia="zh-CN"/>
              </w:rPr>
              <w:t>15.048平方公里</w:t>
            </w:r>
            <w:r>
              <w:rPr>
                <w:rFonts w:hint="default" w:ascii="Times New Roman" w:hAnsi="Times New Roman" w:cs="Times New Roman"/>
                <w:highlight w:val="none"/>
                <w:lang w:val="en-US" w:eastAsia="zh-CN"/>
              </w:rPr>
              <w:t>。行政区划隶属</w:t>
            </w:r>
            <w:r>
              <w:rPr>
                <w:rFonts w:hint="eastAsia" w:cs="Times New Roman"/>
                <w:highlight w:val="none"/>
                <w:lang w:val="en-US" w:eastAsia="zh-CN"/>
              </w:rPr>
              <w:t>和硕县</w:t>
            </w:r>
            <w:r>
              <w:rPr>
                <w:rFonts w:hint="default" w:ascii="Times New Roman" w:hAnsi="Times New Roman" w:cs="Times New Roman"/>
                <w:highlight w:val="none"/>
                <w:lang w:val="en-US" w:eastAsia="zh-CN"/>
              </w:rPr>
              <w:t>管辖</w:t>
            </w:r>
            <w:r>
              <w:rPr>
                <w:rFonts w:hint="eastAsia" w:cs="Times New Roman"/>
                <w:highlight w:val="none"/>
                <w:lang w:val="en-US" w:eastAsia="zh-CN"/>
              </w:rPr>
              <w:t>。</w:t>
            </w:r>
            <w:r>
              <w:rPr>
                <w:rFonts w:hint="default"/>
              </w:rPr>
              <w:t>根据</w:t>
            </w:r>
            <w:r>
              <w:rPr>
                <w:rFonts w:hint="eastAsia"/>
                <w:lang w:eastAsia="zh-CN"/>
              </w:rPr>
              <w:t>《产业结构调整指导目录（2024年本）》</w:t>
            </w:r>
            <w:r>
              <w:rPr>
                <w:rFonts w:hint="default"/>
              </w:rPr>
              <w:t>，</w:t>
            </w:r>
            <w:r>
              <w:rPr>
                <w:rFonts w:hint="default"/>
                <w:lang w:val="en-US" w:eastAsia="zh-CN"/>
              </w:rPr>
              <w:t>项目属于</w:t>
            </w:r>
            <w:r>
              <w:rPr>
                <w:rFonts w:hint="eastAsia"/>
                <w:lang w:val="en-US" w:eastAsia="zh-CN"/>
              </w:rPr>
              <w:t>矿产资源地质勘查项目，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w:t>
            </w:r>
            <w:r>
              <w:rPr>
                <w:rFonts w:hint="eastAsia"/>
                <w:highlight w:val="none"/>
                <w:lang w:val="en-US" w:eastAsia="zh-CN"/>
              </w:rPr>
              <w:t>，</w:t>
            </w:r>
            <w:r>
              <w:rPr>
                <w:rFonts w:hint="eastAsia"/>
                <w:lang w:val="en-US" w:eastAsia="zh-CN"/>
              </w:rPr>
              <w:t>所以本项目</w:t>
            </w:r>
            <w:r>
              <w:rPr>
                <w:rFonts w:hint="default"/>
                <w:lang w:val="en-US" w:eastAsia="zh-CN"/>
              </w:rPr>
              <w:t>符合产业政策和环境准入要求。</w:t>
            </w:r>
          </w:p>
          <w:p>
            <w:pPr>
              <w:pStyle w:val="48"/>
              <w:keepNext w:val="0"/>
              <w:keepLines w:val="0"/>
              <w:suppressLineNumbers w:val="0"/>
              <w:bidi w:val="0"/>
              <w:spacing w:before="0" w:beforeAutospacing="0" w:after="0" w:afterAutospacing="0"/>
              <w:ind w:left="0" w:right="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项目勘探以铜多金属矿为主攻矿种，</w:t>
            </w:r>
            <w:r>
              <w:rPr>
                <w:rFonts w:hint="eastAsia"/>
                <w:color w:val="auto"/>
                <w:lang w:val="en-US" w:eastAsia="zh-CN"/>
              </w:rPr>
              <w:t>不属于限制和禁止开采矿种</w:t>
            </w:r>
            <w:r>
              <w:rPr>
                <w:rFonts w:hint="eastAsia"/>
                <w:lang w:val="en-US" w:eastAsia="zh-CN"/>
              </w:rPr>
              <w:t>，符合《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highlight w:val="none"/>
                <w:lang w:val="en-US" w:eastAsia="zh-CN"/>
              </w:rPr>
              <w:t>项目开发过程中</w:t>
            </w:r>
            <w:r>
              <w:rPr>
                <w:rFonts w:hint="eastAsia"/>
                <w:highlight w:val="none"/>
                <w:lang w:val="en-US" w:eastAsia="zh-CN"/>
              </w:rPr>
              <w:t>需</w:t>
            </w:r>
            <w:r>
              <w:rPr>
                <w:rFonts w:hint="default"/>
                <w:highlight w:val="none"/>
                <w:lang w:val="en-US" w:eastAsia="zh-CN"/>
              </w:rPr>
              <w:t>加强水土保持工作，控制人为活动造成新的水土流失。勘探区降雨量较低，基本无法形成无组织的径流</w:t>
            </w:r>
            <w:r>
              <w:rPr>
                <w:rFonts w:hint="eastAsia"/>
                <w:highlight w:val="none"/>
                <w:lang w:val="en-US" w:eastAsia="zh-CN"/>
              </w:rPr>
              <w:t>，</w:t>
            </w:r>
            <w:r>
              <w:rPr>
                <w:rFonts w:hint="default"/>
                <w:highlight w:val="none"/>
                <w:lang w:val="en-US" w:eastAsia="zh-CN"/>
              </w:rPr>
              <w:t>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keepNext w:val="0"/>
              <w:keepLines w:val="0"/>
              <w:suppressLineNumbers w:val="0"/>
              <w:bidi w:val="0"/>
              <w:spacing w:before="0" w:beforeAutospacing="0" w:after="0" w:afterAutospacing="0"/>
              <w:ind w:left="0" w:right="0"/>
              <w:rPr>
                <w:rFonts w:hint="default"/>
                <w:lang w:eastAsia="zh-CN"/>
              </w:rPr>
            </w:pPr>
            <w:r>
              <w:rPr>
                <w:rFonts w:hint="default"/>
                <w:lang w:eastAsia="zh-CN"/>
              </w:rPr>
              <w:t>因此，本项目选址合理。</w:t>
            </w: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right="0"/>
              <w:rPr>
                <w:rFonts w:hint="default"/>
                <w:lang w:eastAsia="zh-CN"/>
              </w:rPr>
            </w:pPr>
          </w:p>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bl>
    <w:p>
      <w:pPr>
        <w:pStyle w:val="22"/>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5"/>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795"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Cs w:val="21"/>
              </w:rPr>
            </w:pPr>
            <w:r>
              <w:rPr>
                <w:rFonts w:hint="default" w:ascii="Times New Roman" w:hAnsi="Times New Roman" w:cs="Times New Roman"/>
                <w:bCs/>
                <w:spacing w:val="10"/>
                <w:szCs w:val="21"/>
              </w:rPr>
              <w:t>施工期生态环境保护措施</w:t>
            </w:r>
          </w:p>
        </w:tc>
        <w:tc>
          <w:tcPr>
            <w:tcW w:w="7780"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r>
              <w:rPr>
                <w:rFonts w:hint="default"/>
              </w:rPr>
              <w:t>施工期</w:t>
            </w:r>
            <w:r>
              <w:rPr>
                <w:rFonts w:hint="default"/>
                <w:lang w:val="en-US" w:eastAsia="zh-CN"/>
              </w:rPr>
              <w:t>生态</w:t>
            </w:r>
            <w:r>
              <w:rPr>
                <w:rFonts w:hint="default"/>
              </w:rPr>
              <w:t>环境</w:t>
            </w:r>
            <w:r>
              <w:rPr>
                <w:rFonts w:hint="default"/>
                <w:lang w:val="en-US" w:eastAsia="zh-CN"/>
              </w:rPr>
              <w:t>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1.1对地表扰动的生态保护措施</w:t>
            </w:r>
          </w:p>
          <w:p>
            <w:pPr>
              <w:pStyle w:val="48"/>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施工期结束后及时拆除临时施工营地，</w:t>
            </w:r>
            <w:r>
              <w:rPr>
                <w:rFonts w:hint="default" w:ascii="Times New Roman" w:hAnsi="Times New Roman" w:cs="Times New Roman"/>
                <w:b w:val="0"/>
                <w:bCs w:val="0"/>
                <w:color w:val="auto"/>
                <w:lang w:val="en-US" w:eastAsia="zh-CN"/>
              </w:rPr>
              <w:t>将帐篷进行收纳和保存，不可随意丢弃。</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（2）</w:t>
            </w:r>
            <w:r>
              <w:rPr>
                <w:rFonts w:hint="default" w:ascii="Times New Roman" w:hAnsi="Times New Roman" w:cs="Times New Roman"/>
                <w:lang w:val="en-US" w:eastAsia="zh-CN"/>
              </w:rPr>
              <w:t>在施工前应预先剥离表土，单独堆放并使用</w:t>
            </w:r>
            <w:r>
              <w:rPr>
                <w:rFonts w:hint="eastAsia" w:cs="Times New Roman"/>
                <w:lang w:val="en-US" w:eastAsia="zh-CN"/>
              </w:rPr>
              <w:t>彩布条</w:t>
            </w:r>
            <w:r>
              <w:rPr>
                <w:rFonts w:hint="default" w:ascii="Times New Roman" w:hAnsi="Times New Roman" w:cs="Times New Roman"/>
                <w:lang w:val="en-US" w:eastAsia="zh-CN"/>
              </w:rPr>
              <w:t>苫盖。表土剥离厚度约0.3m，尽量使用小型挖掘机械或人工作业，减少对周围环境的扰动。</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施工结束后，及时拆除、清理临时生产设施，各类施工迹地、料场应进行清理，平整场地，使扰动过的地表与周围的景观相协调。</w:t>
            </w:r>
            <w:r>
              <w:rPr>
                <w:rFonts w:hint="default" w:ascii="Times New Roman" w:hAnsi="Times New Roman" w:cs="Times New Roman"/>
                <w:lang w:val="en-US" w:eastAsia="zh-CN"/>
              </w:rPr>
              <w:t>在土方回填施工过程中，应采取以下环境保护措施。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①合理划定回填区域范围，确保不超过规定范围。</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②制定详细表土回用计划，明确回用时间、地点、方式及用量，确保在探矿结束后及时开展。</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b w:val="0"/>
                <w:kern w:val="0"/>
                <w:sz w:val="24"/>
                <w:szCs w:val="24"/>
                <w:lang w:val="en-US" w:eastAsia="zh-CN" w:bidi="ar-SA"/>
              </w:rPr>
            </w:pPr>
            <w:r>
              <w:rPr>
                <w:rFonts w:hint="default" w:ascii="Times New Roman" w:hAnsi="Times New Roman" w:eastAsia="宋体" w:cs="Times New Roman"/>
                <w:b w:val="0"/>
                <w:kern w:val="0"/>
                <w:sz w:val="24"/>
                <w:szCs w:val="24"/>
                <w:lang w:val="en-US" w:eastAsia="zh-CN" w:bidi="ar-SA"/>
              </w:rPr>
              <w:t>③回用过程中，遵循“先剥离、后回用”原则，按照原土壤层次顺序回填。采用机械与人工相结合的方式，确保回填均匀，平整周边地形，使其与周边地形地貌相协调，最终使其自然恢复。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1.2对野生动植物的保护措施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（1）优化选择施工道路的选址</w:t>
            </w:r>
            <w:r>
              <w:rPr>
                <w:rFonts w:hint="default" w:ascii="Times New Roman" w:hAnsi="Times New Roman" w:cs="Times New Roman"/>
              </w:rPr>
              <w:t>，严格限定施工作业带范围，严格行车路线，运输车辆不得随意驶离道路或施工便道。优化施工组织，尽量减少施工过程中动用的土石方数量，减少植被破坏量。</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在施工道路设置</w:t>
            </w:r>
            <w:r>
              <w:rPr>
                <w:rFonts w:hint="eastAsia" w:cs="Times New Roman"/>
                <w:lang w:val="en-US" w:eastAsia="zh-CN"/>
              </w:rPr>
              <w:t>“</w:t>
            </w:r>
            <w:r>
              <w:rPr>
                <w:rFonts w:hint="default" w:ascii="Times New Roman" w:hAnsi="Times New Roman" w:cs="Times New Roman"/>
                <w:lang w:val="en-US" w:eastAsia="zh-CN"/>
              </w:rPr>
              <w:t>保护生态环境、保护野生动物</w:t>
            </w:r>
            <w:r>
              <w:rPr>
                <w:rFonts w:hint="eastAsia" w:cs="Times New Roman"/>
                <w:lang w:val="en-US" w:eastAsia="zh-CN"/>
              </w:rPr>
              <w:t>”</w:t>
            </w:r>
            <w:r>
              <w:rPr>
                <w:rFonts w:hint="default" w:ascii="Times New Roman" w:hAnsi="Times New Roman" w:cs="Times New Roman"/>
                <w:lang w:val="en-US" w:eastAsia="zh-CN"/>
              </w:rPr>
              <w:t>等警示牌，加强对施工人员进行宣传教育，强化保护野生动物的观念，不得捕猎。车辆行驶过程中不得鸣笛惊吓野生动物。</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施工时，避免大型挖掘设备，尽量使用小型挖掘机械或人工作业，尽量缩短工期，减少因施工造成对</w:t>
            </w:r>
            <w:r>
              <w:rPr>
                <w:rFonts w:hint="default" w:ascii="Times New Roman" w:hAnsi="Times New Roman" w:cs="Times New Roman"/>
                <w:lang w:val="en-US" w:eastAsia="zh-CN"/>
              </w:rPr>
              <w:t>动植物</w:t>
            </w:r>
            <w:r>
              <w:rPr>
                <w:rFonts w:hint="default" w:ascii="Times New Roman" w:hAnsi="Times New Roman" w:cs="Times New Roman"/>
              </w:rPr>
              <w:t>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1.3</w:t>
            </w:r>
            <w:r>
              <w:rPr>
                <w:rFonts w:hint="default"/>
              </w:rPr>
              <w:t>施工期</w:t>
            </w:r>
            <w:r>
              <w:rPr>
                <w:rFonts w:hint="default"/>
                <w:lang w:val="en-US" w:eastAsia="zh-CN"/>
              </w:rPr>
              <w:t>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项目施工时间短，范围小，对区域土地沙化影响较小。采取以下防沙治沙措施：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①施工结束后对场地进行平整和清理，尽量利用施工时产生的表层土对临时占地进行覆盖。</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②合理规划机械行驶路线，避免不必要的重复碾压。</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③严禁在大风大雨天气施工。</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1.4施工期水土保持措施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项目施工过程中，各类工程活动如平整场地、搭建临时设施等会造成水土流失。采取以下水土保持措施：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①做好施工规划工作，合理布设施工场地，减少占用土地；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②控制人为活动，加强施工监理，防止施工人员及施工机械超范围的活动；动土作业应尽量避免大风天和雨天开展，以免造成大量水土流失。</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eastAsia="zh-CN"/>
              </w:rPr>
            </w:pPr>
            <w:r>
              <w:rPr>
                <w:rFonts w:hint="default" w:ascii="Times New Roman" w:hAnsi="Times New Roman" w:cs="Times New Roman"/>
                <w:lang w:val="en-US" w:eastAsia="zh-CN"/>
              </w:rPr>
              <w:t>③结束后要对施工迹地进行清理平整与植被恢复工作，尽可能减少对树木与植被的破坏。</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施工期大气环境</w:t>
            </w:r>
            <w:r>
              <w:rPr>
                <w:rFonts w:hint="default" w:ascii="Times New Roman" w:hAnsi="Times New Roman" w:cs="Times New Roman"/>
                <w:lang w:val="en-US" w:eastAsia="zh-CN"/>
              </w:rPr>
              <w:t>保护措施</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rPr>
              <w:t>运输车辆应谨防运输车辆装载过满，并尽可能采取遮盖、密闭措施，苫布边缘至少要遮住槽帮上沿以下15cm，减少其沿途遗洒，及时清扫散落在路面的泥土和灰尘定时洒水压尘，减少运输过程中的扬尘，防止因速度过快导致的汽车扬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（2）施工工地道路积尘清理措施，定期对场区洒水，保持下垫面和空气湿润，减少起尘量，洒水频率视天气情况调整，原则上施工期每天进行4次洒水降尘。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（3）施工期间场地平整过程中，对暂时开挖的土方进行防护，使用防雨、防尘的苫</w:t>
            </w:r>
            <w:r>
              <w:rPr>
                <w:rFonts w:hint="default" w:ascii="Times New Roman" w:hAnsi="Times New Roman" w:cs="Times New Roman"/>
                <w:lang w:val="en-US" w:eastAsia="zh-CN"/>
              </w:rPr>
              <w:t>布</w:t>
            </w:r>
            <w:r>
              <w:rPr>
                <w:rFonts w:hint="default" w:ascii="Times New Roman" w:hAnsi="Times New Roman" w:cs="Times New Roman"/>
              </w:rPr>
              <w:t>遮挡，减少风力起尘。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（4）对施工人员进行环保方面的教育，提高设备原料利用率，不用设备时及时关闭，减少废气排放；在装卸进程中，禁止野蛮作业，减少作业扬尘，并为施工人员配备防尘口罩等防尘用品。</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color w:val="000000"/>
                <w:szCs w:val="24"/>
                <w:highlight w:val="none"/>
              </w:rPr>
            </w:pPr>
            <w:r>
              <w:rPr>
                <w:rFonts w:hint="default" w:ascii="Times New Roman" w:hAnsi="Times New Roman" w:cs="Times New Roman"/>
              </w:rPr>
              <w:t>（5）尽量选用低能耗、低污染排放的施工机械、车辆，加强对本项目施工期所使用的机械设备的维护及保养，尽量减少因机械、车辆状况不佳造成的空气污染，降低尾气中有害成分的浓度。</w:t>
            </w:r>
          </w:p>
          <w:p>
            <w:pPr>
              <w:pStyle w:val="50"/>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施工期水环境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本项目施工期较短，施工废水沉淀后回用，不外排。生活污水排入一体化污水处理设施处理达标后，其出水标准可达到《农村生活污水处理排放标准》（DB654275-2019）表2中</w:t>
            </w:r>
            <w:r>
              <w:rPr>
                <w:rFonts w:hint="eastAsia" w:cs="Times New Roman"/>
                <w:color w:val="auto"/>
                <w:lang w:val="en-US" w:eastAsia="zh-CN"/>
              </w:rPr>
              <w:t>A</w:t>
            </w:r>
            <w:r>
              <w:rPr>
                <w:rFonts w:hint="default" w:ascii="Times New Roman" w:hAnsi="Times New Roman" w:cs="Times New Roman"/>
                <w:color w:val="auto"/>
                <w:lang w:val="en-US" w:eastAsia="zh-CN"/>
              </w:rPr>
              <w:t>级标准，用于洒水绿化，不外排，对环境影响不大。</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施工期噪声环境</w:t>
            </w:r>
            <w:r>
              <w:rPr>
                <w:rFonts w:hint="default" w:ascii="Times New Roman" w:hAnsi="Times New Roman" w:cs="Times New Roman"/>
                <w:lang w:val="en-US" w:eastAsia="zh-CN"/>
              </w:rPr>
              <w:t>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本项目</w:t>
            </w:r>
            <w:r>
              <w:rPr>
                <w:rFonts w:hint="default" w:ascii="Times New Roman" w:hAnsi="Times New Roman" w:cs="Times New Roman"/>
                <w:lang w:val="en-US" w:eastAsia="zh-CN"/>
              </w:rPr>
              <w:t>施工期</w:t>
            </w:r>
            <w:r>
              <w:rPr>
                <w:rFonts w:hint="default" w:ascii="Times New Roman" w:hAnsi="Times New Roman" w:cs="Times New Roman"/>
              </w:rPr>
              <w:t>噪声的来源包括运输车辆</w:t>
            </w:r>
            <w:r>
              <w:rPr>
                <w:rFonts w:hint="default" w:ascii="Times New Roman" w:hAnsi="Times New Roman" w:cs="Times New Roman"/>
                <w:lang w:eastAsia="zh-CN"/>
              </w:rPr>
              <w:t>、</w:t>
            </w:r>
            <w:r>
              <w:rPr>
                <w:rFonts w:hint="default" w:ascii="Times New Roman" w:hAnsi="Times New Roman" w:cs="Times New Roman"/>
              </w:rPr>
              <w:t>挖机</w:t>
            </w:r>
            <w:r>
              <w:rPr>
                <w:rFonts w:hint="default" w:ascii="Times New Roman" w:hAnsi="Times New Roman" w:cs="Times New Roman"/>
                <w:lang w:val="en-US" w:eastAsia="zh-CN"/>
              </w:rPr>
              <w:t>等</w:t>
            </w:r>
            <w:r>
              <w:rPr>
                <w:rFonts w:hint="default" w:ascii="Times New Roman" w:hAnsi="Times New Roman" w:cs="Times New Roman"/>
              </w:rPr>
              <w:t>产生的噪声，</w:t>
            </w:r>
            <w:r>
              <w:rPr>
                <w:rFonts w:hint="default" w:ascii="Times New Roman" w:hAnsi="Times New Roman" w:cs="Times New Roman"/>
                <w:lang w:val="en-US" w:eastAsia="zh-CN"/>
              </w:rPr>
              <w:t>项目周边50m范围内无环境敏感目标，对环境影响较小</w:t>
            </w:r>
            <w:r>
              <w:rPr>
                <w:rFonts w:hint="default" w:ascii="Times New Roman" w:hAnsi="Times New Roman" w:cs="Times New Roman"/>
              </w:rPr>
              <w:t>。控制措施</w:t>
            </w:r>
            <w:r>
              <w:rPr>
                <w:rFonts w:hint="default" w:ascii="Times New Roman" w:hAnsi="Times New Roman" w:cs="Times New Roman"/>
                <w:lang w:val="en-US" w:eastAsia="zh-CN"/>
              </w:rPr>
              <w:t>如下</w:t>
            </w:r>
            <w:r>
              <w:rPr>
                <w:rFonts w:hint="default" w:ascii="Times New Roman" w:hAnsi="Times New Roman" w:cs="Times New Roman"/>
                <w:lang w:eastAsia="zh-C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①从声源上控制：使用低噪声机械设备</w:t>
            </w:r>
            <w:r>
              <w:rPr>
                <w:rFonts w:hint="default" w:ascii="Times New Roman" w:hAnsi="Times New Roman" w:cs="Times New Roman"/>
                <w:lang w:eastAsia="zh-CN"/>
              </w:rPr>
              <w:t>，</w:t>
            </w:r>
            <w:r>
              <w:rPr>
                <w:rFonts w:hint="default" w:ascii="Times New Roman" w:hAnsi="Times New Roman" w:cs="Times New Roman"/>
              </w:rPr>
              <w:t>严格按操作规范使用各类机械。</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②合理安排施工时间：首先制订施工计划时，应尽可能避免大量高噪声设备同时施工。</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③合理布置施工现场</w:t>
            </w:r>
            <w:r>
              <w:rPr>
                <w:rFonts w:hint="default" w:ascii="Times New Roman" w:hAnsi="Times New Roman" w:cs="Times New Roman"/>
                <w:lang w:eastAsia="zh-CN"/>
              </w:rPr>
              <w:t>：</w:t>
            </w:r>
            <w:r>
              <w:rPr>
                <w:rFonts w:hint="default" w:ascii="Times New Roman" w:hAnsi="Times New Roman" w:cs="Times New Roman"/>
              </w:rPr>
              <w:t>施工现场应合理布局，将施工中的固定噪声源相对集中摆放，闲置不用的设备立即关闭，降低施工噪声对周边声环境的影响。</w:t>
            </w:r>
          </w:p>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④车辆出入施工现场时应低速、禁鸣。</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施工期固废</w:t>
            </w:r>
            <w:r>
              <w:rPr>
                <w:rFonts w:hint="default" w:ascii="Times New Roman" w:hAnsi="Times New Roman" w:cs="Times New Roman"/>
                <w:lang w:val="en-US" w:eastAsia="zh-CN"/>
              </w:rPr>
              <w:t>环境保护措施</w:t>
            </w:r>
          </w:p>
          <w:p>
            <w:pPr>
              <w:pStyle w:val="48"/>
              <w:keepNext w:val="0"/>
              <w:keepLines w:val="0"/>
              <w:suppressLineNumbers w:val="0"/>
              <w:bidi w:val="0"/>
              <w:spacing w:before="0" w:beforeAutospacing="0" w:after="0" w:afterAutospacing="0"/>
              <w:ind w:left="0" w:right="0"/>
              <w:rPr>
                <w:rFonts w:hint="default" w:ascii="Times New Roman" w:hAnsi="Times New Roman" w:cs="Times New Roman"/>
                <w:shd w:val="clear" w:color="auto" w:fill="auto"/>
                <w:lang w:val="en-US" w:eastAsia="zh-CN"/>
              </w:rPr>
            </w:pPr>
            <w:r>
              <w:rPr>
                <w:rFonts w:hint="default" w:ascii="Times New Roman" w:hAnsi="Times New Roman" w:cs="Times New Roman"/>
              </w:rPr>
              <w:t>施工期固体废物来自施工过程中</w:t>
            </w:r>
            <w:r>
              <w:rPr>
                <w:rFonts w:hint="default" w:ascii="Times New Roman" w:hAnsi="Times New Roman" w:cs="Times New Roman"/>
                <w:lang w:val="en-US" w:eastAsia="zh-CN"/>
              </w:rPr>
              <w:t>土地平整所开挖</w:t>
            </w:r>
            <w:r>
              <w:rPr>
                <w:rFonts w:hint="default" w:ascii="Times New Roman" w:hAnsi="Times New Roman" w:cs="Times New Roman"/>
              </w:rPr>
              <w:t>的</w:t>
            </w:r>
            <w:r>
              <w:rPr>
                <w:rFonts w:hint="default" w:ascii="Times New Roman" w:hAnsi="Times New Roman" w:cs="Times New Roman"/>
                <w:lang w:val="en-US" w:eastAsia="zh-CN"/>
              </w:rPr>
              <w:t>土石方，全部堆放在临时堆场内，待项目勘探期结束后，全部回填，恢复原有地貌</w:t>
            </w:r>
            <w:r>
              <w:rPr>
                <w:rFonts w:hint="default" w:ascii="Times New Roman" w:hAnsi="Times New Roman" w:cs="Times New Roman"/>
              </w:rPr>
              <w:t>。</w:t>
            </w:r>
          </w:p>
          <w:p>
            <w:pPr>
              <w:pStyle w:val="48"/>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土方回填施工技术要点：</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（2）</w:t>
            </w:r>
            <w:r>
              <w:rPr>
                <w:rFonts w:hint="default" w:ascii="Times New Roman" w:hAnsi="Times New Roman" w:cs="Times New Roman"/>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shd w:val="clear" w:fill="auto"/>
                <w:lang w:val="en-US" w:eastAsia="zh-CN" w:bidi="ar-SA"/>
              </w:rPr>
              <w:t>（3）</w:t>
            </w:r>
            <w:r>
              <w:rPr>
                <w:rFonts w:hint="default" w:ascii="Times New Roman" w:hAnsi="Times New Roman" w:cs="Times New Roman"/>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（4）土方回填施工完成后，选择合适的压实机械、压实层数和压实次数，控制压实厚度和速度，提高土方的密实性和稳定性，减少土方的沉降和变形。</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shd w:val="clear" w:color="auto" w:fill="auto"/>
                <w:lang w:val="en-US" w:eastAsia="zh-CN"/>
              </w:rPr>
            </w:pPr>
            <w:r>
              <w:rPr>
                <w:rFonts w:hint="eastAsia" w:cs="Times New Roman"/>
                <w:lang w:val="en-US" w:eastAsia="zh-CN"/>
              </w:rPr>
              <w:t>生活</w:t>
            </w:r>
            <w:r>
              <w:rPr>
                <w:rFonts w:hint="default" w:ascii="Times New Roman" w:hAnsi="Times New Roman" w:cs="Times New Roman"/>
                <w:lang w:val="en-US" w:eastAsia="zh-CN"/>
              </w:rPr>
              <w:t>营地内设置一定数量的垃圾桶，用于临时存放生活垃圾，</w:t>
            </w:r>
            <w:r>
              <w:rPr>
                <w:rFonts w:hint="default" w:ascii="Times New Roman" w:hAnsi="Times New Roman" w:cs="Times New Roman"/>
                <w:shd w:val="clear" w:color="auto" w:fill="auto"/>
                <w:lang w:val="en-US" w:eastAsia="zh-CN"/>
              </w:rPr>
              <w:t>最终统一收集后送至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pacing w:val="10"/>
                <w:szCs w:val="21"/>
                <w:lang w:eastAsia="zh-CN"/>
              </w:rPr>
              <w:t>勘探期</w:t>
            </w:r>
            <w:r>
              <w:rPr>
                <w:rFonts w:hint="default" w:ascii="Times New Roman" w:hAnsi="Times New Roman" w:cs="Times New Roman"/>
                <w:bCs/>
                <w:spacing w:val="10"/>
                <w:szCs w:val="21"/>
              </w:rPr>
              <w:t>生态环境保护措施</w:t>
            </w:r>
          </w:p>
        </w:tc>
        <w:tc>
          <w:tcPr>
            <w:tcW w:w="7780" w:type="dxa"/>
            <w:noWrap w:val="0"/>
            <w:vAlign w:val="center"/>
          </w:tcPr>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eastAsia="宋体" w:cs="Times New Roman"/>
                <w:b/>
                <w:bCs/>
                <w:kern w:val="2"/>
                <w:szCs w:val="24"/>
                <w:lang w:val="en-US" w:eastAsia="zh-CN" w:bidi="ar-SA"/>
              </w:rPr>
              <w:t>1</w:t>
            </w:r>
            <w:r>
              <w:rPr>
                <w:rFonts w:hint="default" w:ascii="Times New Roman" w:hAnsi="Times New Roman" w:cs="Times New Roman"/>
                <w:lang w:val="en-US" w:eastAsia="zh-CN"/>
              </w:rPr>
              <w:t>.生态环境影响保护措施</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1.1</w:t>
            </w:r>
            <w:r>
              <w:rPr>
                <w:rFonts w:hint="default" w:ascii="Times New Roman" w:hAnsi="Times New Roman" w:cs="Times New Roman"/>
                <w:lang w:eastAsia="zh-CN"/>
              </w:rPr>
              <w:t>陆生生物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eastAsia="zh-CN"/>
              </w:rPr>
              <w:t>）植物植被</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工作区地质活动</w:t>
            </w:r>
            <w:r>
              <w:rPr>
                <w:rFonts w:hint="default" w:ascii="Times New Roman" w:hAnsi="Times New Roman" w:cs="Times New Roman"/>
                <w:lang w:val="en-US" w:eastAsia="zh-CN"/>
              </w:rPr>
              <w:t>主要为</w:t>
            </w:r>
            <w:r>
              <w:rPr>
                <w:rFonts w:hint="default" w:ascii="Times New Roman" w:hAnsi="Times New Roman" w:cs="Times New Roman"/>
                <w:lang w:eastAsia="zh-CN"/>
              </w:rPr>
              <w:t>槽探和钻探，</w:t>
            </w:r>
            <w:r>
              <w:rPr>
                <w:rFonts w:hint="default" w:ascii="Times New Roman" w:hAnsi="Times New Roman" w:cs="Times New Roman"/>
                <w:lang w:val="en-US" w:eastAsia="zh-CN"/>
              </w:rPr>
              <w:t>运营</w:t>
            </w:r>
            <w:r>
              <w:rPr>
                <w:rFonts w:hint="default" w:ascii="Times New Roman" w:hAnsi="Times New Roman" w:cs="Times New Roman"/>
                <w:lang w:eastAsia="zh-CN"/>
              </w:rPr>
              <w:t>过程中会对原有土地造成一定程度破坏。本次工程施工场地的布置将临时改变占地区土地利用状况，同样对一些植被造成损坏。</w:t>
            </w:r>
            <w:r>
              <w:rPr>
                <w:rFonts w:hint="default" w:ascii="Times New Roman" w:hAnsi="Times New Roman" w:cs="Times New Roman"/>
              </w:rPr>
              <w:t>根据现场调查了解，矿区内自然植物类型单一，种类、数量均较少。评价区内未发现国家重点保护野生植物。由于</w:t>
            </w:r>
            <w:r>
              <w:rPr>
                <w:rFonts w:hint="default" w:ascii="Times New Roman" w:hAnsi="Times New Roman" w:cs="Times New Roman"/>
                <w:lang w:val="en-US" w:eastAsia="zh-CN"/>
              </w:rPr>
              <w:t>探矿工程施工</w:t>
            </w:r>
            <w:r>
              <w:rPr>
                <w:rFonts w:hint="default" w:ascii="Times New Roman" w:hAnsi="Times New Roman" w:cs="Times New Roman"/>
              </w:rPr>
              <w:t>，破坏了原有的植被和地貌景观，不可避免地要对地表植被造成破坏。</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w:t>
            </w:r>
            <w:r>
              <w:rPr>
                <w:rFonts w:hint="default" w:ascii="Times New Roman" w:hAnsi="Times New Roman" w:cs="Times New Roman"/>
              </w:rPr>
              <w:t>本评价要求建设单位</w:t>
            </w:r>
            <w:r>
              <w:rPr>
                <w:rFonts w:hint="default" w:ascii="Times New Roman" w:hAnsi="Times New Roman" w:cs="Times New Roman"/>
                <w:lang w:val="en-US" w:eastAsia="zh-CN"/>
              </w:rPr>
              <w:t>综合考虑地形、地质与植被分布，合理规划施工场地的布局，避免不必要的土地占用。优先选择植被覆盖度更低、生态敏感度相对较低的区域作为临时用地。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在</w:t>
            </w:r>
            <w:r>
              <w:rPr>
                <w:rFonts w:hint="default" w:ascii="Times New Roman" w:hAnsi="Times New Roman" w:cs="Times New Roman"/>
                <w:lang w:val="en-US" w:eastAsia="zh-CN"/>
              </w:rPr>
              <w:t>勘探结束后</w:t>
            </w:r>
            <w:r>
              <w:rPr>
                <w:rFonts w:hint="default" w:ascii="Times New Roman" w:hAnsi="Times New Roman" w:cs="Times New Roman"/>
              </w:rPr>
              <w:t>，</w:t>
            </w:r>
            <w:r>
              <w:rPr>
                <w:rFonts w:hint="default" w:ascii="Times New Roman" w:hAnsi="Times New Roman" w:cs="Times New Roman"/>
                <w:lang w:val="en-US" w:eastAsia="zh-CN"/>
              </w:rPr>
              <w:t>及时开展植被恢复工作，利用之前收集的表土对临时占用的土地进行覆土。</w:t>
            </w:r>
            <w:r>
              <w:rPr>
                <w:rFonts w:hint="default" w:ascii="Times New Roman" w:hAnsi="Times New Roman" w:cs="Times New Roman"/>
              </w:rPr>
              <w:t>对</w:t>
            </w:r>
            <w:r>
              <w:rPr>
                <w:rFonts w:hint="default" w:ascii="Times New Roman" w:hAnsi="Times New Roman" w:cs="Times New Roman"/>
                <w:lang w:val="en-US" w:eastAsia="zh-CN"/>
              </w:rPr>
              <w:t>勘探场地进行回填、</w:t>
            </w:r>
            <w:r>
              <w:rPr>
                <w:rFonts w:hint="default" w:ascii="Times New Roman" w:hAnsi="Times New Roman" w:cs="Times New Roman"/>
              </w:rPr>
              <w:t>进行迹地清理平整，项目营运过程中形成的裸露地表经过一段时间后可逐渐恢复原有的生态环境，区域内生态环境能够得到改善。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勘探过程中应注意</w:t>
            </w:r>
            <w:r>
              <w:rPr>
                <w:rFonts w:hint="default" w:ascii="Times New Roman" w:hAnsi="Times New Roman" w:cs="Times New Roman"/>
                <w:lang w:eastAsia="zh-CN"/>
              </w:rPr>
              <w:t>避让</w:t>
            </w:r>
            <w:r>
              <w:rPr>
                <w:rFonts w:hint="default" w:ascii="Times New Roman" w:hAnsi="Times New Roman" w:cs="Times New Roman"/>
              </w:rPr>
              <w:t>保护植物，不因项目建设对其生境造成破坏影响。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lang w:val="en-US" w:eastAsia="zh-CN"/>
              </w:rPr>
              <w:t>陆生</w:t>
            </w:r>
            <w:r>
              <w:rPr>
                <w:rFonts w:hint="default" w:ascii="Times New Roman" w:hAnsi="Times New Roman" w:cs="Times New Roman"/>
                <w:lang w:eastAsia="zh-CN"/>
              </w:rPr>
              <w:t>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rPr>
            </w:pPr>
            <w:r>
              <w:rPr>
                <w:rFonts w:hint="default" w:ascii="Times New Roman" w:hAnsi="Times New Roman" w:cs="Times New Roman"/>
                <w:lang w:eastAsia="zh-CN"/>
              </w:rPr>
              <w:t>经现场踏勘和资料分析，本项目</w:t>
            </w:r>
            <w:r>
              <w:rPr>
                <w:rFonts w:hint="default" w:ascii="Times New Roman" w:hAnsi="Times New Roman" w:cs="Times New Roman"/>
                <w:lang w:val="en-US" w:eastAsia="zh-CN"/>
              </w:rPr>
              <w:t>可能涉及小型野生动物的栖息地</w:t>
            </w:r>
            <w:r>
              <w:rPr>
                <w:rFonts w:hint="default" w:ascii="Times New Roman" w:hAnsi="Times New Roman" w:cs="Times New Roman"/>
                <w:lang w:eastAsia="zh-CN"/>
              </w:rPr>
              <w:t>，</w:t>
            </w:r>
            <w:r>
              <w:rPr>
                <w:rFonts w:hint="default" w:ascii="Times New Roman" w:hAnsi="Times New Roman" w:cs="Times New Roman"/>
                <w:lang w:val="en-US" w:eastAsia="zh-CN"/>
              </w:rPr>
              <w:t>槽探开挖及施工</w:t>
            </w:r>
            <w:r>
              <w:rPr>
                <w:rFonts w:hint="default" w:ascii="Times New Roman" w:hAnsi="Times New Roman" w:cs="Times New Roman"/>
              </w:rPr>
              <w:t>作业</w:t>
            </w:r>
            <w:r>
              <w:rPr>
                <w:rFonts w:hint="default" w:ascii="Times New Roman" w:hAnsi="Times New Roman" w:cs="Times New Roman"/>
                <w:lang w:val="en-US" w:eastAsia="zh-CN"/>
              </w:rPr>
              <w:t>破坏地形地貌</w:t>
            </w:r>
            <w:r>
              <w:rPr>
                <w:rFonts w:hint="default" w:ascii="Times New Roman" w:hAnsi="Times New Roman" w:cs="Times New Roman"/>
              </w:rPr>
              <w:t>的同时，也破坏了原有生态环</w:t>
            </w:r>
            <w:r>
              <w:rPr>
                <w:rFonts w:hint="default" w:ascii="Times New Roman" w:hAnsi="Times New Roman" w:cs="Times New Roman"/>
                <w:lang w:eastAsia="zh-CN"/>
              </w:rPr>
              <w:t>境和</w:t>
            </w:r>
            <w:r>
              <w:rPr>
                <w:rFonts w:hint="default" w:ascii="Times New Roman" w:hAnsi="Times New Roman" w:cs="Times New Roman"/>
              </w:rPr>
              <w:t>小型野生动物的栖息环境，加上开采机械噪声及人员活动产生的影响，</w:t>
            </w:r>
            <w:r>
              <w:rPr>
                <w:rFonts w:hint="default" w:ascii="Times New Roman" w:hAnsi="Times New Roman" w:cs="Times New Roman"/>
                <w:lang w:val="en-US" w:eastAsia="zh-CN"/>
              </w:rPr>
              <w:t>会</w:t>
            </w:r>
            <w:r>
              <w:rPr>
                <w:rFonts w:hint="default" w:ascii="Times New Roman" w:hAnsi="Times New Roman" w:cs="Times New Roman"/>
              </w:rPr>
              <w:t>对周围动物的生活造成干扰，使它们的生活受到威胁而迁徙，远离开采地周围。</w:t>
            </w:r>
            <w:r>
              <w:rPr>
                <w:rFonts w:hint="default" w:ascii="Times New Roman" w:hAnsi="Times New Roman" w:cs="Times New Roman"/>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①勘探期间应</w:t>
            </w:r>
            <w:r>
              <w:rPr>
                <w:rFonts w:hint="default" w:ascii="Times New Roman" w:hAnsi="Times New Roman" w:cs="Times New Roman"/>
                <w:lang w:eastAsia="zh-CN"/>
              </w:rPr>
              <w:t>严格规划行驶道路，尽可能减少对野生动物的扰动，</w:t>
            </w:r>
            <w:r>
              <w:rPr>
                <w:rFonts w:hint="default" w:ascii="Times New Roman" w:hAnsi="Times New Roman" w:cs="Times New Roman"/>
                <w:lang w:val="en-US" w:eastAsia="zh-CN"/>
              </w:rPr>
              <w:t>尽量</w:t>
            </w:r>
            <w:r>
              <w:rPr>
                <w:rFonts w:hint="default" w:ascii="Times New Roman" w:hAnsi="Times New Roman" w:cs="Times New Roman"/>
                <w:lang w:eastAsia="zh-CN"/>
              </w:rPr>
              <w:t>使用当地已有道路、牧道、不开辟新路线。对确需碾压地段，</w:t>
            </w:r>
            <w:r>
              <w:rPr>
                <w:rFonts w:hint="default" w:ascii="Times New Roman" w:hAnsi="Times New Roman" w:cs="Times New Roman"/>
                <w:lang w:val="en-US" w:eastAsia="zh-CN"/>
              </w:rPr>
              <w:t>及时</w:t>
            </w:r>
            <w:r>
              <w:rPr>
                <w:rFonts w:hint="default" w:ascii="Times New Roman" w:hAnsi="Times New Roman" w:cs="Times New Roman"/>
                <w:lang w:eastAsia="zh-CN"/>
              </w:rPr>
              <w:t>进行</w:t>
            </w:r>
            <w:r>
              <w:rPr>
                <w:rFonts w:hint="default" w:ascii="Times New Roman" w:hAnsi="Times New Roman" w:cs="Times New Roman"/>
                <w:lang w:val="en-US" w:eastAsia="zh-CN"/>
              </w:rPr>
              <w:t>迹地</w:t>
            </w:r>
            <w:r>
              <w:rPr>
                <w:rFonts w:hint="default" w:ascii="Times New Roman" w:hAnsi="Times New Roman" w:cs="Times New Roman"/>
                <w:lang w:eastAsia="zh-CN"/>
              </w:rPr>
              <w:t>的恢复治理，行驶时避让野生动物，不追逐，不惊吓。</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根据调查，大部分野生动物都是夜间出没，因此</w:t>
            </w:r>
            <w:r>
              <w:rPr>
                <w:rFonts w:hint="default" w:ascii="Times New Roman" w:hAnsi="Times New Roman" w:cs="Times New Roman"/>
                <w:lang w:val="en-US" w:eastAsia="zh-CN"/>
              </w:rPr>
              <w:t>建设</w:t>
            </w:r>
            <w:r>
              <w:rPr>
                <w:rFonts w:hint="default" w:ascii="Times New Roman" w:hAnsi="Times New Roman" w:cs="Times New Roman"/>
              </w:rPr>
              <w:t>单位应该加强</w:t>
            </w:r>
            <w:r>
              <w:rPr>
                <w:rFonts w:hint="default" w:ascii="Times New Roman" w:hAnsi="Times New Roman" w:cs="Times New Roman"/>
                <w:lang w:val="en-US" w:eastAsia="zh-CN"/>
              </w:rPr>
              <w:t>开采</w:t>
            </w:r>
            <w:r>
              <w:rPr>
                <w:rFonts w:hint="default" w:ascii="Times New Roman" w:hAnsi="Times New Roman" w:cs="Times New Roman"/>
              </w:rPr>
              <w:t>管理，在</w:t>
            </w:r>
            <w:r>
              <w:rPr>
                <w:rFonts w:hint="default" w:ascii="Times New Roman" w:hAnsi="Times New Roman" w:cs="Times New Roman"/>
                <w:lang w:val="en-US" w:eastAsia="zh-CN"/>
              </w:rPr>
              <w:t>勘探</w:t>
            </w:r>
            <w:r>
              <w:rPr>
                <w:rFonts w:hint="default" w:ascii="Times New Roman" w:hAnsi="Times New Roman" w:cs="Times New Roman"/>
              </w:rPr>
              <w:t>过程中应尽量安排在白天，避免夜间</w:t>
            </w:r>
            <w:r>
              <w:rPr>
                <w:rFonts w:hint="default" w:ascii="Times New Roman" w:hAnsi="Times New Roman" w:cs="Times New Roman"/>
                <w:lang w:val="en-US" w:eastAsia="zh-CN"/>
              </w:rPr>
              <w:t>开采</w:t>
            </w:r>
            <w:r>
              <w:rPr>
                <w:rFonts w:hint="default" w:ascii="Times New Roman" w:hAnsi="Times New Roman" w:cs="Times New Roman"/>
              </w:rPr>
              <w:t>对野生动物的影响。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③加强员工对野生动物的保护意识，禁止捕捉野生动物，避免在野生动物的繁殖期、育幼期等敏感时期进行高强度作业，减少</w:t>
            </w:r>
            <w:r>
              <w:rPr>
                <w:rFonts w:hint="default" w:ascii="Times New Roman" w:hAnsi="Times New Roman" w:cs="Times New Roman"/>
              </w:rPr>
              <w:t>作业人员在矿区作业区以外活动区域</w:t>
            </w:r>
            <w:r>
              <w:rPr>
                <w:rFonts w:hint="default" w:ascii="Times New Roman" w:hAnsi="Times New Roman" w:cs="Times New Roman"/>
                <w:lang w:eastAsia="zh-CN"/>
              </w:rPr>
              <w:t>，</w:t>
            </w:r>
            <w:r>
              <w:rPr>
                <w:rFonts w:hint="default" w:ascii="Times New Roman" w:hAnsi="Times New Roman" w:cs="Times New Roman"/>
                <w:lang w:val="en-US" w:eastAsia="zh-CN"/>
              </w:rPr>
              <w:t>避免惊吓野生动物。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项目</w:t>
            </w:r>
            <w:r>
              <w:rPr>
                <w:rFonts w:hint="default" w:ascii="Times New Roman" w:hAnsi="Times New Roman" w:cs="Times New Roman"/>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1.2土壤环境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eastAsia" w:cs="Times New Roman"/>
                <w:lang w:val="en-US" w:eastAsia="zh-CN"/>
              </w:rPr>
              <w:t>和硕县</w:t>
            </w:r>
            <w:r>
              <w:rPr>
                <w:rFonts w:hint="default" w:ascii="Times New Roman" w:hAnsi="Times New Roman" w:cs="Times New Roman"/>
              </w:rPr>
              <w:t>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w:t>
            </w:r>
            <w:r>
              <w:rPr>
                <w:rFonts w:hint="default" w:ascii="Times New Roman" w:hAnsi="Times New Roman" w:cs="Times New Roman"/>
                <w:lang w:eastAsia="zh-CN"/>
              </w:rPr>
              <w:t>工程施工过程中的土方开挖、回填、机械碾压对土壤的理化性质和土壤肥力会产生一定不利影响。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勘探期应严格控制施工区域，尽可能缩小施工范围，减少开挖量和生态破坏面积，从而减少开挖和恢复面积；优化土石方平衡，减少水土流失。加强机械、车辆行驶路线的管理，划定明确的作业范围和行驶路线，严禁越界施工和偏离施工便道进行无监管活动，减少</w:t>
            </w:r>
            <w:r>
              <w:rPr>
                <w:rFonts w:hint="default" w:ascii="Times New Roman" w:hAnsi="Times New Roman" w:cs="Times New Roman"/>
              </w:rPr>
              <w:t>作业人员在矿区作业区以外活动区域</w:t>
            </w:r>
            <w:r>
              <w:rPr>
                <w:rFonts w:hint="default" w:ascii="Times New Roman" w:hAnsi="Times New Roman" w:cs="Times New Roman"/>
                <w:lang w:val="en-US" w:eastAsia="zh-CN"/>
              </w:rPr>
              <w:t>。</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1.3自然</w:t>
            </w:r>
            <w:r>
              <w:rPr>
                <w:rFonts w:hint="default" w:ascii="Times New Roman" w:hAnsi="Times New Roman" w:cs="Times New Roman"/>
              </w:rPr>
              <w:t>景观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项目已制定具体的复垦方案，预留了复垦保障资金，采取边</w:t>
            </w:r>
            <w:r>
              <w:rPr>
                <w:rFonts w:hint="default" w:ascii="Times New Roman" w:hAnsi="Times New Roman" w:cs="Times New Roman"/>
                <w:lang w:val="en-US" w:eastAsia="zh-CN"/>
              </w:rPr>
              <w:t>开挖</w:t>
            </w:r>
            <w:r>
              <w:rPr>
                <w:rFonts w:hint="default" w:ascii="Times New Roman" w:hAnsi="Times New Roman" w:cs="Times New Roman"/>
              </w:rPr>
              <w:t>边恢复</w:t>
            </w:r>
            <w:r>
              <w:rPr>
                <w:rFonts w:hint="default" w:ascii="Times New Roman" w:hAnsi="Times New Roman" w:cs="Times New Roman"/>
                <w:lang w:val="en-US" w:eastAsia="zh-CN"/>
              </w:rPr>
              <w:t>开挖</w:t>
            </w:r>
            <w:r>
              <w:rPr>
                <w:rFonts w:hint="default" w:ascii="Times New Roman" w:hAnsi="Times New Roman" w:cs="Times New Roman"/>
              </w:rPr>
              <w:t>迹地的方法，</w:t>
            </w:r>
            <w:r>
              <w:rPr>
                <w:rFonts w:hint="default" w:ascii="Times New Roman" w:hAnsi="Times New Roman" w:cs="Times New Roman"/>
                <w:lang w:val="en-US" w:eastAsia="zh-CN"/>
              </w:rPr>
              <w:t>对施工迹地</w:t>
            </w:r>
            <w:r>
              <w:rPr>
                <w:rFonts w:hint="default" w:ascii="Times New Roman" w:hAnsi="Times New Roman" w:cs="Times New Roman"/>
              </w:rPr>
              <w:t>进行恢复，</w:t>
            </w:r>
            <w:r>
              <w:rPr>
                <w:rFonts w:hint="default" w:ascii="Times New Roman" w:hAnsi="Times New Roman" w:cs="Times New Roman"/>
                <w:lang w:val="en-US" w:eastAsia="zh-CN"/>
              </w:rPr>
              <w:t>确保项目区占地区域基本恢复到探矿前地貌。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①尽量避开雨季作业，探坑需要及时进行场地清理、回填并进行植被恢复。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③随着工程结束，探坑将逐步回填、平整，使其与周围地貌基本一致。</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1.4</w:t>
            </w:r>
            <w:r>
              <w:rPr>
                <w:rFonts w:hint="default" w:ascii="Times New Roman" w:hAnsi="Times New Roman" w:cs="Times New Roman"/>
              </w:rPr>
              <w:t>水土流失</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新疆维吾尔自治区巴音郭楞蒙古自治州和硕县城东北17°方向，直线距离39千米处</w:t>
            </w:r>
            <w:r>
              <w:rPr>
                <w:rFonts w:hint="default" w:ascii="Times New Roman" w:hAnsi="Times New Roman" w:cs="Times New Roman"/>
                <w:lang w:val="en-US" w:eastAsia="zh-CN"/>
              </w:rPr>
              <w:t>，</w:t>
            </w:r>
            <w:r>
              <w:rPr>
                <w:rFonts w:hint="default" w:ascii="Times New Roman" w:hAnsi="Times New Roman" w:cs="Times New Roman"/>
                <w:lang w:eastAsia="zh-CN"/>
              </w:rPr>
              <w:t>勘探</w:t>
            </w:r>
            <w:r>
              <w:rPr>
                <w:rFonts w:hint="default" w:ascii="Times New Roman" w:hAnsi="Times New Roman" w:cs="Times New Roman"/>
              </w:rPr>
              <w:t>区降雨量较低，基本无法形成无组织的径流。项目区的水土流失</w:t>
            </w:r>
            <w:r>
              <w:rPr>
                <w:rFonts w:hint="eastAsia"/>
                <w:lang w:val="en-US" w:eastAsia="zh-CN"/>
              </w:rPr>
              <w:t>类型包括水力侵蚀，风力侵蚀和冻融侵蚀</w:t>
            </w:r>
            <w:r>
              <w:rPr>
                <w:rFonts w:hint="default" w:ascii="Times New Roman" w:hAnsi="Times New Roman" w:cs="Times New Roman"/>
              </w:rPr>
              <w:t>，</w:t>
            </w:r>
            <w:r>
              <w:rPr>
                <w:rFonts w:hint="default" w:ascii="Times New Roman" w:hAnsi="Times New Roman" w:cs="Times New Roman"/>
                <w:lang w:eastAsia="zh-CN"/>
              </w:rPr>
              <w:t>勘探区</w:t>
            </w:r>
            <w:r>
              <w:rPr>
                <w:rFonts w:hint="default" w:ascii="Times New Roman" w:hAnsi="Times New Roman" w:cs="Times New Roman"/>
              </w:rPr>
              <w:t>采用了边</w:t>
            </w:r>
            <w:r>
              <w:rPr>
                <w:rFonts w:hint="default" w:ascii="Times New Roman" w:hAnsi="Times New Roman" w:cs="Times New Roman"/>
                <w:lang w:eastAsia="zh-CN"/>
              </w:rPr>
              <w:t>开挖</w:t>
            </w:r>
            <w:r>
              <w:rPr>
                <w:rFonts w:hint="default" w:ascii="Times New Roman" w:hAnsi="Times New Roman" w:cs="Times New Roman"/>
              </w:rPr>
              <w:t>、边回填、边复垦的</w:t>
            </w:r>
            <w:r>
              <w:rPr>
                <w:rFonts w:hint="default" w:ascii="Times New Roman" w:hAnsi="Times New Roman" w:cs="Times New Roman"/>
                <w:lang w:eastAsia="zh-CN"/>
              </w:rPr>
              <w:t>勘探</w:t>
            </w:r>
            <w:r>
              <w:rPr>
                <w:rFonts w:hint="default" w:ascii="Times New Roman" w:hAnsi="Times New Roman" w:cs="Times New Roman"/>
              </w:rPr>
              <w:t>方式，符合《新疆维吾尔自治区水土保持规划（2018</w:t>
            </w:r>
            <w:r>
              <w:rPr>
                <w:rFonts w:hint="eastAsia" w:cs="Times New Roman"/>
                <w:lang w:val="en-US" w:eastAsia="zh-CN"/>
              </w:rPr>
              <w:t>-</w:t>
            </w:r>
            <w:r>
              <w:rPr>
                <w:rFonts w:hint="default" w:ascii="Times New Roman" w:hAnsi="Times New Roman" w:cs="Times New Roman"/>
              </w:rPr>
              <w:t>2030年）》的相关要求。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本项目运营过程中由于</w:t>
            </w:r>
            <w:r>
              <w:rPr>
                <w:rFonts w:hint="default" w:ascii="Times New Roman" w:hAnsi="Times New Roman" w:cs="Times New Roman"/>
                <w:lang w:eastAsia="zh-CN"/>
              </w:rPr>
              <w:t>勘探</w:t>
            </w:r>
            <w:r>
              <w:rPr>
                <w:rFonts w:hint="default" w:ascii="Times New Roman" w:hAnsi="Times New Roman" w:cs="Times New Roman"/>
              </w:rPr>
              <w:t>活动破坏了地表植被，从而使路面、坡面土壤裸露，在风蚀和水蚀的作用下，不可避免地造成一定的水土流失。为减小水土流失的影响，评价要求企业采取以下措施：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①堆土表面采用</w:t>
            </w:r>
            <w:r>
              <w:rPr>
                <w:rFonts w:hint="eastAsia" w:cs="Times New Roman"/>
                <w:lang w:val="en-US" w:eastAsia="zh-CN"/>
              </w:rPr>
              <w:t>彩布条</w:t>
            </w:r>
            <w:r>
              <w:rPr>
                <w:rFonts w:hint="default" w:ascii="Times New Roman" w:hAnsi="Times New Roman" w:cs="Times New Roman"/>
                <w:lang w:val="en-US" w:eastAsia="zh-CN"/>
              </w:rPr>
              <w:t>苫盖，减少降雨和风力对弃渣的侵蚀。</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加强管理，大风天气、雨季不得作业</w:t>
            </w:r>
            <w:r>
              <w:rPr>
                <w:rFonts w:hint="default" w:ascii="Times New Roman" w:hAnsi="Times New Roman" w:cs="Times New Roman"/>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③勘探完成</w:t>
            </w:r>
            <w:r>
              <w:rPr>
                <w:rFonts w:hint="default" w:ascii="Times New Roman" w:hAnsi="Times New Roman" w:cs="Times New Roman"/>
              </w:rPr>
              <w:t>后，将</w:t>
            </w:r>
            <w:r>
              <w:rPr>
                <w:rFonts w:hint="default" w:ascii="Times New Roman" w:hAnsi="Times New Roman" w:cs="Times New Roman"/>
                <w:lang w:eastAsia="zh-CN"/>
              </w:rPr>
              <w:t>勘探区</w:t>
            </w:r>
            <w:r>
              <w:rPr>
                <w:rFonts w:hint="default" w:ascii="Times New Roman" w:hAnsi="Times New Roman" w:cs="Times New Roman"/>
              </w:rPr>
              <w:t>土地进行复垦</w:t>
            </w:r>
            <w:r>
              <w:rPr>
                <w:rFonts w:hint="default" w:ascii="Times New Roman" w:hAnsi="Times New Roman" w:cs="Times New Roman"/>
                <w:lang w:eastAsia="zh-CN"/>
              </w:rPr>
              <w:t>，对探坑</w:t>
            </w:r>
            <w:r>
              <w:rPr>
                <w:rFonts w:hint="default" w:ascii="Times New Roman" w:hAnsi="Times New Roman" w:cs="Times New Roman"/>
              </w:rPr>
              <w:t>周边进行表层回填和迹地覆土恢复，及时对周围生态植被进行修复，增加区域防冲和固土能力，减小水土流失的影响。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本项目在采取以上相关的水土保持措施后，可使采区内水土得以有效保持，不会对生态环境造成较大的影响。</w:t>
            </w:r>
          </w:p>
          <w:p>
            <w:pPr>
              <w:pStyle w:val="50"/>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1.5土地沙化</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期采取以下防沙治沙措施：</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①在探槽附近设置临时堆场，堆土采用</w:t>
            </w:r>
            <w:r>
              <w:rPr>
                <w:rFonts w:hint="eastAsia" w:cs="Times New Roman"/>
                <w:lang w:val="en-US" w:eastAsia="zh-CN"/>
              </w:rPr>
              <w:t>彩布条</w:t>
            </w:r>
            <w:r>
              <w:rPr>
                <w:rFonts w:hint="default" w:ascii="Times New Roman" w:hAnsi="Times New Roman" w:cs="Times New Roman"/>
                <w:lang w:val="en-US" w:eastAsia="zh-CN"/>
              </w:rPr>
              <w:t>苫盖，减少风蚀。</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②在作业区域与周边植被之间设置隔离带，防止机械设备和人员误闯入造成植被破坏。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③合理规划作业范围，在勘查结束后及时开展植被恢复工作。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2.勘探完成时的生态环境保护及恢复措施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根据《矿山生态环境保护与恢复治理技术规范(试行)》(HJ651-2013)、《新疆维吾尔自治区绿色勘查工作指南（试行）》和《裸露坡面植被恢复技术规范》（GB/T38360-2019）可知，探矿完成时的保护措施及恢复如下。</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对于钻孔或坑井应予回填封闭，并恢复其原有生态功能。</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不再使用的</w:t>
            </w:r>
            <w:r>
              <w:rPr>
                <w:rFonts w:hint="eastAsia" w:cs="Times New Roman"/>
                <w:lang w:val="en-US" w:eastAsia="zh-CN"/>
              </w:rPr>
              <w:t>帐篷</w:t>
            </w:r>
            <w:r>
              <w:rPr>
                <w:rFonts w:hint="default" w:ascii="Times New Roman" w:hAnsi="Times New Roman" w:cs="Times New Roman"/>
                <w:lang w:val="en-US" w:eastAsia="zh-CN"/>
              </w:rPr>
              <w:t>、沉淀池等各项建筑和基础设施应按照以下要求全部拆除。</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①分类收集：将拆除产生的建筑垃圾、生活垃圾等分类收集。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②合规处置：建筑垃圾可回收部分送回收站，不可回收的运至指定消纳场；生活垃圾送至</w:t>
            </w:r>
            <w:r>
              <w:rPr>
                <w:rFonts w:hint="eastAsia" w:cs="Times New Roman"/>
                <w:lang w:val="en-US" w:eastAsia="zh-CN"/>
              </w:rPr>
              <w:t>和硕县</w:t>
            </w:r>
            <w:r>
              <w:rPr>
                <w:rFonts w:hint="default" w:ascii="Times New Roman" w:hAnsi="Times New Roman" w:cs="Times New Roman"/>
                <w:lang w:val="en-US" w:eastAsia="zh-CN"/>
              </w:rPr>
              <w:t>垃圾填埋场处理。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③拆除作业易产生扬尘，定期洒水降尘，干燥天气增加频次，保持地面湿润。</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专用运输道路应及时回填、平整并利用堆存的表土进行植被和景观恢复。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施工结束后土地应及时平整恢复，定期检查已回填恢复的探槽，尽可能恢复植被原貌。</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勘探完成后，将勘探区土地进行复垦，对探坑周边进行表层回填和迹地覆土恢复，及时对周围生态植被进行修复，减小水土流失的影响。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3.大气环境保护措施</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3.1开挖扬尘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施工过程中扬尘污染对该点及周围环境产生一定的不利影响。为避免扬尘污染施工场地，拟提出以下防治措施：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（1）施工前制定控制工地扬尘方案，施工期间接受相关部门的监督检查，执行施工场地的相关规定，采取有效防尘措施。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（2）施工现场合理布局，对施工道路常洒水，对易扬尘物料加盖苫布。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（3）为进一步降低施工扬尘，要定期对路面和施工场地洒水，保持下垫面和空气湿润，减少起尘量，洒水频率视天气情况调整，原则上晴天每天不少于4次。</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（4）4级以上大风天气，不得进行土方回填、转运以及其他可能产生扬尘污染的施工，并对施工场地做好遮掩工作。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3.2</w:t>
            </w:r>
            <w:r>
              <w:rPr>
                <w:rFonts w:hint="default" w:ascii="Times New Roman" w:hAnsi="Times New Roman" w:cs="Times New Roman"/>
              </w:rPr>
              <w:t>燃油废气</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（1）使用合格的施工与运输车辆，保证汽车尾气达到国家规定的排放标准要求。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（2）选用工艺先进、技术含量高的作业机械。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（3）尽量避免施工机械同时运行，停止使用机械时尽可能怠速运转或熄火，避免猛踩油门增加燃油废气中有害物质的排放。</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default" w:ascii="Times New Roman" w:hAnsi="Times New Roman" w:cs="Times New Roman"/>
                <w:highlight w:val="none"/>
              </w:rPr>
              <w:t>水环境</w:t>
            </w:r>
            <w:r>
              <w:rPr>
                <w:rFonts w:hint="default" w:ascii="Times New Roman" w:hAnsi="Times New Roman" w:cs="Times New Roman"/>
                <w:highlight w:val="none"/>
                <w:lang w:val="en-US" w:eastAsia="zh-CN"/>
              </w:rPr>
              <w:t>保护</w:t>
            </w:r>
            <w:r>
              <w:rPr>
                <w:rFonts w:hint="default" w:ascii="Times New Roman" w:hAnsi="Times New Roman" w:cs="Times New Roman"/>
                <w:highlight w:val="none"/>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（1）生活污水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本次探矿野外作业人员约</w:t>
            </w:r>
            <w:r>
              <w:rPr>
                <w:rFonts w:hint="eastAsia" w:cs="Times New Roman"/>
                <w:lang w:val="en-US" w:eastAsia="zh-CN"/>
              </w:rPr>
              <w:t>6</w:t>
            </w:r>
            <w:r>
              <w:rPr>
                <w:rFonts w:hint="default" w:ascii="Times New Roman" w:hAnsi="Times New Roman" w:cs="Times New Roman"/>
              </w:rPr>
              <w:t>人。勘探人员日常洗漱</w:t>
            </w:r>
            <w:r>
              <w:rPr>
                <w:rFonts w:hint="default" w:ascii="Times New Roman" w:hAnsi="Times New Roman" w:cs="Times New Roman"/>
                <w:lang w:val="en-US" w:eastAsia="zh-CN"/>
              </w:rPr>
              <w:t>和</w:t>
            </w:r>
            <w:r>
              <w:rPr>
                <w:rFonts w:hint="default" w:ascii="Times New Roman" w:hAnsi="Times New Roman" w:cs="Times New Roman"/>
              </w:rPr>
              <w:t>生活所产生的污水，间断排放，主要含COD、BOD</w:t>
            </w:r>
            <w:r>
              <w:rPr>
                <w:rFonts w:hint="default" w:ascii="Times New Roman" w:hAnsi="Times New Roman" w:cs="Times New Roman"/>
                <w:vertAlign w:val="subscript"/>
              </w:rPr>
              <w:t>5</w:t>
            </w:r>
            <w:r>
              <w:rPr>
                <w:rFonts w:hint="default" w:ascii="Times New Roman" w:hAnsi="Times New Roman" w:cs="Times New Roman"/>
              </w:rPr>
              <w:t>、SS等污染物</w:t>
            </w:r>
            <w:r>
              <w:rPr>
                <w:rFonts w:hint="default" w:ascii="Times New Roman" w:hAnsi="Times New Roman" w:cs="Times New Roman"/>
                <w:lang w:eastAsia="zh-CN"/>
              </w:rPr>
              <w:t>，</w:t>
            </w:r>
            <w:r>
              <w:rPr>
                <w:rFonts w:hint="eastAsia" w:cs="Times New Roman"/>
                <w:lang w:val="en-US" w:eastAsia="zh-CN"/>
              </w:rPr>
              <w:t>勘探期工作天数为30d，则勘探期</w:t>
            </w:r>
            <w:r>
              <w:rPr>
                <w:rFonts w:hint="eastAsia"/>
              </w:rPr>
              <w:t>生活污水</w:t>
            </w:r>
            <w:r>
              <w:rPr>
                <w:rFonts w:hint="eastAsia"/>
                <w:lang w:val="en-US" w:eastAsia="zh-CN"/>
              </w:rPr>
              <w:t>排放量为4.32</w:t>
            </w:r>
            <w:r>
              <w:rPr>
                <w:rFonts w:hint="eastAsia"/>
              </w:rPr>
              <w:t>m</w:t>
            </w:r>
            <w:r>
              <w:rPr>
                <w:rFonts w:hint="eastAsia"/>
                <w:vertAlign w:val="superscript"/>
              </w:rPr>
              <w:t>3</w:t>
            </w:r>
            <w:r>
              <w:rPr>
                <w:rFonts w:hint="eastAsia"/>
              </w:rPr>
              <w:t>。</w:t>
            </w:r>
            <w:r>
              <w:rPr>
                <w:rFonts w:hint="default" w:ascii="Times New Roman" w:hAnsi="Times New Roman" w:cs="Times New Roman"/>
                <w:lang w:val="en-US" w:eastAsia="zh-CN"/>
              </w:rPr>
              <w:t>生活污水产生量较少</w:t>
            </w:r>
            <w:r>
              <w:rPr>
                <w:rFonts w:hint="default" w:ascii="Times New Roman" w:hAnsi="Times New Roman" w:cs="Times New Roman"/>
              </w:rPr>
              <w:t>。生活污水包括粪便污</w:t>
            </w:r>
            <w:r>
              <w:rPr>
                <w:rFonts w:hint="default" w:ascii="Times New Roman" w:hAnsi="Times New Roman" w:cs="Times New Roman"/>
                <w:lang w:val="en-US" w:eastAsia="zh-CN"/>
              </w:rPr>
              <w:t>水和洗漱污水</w:t>
            </w:r>
            <w:r>
              <w:rPr>
                <w:rFonts w:hint="default" w:ascii="Times New Roman" w:hAnsi="Times New Roman" w:cs="Times New Roman"/>
              </w:rPr>
              <w:t>等，类比一般生活污水污染物产生浓度，主要污染物COD、BOD</w:t>
            </w:r>
            <w:r>
              <w:rPr>
                <w:rFonts w:hint="eastAsia" w:cs="Times New Roman"/>
                <w:vertAlign w:val="subscript"/>
                <w:lang w:val="en-US" w:eastAsia="zh-CN"/>
              </w:rPr>
              <w:t>5</w:t>
            </w:r>
            <w:r>
              <w:rPr>
                <w:rFonts w:hint="default" w:ascii="Times New Roman" w:hAnsi="Times New Roman" w:cs="Times New Roman"/>
              </w:rPr>
              <w:t>、SS、NH</w:t>
            </w:r>
            <w:r>
              <w:rPr>
                <w:rFonts w:hint="eastAsia" w:cs="Times New Roman"/>
                <w:vertAlign w:val="subscript"/>
                <w:lang w:val="en-US" w:eastAsia="zh-CN"/>
              </w:rPr>
              <w:t>4</w:t>
            </w:r>
            <w:r>
              <w:rPr>
                <w:rFonts w:hint="default" w:ascii="Times New Roman" w:hAnsi="Times New Roman" w:cs="Times New Roman"/>
              </w:rPr>
              <w:t>-N、动植物油的排放浓度分别为</w:t>
            </w:r>
            <w:r>
              <w:rPr>
                <w:rFonts w:hint="default" w:ascii="Times New Roman" w:hAnsi="Times New Roman" w:cs="Times New Roman"/>
                <w:lang w:eastAsia="zh-CN"/>
              </w:rPr>
              <w:t>：</w:t>
            </w:r>
            <w:r>
              <w:rPr>
                <w:rFonts w:hint="default" w:ascii="Times New Roman" w:hAnsi="Times New Roman" w:cs="Times New Roman"/>
              </w:rPr>
              <w:t>320mg/</w:t>
            </w:r>
            <w:r>
              <w:rPr>
                <w:rFonts w:hint="eastAsia" w:cs="Times New Roman"/>
                <w:lang w:val="en-US" w:eastAsia="zh-CN"/>
              </w:rPr>
              <w:t>L</w:t>
            </w:r>
            <w:r>
              <w:rPr>
                <w:rFonts w:hint="default" w:ascii="Times New Roman" w:hAnsi="Times New Roman" w:cs="Times New Roman"/>
                <w:lang w:eastAsia="zh-CN"/>
              </w:rPr>
              <w:t>、</w:t>
            </w:r>
            <w:r>
              <w:rPr>
                <w:rFonts w:hint="default" w:ascii="Times New Roman" w:hAnsi="Times New Roman" w:cs="Times New Roman"/>
              </w:rPr>
              <w:t>200mg/</w:t>
            </w:r>
            <w:r>
              <w:rPr>
                <w:rFonts w:hint="eastAsia" w:cs="Times New Roman"/>
                <w:lang w:val="en-US" w:eastAsia="zh-CN"/>
              </w:rPr>
              <w:t>L</w:t>
            </w:r>
            <w:r>
              <w:rPr>
                <w:rFonts w:hint="default" w:ascii="Times New Roman" w:hAnsi="Times New Roman" w:cs="Times New Roman"/>
              </w:rPr>
              <w:t>、360mg/</w:t>
            </w:r>
            <w:r>
              <w:rPr>
                <w:rFonts w:hint="eastAsia" w:cs="Times New Roman"/>
                <w:lang w:val="en-US" w:eastAsia="zh-CN"/>
              </w:rPr>
              <w:t>L</w:t>
            </w:r>
            <w:r>
              <w:rPr>
                <w:rFonts w:hint="default" w:ascii="Times New Roman" w:hAnsi="Times New Roman" w:cs="Times New Roman"/>
              </w:rPr>
              <w:t>、25mg/</w:t>
            </w:r>
            <w:r>
              <w:rPr>
                <w:rFonts w:hint="eastAsia" w:cs="Times New Roman"/>
                <w:lang w:val="en-US" w:eastAsia="zh-CN"/>
              </w:rPr>
              <w:t>L</w:t>
            </w:r>
            <w:r>
              <w:rPr>
                <w:rFonts w:hint="default" w:ascii="Times New Roman" w:hAnsi="Times New Roman" w:cs="Times New Roman"/>
              </w:rPr>
              <w:t>、30mg</w:t>
            </w:r>
            <w:r>
              <w:rPr>
                <w:rFonts w:hint="eastAsia" w:cs="Times New Roman"/>
                <w:lang w:val="en-US" w:eastAsia="zh-CN"/>
              </w:rPr>
              <w:t>/L</w:t>
            </w:r>
            <w:r>
              <w:rPr>
                <w:rFonts w:hint="default" w:ascii="Times New Roman" w:hAnsi="Times New Roman" w:cs="Times New Roman"/>
              </w:rPr>
              <w:t>。</w:t>
            </w:r>
            <w:r>
              <w:rPr>
                <w:rFonts w:hint="default" w:ascii="Times New Roman" w:hAnsi="Times New Roman" w:cs="Times New Roman"/>
                <w:lang w:val="en-US" w:eastAsia="zh-CN"/>
              </w:rPr>
              <w:t>生活污水排入一体化污水处理设施处理达标后，其出水标准可达到《农村生活污水处理排放标准》（DB654275-2019）表2中</w:t>
            </w:r>
            <w:r>
              <w:rPr>
                <w:rFonts w:hint="eastAsia" w:cs="Times New Roman"/>
                <w:lang w:val="en-US" w:eastAsia="zh-CN"/>
              </w:rPr>
              <w:t>A</w:t>
            </w:r>
            <w:r>
              <w:rPr>
                <w:rFonts w:hint="default" w:ascii="Times New Roman" w:hAnsi="Times New Roman" w:cs="Times New Roman"/>
                <w:lang w:val="en-US" w:eastAsia="zh-CN"/>
              </w:rPr>
              <w:t>级标准，用于洒水绿化，不外排，不与地表水体发生水力联系，对周围环境影响较小。</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（2）钻井设备冲洗水</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项目钻探过程中使用的钻井设备需清洗，勘探期产生的清洗废水经防渗沉淀池</w:t>
            </w:r>
            <w:r>
              <w:rPr>
                <w:rFonts w:hint="eastAsia" w:cs="Times New Roman"/>
                <w:lang w:val="en-US" w:eastAsia="zh-CN"/>
              </w:rPr>
              <w:t>处理后用于洒水降尘</w:t>
            </w:r>
            <w:r>
              <w:rPr>
                <w:rFonts w:hint="default" w:ascii="Times New Roman" w:hAnsi="Times New Roman" w:cs="Times New Roman"/>
                <w:lang w:val="en-US" w:eastAsia="zh-CN"/>
              </w:rPr>
              <w:t>，探矿期结束后自然蒸发，不外排。</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（3）泥浆废水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泥浆废水经防渗沉淀池处理后回用于钻孔泥浆配制，循环使用，不外排。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5.声环境保护</w:t>
            </w:r>
            <w:r>
              <w:rPr>
                <w:rFonts w:hint="default" w:ascii="Times New Roman" w:hAnsi="Times New Roman" w:cs="Times New Roman"/>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为减少本项目施工期间噪声对周边环境的影响拟采取以下防治措施：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（1）合理安排施工时段：制定施工计划时，应尽可能避免大量噪声设备同时使用。应尽量安排在白天施工。</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（2）合理布局施工场地：避免在同一地点安排大量动力机械设备，以免局部声级过高。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（3）降低人为噪声影响：按操作规范操作机械设备过程中减少碰撞噪声，在装卸</w:t>
            </w:r>
            <w:r>
              <w:rPr>
                <w:rFonts w:hint="default" w:ascii="Times New Roman" w:hAnsi="Times New Roman" w:cs="Times New Roman"/>
                <w:lang w:val="en-US" w:eastAsia="zh-CN"/>
              </w:rPr>
              <w:t>过</w:t>
            </w:r>
            <w:r>
              <w:rPr>
                <w:rFonts w:hint="default" w:ascii="Times New Roman" w:hAnsi="Times New Roman" w:cs="Times New Roman"/>
              </w:rPr>
              <w:t>程中，禁止野蛮作业，减少作业噪声。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（4）管理措施：建设方应对施工单位提出明确的噪声环境要求，要求施工单位制定科学、合理的施工方案和严格的生产管理制度。</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（5）加强对设备的维护、养护，闲置设备应立即关闭。尽可能采用外加工材料，减少现场加工的工作量。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固体废物污染防治措施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（1）</w:t>
            </w:r>
            <w:r>
              <w:rPr>
                <w:rFonts w:hint="default" w:ascii="Times New Roman" w:hAnsi="Times New Roman" w:cs="Times New Roman"/>
                <w:lang w:val="en-US" w:eastAsia="zh-CN"/>
              </w:rPr>
              <w:t>开挖临时堆土</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根据工程分析，本项目勘探期土石方主要由槽探开挖产生。开挖过程中同步采集勘探样品并外运留存，开挖土方临时堆置于探槽一侧，采用</w:t>
            </w:r>
            <w:r>
              <w:rPr>
                <w:rFonts w:hint="eastAsia" w:cs="Times New Roman"/>
                <w:lang w:val="en-US" w:eastAsia="zh-CN"/>
              </w:rPr>
              <w:t>彩布条</w:t>
            </w:r>
            <w:r>
              <w:rPr>
                <w:rFonts w:hint="default" w:ascii="Times New Roman" w:hAnsi="Times New Roman" w:cs="Times New Roman"/>
              </w:rPr>
              <w:t>苫盖防护。勘探工作结束后，取样剩余土石方全部原位回填并平整场地，现场无弃土产生，可有效防治水土流失，对周边环境影响较小。</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（2）钻井泥浆、岩屑</w:t>
            </w:r>
            <w:r>
              <w:rPr>
                <w:rFonts w:hint="default" w:ascii="Times New Roman" w:hAnsi="Times New Roman" w:cs="Times New Roman"/>
                <w:lang w:val="en-US" w:eastAsia="zh-CN"/>
              </w:rPr>
              <w:t>、沉淀池沉渣</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w:t>
            </w:r>
            <w:r>
              <w:rPr>
                <w:rFonts w:hint="eastAsia"/>
                <w:lang w:val="en-US" w:eastAsia="zh-CN"/>
              </w:rPr>
              <w:t>目</w:t>
            </w:r>
            <w:r>
              <w:rPr>
                <w:rFonts w:hint="default"/>
                <w:lang w:val="en-US" w:eastAsia="zh-CN"/>
              </w:rPr>
              <w:t>使用的泥浆为水基钻井泥浆，以膨润土、辅料粘土作为基础配浆材料，加入各种有机和无机材料形成的多种成分和相态共存的悬浮液。本项目采用的泥浆材料及处理剂具备无毒无害、可自然降解性能，不含易燃、易爆、有毒物质</w:t>
            </w:r>
            <w:r>
              <w:rPr>
                <w:rFonts w:hint="eastAsia"/>
                <w:lang w:val="en-US" w:eastAsia="zh-CN"/>
              </w:rPr>
              <w:t>，可</w:t>
            </w:r>
            <w:r>
              <w:rPr>
                <w:rFonts w:hint="default"/>
                <w:lang w:val="en-US" w:eastAsia="zh-CN"/>
              </w:rPr>
              <w:t>循环使用，固化后</w:t>
            </w:r>
            <w:r>
              <w:rPr>
                <w:rFonts w:hint="eastAsia"/>
                <w:lang w:val="en-US" w:eastAsia="zh-CN"/>
              </w:rPr>
              <w:t>拉运至一般固废处置单位统一处理</w:t>
            </w:r>
            <w:r>
              <w:rPr>
                <w:rFonts w:hint="default"/>
                <w:lang w:val="en-US" w:eastAsia="zh-CN"/>
              </w:rPr>
              <w:t>。岩屑用于回填</w:t>
            </w:r>
            <w:r>
              <w:rPr>
                <w:rFonts w:hint="eastAsia"/>
                <w:lang w:val="en-US" w:eastAsia="zh-CN"/>
              </w:rPr>
              <w:t>，</w:t>
            </w:r>
            <w:r>
              <w:rPr>
                <w:rFonts w:hint="default"/>
                <w:lang w:val="en-US" w:eastAsia="zh-CN"/>
              </w:rPr>
              <w:t>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（3）生活垃圾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shd w:val="clear" w:color="auto" w:fill="auto"/>
                <w:lang w:eastAsia="zh-CN"/>
              </w:rPr>
            </w:pPr>
            <w:r>
              <w:rPr>
                <w:rFonts w:hint="default" w:ascii="Times New Roman" w:hAnsi="Times New Roman" w:eastAsia="宋体" w:cs="Times New Roman"/>
                <w:lang w:val="en-US" w:eastAsia="zh-CN"/>
              </w:rPr>
              <w:t>本项目</w:t>
            </w:r>
            <w:r>
              <w:rPr>
                <w:rFonts w:hint="eastAsia" w:cs="Times New Roman"/>
                <w:lang w:val="en-US" w:eastAsia="zh-CN"/>
              </w:rPr>
              <w:t>施工期和</w:t>
            </w:r>
            <w:r>
              <w:rPr>
                <w:rFonts w:hint="default" w:ascii="Times New Roman" w:hAnsi="Times New Roman" w:eastAsia="宋体" w:cs="Times New Roman"/>
                <w:lang w:val="en-US" w:eastAsia="zh-CN"/>
              </w:rPr>
              <w:t>勘探期间施工人员生活垃圾产生总量约</w:t>
            </w:r>
            <w:r>
              <w:rPr>
                <w:rFonts w:hint="default" w:ascii="Times New Roman" w:hAnsi="Times New Roman" w:cs="Times New Roman"/>
                <w:lang w:val="en-US" w:eastAsia="zh-CN"/>
              </w:rPr>
              <w:t>为</w:t>
            </w:r>
            <w:r>
              <w:rPr>
                <w:rFonts w:hint="eastAsia" w:cs="Times New Roman"/>
                <w:lang w:val="en-US" w:eastAsia="zh-CN"/>
              </w:rPr>
              <w:t>0.108</w:t>
            </w:r>
            <w:r>
              <w:rPr>
                <w:rFonts w:hint="default" w:ascii="Times New Roman" w:hAnsi="Times New Roman" w:cs="Times New Roman"/>
                <w:highlight w:val="none"/>
                <w:lang w:val="en-US" w:eastAsia="zh-CN"/>
              </w:rPr>
              <w:t>t</w:t>
            </w:r>
            <w:r>
              <w:rPr>
                <w:rFonts w:hint="eastAsia" w:cs="Times New Roman"/>
                <w:highlight w:val="none"/>
                <w:lang w:val="en-US" w:eastAsia="zh-CN"/>
              </w:rPr>
              <w:t>，</w:t>
            </w:r>
            <w:r>
              <w:rPr>
                <w:rFonts w:hint="default" w:ascii="Times New Roman" w:hAnsi="Times New Roman" w:cs="Times New Roman"/>
                <w:lang w:val="en-US" w:eastAsia="zh-CN"/>
              </w:rPr>
              <w:t>施工营地内设置一定数量的垃圾桶，用于临时存放生活垃圾，最终统一收集后</w:t>
            </w:r>
            <w:r>
              <w:rPr>
                <w:rFonts w:hint="default" w:ascii="Times New Roman" w:hAnsi="Times New Roman" w:cs="Times New Roman"/>
                <w:shd w:val="clear" w:color="auto" w:fill="auto"/>
                <w:lang w:val="en-US" w:eastAsia="zh-CN"/>
              </w:rPr>
              <w:t>送至</w:t>
            </w:r>
            <w:r>
              <w:rPr>
                <w:rFonts w:hint="eastAsia" w:cs="Times New Roman"/>
                <w:shd w:val="clear" w:color="auto" w:fill="auto"/>
                <w:lang w:val="en-US" w:eastAsia="zh-CN"/>
              </w:rPr>
              <w:t>和硕县</w:t>
            </w:r>
            <w:r>
              <w:rPr>
                <w:rFonts w:hint="default" w:ascii="Times New Roman" w:hAnsi="Times New Roman" w:cs="Times New Roman"/>
                <w:shd w:val="clear" w:color="auto" w:fill="auto"/>
                <w:lang w:val="en-US" w:eastAsia="zh-CN"/>
              </w:rPr>
              <w:t>垃圾填埋场</w:t>
            </w:r>
            <w:r>
              <w:rPr>
                <w:rFonts w:hint="default" w:ascii="Times New Roman" w:hAnsi="Times New Roman" w:cs="Times New Roman"/>
                <w:shd w:val="clear" w:color="auto" w:fill="auto"/>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采取以上防治措施后，探矿工作产生的固体废物对环境影响较小</w:t>
            </w:r>
            <w:r>
              <w:rPr>
                <w:rFonts w:hint="eastAsia" w:cs="Times New Roman"/>
                <w:lang w:eastAsia="zh-CN"/>
              </w:rPr>
              <w:t>，</w:t>
            </w:r>
            <w:r>
              <w:rPr>
                <w:rFonts w:hint="default" w:ascii="Times New Roman" w:hAnsi="Times New Roman" w:cs="Times New Roman"/>
              </w:rPr>
              <w:t>固废产生明细</w:t>
            </w:r>
            <w:r>
              <w:rPr>
                <w:rFonts w:hint="default" w:ascii="Times New Roman" w:hAnsi="Times New Roman" w:cs="Times New Roman"/>
                <w:lang w:eastAsia="zh-CN"/>
              </w:rPr>
              <w:t>见表</w:t>
            </w:r>
            <w:r>
              <w:rPr>
                <w:rFonts w:hint="default" w:ascii="Times New Roman" w:hAnsi="Times New Roman" w:cs="Times New Roman"/>
                <w:lang w:val="en-US" w:eastAsia="zh-CN"/>
              </w:rPr>
              <w:t>5-1。</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表5-1    项目固体废物产生情况明细</w:t>
            </w:r>
          </w:p>
          <w:tbl>
            <w:tblPr>
              <w:tblStyle w:val="26"/>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65"/>
              <w:gridCol w:w="795"/>
              <w:gridCol w:w="1365"/>
              <w:gridCol w:w="1186"/>
              <w:gridCol w:w="66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废物属性</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名称</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废物类别</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废物代码</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产生量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（探矿期）</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危险特性</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2" w:hRule="atLeast"/>
                <w:jc w:val="center"/>
              </w:trPr>
              <w:tc>
                <w:tcPr>
                  <w:tcW w:w="42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一般固废</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开挖土石</w:t>
                  </w:r>
                </w:p>
              </w:tc>
              <w:tc>
                <w:tcPr>
                  <w:tcW w:w="517"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888"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330</w:t>
                  </w:r>
                  <w:r>
                    <w:rPr>
                      <w:rFonts w:hint="default" w:ascii="Times New Roman" w:hAnsi="Times New Roman" w:cs="Times New Roman"/>
                      <w:highlight w:val="none"/>
                      <w:lang w:eastAsia="zh-CN"/>
                    </w:rPr>
                    <w:t>m</w:t>
                  </w:r>
                  <w:r>
                    <w:rPr>
                      <w:rFonts w:hint="default" w:ascii="Times New Roman" w:hAnsi="Times New Roman" w:cs="Times New Roman"/>
                      <w:highlight w:val="none"/>
                      <w:vertAlign w:val="superscript"/>
                      <w:lang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highlight w:val="none"/>
                      <w:lang w:val="en-US" w:eastAsia="zh-CN"/>
                    </w:rPr>
                    <w:t>钻井岩屑</w:t>
                  </w:r>
                </w:p>
              </w:tc>
              <w:tc>
                <w:tcPr>
                  <w:tcW w:w="517"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888"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4.08</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3</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w:t>
                  </w:r>
                </w:p>
              </w:tc>
              <w:tc>
                <w:tcPr>
                  <w:tcW w:w="517"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SW71</w:t>
                  </w:r>
                </w:p>
              </w:tc>
              <w:tc>
                <w:tcPr>
                  <w:tcW w:w="888"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900-001-S71</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0.6</w:t>
                  </w:r>
                  <w:r>
                    <w:rPr>
                      <w:rFonts w:hint="default" w:ascii="Times New Roman" w:hAnsi="Times New Roman" w:cs="Times New Roman"/>
                      <w:highlight w:val="none"/>
                      <w:lang w:val="en-US" w:eastAsia="zh-CN"/>
                    </w:rPr>
                    <w:t>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钻井泥浆固化后</w:t>
                  </w:r>
                  <w:r>
                    <w:rPr>
                      <w:rFonts w:hint="eastAsia" w:cs="Times New Roman"/>
                      <w:highlight w:val="none"/>
                      <w:lang w:val="en-US" w:eastAsia="zh-CN"/>
                    </w:rPr>
                    <w:t>拉运至一般固废处置单位统一处理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沉淀池沉渣</w:t>
                  </w:r>
                </w:p>
              </w:tc>
              <w:tc>
                <w:tcPr>
                  <w:tcW w:w="51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88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77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0.1t</w:t>
                  </w:r>
                </w:p>
              </w:tc>
              <w:tc>
                <w:tcPr>
                  <w:tcW w:w="431"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w:t>
                  </w:r>
                </w:p>
              </w:tc>
              <w:tc>
                <w:tcPr>
                  <w:tcW w:w="1276"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生活垃圾</w:t>
                  </w:r>
                </w:p>
              </w:tc>
              <w:tc>
                <w:tcPr>
                  <w:tcW w:w="6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生活垃圾</w:t>
                  </w:r>
                </w:p>
              </w:tc>
              <w:tc>
                <w:tcPr>
                  <w:tcW w:w="517"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SW62</w:t>
                  </w:r>
                </w:p>
              </w:tc>
              <w:tc>
                <w:tcPr>
                  <w:tcW w:w="88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900-001-S62</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900-002-S62</w:t>
                  </w:r>
                </w:p>
              </w:tc>
              <w:tc>
                <w:tcPr>
                  <w:tcW w:w="77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0.108</w:t>
                  </w:r>
                  <w:r>
                    <w:rPr>
                      <w:rFonts w:hint="default" w:ascii="Times New Roman" w:hAnsi="Times New Roman" w:cs="Times New Roman"/>
                      <w:highlight w:val="none"/>
                      <w:lang w:val="en-US" w:eastAsia="zh-CN"/>
                    </w:rPr>
                    <w:t>t</w:t>
                  </w:r>
                </w:p>
              </w:tc>
              <w:tc>
                <w:tcPr>
                  <w:tcW w:w="43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shd w:val="clear" w:color="auto" w:fill="auto"/>
                      <w:lang w:val="en-US" w:eastAsia="zh-CN"/>
                    </w:rPr>
                    <w:t>统一收集后送至</w:t>
                  </w:r>
                  <w:r>
                    <w:rPr>
                      <w:rFonts w:hint="eastAsia" w:cs="Times New Roman"/>
                      <w:highlight w:val="none"/>
                      <w:shd w:val="clear" w:color="auto" w:fill="auto"/>
                      <w:lang w:val="en-US" w:eastAsia="zh-CN"/>
                    </w:rPr>
                    <w:t>和硕县</w:t>
                  </w:r>
                  <w:r>
                    <w:rPr>
                      <w:rFonts w:hint="default" w:ascii="Times New Roman" w:hAnsi="Times New Roman" w:cs="Times New Roman"/>
                      <w:highlight w:val="none"/>
                      <w:shd w:val="clear" w:color="auto" w:fill="auto"/>
                      <w:lang w:val="en-US" w:eastAsia="zh-CN"/>
                    </w:rPr>
                    <w:t>垃圾填埋场</w:t>
                  </w:r>
                </w:p>
              </w:tc>
            </w:tr>
          </w:tbl>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w:t>
            </w:r>
            <w:r>
              <w:rPr>
                <w:rFonts w:hint="default"/>
              </w:rPr>
              <w:t>环境风险分析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7.1</w:t>
            </w:r>
            <w:r>
              <w:rPr>
                <w:rFonts w:hint="default"/>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kern w:val="0"/>
                <w:sz w:val="24"/>
                <w:szCs w:val="24"/>
              </w:rPr>
            </w:pPr>
            <w:r>
              <w:rPr>
                <w:rStyle w:val="49"/>
                <w:rFonts w:hint="default" w:ascii="Times New Roman" w:hAnsi="Times New Roman" w:cs="Times New Roman"/>
              </w:rPr>
              <w:t>环境风险是指</w:t>
            </w:r>
            <w:r>
              <w:rPr>
                <w:rStyle w:val="49"/>
                <w:rFonts w:hint="eastAsia" w:cs="Times New Roman"/>
                <w:lang w:val="en-US" w:eastAsia="zh-CN"/>
              </w:rPr>
              <w:t>突发性事故对环境造成的危害程度及可能性，</w:t>
            </w:r>
            <w:r>
              <w:rPr>
                <w:rStyle w:val="49"/>
                <w:rFonts w:hint="default" w:ascii="Times New Roman" w:hAnsi="Times New Roman" w:cs="Times New Roman"/>
              </w:rPr>
              <w:t>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kern w:val="0"/>
                <w:sz w:val="24"/>
                <w:szCs w:val="24"/>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矿区勘探不涉及爆破，项目运营过程中存在钻探诱发地质灾害的环境风险。在钻探过程中，若分层高度过大，受到大气降水、岩层中的裂隙等因素的综合影响，可能在钻探边坡上诱发和加剧掉块、崩塌等地质灾害，勘探区遭遇百年洪水灾害或其他不可抗力的自然灾害，危害工作人员及设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项目区设</w:t>
            </w:r>
            <w:r>
              <w:rPr>
                <w:rFonts w:hint="default" w:ascii="Times New Roman" w:hAnsi="Times New Roman" w:eastAsia="宋体" w:cs="Times New Roman"/>
                <w:bCs/>
                <w:kern w:val="0"/>
                <w:sz w:val="24"/>
                <w:szCs w:val="24"/>
                <w:lang w:val="en-US" w:eastAsia="zh-CN"/>
              </w:rPr>
              <w:t>有</w:t>
            </w:r>
            <w:r>
              <w:rPr>
                <w:rFonts w:hint="default" w:ascii="Times New Roman" w:hAnsi="Times New Roman" w:eastAsia="宋体" w:cs="Times New Roman"/>
                <w:bCs/>
                <w:kern w:val="0"/>
                <w:sz w:val="24"/>
                <w:szCs w:val="24"/>
              </w:rPr>
              <w:t>柴油存放区，</w:t>
            </w:r>
            <w:r>
              <w:rPr>
                <w:rFonts w:hint="default" w:ascii="Times New Roman" w:hAnsi="Times New Roman" w:eastAsia="宋体" w:cs="Times New Roman"/>
                <w:bCs/>
                <w:kern w:val="0"/>
                <w:sz w:val="24"/>
                <w:szCs w:val="24"/>
                <w:lang w:val="en-US" w:eastAsia="zh-CN"/>
              </w:rPr>
              <w:t>柴油属于风险物质，</w:t>
            </w:r>
            <w:r>
              <w:rPr>
                <w:rFonts w:hint="default" w:ascii="Times New Roman" w:hAnsi="Times New Roman" w:eastAsia="宋体" w:cs="Times New Roman"/>
                <w:bCs/>
                <w:kern w:val="0"/>
                <w:sz w:val="24"/>
                <w:szCs w:val="24"/>
                <w:lang w:eastAsia="zh-CN"/>
              </w:rPr>
              <w:t>危险物质及分布情况见</w:t>
            </w:r>
            <w:r>
              <w:rPr>
                <w:rFonts w:hint="default" w:ascii="Times New Roman" w:hAnsi="Times New Roman" w:eastAsia="宋体" w:cs="Times New Roman"/>
                <w:bCs/>
                <w:kern w:val="0"/>
                <w:sz w:val="24"/>
                <w:szCs w:val="24"/>
                <w:lang w:val="en-US" w:eastAsia="zh-CN"/>
              </w:rPr>
              <w:t>下</w:t>
            </w:r>
            <w:r>
              <w:rPr>
                <w:rFonts w:hint="default" w:ascii="Times New Roman" w:hAnsi="Times New Roman" w:eastAsia="宋体" w:cs="Times New Roman"/>
                <w:bCs/>
                <w:kern w:val="0"/>
                <w:sz w:val="24"/>
                <w:szCs w:val="24"/>
                <w:lang w:eastAsia="zh-CN"/>
              </w:rPr>
              <w:t>表。</w:t>
            </w:r>
          </w:p>
          <w:p>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表5-2    危险物质及分布情况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003"/>
              <w:gridCol w:w="1302"/>
              <w:gridCol w:w="1239"/>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危险物质</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最大储存量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w:t>
                  </w:r>
                  <w:r>
                    <w:rPr>
                      <w:rFonts w:hint="eastAsia" w:cs="Times New Roman"/>
                      <w:lang w:val="en-US" w:eastAsia="zh-CN"/>
                    </w:rPr>
                    <w:t>探矿期</w:t>
                  </w:r>
                  <w:r>
                    <w:rPr>
                      <w:rFonts w:hint="default" w:ascii="Times New Roman" w:hAnsi="Times New Roman" w:cs="Times New Roman"/>
                      <w:lang w:val="en-US" w:eastAsia="zh-CN"/>
                    </w:rPr>
                    <w:t>）</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储存方式</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临界量（t）</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2</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桶装</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2500</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8</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w:t>
                  </w:r>
                  <w:r>
                    <w:rPr>
                      <w:rFonts w:hint="eastAsia" w:cs="Times New Roman"/>
                      <w:vertAlign w:val="superscript"/>
                      <w:lang w:val="en-US" w:eastAsia="zh-CN"/>
                    </w:rPr>
                    <w:t>4</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本项目危险物质理化性质见下表。</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表5-3    </w:t>
            </w:r>
            <w:r>
              <w:rPr>
                <w:rFonts w:hint="default"/>
              </w:rPr>
              <w:t>物质危险性分析</w:t>
            </w:r>
          </w:p>
          <w:tbl>
            <w:tblPr>
              <w:tblStyle w:val="25"/>
              <w:tblW w:w="505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9"/>
              <w:gridCol w:w="1566"/>
              <w:gridCol w:w="515"/>
              <w:gridCol w:w="4113"/>
              <w:gridCol w:w="8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物质名称</w:t>
                  </w:r>
                </w:p>
              </w:tc>
              <w:tc>
                <w:tcPr>
                  <w:tcW w:w="1025"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理化性质</w:t>
                  </w:r>
                </w:p>
              </w:tc>
              <w:tc>
                <w:tcPr>
                  <w:tcW w:w="337"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物质类型</w:t>
                  </w:r>
                </w:p>
              </w:tc>
              <w:tc>
                <w:tcPr>
                  <w:tcW w:w="2693"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危险性描述</w:t>
                  </w:r>
                </w:p>
              </w:tc>
              <w:tc>
                <w:tcPr>
                  <w:tcW w:w="564"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025"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柴油发电机液体燃料，用于整个钻井过程</w:t>
                  </w:r>
                </w:p>
              </w:tc>
            </w:tr>
          </w:tbl>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7.2环境风险潜势与评价等级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（1）环境风险潜势划分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5-4</w:t>
            </w:r>
            <w:r>
              <w:rPr>
                <w:rFonts w:hint="default"/>
              </w:rPr>
              <w:t xml:space="preserve">  </w:t>
            </w:r>
            <w:r>
              <w:rPr>
                <w:rFonts w:hint="default"/>
                <w:lang w:val="en-US" w:eastAsia="zh-CN"/>
              </w:rPr>
              <w:t xml:space="preserve"> </w:t>
            </w:r>
            <w:r>
              <w:rPr>
                <w:rFonts w:hint="default"/>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56"/>
              <w:gridCol w:w="1371"/>
              <w:gridCol w:w="1358"/>
              <w:gridCol w:w="135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环境敏感程度（E）</w:t>
                  </w:r>
                </w:p>
              </w:tc>
              <w:tc>
                <w:tcPr>
                  <w:tcW w:w="3638" w:type="pct"/>
                  <w:gridSpan w:val="4"/>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极高危害（P1）</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高度危害（P2）</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中度危害（P3）</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环境高度敏感区（E1）</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环境中度敏感区（E2</w:t>
                  </w:r>
                  <w:r>
                    <w:rPr>
                      <w:rFonts w:hint="default" w:ascii="Times New Roman" w:hAnsi="Times New Roman" w:cs="Times New Roman"/>
                      <w:lang w:eastAsia="zh-CN"/>
                    </w:rPr>
                    <w:t>）</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环境低度敏感区（E3）</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注：Ⅳ+为极高环境风险</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w:t>
            </w:r>
            <w:r>
              <w:rPr>
                <w:rFonts w:hint="default" w:ascii="Times New Roman" w:hAnsi="Times New Roman" w:eastAsia="宋体" w:cs="Times New Roman"/>
                <w:bCs/>
                <w:kern w:val="0"/>
                <w:sz w:val="24"/>
                <w:szCs w:val="24"/>
                <w:lang w:eastAsia="zh-CN"/>
              </w:rPr>
              <w:t>柴油为</w:t>
            </w:r>
            <w:r>
              <w:rPr>
                <w:rFonts w:hint="default" w:ascii="Times New Roman" w:hAnsi="Times New Roman" w:eastAsia="宋体" w:cs="Times New Roman"/>
                <w:bCs/>
                <w:kern w:val="0"/>
                <w:sz w:val="24"/>
                <w:szCs w:val="24"/>
              </w:rPr>
              <w:t>风险物质，Q值</w:t>
            </w:r>
            <w:r>
              <w:rPr>
                <w:rFonts w:hint="default" w:ascii="Times New Roman" w:hAnsi="Times New Roman" w:eastAsia="宋体" w:cs="Times New Roman"/>
                <w:bCs/>
                <w:kern w:val="0"/>
                <w:sz w:val="24"/>
                <w:szCs w:val="24"/>
                <w:lang w:eastAsia="zh-CN"/>
              </w:rPr>
              <w:t>小于</w:t>
            </w:r>
            <w:r>
              <w:rPr>
                <w:rFonts w:hint="default" w:ascii="Times New Roman" w:hAnsi="Times New Roman" w:eastAsia="宋体" w:cs="Times New Roman"/>
                <w:bCs/>
                <w:kern w:val="0"/>
                <w:sz w:val="24"/>
                <w:szCs w:val="24"/>
                <w:lang w:val="en-US" w:eastAsia="zh-CN"/>
              </w:rPr>
              <w:t>1</w:t>
            </w:r>
            <w:r>
              <w:rPr>
                <w:rFonts w:hint="default" w:ascii="Times New Roman" w:hAnsi="Times New Roman" w:eastAsia="宋体" w:cs="Times New Roman"/>
                <w:bCs/>
                <w:kern w:val="0"/>
                <w:sz w:val="24"/>
                <w:szCs w:val="24"/>
              </w:rPr>
              <w:t>，风险潜势为I。</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（2）评价等级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可开展简单分析。具体</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lang w:eastAsia="zh-CN"/>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5-5</w:t>
            </w:r>
            <w:r>
              <w:rPr>
                <w:rFonts w:hint="default"/>
              </w:rPr>
              <w:t xml:space="preserve">  </w:t>
            </w:r>
            <w:r>
              <w:rPr>
                <w:rFonts w:hint="default"/>
                <w:lang w:val="en-US" w:eastAsia="zh-CN"/>
              </w:rPr>
              <w:t xml:space="preserve"> </w:t>
            </w:r>
            <w:r>
              <w:rPr>
                <w:rFonts w:hint="default"/>
              </w:rPr>
              <w:t xml:space="preserve"> 评价工作等级划分</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512"/>
              <w:gridCol w:w="151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环境风险潜势</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Ⅳ</w:t>
                  </w:r>
                  <w:r>
                    <w:rPr>
                      <w:rFonts w:hint="default" w:ascii="Times New Roman" w:hAnsi="Times New Roman" w:cs="Times New Roman"/>
                    </w:rPr>
                    <w:t>、IV+</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Ⅲ</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II</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评价工作等级</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一</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二</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三</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*是相对于详细评价工作内容而言，在描述危险物质、环境影响途径、环境危害后果、风险防范措施等</w:t>
                  </w:r>
                  <w:r>
                    <w:rPr>
                      <w:rFonts w:hint="default" w:ascii="Times New Roman" w:hAnsi="Times New Roman" w:cs="Times New Roman"/>
                      <w:lang w:eastAsia="zh-CN"/>
                    </w:rPr>
                    <w:t>方</w:t>
                  </w:r>
                  <w:r>
                    <w:rPr>
                      <w:rFonts w:hint="default" w:ascii="Times New Roman" w:hAnsi="Times New Roman" w:cs="Times New Roman"/>
                    </w:rPr>
                    <w:t>面给出定性的说明。</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rPr>
              <w:t>本项目风险潜势为I，故本项目需进行简单分析。</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7.3</w:t>
            </w:r>
            <w:r>
              <w:rPr>
                <w:rFonts w:hint="default"/>
              </w:rPr>
              <w:t>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1）柴油使用油桶盛装，存放在生活营地内设的柴油贮存</w:t>
            </w:r>
            <w:r>
              <w:rPr>
                <w:rFonts w:hint="default" w:ascii="Times New Roman" w:hAnsi="Times New Roman" w:cs="Times New Roman"/>
                <w:bCs/>
                <w:kern w:val="0"/>
                <w:sz w:val="24"/>
                <w:szCs w:val="24"/>
                <w:lang w:val="en-US" w:eastAsia="zh-CN"/>
              </w:rPr>
              <w:t>点</w:t>
            </w:r>
            <w:r>
              <w:rPr>
                <w:rFonts w:hint="default" w:ascii="Times New Roman" w:hAnsi="Times New Roman" w:eastAsia="宋体" w:cs="Times New Roman"/>
                <w:bCs/>
                <w:kern w:val="0"/>
                <w:sz w:val="24"/>
                <w:szCs w:val="24"/>
                <w:lang w:val="en-US" w:eastAsia="zh-CN"/>
              </w:rPr>
              <w:t>，安排专人管理，贮存区地面简单铺设防渗</w:t>
            </w:r>
            <w:r>
              <w:rPr>
                <w:rFonts w:hint="eastAsia" w:cs="Times New Roman"/>
                <w:bCs/>
                <w:kern w:val="0"/>
                <w:sz w:val="24"/>
                <w:szCs w:val="24"/>
                <w:lang w:val="en-US" w:eastAsia="zh-CN"/>
              </w:rPr>
              <w:t>托盘</w:t>
            </w:r>
            <w:r>
              <w:rPr>
                <w:rFonts w:hint="default" w:ascii="Times New Roman" w:hAnsi="Times New Roman" w:eastAsia="宋体" w:cs="Times New Roman"/>
                <w:bCs/>
                <w:kern w:val="0"/>
                <w:sz w:val="24"/>
                <w:szCs w:val="24"/>
                <w:lang w:val="en-US" w:eastAsia="zh-CN"/>
              </w:rPr>
              <w:t>。满足相应防</w:t>
            </w:r>
            <w:r>
              <w:rPr>
                <w:rFonts w:hint="default" w:ascii="Times New Roman" w:hAnsi="Times New Roman" w:cs="Times New Roman"/>
                <w:bCs/>
                <w:kern w:val="0"/>
                <w:sz w:val="24"/>
                <w:szCs w:val="24"/>
                <w:lang w:val="en-US" w:eastAsia="zh-CN"/>
              </w:rPr>
              <w:t>日晒</w:t>
            </w:r>
            <w:r>
              <w:rPr>
                <w:rFonts w:hint="default" w:ascii="Times New Roman" w:hAnsi="Times New Roman" w:eastAsia="宋体" w:cs="Times New Roman"/>
                <w:bCs/>
                <w:kern w:val="0"/>
                <w:sz w:val="24"/>
                <w:szCs w:val="24"/>
                <w:lang w:val="en-US" w:eastAsia="zh-CN"/>
              </w:rPr>
              <w:t>、防</w:t>
            </w:r>
            <w:r>
              <w:rPr>
                <w:rFonts w:hint="default" w:ascii="Times New Roman" w:hAnsi="Times New Roman" w:cs="Times New Roman"/>
                <w:bCs/>
                <w:kern w:val="0"/>
                <w:sz w:val="24"/>
                <w:szCs w:val="24"/>
                <w:lang w:val="en-US" w:eastAsia="zh-CN"/>
              </w:rPr>
              <w:t>雨淋</w:t>
            </w:r>
            <w:r>
              <w:rPr>
                <w:rFonts w:hint="default" w:ascii="Times New Roman" w:hAnsi="Times New Roman" w:eastAsia="宋体" w:cs="Times New Roman"/>
                <w:bCs/>
                <w:kern w:val="0"/>
                <w:sz w:val="24"/>
                <w:szCs w:val="24"/>
                <w:lang w:val="en-US" w:eastAsia="zh-CN"/>
              </w:rPr>
              <w:t>、防渗漏及其他环境污染防控要求</w:t>
            </w:r>
            <w:r>
              <w:rPr>
                <w:rFonts w:hint="default" w:ascii="Times New Roman" w:hAnsi="Times New Roman" w:cs="Times New Roman"/>
                <w:bCs/>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2</w:t>
            </w:r>
            <w:r>
              <w:rPr>
                <w:rFonts w:hint="default"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3）油品</w:t>
            </w:r>
            <w:r>
              <w:rPr>
                <w:rFonts w:hint="default"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4）</w:t>
            </w:r>
            <w:r>
              <w:rPr>
                <w:rFonts w:hint="default"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suppressLineNumbers w:val="0"/>
              <w:bidi w:val="0"/>
              <w:spacing w:before="0" w:beforeAutospacing="0" w:after="0" w:afterAutospacing="0"/>
              <w:ind w:left="0" w:right="0"/>
              <w:rPr>
                <w:rFonts w:hint="default"/>
              </w:rPr>
            </w:pPr>
            <w:r>
              <w:rPr>
                <w:rFonts w:hint="default"/>
                <w:lang w:val="en-US" w:eastAsia="zh-CN"/>
              </w:rPr>
              <w:t>7.4</w:t>
            </w:r>
            <w:r>
              <w:rPr>
                <w:rFonts w:hint="default"/>
              </w:rPr>
              <w:t>环境风险评价结论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本项目环境风险开展简单分析。具体内容</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rPr>
              <w:t>。</w:t>
            </w:r>
          </w:p>
          <w:p>
            <w:pPr>
              <w:pStyle w:val="52"/>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5-6</w:t>
            </w:r>
            <w:r>
              <w:rPr>
                <w:rFonts w:hint="default"/>
              </w:rPr>
              <w:t xml:space="preserve">   </w:t>
            </w:r>
            <w:r>
              <w:rPr>
                <w:rFonts w:hint="eastAsia"/>
                <w:lang w:val="en-US" w:eastAsia="zh-CN"/>
              </w:rPr>
              <w:t xml:space="preserve"> </w:t>
            </w:r>
            <w:r>
              <w:rPr>
                <w:rFonts w:hint="default"/>
              </w:rPr>
              <w:t>建设项目环境风险简单分析内容表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6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建设项目名称</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eastAsia" w:cs="Times New Roman"/>
                      <w:highlight w:val="none"/>
                      <w:lang w:val="en-US" w:eastAsia="zh-CN"/>
                    </w:rPr>
                    <w:t>新疆和硕县绰汗哈尔肯铜多金属矿勘探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建设地点</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eastAsia" w:cs="Times New Roman"/>
                      <w:highlight w:val="none"/>
                      <w:lang w:val="en-US" w:eastAsia="zh-CN"/>
                    </w:rPr>
                    <w:t>新疆维吾尔自治区巴音郭楞蒙古自治州和硕县城东北17°方向，直线距离39千米处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地理坐标</w:t>
                  </w:r>
                </w:p>
              </w:tc>
              <w:tc>
                <w:tcPr>
                  <w:tcW w:w="398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E：87°1′56.571″″，N：42°39′9.476″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主要危险物质及分布</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环境影响途径及危害后果（大气、地表水、地下水）</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勘探</w:t>
                  </w:r>
                  <w:r>
                    <w:rPr>
                      <w:rFonts w:hint="default" w:ascii="Times New Roman" w:hAnsi="Times New Roman" w:cs="Times New Roman"/>
                    </w:rPr>
                    <w:t>过程</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勘探</w:t>
                  </w:r>
                  <w:r>
                    <w:rPr>
                      <w:rFonts w:hint="default" w:ascii="Times New Roman" w:hAnsi="Times New Roman" w:cs="Times New Roman"/>
                    </w:rPr>
                    <w:t>过程引发自然地质灾害。</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2）泄漏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油桶破损导致柴油泄漏，污染周边地下水和土壤。</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（2）火灾</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火灾的危害主要来自三方面，一是火源</w:t>
                  </w:r>
                  <w:r>
                    <w:rPr>
                      <w:rFonts w:hint="default" w:ascii="Times New Roman" w:hAnsi="Times New Roman" w:cs="Times New Roman"/>
                      <w:lang w:eastAsia="zh-CN"/>
                    </w:rPr>
                    <w:t>失去</w:t>
                  </w:r>
                  <w:r>
                    <w:rPr>
                      <w:rFonts w:hint="default" w:ascii="Times New Roman" w:hAnsi="Times New Roman" w:cs="Times New Roman"/>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风险防范措施要求</w:t>
                  </w:r>
                </w:p>
              </w:tc>
              <w:tc>
                <w:tcPr>
                  <w:tcW w:w="398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（1）制定环境风险管理制度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建设单位需制定《环境保护责任制》《安全环保风险管理制度》，可满足企业环境风险管理要求，但是制度需要在执行中检验其可操作性。</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（2）风险防控及应急措施</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（3）环境应急资源</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应按照制定的《安全环保风险管理制度》购置相应的环境风险应急资源，成立应急救援队伍。</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（4）环境风险演练和培训</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填表说明：</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根据本项目污染物特性，本项目应建立独立的环境风险应急预案，并</w:t>
                  </w:r>
                  <w:r>
                    <w:rPr>
                      <w:rFonts w:hint="default" w:ascii="Times New Roman" w:hAnsi="Times New Roman" w:cs="Times New Roman"/>
                      <w:lang w:eastAsia="zh-CN"/>
                    </w:rPr>
                    <w:t>报当</w:t>
                  </w:r>
                  <w:r>
                    <w:rPr>
                      <w:rFonts w:hint="default" w:ascii="Times New Roman" w:hAnsi="Times New Roman" w:cs="Times New Roman"/>
                    </w:rPr>
                    <w:t>地环境主管部门备案。</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sz w:val="24"/>
                <w:highlight w:val="none"/>
                <w:lang w:eastAsia="zh-CN"/>
              </w:rPr>
            </w:pPr>
            <w:r>
              <w:rPr>
                <w:rFonts w:hint="default"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8.</w:t>
            </w:r>
            <w:r>
              <w:rPr>
                <w:rFonts w:hint="default" w:ascii="Times New Roman" w:hAnsi="Times New Roman" w:cs="Times New Roman"/>
                <w:lang w:eastAsia="zh-CN"/>
              </w:rPr>
              <w:t>勘</w:t>
            </w:r>
            <w:r>
              <w:rPr>
                <w:rFonts w:hint="default" w:ascii="Times New Roman" w:hAnsi="Times New Roman" w:cs="Times New Roman"/>
                <w:lang w:val="en-US" w:eastAsia="zh-CN"/>
              </w:rPr>
              <w:t>查</w:t>
            </w:r>
            <w:r>
              <w:rPr>
                <w:rFonts w:hint="default" w:ascii="Times New Roman" w:hAnsi="Times New Roman" w:cs="Times New Roman"/>
                <w:lang w:eastAsia="zh-CN"/>
              </w:rPr>
              <w:t>期环境影响综合结论</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9.</w:t>
            </w:r>
            <w:r>
              <w:rPr>
                <w:rFonts w:hint="default" w:ascii="Times New Roman" w:hAnsi="Times New Roman" w:cs="Times New Roman"/>
                <w:lang w:eastAsia="zh-CN"/>
              </w:rPr>
              <w:t>生态影响恢复措施的合理性和可行性分析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由于本项目位于高海拔地区，生态环境较脆弱，应特别注重勘探区的生态恢复。探槽开挖的临时弃土就地堆放在探槽</w:t>
            </w:r>
            <w:r>
              <w:rPr>
                <w:rFonts w:hint="default" w:ascii="Times New Roman" w:hAnsi="Times New Roman" w:cs="Times New Roman"/>
                <w:lang w:val="en-US" w:eastAsia="zh-CN"/>
              </w:rPr>
              <w:t>一</w:t>
            </w:r>
            <w:r>
              <w:rPr>
                <w:rFonts w:hint="default" w:ascii="Times New Roman" w:hAnsi="Times New Roman" w:cs="Times New Roman"/>
                <w:lang w:eastAsia="zh-CN"/>
              </w:rPr>
              <w:t>侧，并用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（1）经济可行性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本项目生态恢复措施</w:t>
            </w:r>
            <w:r>
              <w:rPr>
                <w:rFonts w:hint="default" w:ascii="Times New Roman" w:hAnsi="Times New Roman" w:cs="Times New Roman"/>
                <w:lang w:val="en-US" w:eastAsia="zh-CN"/>
              </w:rPr>
              <w:t>主要为</w:t>
            </w:r>
            <w:r>
              <w:rPr>
                <w:rFonts w:hint="default" w:ascii="Times New Roman" w:hAnsi="Times New Roman" w:cs="Times New Roman"/>
                <w:lang w:eastAsia="zh-CN"/>
              </w:rPr>
              <w:t>工程措施，对临时堆土采用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。工程完成后，对施工迹地和</w:t>
            </w:r>
            <w:r>
              <w:rPr>
                <w:rFonts w:hint="default" w:ascii="Times New Roman" w:hAnsi="Times New Roman" w:cs="Times New Roman"/>
                <w:lang w:val="en-US" w:eastAsia="zh-CN"/>
              </w:rPr>
              <w:t>临时堆土区进行土地平整，恢复原有地貌。</w:t>
            </w:r>
            <w:r>
              <w:rPr>
                <w:rFonts w:hint="default" w:ascii="Times New Roman" w:hAnsi="Times New Roman" w:cs="Times New Roman"/>
                <w:lang w:eastAsia="zh-CN"/>
              </w:rPr>
              <w:t>工程措施简单易行，所需设备材料价格合理。</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highlight w:val="none"/>
                <w:lang w:val="en-US" w:eastAsia="zh-CN"/>
              </w:rPr>
              <w:t>项目总投资为</w:t>
            </w:r>
            <w:r>
              <w:rPr>
                <w:rFonts w:hint="eastAsia" w:cs="Times New Roman"/>
                <w:highlight w:val="none"/>
                <w:lang w:val="en-US" w:eastAsia="zh-CN"/>
              </w:rPr>
              <w:t>388.74</w:t>
            </w:r>
            <w:r>
              <w:rPr>
                <w:rFonts w:hint="default" w:ascii="Times New Roman" w:hAnsi="Times New Roman" w:cs="Times New Roman"/>
                <w:highlight w:val="none"/>
                <w:lang w:val="en-US" w:eastAsia="zh-CN"/>
              </w:rPr>
              <w:t>万元，环保投资为</w:t>
            </w:r>
            <w:r>
              <w:rPr>
                <w:rFonts w:hint="eastAsia" w:cs="Times New Roman"/>
                <w:highlight w:val="none"/>
                <w:lang w:val="en-US" w:eastAsia="zh-CN"/>
              </w:rPr>
              <w:t>15.7</w:t>
            </w:r>
            <w:r>
              <w:rPr>
                <w:rFonts w:hint="default" w:ascii="Times New Roman" w:hAnsi="Times New Roman" w:cs="Times New Roman"/>
                <w:highlight w:val="none"/>
                <w:lang w:val="en-US" w:eastAsia="zh-CN"/>
              </w:rPr>
              <w:t>万元</w:t>
            </w:r>
            <w:r>
              <w:rPr>
                <w:rFonts w:hint="default" w:ascii="Times New Roman" w:hAnsi="Times New Roman" w:cs="Times New Roman"/>
                <w:highlight w:val="none"/>
                <w:lang w:eastAsia="zh-CN"/>
              </w:rPr>
              <w:t>，环保投资占总投资的</w:t>
            </w:r>
            <w:r>
              <w:rPr>
                <w:rFonts w:hint="eastAsia" w:cs="Times New Roman"/>
                <w:highlight w:val="none"/>
                <w:lang w:val="en-US" w:eastAsia="zh-CN"/>
              </w:rPr>
              <w:t>4.04</w:t>
            </w:r>
            <w:r>
              <w:rPr>
                <w:rFonts w:hint="default" w:ascii="Times New Roman" w:hAnsi="Times New Roman" w:cs="Times New Roman"/>
                <w:highlight w:val="none"/>
                <w:lang w:val="en-US" w:eastAsia="zh-CN"/>
              </w:rPr>
              <w:t>%</w:t>
            </w:r>
            <w:r>
              <w:rPr>
                <w:rFonts w:hint="default" w:ascii="Times New Roman" w:hAnsi="Times New Roman" w:cs="Times New Roman"/>
                <w:highlight w:val="none"/>
                <w:lang w:eastAsia="zh-CN"/>
              </w:rPr>
              <w:t>。</w:t>
            </w:r>
            <w:r>
              <w:rPr>
                <w:rFonts w:hint="default" w:ascii="Times New Roman" w:hAnsi="Times New Roman" w:cs="Times New Roman"/>
                <w:lang w:eastAsia="zh-CN"/>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（2）技术可行性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工程措施施工技术较简单，易操作，所需设备材料易取，对生态恢复的效果明显，</w:t>
            </w:r>
            <w:r>
              <w:rPr>
                <w:rFonts w:hint="default" w:ascii="Times New Roman" w:hAnsi="Times New Roman" w:cs="Times New Roman"/>
                <w:lang w:val="en-US" w:eastAsia="zh-CN"/>
              </w:rPr>
              <w:t>且</w:t>
            </w:r>
            <w:r>
              <w:rPr>
                <w:rFonts w:hint="default" w:ascii="Times New Roman" w:hAnsi="Times New Roman" w:cs="Times New Roman"/>
                <w:lang w:eastAsia="zh-CN"/>
              </w:rPr>
              <w:t>施工简单，</w:t>
            </w:r>
            <w:r>
              <w:rPr>
                <w:rFonts w:hint="default" w:ascii="Times New Roman" w:hAnsi="Times New Roman" w:cs="Times New Roman"/>
                <w:lang w:val="en-US" w:eastAsia="zh-CN"/>
              </w:rPr>
              <w:t>植被自然恢复后</w:t>
            </w:r>
            <w:r>
              <w:rPr>
                <w:rFonts w:hint="default" w:ascii="Times New Roman" w:hAnsi="Times New Roman" w:cs="Times New Roman"/>
                <w:lang w:eastAsia="zh-CN"/>
              </w:rPr>
              <w:t>对生态环境的恢复起到比较明显的效果。因此本项目生态恢复措施在技术上是可行的。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w:t>
            </w:r>
            <w:r>
              <w:rPr>
                <w:rFonts w:hint="default" w:ascii="Times New Roman" w:hAnsi="Times New Roman" w:cs="Times New Roman"/>
              </w:rPr>
              <w:t>环境管理计划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10.1</w:t>
            </w:r>
            <w:r>
              <w:rPr>
                <w:rFonts w:hint="default" w:ascii="Times New Roman" w:hAnsi="Times New Roman" w:cs="Times New Roman"/>
              </w:rPr>
              <w:t>环境管理职责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（1）最高管理者的职责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根据国家、自治区及地方各项环保政策、法规、标准制定环境方针；明确规定管理者代表的作用、职责权限，为环境管理工作提供包括人力、财力、技术等方面资源。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（2）管理者代表的职责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在环境管理事务中代表最高管理者行使职权，监督环境管理体系的实施。其职责主要包括：</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①贯彻执行国家相关的法律法规，根据本企业实际，编制环境保护规划和实施细则，并组织实施，监督执行。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②负责采矿区环境统计工作，污染源建档，定期进行</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排放及噪声的监测，掌握厂内污染源</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排放动态，编制环境监测报告等，为环境管理和污染防治提供依据。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③制定切实可行的</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排放控制指标，环保治理设施运行考核指标，组织落实实施，定期进行考核。</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④组织和管理采矿区污染治理工作，</w:t>
            </w:r>
            <w:r>
              <w:rPr>
                <w:rFonts w:hint="eastAsia" w:cs="Times New Roman"/>
                <w:lang w:val="en-US" w:eastAsia="zh-CN"/>
              </w:rPr>
              <w:t>负责环境</w:t>
            </w:r>
            <w:r>
              <w:rPr>
                <w:rFonts w:hint="default" w:ascii="Times New Roman" w:hAnsi="Times New Roman" w:cs="Times New Roman"/>
              </w:rPr>
              <w:t>治理设施的运行及管理工作，建立污染物浓度和排放总量双项控制制度，做到达标排放。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⑤通过工程建设，不断提高治理设施的水平和可操作性。将在环境管理体系运行中所掌握的情况及时向最高管理者汇报，并提出建议。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（3）全体员工职责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全体员工应以对环境负责的态度和方式从事自己的工作，并在各自的岗位上承担有关环境责任。</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10.2</w:t>
            </w:r>
            <w:r>
              <w:rPr>
                <w:rFonts w:hint="default" w:ascii="Times New Roman" w:hAnsi="Times New Roman" w:cs="Times New Roman"/>
              </w:rPr>
              <w:t>环境管理的目标</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本项目环境管理的目标应达到国家规定的水、气、声、渣等污染物排放标准，确保环境管理的持续改进。</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10.3</w:t>
            </w:r>
            <w:r>
              <w:rPr>
                <w:rFonts w:hint="default" w:ascii="Times New Roman" w:hAnsi="Times New Roman" w:cs="Times New Roman"/>
              </w:rPr>
              <w:t>环境管理的主要内容</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本项目针对不同工作阶段，制定环境管理工作计划，项目建设管理工作计划见</w:t>
            </w:r>
            <w:r>
              <w:rPr>
                <w:rFonts w:hint="default" w:ascii="Times New Roman" w:hAnsi="Times New Roman" w:cs="Times New Roman"/>
                <w:lang w:val="en-US" w:eastAsia="zh-CN"/>
              </w:rPr>
              <w:t>下表</w:t>
            </w:r>
            <w:r>
              <w:rPr>
                <w:rFonts w:hint="default" w:ascii="Times New Roman" w:hAnsi="Times New Roman" w:cs="Times New Roman"/>
              </w:rPr>
              <w:t>。</w:t>
            </w:r>
          </w:p>
          <w:p>
            <w:pPr>
              <w:pStyle w:val="52"/>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表5-7    </w:t>
            </w:r>
            <w:r>
              <w:rPr>
                <w:rFonts w:hint="default"/>
              </w:rPr>
              <w:t>各阶段环境管理工作主要内容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环境管理机构职能</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准备阶段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（1）与项目可行性研究同期，委托持有</w:t>
                  </w:r>
                  <w:r>
                    <w:rPr>
                      <w:rFonts w:hint="default" w:ascii="Times New Roman" w:hAnsi="Times New Roman" w:cs="Times New Roman"/>
                      <w:lang w:eastAsia="zh-CN"/>
                    </w:rPr>
                    <w:t>“</w:t>
                  </w:r>
                  <w:r>
                    <w:rPr>
                      <w:rFonts w:hint="default" w:ascii="Times New Roman" w:hAnsi="Times New Roman" w:cs="Times New Roman"/>
                    </w:rPr>
                    <w:t>建设项目环境影响评价资质证书</w:t>
                  </w:r>
                  <w:r>
                    <w:rPr>
                      <w:rFonts w:hint="default" w:ascii="Times New Roman" w:hAnsi="Times New Roman" w:cs="Times New Roman"/>
                      <w:lang w:eastAsia="zh-CN"/>
                    </w:rPr>
                    <w:t>”</w:t>
                  </w:r>
                  <w:r>
                    <w:rPr>
                      <w:rFonts w:hint="default" w:ascii="Times New Roman" w:hAnsi="Times New Roman" w:cs="Times New Roman"/>
                    </w:rPr>
                    <w:t>的环评单位进行项目的环境影响评价工作；</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（2）积极配合可研和环评工作所需进行现场调研；</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（3）针对项目具体情况，制定本企业所必需的环境管理与监测制度；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（4）对</w:t>
                  </w:r>
                  <w:r>
                    <w:rPr>
                      <w:rFonts w:hint="default" w:ascii="Times New Roman" w:hAnsi="Times New Roman" w:cs="Times New Roman"/>
                      <w:lang w:val="en-US" w:eastAsia="zh-CN"/>
                    </w:rPr>
                    <w:t>聘用的员工</w:t>
                  </w:r>
                  <w:r>
                    <w:rPr>
                      <w:rFonts w:hint="default" w:ascii="Times New Roman" w:hAnsi="Times New Roman" w:cs="Times New Roman"/>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eastAsia" w:cs="Times New Roman"/>
                      <w:lang w:val="en-US" w:eastAsia="zh-CN"/>
                    </w:rPr>
                    <w:t>勘探阶段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eastAsia" w:cs="Times New Roman"/>
                      <w:lang w:val="en-US" w:eastAsia="zh-CN"/>
                    </w:rPr>
                    <w:t>施工过程严控槽探开挖范围，分层剥离堆存表土，</w:t>
                  </w:r>
                  <w:r>
                    <w:rPr>
                      <w:rFonts w:hint="default" w:ascii="Times New Roman" w:hAnsi="Times New Roman" w:cs="Times New Roman"/>
                    </w:rPr>
                    <w:t>物料堆放覆盖，运输车辆加盖篷布，减少扬尘；</w:t>
                  </w:r>
                  <w:r>
                    <w:rPr>
                      <w:rFonts w:hint="eastAsia" w:cs="Times New Roman"/>
                      <w:lang w:val="en-US" w:eastAsia="zh-CN"/>
                    </w:rPr>
                    <w:t>规范处置泥浆、岩屑、生活垃圾等各类污染物。</w:t>
                  </w:r>
                  <w:r>
                    <w:rPr>
                      <w:rFonts w:hint="default" w:ascii="Times New Roman" w:hAnsi="Times New Roman" w:cs="Times New Roman"/>
                    </w:rPr>
                    <w:t>明确环保责任人，实行“谁作业、谁保护、谁修复”责任制。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生产运行阶段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生态恢复阶段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（1）</w:t>
                  </w:r>
                  <w:r>
                    <w:rPr>
                      <w:rFonts w:hint="default" w:ascii="Times New Roman" w:hAnsi="Times New Roman" w:cs="Times New Roman"/>
                      <w:lang w:eastAsia="zh-CN"/>
                    </w:rPr>
                    <w:t>勘探工作完成后</w:t>
                  </w:r>
                  <w:r>
                    <w:rPr>
                      <w:rFonts w:hint="default" w:ascii="Times New Roman" w:hAnsi="Times New Roman" w:cs="Times New Roman"/>
                    </w:rPr>
                    <w:t>，应</w:t>
                  </w:r>
                  <w:r>
                    <w:rPr>
                      <w:rFonts w:hint="default" w:ascii="Times New Roman" w:hAnsi="Times New Roman" w:cs="Times New Roman"/>
                      <w:lang w:eastAsia="zh-CN"/>
                    </w:rPr>
                    <w:t>及时回填并恢复原有地貌</w:t>
                  </w:r>
                  <w:r>
                    <w:rPr>
                      <w:rFonts w:hint="default" w:ascii="Times New Roman" w:hAnsi="Times New Roman" w:cs="Times New Roman"/>
                    </w:rPr>
                    <w:t>，及时进行生态恢复</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（2）落实专项资金、加强监督管理</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认真落实已编制的生态环境恢复治理方案，</w:t>
                  </w:r>
                  <w:r>
                    <w:rPr>
                      <w:rFonts w:hint="default" w:ascii="Times New Roman" w:hAnsi="Times New Roman" w:cs="Times New Roman"/>
                      <w:lang w:eastAsia="zh-CN"/>
                    </w:rPr>
                    <w:t>做好地质普查后</w:t>
                  </w:r>
                  <w:r>
                    <w:rPr>
                      <w:rFonts w:hint="default" w:ascii="Times New Roman" w:hAnsi="Times New Roman" w:cs="Times New Roman"/>
                    </w:rPr>
                    <w:t>环境整治及土地复垦等工作</w:t>
                  </w:r>
                  <w:r>
                    <w:rPr>
                      <w:rFonts w:hint="default" w:ascii="Times New Roman" w:hAnsi="Times New Roman" w:cs="Times New Roman"/>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建立环保设施档案，主动接受</w:t>
                  </w:r>
                  <w:r>
                    <w:rPr>
                      <w:rFonts w:hint="default" w:ascii="Times New Roman" w:hAnsi="Times New Roman" w:cs="Times New Roman"/>
                      <w:lang w:val="en-US" w:eastAsia="zh-CN"/>
                    </w:rPr>
                    <w:t>生态环境主管部门</w:t>
                  </w:r>
                  <w:r>
                    <w:rPr>
                      <w:rFonts w:hint="default" w:ascii="Times New Roman" w:hAnsi="Times New Roman" w:cs="Times New Roman"/>
                    </w:rPr>
                    <w:t>监督，配合</w:t>
                  </w:r>
                  <w:r>
                    <w:rPr>
                      <w:rFonts w:hint="default" w:ascii="Times New Roman" w:hAnsi="Times New Roman" w:cs="Times New Roman"/>
                      <w:lang w:val="en-US" w:eastAsia="zh-CN"/>
                    </w:rPr>
                    <w:t>生态环境主管部门</w:t>
                  </w:r>
                  <w:r>
                    <w:rPr>
                      <w:rFonts w:hint="default" w:ascii="Times New Roman" w:hAnsi="Times New Roman" w:cs="Times New Roman"/>
                    </w:rPr>
                    <w:t>的检查、验收。</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0" w:firstLineChars="0"/>
              <w:textAlignment w:val="auto"/>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2" w:hRule="atLeast"/>
          <w:jc w:val="center"/>
        </w:trPr>
        <w:tc>
          <w:tcPr>
            <w:tcW w:w="66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zCs w:val="21"/>
              </w:rPr>
              <w:t>其他</w:t>
            </w:r>
          </w:p>
        </w:tc>
        <w:tc>
          <w:tcPr>
            <w:tcW w:w="7780"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Cs/>
                <w:spacing w:val="10"/>
                <w:szCs w:val="21"/>
                <w:lang w:val="en-US" w:eastAsia="zh-CN"/>
              </w:rPr>
            </w:pPr>
            <w:r>
              <w:rPr>
                <w:rFonts w:hint="default" w:ascii="Times New Roman" w:hAnsi="Times New Roman" w:cs="Times New Roman"/>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6" w:hRule="atLeast"/>
          <w:jc w:val="center"/>
        </w:trPr>
        <w:tc>
          <w:tcPr>
            <w:tcW w:w="669" w:type="dxa"/>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spacing w:val="10"/>
                <w:kern w:val="2"/>
                <w:sz w:val="21"/>
                <w:szCs w:val="21"/>
                <w:lang w:val="en-US" w:eastAsia="zh-CN" w:bidi="ar-SA"/>
              </w:rPr>
            </w:pPr>
            <w:r>
              <w:rPr>
                <w:rFonts w:hint="default" w:ascii="Times New Roman" w:hAnsi="Times New Roman" w:cs="Times New Roman"/>
                <w:bCs/>
                <w:szCs w:val="21"/>
              </w:rPr>
              <w:t>环保投资</w:t>
            </w:r>
          </w:p>
        </w:tc>
        <w:tc>
          <w:tcPr>
            <w:tcW w:w="7780" w:type="dxa"/>
            <w:shd w:val="clear" w:color="auto" w:fill="auto"/>
            <w:noWrap w:val="0"/>
            <w:vAlign w:val="top"/>
          </w:tcPr>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项目总投资为</w:t>
            </w:r>
            <w:r>
              <w:rPr>
                <w:rFonts w:hint="eastAsia" w:cs="Times New Roman"/>
                <w:color w:val="auto"/>
                <w:lang w:val="en-US" w:eastAsia="zh-CN"/>
              </w:rPr>
              <w:t>388.74</w:t>
            </w:r>
            <w:r>
              <w:rPr>
                <w:rFonts w:hint="default" w:ascii="Times New Roman" w:hAnsi="Times New Roman" w:cs="Times New Roman"/>
                <w:color w:val="auto"/>
                <w:highlight w:val="none"/>
                <w:lang w:val="en-US" w:eastAsia="zh-CN"/>
              </w:rPr>
              <w:t>万元，环保投资为</w:t>
            </w:r>
            <w:r>
              <w:rPr>
                <w:rFonts w:hint="eastAsia" w:cs="Times New Roman"/>
                <w:color w:val="auto"/>
                <w:highlight w:val="none"/>
                <w:lang w:val="en-US" w:eastAsia="zh-CN"/>
              </w:rPr>
              <w:t>15.7</w:t>
            </w:r>
            <w:r>
              <w:rPr>
                <w:rFonts w:hint="default" w:ascii="Times New Roman" w:hAnsi="Times New Roman" w:cs="Times New Roman"/>
                <w:color w:val="auto"/>
                <w:highlight w:val="none"/>
                <w:lang w:val="en-US" w:eastAsia="zh-CN"/>
              </w:rPr>
              <w:t>万元，占总投资的</w:t>
            </w:r>
            <w:r>
              <w:rPr>
                <w:rFonts w:hint="eastAsia" w:cs="Times New Roman"/>
                <w:color w:val="auto"/>
                <w:highlight w:val="none"/>
                <w:lang w:val="en-US" w:eastAsia="zh-CN"/>
              </w:rPr>
              <w:t>4.04</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lang w:val="en-US" w:eastAsia="zh-CN"/>
              </w:rPr>
              <w:t>，具体环保投资见下表。</w:t>
            </w:r>
          </w:p>
          <w:p>
            <w:pPr>
              <w:pStyle w:val="52"/>
              <w:keepNext w:val="0"/>
              <w:keepLines w:val="0"/>
              <w:suppressLineNumbers w:val="0"/>
              <w:bidi w:val="0"/>
              <w:spacing w:before="0" w:beforeAutospacing="0" w:after="0" w:afterAutospacing="0"/>
              <w:ind w:left="0" w:right="0"/>
              <w:rPr>
                <w:rFonts w:hint="default"/>
                <w:lang w:eastAsia="zh-CN"/>
              </w:rPr>
            </w:pPr>
            <w:r>
              <w:rPr>
                <w:rFonts w:hint="default"/>
                <w:lang w:val="en-US" w:eastAsia="zh-CN"/>
              </w:rPr>
              <w:t xml:space="preserve">表5-8    </w:t>
            </w:r>
            <w:r>
              <w:rPr>
                <w:rFonts w:hint="default"/>
              </w:rPr>
              <w:t>环保设施（措施）及投资估算一览表</w:t>
            </w:r>
            <w:r>
              <w:rPr>
                <w:rFonts w:hint="default"/>
                <w:lang w:val="en-US" w:eastAsia="zh-CN"/>
              </w:rPr>
              <w:t xml:space="preserve">     单位：</w:t>
            </w:r>
            <w:r>
              <w:rPr>
                <w:rFonts w:hint="default"/>
                <w:lang w:eastAsia="zh-CN"/>
              </w:rPr>
              <w:t>（</w:t>
            </w:r>
            <w:r>
              <w:rPr>
                <w:rFonts w:hint="default"/>
                <w:lang w:val="en-US" w:eastAsia="zh-CN"/>
              </w:rPr>
              <w:t>万元</w:t>
            </w:r>
            <w:r>
              <w:rPr>
                <w:rFonts w:hint="default"/>
                <w:lang w:eastAsia="zh-CN"/>
              </w:rPr>
              <w:t>）</w:t>
            </w:r>
          </w:p>
          <w:tbl>
            <w:tblPr>
              <w:tblStyle w:val="25"/>
              <w:tblW w:w="7621"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572"/>
              <w:gridCol w:w="616"/>
              <w:gridCol w:w="1264"/>
              <w:gridCol w:w="4577"/>
              <w:gridCol w:w="5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104" w:hRule="atLeast"/>
                <w:tblHeader/>
              </w:trPr>
              <w:tc>
                <w:tcPr>
                  <w:tcW w:w="376"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工程类别</w:t>
                  </w: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污染类别</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污染源</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w:t>
                  </w:r>
                </w:p>
              </w:tc>
              <w:tc>
                <w:tcPr>
                  <w:tcW w:w="38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施工期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施工扬尘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rPr>
                  </w:pPr>
                  <w:r>
                    <w:rPr>
                      <w:rFonts w:hint="eastAsia" w:cs="Times New Roman"/>
                      <w:color w:val="auto"/>
                      <w:lang w:val="en-US" w:eastAsia="zh-CN"/>
                    </w:rPr>
                    <w:t>彩布条</w:t>
                  </w:r>
                  <w:r>
                    <w:rPr>
                      <w:rFonts w:hint="default" w:ascii="Times New Roman" w:hAnsi="Times New Roman" w:cs="Times New Roman"/>
                      <w:color w:val="auto"/>
                      <w:lang w:val="en-US" w:eastAsia="zh-CN"/>
                    </w:rPr>
                    <w:t>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设置一定数量的垃圾桶，统一收集后送至</w:t>
                  </w:r>
                  <w:r>
                    <w:rPr>
                      <w:rFonts w:hint="eastAsia" w:cs="Times New Roman"/>
                      <w:color w:val="auto"/>
                      <w:lang w:val="en-US" w:eastAsia="zh-CN"/>
                    </w:rPr>
                    <w:t>和硕县</w:t>
                  </w:r>
                  <w:r>
                    <w:rPr>
                      <w:rFonts w:hint="default" w:ascii="Times New Roman" w:hAnsi="Times New Roman" w:cs="Times New Roman"/>
                      <w:color w:va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探矿期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废气</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rPr>
                    <w:t>洒水抑尘设施</w:t>
                  </w:r>
                  <w:r>
                    <w:rPr>
                      <w:rFonts w:hint="eastAsia"/>
                      <w:lang w:eastAsia="zh-CN"/>
                    </w:rPr>
                    <w:t>、</w:t>
                  </w:r>
                  <w:r>
                    <w:rPr>
                      <w:rFonts w:hint="eastAsia"/>
                      <w:lang w:val="en-US" w:eastAsia="zh-CN"/>
                    </w:rPr>
                    <w:t>彩条布苫盖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噪声</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rPr>
                    <w:t>生活</w:t>
                  </w:r>
                  <w:r>
                    <w:rPr>
                      <w:rFonts w:hint="default" w:ascii="Times New Roman" w:hAnsi="Times New Roman" w:cs="Times New Roman"/>
                      <w:color w:val="auto"/>
                      <w:lang w:val="en-US" w:eastAsia="zh-CN"/>
                    </w:rPr>
                    <w:t>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生活污水排入一体化污水处理设施处理达标后，用于洒水绿化，不外排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265"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钻井设备冲洗水</w:t>
                  </w:r>
                </w:p>
              </w:tc>
              <w:tc>
                <w:tcPr>
                  <w:tcW w:w="3002"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排入冲洗水防渗</w:t>
                  </w:r>
                  <w:r>
                    <w:rPr>
                      <w:rFonts w:hint="default" w:ascii="Times New Roman" w:hAnsi="Times New Roman" w:cs="Times New Roman"/>
                      <w:color w:val="auto"/>
                      <w:lang w:eastAsia="zh-CN"/>
                    </w:rPr>
                    <w:t>沉淀池</w:t>
                  </w:r>
                </w:p>
              </w:tc>
              <w:tc>
                <w:tcPr>
                  <w:tcW w:w="388" w:type="pct"/>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泥浆调配水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排入泥浆调配用水防渗池</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固废</w:t>
                  </w:r>
                </w:p>
              </w:tc>
              <w:tc>
                <w:tcPr>
                  <w:tcW w:w="82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施工营地内设置一定数量的垃圾桶，用于临时存放生活垃圾</w:t>
                  </w:r>
                  <w:r>
                    <w:rPr>
                      <w:rFonts w:hint="default" w:ascii="Times New Roman" w:hAnsi="Times New Roman" w:cs="Times New Roman"/>
                      <w:color w:val="auto"/>
                      <w:lang w:eastAsia="zh-CN"/>
                    </w:rPr>
                    <w:t>，</w:t>
                  </w:r>
                  <w:r>
                    <w:rPr>
                      <w:rFonts w:hint="default" w:ascii="Times New Roman" w:hAnsi="Times New Roman" w:cs="Times New Roman"/>
                      <w:color w:val="auto"/>
                    </w:rPr>
                    <w:t>统一收集后</w:t>
                  </w:r>
                  <w:r>
                    <w:rPr>
                      <w:rFonts w:hint="default" w:ascii="Times New Roman" w:hAnsi="Times New Roman" w:cs="Times New Roman"/>
                      <w:color w:val="auto"/>
                      <w:shd w:val="clear" w:color="auto" w:fill="auto"/>
                      <w:lang w:val="en-US" w:eastAsia="zh-CN"/>
                    </w:rPr>
                    <w:t>送至</w:t>
                  </w:r>
                  <w:r>
                    <w:rPr>
                      <w:rFonts w:hint="eastAsia" w:cs="Times New Roman"/>
                      <w:color w:val="auto"/>
                      <w:shd w:val="clear" w:color="auto" w:fill="auto"/>
                      <w:lang w:val="en-US" w:eastAsia="zh-CN"/>
                    </w:rPr>
                    <w:t>和硕县</w:t>
                  </w:r>
                  <w:r>
                    <w:rPr>
                      <w:rFonts w:hint="default" w:ascii="Times New Roman" w:hAnsi="Times New Roman" w:cs="Times New Roman"/>
                      <w:color w:val="auto"/>
                      <w:shd w:val="clear" w:color="auto" w:fill="auto"/>
                      <w:lang w:val="en-US" w:eastAsia="zh-CN"/>
                    </w:rPr>
                    <w:t>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823" w:hRule="atLeast"/>
                <w:tblHeader/>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8"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泥浆、岩屑及沉淀池沉渣</w:t>
                  </w:r>
                </w:p>
              </w:tc>
              <w:tc>
                <w:tcPr>
                  <w:tcW w:w="3002"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泥浆固化后</w:t>
                  </w:r>
                  <w:r>
                    <w:rPr>
                      <w:rFonts w:hint="eastAsia" w:cs="Times New Roman"/>
                      <w:color w:val="auto"/>
                      <w:lang w:val="en-US" w:eastAsia="zh-CN"/>
                    </w:rPr>
                    <w:t>拉运至一般固废处置单位统一处理</w:t>
                  </w:r>
                  <w:r>
                    <w:rPr>
                      <w:rFonts w:hint="default" w:ascii="Times New Roman" w:hAnsi="Times New Roman" w:cs="Times New Roman"/>
                      <w:color w:val="auto"/>
                      <w:lang w:val="en-US" w:eastAsia="zh-CN"/>
                    </w:rPr>
                    <w:t>，岩屑用于回填封孔，沉淀池沉渣就地掩埋</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ascii="Times New Roman" w:hAnsi="Times New Roman" w:cs="Times New Roman"/>
                      <w:i w:val="0"/>
                      <w:iCs w:val="0"/>
                      <w:color w:val="auto"/>
                      <w:kern w:val="0"/>
                      <w:sz w:val="21"/>
                      <w:szCs w:val="21"/>
                      <w:u w:val="none"/>
                      <w:lang w:val="en-US" w:eastAsia="zh-CN" w:bidi="ar"/>
                    </w:rPr>
                    <w:t>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rPr>
              <w:tc>
                <w:tcPr>
                  <w:tcW w:w="376"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1232" w:type="pct"/>
                  <w:gridSpan w:val="2"/>
                  <w:tcBorders>
                    <w:left w:val="single" w:color="auto" w:sz="4" w:space="0"/>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生态保护与恢复措施</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勘探工作完成后，拆除临时设施，及时回填并恢复原有地貌，后期采取自然恢复</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90" w:hRule="atLeast"/>
              </w:trPr>
              <w:tc>
                <w:tcPr>
                  <w:tcW w:w="1609" w:type="pct"/>
                  <w:gridSpan w:val="3"/>
                  <w:tcBorders>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环境风险防范工程</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制定环境风险管理制度、设置铺有防渗</w:t>
                  </w:r>
                  <w:r>
                    <w:rPr>
                      <w:rFonts w:hint="eastAsia" w:cs="Times New Roman"/>
                      <w:color w:val="auto"/>
                      <w:highlight w:val="none"/>
                      <w:lang w:val="en-US" w:eastAsia="zh-CN"/>
                    </w:rPr>
                    <w:t>托盘</w:t>
                  </w:r>
                  <w:r>
                    <w:rPr>
                      <w:rFonts w:hint="default" w:ascii="Times New Roman" w:hAnsi="Times New Roman" w:cs="Times New Roman"/>
                      <w:color w:val="auto"/>
                      <w:highlight w:val="none"/>
                      <w:lang w:val="en-US" w:eastAsia="zh-CN"/>
                    </w:rPr>
                    <w:t>的柴油贮存区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572" w:hRule="atLeast"/>
              </w:trPr>
              <w:tc>
                <w:tcPr>
                  <w:tcW w:w="4611" w:type="pct"/>
                  <w:gridSpan w:val="4"/>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合计</w:t>
                  </w:r>
                </w:p>
              </w:tc>
              <w:tc>
                <w:tcPr>
                  <w:tcW w:w="38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15.7</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982"/>
        <w:gridCol w:w="1413"/>
        <w:gridCol w:w="2320"/>
        <w:gridCol w:w="1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 xml:space="preserve">    内容</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施工期</w:t>
            </w:r>
          </w:p>
        </w:tc>
        <w:tc>
          <w:tcPr>
            <w:tcW w:w="2360"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continue"/>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陆生生态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水生生态</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地表水环境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highlight w:val="none"/>
                <w:lang w:val="en-US" w:eastAsia="zh-CN"/>
              </w:rPr>
              <w:t>施工期施工废水沉淀后回用，不外排</w:t>
            </w:r>
            <w:r>
              <w:rPr>
                <w:rFonts w:hint="eastAsia"/>
                <w:lang w:val="en-US" w:eastAsia="zh-CN"/>
              </w:rPr>
              <w:t>；生活污水排入一体化污水处理设施处理达标后，用于洒水绿化，不外排</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4"/>
              <w:keepNext w:val="0"/>
              <w:keepLines w:val="0"/>
              <w:suppressLineNumbers w:val="0"/>
              <w:bidi w:val="0"/>
              <w:spacing w:before="0" w:beforeAutospacing="0" w:after="0" w:afterAutospacing="0"/>
              <w:ind w:left="0" w:right="0"/>
              <w:jc w:val="center"/>
              <w:rPr>
                <w:rFonts w:hint="default"/>
                <w:lang w:val="en-US"/>
              </w:rPr>
            </w:pPr>
            <w:r>
              <w:rPr>
                <w:rFonts w:hint="eastAsia"/>
                <w:lang w:val="en-US" w:eastAsia="zh-CN"/>
              </w:rPr>
              <w:t>生活污水排入一体化污水处理设施处理达标后，用于洒水绿化，不外排；钻井设备冲洗水经沉淀池处理后洒水降尘，不外排；泥浆废水经泥浆沉淀池处理后全部回用于泥浆配制</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地下水及土壤环境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声环境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执行《</w:t>
            </w:r>
            <w:r>
              <w:rPr>
                <w:rFonts w:hint="eastAsia"/>
                <w:lang w:eastAsia="zh-CN"/>
              </w:rPr>
              <w:t>建筑施工噪声排放标准</w:t>
            </w:r>
            <w:r>
              <w:rPr>
                <w:rFonts w:hint="default"/>
              </w:rPr>
              <w:t>》（GB12523-20</w:t>
            </w:r>
            <w:r>
              <w:rPr>
                <w:rFonts w:hint="eastAsia"/>
                <w:lang w:val="en-US" w:eastAsia="zh-CN"/>
              </w:rPr>
              <w:t>25</w:t>
            </w:r>
            <w:r>
              <w:rPr>
                <w:rFonts w:hint="default"/>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执行《建筑施工噪声排放标准》（GB12523-20</w:t>
            </w:r>
            <w:r>
              <w:rPr>
                <w:rFonts w:hint="eastAsia"/>
                <w:lang w:val="en-US" w:eastAsia="zh-CN"/>
              </w:rPr>
              <w:t>25</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振动</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大气环境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满足</w:t>
            </w:r>
            <w:r>
              <w:rPr>
                <w:rFonts w:hint="default"/>
              </w:rPr>
              <w:t>《大气污染物综合排放标准》（GB16297-1996）表2中的无组织排放监控浓度限值</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固体废物</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土石方，全部堆放在临时堆场内，待项目施工期结束后，全部回填，恢复原有地貌</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rPr>
              <w:t>槽探产生的土石方就近堆存并覆盖</w:t>
            </w:r>
            <w:r>
              <w:rPr>
                <w:rFonts w:hint="eastAsia"/>
                <w:lang w:val="en-US" w:eastAsia="zh-CN"/>
              </w:rPr>
              <w:t>彩布条</w:t>
            </w:r>
            <w:r>
              <w:rPr>
                <w:rFonts w:hint="default"/>
              </w:rPr>
              <w:t>，在勘探期结束后全部回填至开挖地。岩心、样品交至单位统一保管，</w:t>
            </w:r>
            <w:r>
              <w:rPr>
                <w:rFonts w:hint="default"/>
                <w:lang w:val="en-US" w:eastAsia="zh-CN"/>
              </w:rPr>
              <w:t>临时占地应及时恢复</w:t>
            </w:r>
            <w:r>
              <w:rPr>
                <w:rFonts w:hint="eastAsia"/>
                <w:lang w:val="en-US" w:eastAsia="zh-CN"/>
              </w:rPr>
              <w:t>；</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和硕县</w:t>
            </w:r>
            <w:r>
              <w:rPr>
                <w:rFonts w:hint="default"/>
                <w:lang w:val="en-US" w:eastAsia="zh-CN"/>
              </w:rPr>
              <w:t>垃圾填埋场</w:t>
            </w:r>
            <w:r>
              <w:rPr>
                <w:rFonts w:hint="eastAsia"/>
                <w:lang w:val="en-US" w:eastAsia="zh-CN"/>
              </w:rPr>
              <w:t>；</w:t>
            </w:r>
            <w:r>
              <w:rPr>
                <w:rFonts w:hint="default"/>
              </w:rPr>
              <w:t>钻井泥浆固化后</w:t>
            </w:r>
            <w:r>
              <w:rPr>
                <w:rFonts w:hint="eastAsia"/>
                <w:lang w:val="en-US" w:eastAsia="zh-CN"/>
              </w:rPr>
              <w:t>拉运至</w:t>
            </w:r>
            <w:r>
              <w:rPr>
                <w:rFonts w:hint="default"/>
                <w:lang w:val="en-US" w:eastAsia="zh-CN"/>
              </w:rPr>
              <w:t>一般固废处置单位统一处理</w:t>
            </w:r>
            <w:r>
              <w:rPr>
                <w:rFonts w:hint="eastAsia"/>
                <w:lang w:eastAsia="zh-CN"/>
              </w:rPr>
              <w:t>；</w:t>
            </w:r>
            <w:r>
              <w:rPr>
                <w:rFonts w:hint="eastAsia"/>
                <w:lang w:val="en-US" w:eastAsia="zh-CN"/>
              </w:rPr>
              <w:t>岩屑回填钻孔；沉淀池沉渣就地掩埋</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一般固废执行《中华人民共和国固体废物污染环境防治法》（2020年9月1日起施行）要求；废弃泥浆及岩屑的处置满足《一般工业固体废物贮存和填埋污染控制标准》（GB18599-2020）的要求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电磁环境</w:t>
            </w:r>
          </w:p>
        </w:tc>
        <w:tc>
          <w:tcPr>
            <w:tcW w:w="116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环境风险</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建立健全突发环境事件应急预案；加强设备保养，保证设备设施的正常运行</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环境监测</w:t>
            </w:r>
          </w:p>
        </w:tc>
        <w:tc>
          <w:tcPr>
            <w:tcW w:w="1162"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82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1361"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999"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62"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2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61"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999"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keepNext w:val="0"/>
              <w:keepLines w:val="0"/>
              <w:suppressLineNumbers w:val="0"/>
              <w:bidi w:val="0"/>
              <w:spacing w:before="0" w:beforeAutospacing="0" w:after="0" w:afterAutospacing="0"/>
              <w:ind w:left="0" w:right="0"/>
              <w:jc w:val="left"/>
              <w:rPr>
                <w:rFonts w:hint="default" w:ascii="宋体" w:hAnsi="宋体" w:cs="宋体"/>
                <w:szCs w:val="21"/>
              </w:rPr>
            </w:pPr>
            <w:r>
              <w:rPr>
                <w:rFonts w:hint="default"/>
              </w:rPr>
              <w:t>综合上述，项目方应严格实施本环评报告提出的各项环保措施和建议，做到污染物达标排放，做好</w:t>
            </w:r>
            <w:r>
              <w:rPr>
                <w:rFonts w:hint="eastAsia"/>
                <w:lang w:eastAsia="zh-CN"/>
              </w:rPr>
              <w:t>生态环境保护</w:t>
            </w:r>
            <w:r>
              <w:rPr>
                <w:rFonts w:hint="default"/>
              </w:rPr>
              <w:t>与恢复。在严格落实本环评提出的各项污染物治理和生态保护措施的前提下，该项目的建设不会对区域环境质量及生态</w:t>
            </w:r>
            <w:r>
              <w:rPr>
                <w:rFonts w:hint="eastAsia"/>
              </w:rPr>
              <w:t>环境</w:t>
            </w:r>
            <w:r>
              <w:rPr>
                <w:rFonts w:hint="default"/>
              </w:rPr>
              <w:t>产生大的影响，从环境保护角度分析，本项</w:t>
            </w:r>
            <w:r>
              <w:rPr>
                <w:rFonts w:hint="eastAsia"/>
                <w:lang w:eastAsia="zh-CN"/>
              </w:rPr>
              <w:t>目环境影响</w:t>
            </w:r>
            <w:r>
              <w:rPr>
                <w:rFonts w:hint="default"/>
              </w:rP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30EB3B8-28C8-4662-9119-9857FBFF9EB4}"/>
  </w:font>
  <w:font w:name="黑体">
    <w:panose1 w:val="02010609060101010101"/>
    <w:charset w:val="86"/>
    <w:family w:val="auto"/>
    <w:pitch w:val="default"/>
    <w:sig w:usb0="800002BF" w:usb1="38CF7CFA" w:usb2="00000016" w:usb3="00000000" w:csb0="00040001" w:csb1="00000000"/>
    <w:embedRegular r:id="rId2" w:fontKey="{77D9C4FA-85AB-428D-9D7B-BCE240192E4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B193BCD6-0577-47C4-8183-5ACB55D56C6F}"/>
  </w:font>
  <w:font w:name="仿宋">
    <w:panose1 w:val="02010609060101010101"/>
    <w:charset w:val="86"/>
    <w:family w:val="auto"/>
    <w:pitch w:val="default"/>
    <w:sig w:usb0="800002BF" w:usb1="38CF7CFA" w:usb2="00000016" w:usb3="00000000" w:csb0="00040001" w:csb1="00000000"/>
    <w:embedRegular r:id="rId4" w:fontKey="{91B589ED-9B4A-49D9-A55D-4E6B81ECE7B6}"/>
  </w:font>
  <w:font w:name="仿宋_GB2312">
    <w:panose1 w:val="02010609030101010101"/>
    <w:charset w:val="86"/>
    <w:family w:val="modern"/>
    <w:pitch w:val="default"/>
    <w:sig w:usb0="00000001" w:usb1="080E0000" w:usb2="00000000" w:usb3="00000000" w:csb0="00040000" w:csb1="00000000"/>
    <w:embedRegular r:id="rId5" w:fontKey="{63CC281A-7003-40BB-BD83-C53E602DDDFD}"/>
  </w:font>
  <w:font w:name="方正小标宋_GBK">
    <w:panose1 w:val="03000509000000000000"/>
    <w:charset w:val="86"/>
    <w:family w:val="script"/>
    <w:pitch w:val="default"/>
    <w:sig w:usb0="00000001" w:usb1="080E0000" w:usb2="00000000" w:usb3="00000000" w:csb0="00040000" w:csb1="00000000"/>
    <w:embedRegular r:id="rId6" w:fontKey="{98A285F4-6BC8-4B2A-8976-9840B55FA119}"/>
  </w:font>
  <w:font w:name="华文仿宋">
    <w:panose1 w:val="02010600040101010101"/>
    <w:charset w:val="86"/>
    <w:family w:val="auto"/>
    <w:pitch w:val="default"/>
    <w:sig w:usb0="00000287" w:usb1="080F0000" w:usb2="00000000" w:usb3="00000000" w:csb0="0004009F" w:csb1="DFD70000"/>
    <w:embedRegular r:id="rId7" w:fontKey="{E8431D66-BC9D-4C9E-8FC7-AB4B9818E0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20"/>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C6B7A"/>
    <w:multiLevelType w:val="singleLevel"/>
    <w:tmpl w:val="BC4C6B7A"/>
    <w:lvl w:ilvl="0" w:tentative="0">
      <w:start w:val="1"/>
      <w:numFmt w:val="decimal"/>
      <w:suff w:val="nothing"/>
      <w:lvlText w:val="%1"/>
      <w:lvlJc w:val="center"/>
      <w:pPr>
        <w:ind w:left="0" w:firstLine="0"/>
      </w:pPr>
      <w:rPr>
        <w:rFonts w:hint="default"/>
      </w:rPr>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06406"/>
    <w:rsid w:val="0081293E"/>
    <w:rsid w:val="00814FFB"/>
    <w:rsid w:val="00820568"/>
    <w:rsid w:val="00831A80"/>
    <w:rsid w:val="008332C8"/>
    <w:rsid w:val="00833743"/>
    <w:rsid w:val="008340A4"/>
    <w:rsid w:val="00836799"/>
    <w:rsid w:val="00837028"/>
    <w:rsid w:val="00837131"/>
    <w:rsid w:val="00845F57"/>
    <w:rsid w:val="008521E0"/>
    <w:rsid w:val="008525B0"/>
    <w:rsid w:val="00860F24"/>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B4B70"/>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2111"/>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427B"/>
    <w:rsid w:val="010F53D5"/>
    <w:rsid w:val="01196E52"/>
    <w:rsid w:val="011D7843"/>
    <w:rsid w:val="012C1A19"/>
    <w:rsid w:val="01320EC9"/>
    <w:rsid w:val="01582470"/>
    <w:rsid w:val="015C1523"/>
    <w:rsid w:val="015E6B1D"/>
    <w:rsid w:val="01655E65"/>
    <w:rsid w:val="01857C73"/>
    <w:rsid w:val="018B21C1"/>
    <w:rsid w:val="019978BC"/>
    <w:rsid w:val="01B42207"/>
    <w:rsid w:val="01BA61B0"/>
    <w:rsid w:val="01C16C2C"/>
    <w:rsid w:val="01C66596"/>
    <w:rsid w:val="01D82621"/>
    <w:rsid w:val="01FD7E4B"/>
    <w:rsid w:val="02110AC4"/>
    <w:rsid w:val="021653B1"/>
    <w:rsid w:val="021C128D"/>
    <w:rsid w:val="022E14F7"/>
    <w:rsid w:val="02323E22"/>
    <w:rsid w:val="02490F73"/>
    <w:rsid w:val="025905B8"/>
    <w:rsid w:val="025E2CEB"/>
    <w:rsid w:val="02973D5F"/>
    <w:rsid w:val="02A4476B"/>
    <w:rsid w:val="02A8142E"/>
    <w:rsid w:val="02B66AA6"/>
    <w:rsid w:val="02BE026D"/>
    <w:rsid w:val="02D44580"/>
    <w:rsid w:val="02E244D2"/>
    <w:rsid w:val="02E52166"/>
    <w:rsid w:val="030C3E9B"/>
    <w:rsid w:val="03173601"/>
    <w:rsid w:val="03256780"/>
    <w:rsid w:val="03517621"/>
    <w:rsid w:val="035A31DA"/>
    <w:rsid w:val="036C4379"/>
    <w:rsid w:val="03773579"/>
    <w:rsid w:val="039105B6"/>
    <w:rsid w:val="039849B2"/>
    <w:rsid w:val="03AC4D56"/>
    <w:rsid w:val="03C17E7E"/>
    <w:rsid w:val="03E73206"/>
    <w:rsid w:val="04026C8D"/>
    <w:rsid w:val="042F3D71"/>
    <w:rsid w:val="04432C66"/>
    <w:rsid w:val="04584E73"/>
    <w:rsid w:val="04632D76"/>
    <w:rsid w:val="046C750A"/>
    <w:rsid w:val="046D11DF"/>
    <w:rsid w:val="04A02746"/>
    <w:rsid w:val="050E75A9"/>
    <w:rsid w:val="05104806"/>
    <w:rsid w:val="051B38A9"/>
    <w:rsid w:val="051F41C0"/>
    <w:rsid w:val="051F7A75"/>
    <w:rsid w:val="053E7690"/>
    <w:rsid w:val="05447C28"/>
    <w:rsid w:val="05605B0F"/>
    <w:rsid w:val="05742AC8"/>
    <w:rsid w:val="058E0B21"/>
    <w:rsid w:val="05926C4E"/>
    <w:rsid w:val="05BB42A5"/>
    <w:rsid w:val="05C55E8E"/>
    <w:rsid w:val="05D642CE"/>
    <w:rsid w:val="05EC0669"/>
    <w:rsid w:val="062C6F51"/>
    <w:rsid w:val="06352F05"/>
    <w:rsid w:val="063A0FE6"/>
    <w:rsid w:val="063C333F"/>
    <w:rsid w:val="063E7D85"/>
    <w:rsid w:val="06683799"/>
    <w:rsid w:val="069409F0"/>
    <w:rsid w:val="06B536D7"/>
    <w:rsid w:val="06CA61A3"/>
    <w:rsid w:val="06CC2DD0"/>
    <w:rsid w:val="06D8396E"/>
    <w:rsid w:val="06EE502E"/>
    <w:rsid w:val="06F22278"/>
    <w:rsid w:val="070875E0"/>
    <w:rsid w:val="0716462A"/>
    <w:rsid w:val="07293586"/>
    <w:rsid w:val="07295285"/>
    <w:rsid w:val="075208D7"/>
    <w:rsid w:val="076444C8"/>
    <w:rsid w:val="076E638B"/>
    <w:rsid w:val="07770C56"/>
    <w:rsid w:val="07A5586E"/>
    <w:rsid w:val="07C76659"/>
    <w:rsid w:val="07CC09EB"/>
    <w:rsid w:val="08002443"/>
    <w:rsid w:val="08065580"/>
    <w:rsid w:val="081E0B1B"/>
    <w:rsid w:val="082D5987"/>
    <w:rsid w:val="082E17EA"/>
    <w:rsid w:val="08377FAD"/>
    <w:rsid w:val="08387E2F"/>
    <w:rsid w:val="084B2F0B"/>
    <w:rsid w:val="086A00E6"/>
    <w:rsid w:val="088B4C81"/>
    <w:rsid w:val="08997FC4"/>
    <w:rsid w:val="08AE049D"/>
    <w:rsid w:val="08B86155"/>
    <w:rsid w:val="08CF48B6"/>
    <w:rsid w:val="08D97D1B"/>
    <w:rsid w:val="08EF10FC"/>
    <w:rsid w:val="08F63846"/>
    <w:rsid w:val="091457BC"/>
    <w:rsid w:val="091D7619"/>
    <w:rsid w:val="092217DD"/>
    <w:rsid w:val="093A7294"/>
    <w:rsid w:val="093D20B4"/>
    <w:rsid w:val="094D790A"/>
    <w:rsid w:val="094E63E5"/>
    <w:rsid w:val="094F10C7"/>
    <w:rsid w:val="09523CDC"/>
    <w:rsid w:val="095C780C"/>
    <w:rsid w:val="09607FAA"/>
    <w:rsid w:val="096A6D08"/>
    <w:rsid w:val="097B5CAC"/>
    <w:rsid w:val="09991B08"/>
    <w:rsid w:val="09A314F6"/>
    <w:rsid w:val="09D879EF"/>
    <w:rsid w:val="0A073817"/>
    <w:rsid w:val="0A147B34"/>
    <w:rsid w:val="0A1F4703"/>
    <w:rsid w:val="0A231EDD"/>
    <w:rsid w:val="0A6E0464"/>
    <w:rsid w:val="0A721F4B"/>
    <w:rsid w:val="0A767C87"/>
    <w:rsid w:val="0A9A7AEB"/>
    <w:rsid w:val="0B071D3B"/>
    <w:rsid w:val="0B1A18FA"/>
    <w:rsid w:val="0B4A156F"/>
    <w:rsid w:val="0B4E0FF2"/>
    <w:rsid w:val="0B8C2821"/>
    <w:rsid w:val="0B9B2926"/>
    <w:rsid w:val="0BB166B1"/>
    <w:rsid w:val="0BB747ED"/>
    <w:rsid w:val="0BC55E7E"/>
    <w:rsid w:val="0BC95F15"/>
    <w:rsid w:val="0BD04096"/>
    <w:rsid w:val="0BD27BF6"/>
    <w:rsid w:val="0BE90AC2"/>
    <w:rsid w:val="0BFD6797"/>
    <w:rsid w:val="0C0221CB"/>
    <w:rsid w:val="0C032AB2"/>
    <w:rsid w:val="0C037555"/>
    <w:rsid w:val="0C3A0244"/>
    <w:rsid w:val="0C452B1A"/>
    <w:rsid w:val="0C554291"/>
    <w:rsid w:val="0C581A09"/>
    <w:rsid w:val="0C601A20"/>
    <w:rsid w:val="0C676F35"/>
    <w:rsid w:val="0C820FC8"/>
    <w:rsid w:val="0CB34CF4"/>
    <w:rsid w:val="0CBD30F1"/>
    <w:rsid w:val="0CD43E9E"/>
    <w:rsid w:val="0CD62D8F"/>
    <w:rsid w:val="0CDD691A"/>
    <w:rsid w:val="0CF109A7"/>
    <w:rsid w:val="0D04290B"/>
    <w:rsid w:val="0D1169EC"/>
    <w:rsid w:val="0D301348"/>
    <w:rsid w:val="0D3B62E5"/>
    <w:rsid w:val="0D3C2711"/>
    <w:rsid w:val="0D3D5014"/>
    <w:rsid w:val="0D405695"/>
    <w:rsid w:val="0D471D25"/>
    <w:rsid w:val="0D5C4BD0"/>
    <w:rsid w:val="0D7F3E0A"/>
    <w:rsid w:val="0DB07359"/>
    <w:rsid w:val="0DB96E36"/>
    <w:rsid w:val="0DCA3C27"/>
    <w:rsid w:val="0DD11376"/>
    <w:rsid w:val="0DE03144"/>
    <w:rsid w:val="0DED3F7D"/>
    <w:rsid w:val="0DF149A6"/>
    <w:rsid w:val="0E110D06"/>
    <w:rsid w:val="0E130311"/>
    <w:rsid w:val="0E266AC3"/>
    <w:rsid w:val="0E2A1FC8"/>
    <w:rsid w:val="0E572FD9"/>
    <w:rsid w:val="0E62253D"/>
    <w:rsid w:val="0EAA2B43"/>
    <w:rsid w:val="0EAE684C"/>
    <w:rsid w:val="0EDD0135"/>
    <w:rsid w:val="0EF949B1"/>
    <w:rsid w:val="0F13775A"/>
    <w:rsid w:val="0F164A98"/>
    <w:rsid w:val="0F607C6B"/>
    <w:rsid w:val="0F7428EE"/>
    <w:rsid w:val="0F791001"/>
    <w:rsid w:val="0F9A112B"/>
    <w:rsid w:val="0FFA6753"/>
    <w:rsid w:val="102939BE"/>
    <w:rsid w:val="103B55CC"/>
    <w:rsid w:val="1058689E"/>
    <w:rsid w:val="106D2F64"/>
    <w:rsid w:val="107439CE"/>
    <w:rsid w:val="10757746"/>
    <w:rsid w:val="108A7467"/>
    <w:rsid w:val="10B63710"/>
    <w:rsid w:val="10D23005"/>
    <w:rsid w:val="10E130BF"/>
    <w:rsid w:val="10E20B40"/>
    <w:rsid w:val="11072A94"/>
    <w:rsid w:val="11182474"/>
    <w:rsid w:val="111C2F7A"/>
    <w:rsid w:val="112002C2"/>
    <w:rsid w:val="112924B4"/>
    <w:rsid w:val="113013DE"/>
    <w:rsid w:val="11380256"/>
    <w:rsid w:val="11446485"/>
    <w:rsid w:val="114678B8"/>
    <w:rsid w:val="114D134F"/>
    <w:rsid w:val="116427AF"/>
    <w:rsid w:val="118F65E6"/>
    <w:rsid w:val="11A7236D"/>
    <w:rsid w:val="11AB65BF"/>
    <w:rsid w:val="11B8015A"/>
    <w:rsid w:val="11C46F35"/>
    <w:rsid w:val="11C743A6"/>
    <w:rsid w:val="11D93DA0"/>
    <w:rsid w:val="11E15093"/>
    <w:rsid w:val="11E84674"/>
    <w:rsid w:val="11EA051C"/>
    <w:rsid w:val="11EA29C0"/>
    <w:rsid w:val="11EF5056"/>
    <w:rsid w:val="11FC011F"/>
    <w:rsid w:val="12023727"/>
    <w:rsid w:val="122072AA"/>
    <w:rsid w:val="12267B49"/>
    <w:rsid w:val="122B06C2"/>
    <w:rsid w:val="123D74D6"/>
    <w:rsid w:val="12445229"/>
    <w:rsid w:val="124F51D5"/>
    <w:rsid w:val="12502C70"/>
    <w:rsid w:val="12605BA3"/>
    <w:rsid w:val="12613C54"/>
    <w:rsid w:val="12736E94"/>
    <w:rsid w:val="1279351E"/>
    <w:rsid w:val="128F2D41"/>
    <w:rsid w:val="129077DE"/>
    <w:rsid w:val="12960DCE"/>
    <w:rsid w:val="12C60256"/>
    <w:rsid w:val="12CE4E68"/>
    <w:rsid w:val="12D3750A"/>
    <w:rsid w:val="12EF6AB8"/>
    <w:rsid w:val="13286CF2"/>
    <w:rsid w:val="134E5C22"/>
    <w:rsid w:val="13775B99"/>
    <w:rsid w:val="138A1793"/>
    <w:rsid w:val="138B18F3"/>
    <w:rsid w:val="13951726"/>
    <w:rsid w:val="13A15444"/>
    <w:rsid w:val="13BC5A7B"/>
    <w:rsid w:val="13ED5118"/>
    <w:rsid w:val="13F50E66"/>
    <w:rsid w:val="141A01E7"/>
    <w:rsid w:val="14377E57"/>
    <w:rsid w:val="14396509"/>
    <w:rsid w:val="143E60BA"/>
    <w:rsid w:val="1447165C"/>
    <w:rsid w:val="14475755"/>
    <w:rsid w:val="145255D4"/>
    <w:rsid w:val="14556DB3"/>
    <w:rsid w:val="145E70D4"/>
    <w:rsid w:val="146B50E8"/>
    <w:rsid w:val="14750D5A"/>
    <w:rsid w:val="147E33C3"/>
    <w:rsid w:val="14870A36"/>
    <w:rsid w:val="149A2AF2"/>
    <w:rsid w:val="149C34F4"/>
    <w:rsid w:val="14E86BD0"/>
    <w:rsid w:val="14FC21E4"/>
    <w:rsid w:val="15205755"/>
    <w:rsid w:val="152C7305"/>
    <w:rsid w:val="154701F2"/>
    <w:rsid w:val="15581F72"/>
    <w:rsid w:val="155B0F75"/>
    <w:rsid w:val="15604521"/>
    <w:rsid w:val="15646E47"/>
    <w:rsid w:val="15BA00E1"/>
    <w:rsid w:val="15CC2176"/>
    <w:rsid w:val="15CD25E7"/>
    <w:rsid w:val="15CE4223"/>
    <w:rsid w:val="15CE5420"/>
    <w:rsid w:val="15DA4676"/>
    <w:rsid w:val="161B6867"/>
    <w:rsid w:val="16220563"/>
    <w:rsid w:val="162623BA"/>
    <w:rsid w:val="162952E3"/>
    <w:rsid w:val="162C3809"/>
    <w:rsid w:val="16361310"/>
    <w:rsid w:val="164D0F49"/>
    <w:rsid w:val="164D1686"/>
    <w:rsid w:val="1691733D"/>
    <w:rsid w:val="1695644C"/>
    <w:rsid w:val="16C17BF4"/>
    <w:rsid w:val="16D01BC9"/>
    <w:rsid w:val="16D108B7"/>
    <w:rsid w:val="16F65FFD"/>
    <w:rsid w:val="170D06D9"/>
    <w:rsid w:val="170F179D"/>
    <w:rsid w:val="171A0D87"/>
    <w:rsid w:val="171C08A1"/>
    <w:rsid w:val="1724463E"/>
    <w:rsid w:val="17277927"/>
    <w:rsid w:val="173D173B"/>
    <w:rsid w:val="1764623E"/>
    <w:rsid w:val="176B1EA6"/>
    <w:rsid w:val="17735226"/>
    <w:rsid w:val="17754F34"/>
    <w:rsid w:val="177C3206"/>
    <w:rsid w:val="178611DC"/>
    <w:rsid w:val="17902473"/>
    <w:rsid w:val="17991C3C"/>
    <w:rsid w:val="17C11909"/>
    <w:rsid w:val="17C528EE"/>
    <w:rsid w:val="17CE1006"/>
    <w:rsid w:val="17D3708B"/>
    <w:rsid w:val="17D77582"/>
    <w:rsid w:val="17E41539"/>
    <w:rsid w:val="18112FB1"/>
    <w:rsid w:val="181459D7"/>
    <w:rsid w:val="18214C5F"/>
    <w:rsid w:val="183A374F"/>
    <w:rsid w:val="18420856"/>
    <w:rsid w:val="18666832"/>
    <w:rsid w:val="18832596"/>
    <w:rsid w:val="18955D8E"/>
    <w:rsid w:val="189844C9"/>
    <w:rsid w:val="18A36F6F"/>
    <w:rsid w:val="18AD6F38"/>
    <w:rsid w:val="18C15C1F"/>
    <w:rsid w:val="18C96881"/>
    <w:rsid w:val="18DA672E"/>
    <w:rsid w:val="18FD3358"/>
    <w:rsid w:val="1906512C"/>
    <w:rsid w:val="190A44F3"/>
    <w:rsid w:val="191653D9"/>
    <w:rsid w:val="19481E9C"/>
    <w:rsid w:val="19616ABA"/>
    <w:rsid w:val="196216A7"/>
    <w:rsid w:val="198549D1"/>
    <w:rsid w:val="199454D6"/>
    <w:rsid w:val="199832CB"/>
    <w:rsid w:val="199E4403"/>
    <w:rsid w:val="19A12E37"/>
    <w:rsid w:val="19B173EC"/>
    <w:rsid w:val="19BB08C0"/>
    <w:rsid w:val="19C534ED"/>
    <w:rsid w:val="19DD2CB2"/>
    <w:rsid w:val="1A127842"/>
    <w:rsid w:val="1A1C66C0"/>
    <w:rsid w:val="1A220073"/>
    <w:rsid w:val="1A307DAC"/>
    <w:rsid w:val="1A3B145C"/>
    <w:rsid w:val="1A407E0C"/>
    <w:rsid w:val="1A42393B"/>
    <w:rsid w:val="1A4C59BC"/>
    <w:rsid w:val="1A524411"/>
    <w:rsid w:val="1A5550F6"/>
    <w:rsid w:val="1A7570AC"/>
    <w:rsid w:val="1A8245D6"/>
    <w:rsid w:val="1A9952ED"/>
    <w:rsid w:val="1AC46E8C"/>
    <w:rsid w:val="1AD72F6D"/>
    <w:rsid w:val="1AEF014E"/>
    <w:rsid w:val="1AFE39A3"/>
    <w:rsid w:val="1B000BBA"/>
    <w:rsid w:val="1B046F80"/>
    <w:rsid w:val="1B3202FC"/>
    <w:rsid w:val="1B3267B5"/>
    <w:rsid w:val="1B3430F7"/>
    <w:rsid w:val="1B59213E"/>
    <w:rsid w:val="1B815128"/>
    <w:rsid w:val="1B825A10"/>
    <w:rsid w:val="1B8B7B95"/>
    <w:rsid w:val="1B8C4D6B"/>
    <w:rsid w:val="1BA764BE"/>
    <w:rsid w:val="1BB13F6D"/>
    <w:rsid w:val="1BBC26CD"/>
    <w:rsid w:val="1BC10824"/>
    <w:rsid w:val="1BC25DC8"/>
    <w:rsid w:val="1BC4107F"/>
    <w:rsid w:val="1BD935D1"/>
    <w:rsid w:val="1BF133BC"/>
    <w:rsid w:val="1BF51C89"/>
    <w:rsid w:val="1C197B20"/>
    <w:rsid w:val="1C2C2182"/>
    <w:rsid w:val="1C2C7A15"/>
    <w:rsid w:val="1C574168"/>
    <w:rsid w:val="1C5E7925"/>
    <w:rsid w:val="1C765C9F"/>
    <w:rsid w:val="1C7669CC"/>
    <w:rsid w:val="1C864762"/>
    <w:rsid w:val="1C887FC8"/>
    <w:rsid w:val="1C8A55DB"/>
    <w:rsid w:val="1CA777C8"/>
    <w:rsid w:val="1CB514A9"/>
    <w:rsid w:val="1CC161ED"/>
    <w:rsid w:val="1CC61FCF"/>
    <w:rsid w:val="1CCD3268"/>
    <w:rsid w:val="1CE05A16"/>
    <w:rsid w:val="1CE3193D"/>
    <w:rsid w:val="1D1E5089"/>
    <w:rsid w:val="1D5F6196"/>
    <w:rsid w:val="1D6132A5"/>
    <w:rsid w:val="1D63465A"/>
    <w:rsid w:val="1D6A43DB"/>
    <w:rsid w:val="1D8E56D5"/>
    <w:rsid w:val="1DA46927"/>
    <w:rsid w:val="1DC63DF7"/>
    <w:rsid w:val="1DD145C1"/>
    <w:rsid w:val="1DEF48B1"/>
    <w:rsid w:val="1E053DEB"/>
    <w:rsid w:val="1E1E766F"/>
    <w:rsid w:val="1E473B8F"/>
    <w:rsid w:val="1E5168F6"/>
    <w:rsid w:val="1E635082"/>
    <w:rsid w:val="1E6432D4"/>
    <w:rsid w:val="1E732AF6"/>
    <w:rsid w:val="1E7A43DA"/>
    <w:rsid w:val="1E932132"/>
    <w:rsid w:val="1E9828AC"/>
    <w:rsid w:val="1EB26E5D"/>
    <w:rsid w:val="1EB277FE"/>
    <w:rsid w:val="1ED15AF8"/>
    <w:rsid w:val="1F1419B3"/>
    <w:rsid w:val="1F246799"/>
    <w:rsid w:val="1F26796B"/>
    <w:rsid w:val="1F3904D5"/>
    <w:rsid w:val="1F606B81"/>
    <w:rsid w:val="1F64759C"/>
    <w:rsid w:val="1F7832BB"/>
    <w:rsid w:val="1F882B80"/>
    <w:rsid w:val="1F9F1DE5"/>
    <w:rsid w:val="1FBD6E1F"/>
    <w:rsid w:val="1FC2787D"/>
    <w:rsid w:val="1FE7539E"/>
    <w:rsid w:val="1FFB37C4"/>
    <w:rsid w:val="1FFB7C68"/>
    <w:rsid w:val="200F56D3"/>
    <w:rsid w:val="20105ECA"/>
    <w:rsid w:val="202135FA"/>
    <w:rsid w:val="202F1927"/>
    <w:rsid w:val="203F2581"/>
    <w:rsid w:val="20611216"/>
    <w:rsid w:val="20825115"/>
    <w:rsid w:val="20883E97"/>
    <w:rsid w:val="20895274"/>
    <w:rsid w:val="20963CB8"/>
    <w:rsid w:val="209677A6"/>
    <w:rsid w:val="20A7394C"/>
    <w:rsid w:val="20AA62AC"/>
    <w:rsid w:val="20B07FB6"/>
    <w:rsid w:val="20D02EA3"/>
    <w:rsid w:val="20D45886"/>
    <w:rsid w:val="20E5555B"/>
    <w:rsid w:val="20EC77BF"/>
    <w:rsid w:val="21063FC7"/>
    <w:rsid w:val="21360DC6"/>
    <w:rsid w:val="213B74B1"/>
    <w:rsid w:val="213D4223"/>
    <w:rsid w:val="215A2310"/>
    <w:rsid w:val="216658D2"/>
    <w:rsid w:val="216830DB"/>
    <w:rsid w:val="216D248C"/>
    <w:rsid w:val="21897DBB"/>
    <w:rsid w:val="218D380F"/>
    <w:rsid w:val="219552A7"/>
    <w:rsid w:val="21A25DD1"/>
    <w:rsid w:val="21C22E7F"/>
    <w:rsid w:val="21D45DE6"/>
    <w:rsid w:val="21DE318A"/>
    <w:rsid w:val="21EF5B80"/>
    <w:rsid w:val="21F93BC8"/>
    <w:rsid w:val="22010FDF"/>
    <w:rsid w:val="220D3C83"/>
    <w:rsid w:val="22576990"/>
    <w:rsid w:val="22757749"/>
    <w:rsid w:val="22794E74"/>
    <w:rsid w:val="229C4EAB"/>
    <w:rsid w:val="22AE0C5F"/>
    <w:rsid w:val="22B23823"/>
    <w:rsid w:val="22C51B6E"/>
    <w:rsid w:val="22C96BB4"/>
    <w:rsid w:val="22CB3F5D"/>
    <w:rsid w:val="22CF718A"/>
    <w:rsid w:val="22DA23E2"/>
    <w:rsid w:val="22EE3E9B"/>
    <w:rsid w:val="23035EA9"/>
    <w:rsid w:val="2309444A"/>
    <w:rsid w:val="23166730"/>
    <w:rsid w:val="23203542"/>
    <w:rsid w:val="23362D72"/>
    <w:rsid w:val="236D2C2B"/>
    <w:rsid w:val="236D4403"/>
    <w:rsid w:val="23737D01"/>
    <w:rsid w:val="23827156"/>
    <w:rsid w:val="238D46E4"/>
    <w:rsid w:val="238F1D10"/>
    <w:rsid w:val="23953573"/>
    <w:rsid w:val="23C14D25"/>
    <w:rsid w:val="23C46D54"/>
    <w:rsid w:val="23C47A74"/>
    <w:rsid w:val="23C73B1B"/>
    <w:rsid w:val="23F15571"/>
    <w:rsid w:val="24134F0B"/>
    <w:rsid w:val="2424436B"/>
    <w:rsid w:val="24486D5C"/>
    <w:rsid w:val="24586973"/>
    <w:rsid w:val="245D1BD9"/>
    <w:rsid w:val="246D6C5B"/>
    <w:rsid w:val="247A6A25"/>
    <w:rsid w:val="24804B18"/>
    <w:rsid w:val="248975AD"/>
    <w:rsid w:val="24A878BD"/>
    <w:rsid w:val="24B1044B"/>
    <w:rsid w:val="24B12ABC"/>
    <w:rsid w:val="24ED7441"/>
    <w:rsid w:val="24EE7D9B"/>
    <w:rsid w:val="24FE78B3"/>
    <w:rsid w:val="250A27B1"/>
    <w:rsid w:val="252830C1"/>
    <w:rsid w:val="252D53FE"/>
    <w:rsid w:val="254F125D"/>
    <w:rsid w:val="255F0C6E"/>
    <w:rsid w:val="256E1EA7"/>
    <w:rsid w:val="258C4EBE"/>
    <w:rsid w:val="25B81091"/>
    <w:rsid w:val="25C15374"/>
    <w:rsid w:val="25EC2D81"/>
    <w:rsid w:val="25EE4EC1"/>
    <w:rsid w:val="25F17E48"/>
    <w:rsid w:val="26032D97"/>
    <w:rsid w:val="260D3D3C"/>
    <w:rsid w:val="26357304"/>
    <w:rsid w:val="263B7010"/>
    <w:rsid w:val="264528BD"/>
    <w:rsid w:val="265B3DF5"/>
    <w:rsid w:val="265C0D35"/>
    <w:rsid w:val="265E4AAD"/>
    <w:rsid w:val="265F14A3"/>
    <w:rsid w:val="26721FBD"/>
    <w:rsid w:val="26A56238"/>
    <w:rsid w:val="26CC6975"/>
    <w:rsid w:val="26DB5FC7"/>
    <w:rsid w:val="26EE562D"/>
    <w:rsid w:val="26F80972"/>
    <w:rsid w:val="26FF2C9C"/>
    <w:rsid w:val="27171767"/>
    <w:rsid w:val="272343DC"/>
    <w:rsid w:val="2724127C"/>
    <w:rsid w:val="27335FDD"/>
    <w:rsid w:val="27340FD7"/>
    <w:rsid w:val="27661C4E"/>
    <w:rsid w:val="27695881"/>
    <w:rsid w:val="27821EC9"/>
    <w:rsid w:val="2785219A"/>
    <w:rsid w:val="27AC1848"/>
    <w:rsid w:val="27B0569E"/>
    <w:rsid w:val="27B77C28"/>
    <w:rsid w:val="27C3506D"/>
    <w:rsid w:val="27D15DD1"/>
    <w:rsid w:val="27DB76F9"/>
    <w:rsid w:val="280107B4"/>
    <w:rsid w:val="280F3966"/>
    <w:rsid w:val="280F4E65"/>
    <w:rsid w:val="28120712"/>
    <w:rsid w:val="2816159A"/>
    <w:rsid w:val="282E405C"/>
    <w:rsid w:val="283D58BA"/>
    <w:rsid w:val="283E5C4B"/>
    <w:rsid w:val="287556F2"/>
    <w:rsid w:val="28924926"/>
    <w:rsid w:val="28944720"/>
    <w:rsid w:val="2896364A"/>
    <w:rsid w:val="28A76295"/>
    <w:rsid w:val="2916341D"/>
    <w:rsid w:val="29206EB8"/>
    <w:rsid w:val="29223BD4"/>
    <w:rsid w:val="29230EE1"/>
    <w:rsid w:val="292E4C0A"/>
    <w:rsid w:val="296044D3"/>
    <w:rsid w:val="296E1FD7"/>
    <w:rsid w:val="297C2A05"/>
    <w:rsid w:val="297C2B4D"/>
    <w:rsid w:val="29963B3D"/>
    <w:rsid w:val="29A6389C"/>
    <w:rsid w:val="29C54E43"/>
    <w:rsid w:val="29C7422F"/>
    <w:rsid w:val="29CA4B8D"/>
    <w:rsid w:val="29E325E0"/>
    <w:rsid w:val="2A111BBA"/>
    <w:rsid w:val="2A156FFA"/>
    <w:rsid w:val="2A1927CF"/>
    <w:rsid w:val="2A452503"/>
    <w:rsid w:val="2A461F23"/>
    <w:rsid w:val="2A4C4BE5"/>
    <w:rsid w:val="2A5C7555"/>
    <w:rsid w:val="2A73719B"/>
    <w:rsid w:val="2A9F6E40"/>
    <w:rsid w:val="2AA03D05"/>
    <w:rsid w:val="2AAD6003"/>
    <w:rsid w:val="2ABB0A6C"/>
    <w:rsid w:val="2AD217A2"/>
    <w:rsid w:val="2AE055CA"/>
    <w:rsid w:val="2AEA7171"/>
    <w:rsid w:val="2B035C23"/>
    <w:rsid w:val="2B1240B8"/>
    <w:rsid w:val="2B165705"/>
    <w:rsid w:val="2B3B360F"/>
    <w:rsid w:val="2BA57E24"/>
    <w:rsid w:val="2BA85397"/>
    <w:rsid w:val="2BA936A8"/>
    <w:rsid w:val="2BBB4072"/>
    <w:rsid w:val="2BCE6522"/>
    <w:rsid w:val="2BDF3F0E"/>
    <w:rsid w:val="2BFE2949"/>
    <w:rsid w:val="2C0B3B29"/>
    <w:rsid w:val="2C113CE1"/>
    <w:rsid w:val="2C2D1D71"/>
    <w:rsid w:val="2C2F1949"/>
    <w:rsid w:val="2C315A5A"/>
    <w:rsid w:val="2C3165D7"/>
    <w:rsid w:val="2C3F5C19"/>
    <w:rsid w:val="2C6C7279"/>
    <w:rsid w:val="2C801934"/>
    <w:rsid w:val="2C813804"/>
    <w:rsid w:val="2C8C35AA"/>
    <w:rsid w:val="2C907B46"/>
    <w:rsid w:val="2C923C0C"/>
    <w:rsid w:val="2CA07176"/>
    <w:rsid w:val="2CA84CAA"/>
    <w:rsid w:val="2CB561BD"/>
    <w:rsid w:val="2CDA585C"/>
    <w:rsid w:val="2CE33A5F"/>
    <w:rsid w:val="2CE46656"/>
    <w:rsid w:val="2D031F0A"/>
    <w:rsid w:val="2D1C2904"/>
    <w:rsid w:val="2D214A86"/>
    <w:rsid w:val="2D492DB9"/>
    <w:rsid w:val="2D5C59D6"/>
    <w:rsid w:val="2D6D5C98"/>
    <w:rsid w:val="2D842796"/>
    <w:rsid w:val="2D921791"/>
    <w:rsid w:val="2D981A9F"/>
    <w:rsid w:val="2D9E56F5"/>
    <w:rsid w:val="2D9E60D7"/>
    <w:rsid w:val="2DA10DD0"/>
    <w:rsid w:val="2DBB7E23"/>
    <w:rsid w:val="2DCA0C7A"/>
    <w:rsid w:val="2DD02CED"/>
    <w:rsid w:val="2DEB19C0"/>
    <w:rsid w:val="2E0903C4"/>
    <w:rsid w:val="2E163DF8"/>
    <w:rsid w:val="2E1A575D"/>
    <w:rsid w:val="2E482E0D"/>
    <w:rsid w:val="2E59496A"/>
    <w:rsid w:val="2E667F96"/>
    <w:rsid w:val="2E716C3A"/>
    <w:rsid w:val="2E813A2E"/>
    <w:rsid w:val="2E8226AB"/>
    <w:rsid w:val="2EA97C9B"/>
    <w:rsid w:val="2EC45323"/>
    <w:rsid w:val="2ED66A29"/>
    <w:rsid w:val="2EF34C4B"/>
    <w:rsid w:val="2F444C9A"/>
    <w:rsid w:val="2F4F2BF6"/>
    <w:rsid w:val="2F6056DE"/>
    <w:rsid w:val="2F677BD1"/>
    <w:rsid w:val="2F6916AA"/>
    <w:rsid w:val="2F6A6F3F"/>
    <w:rsid w:val="2F832C79"/>
    <w:rsid w:val="2FE20ECB"/>
    <w:rsid w:val="2FEF2D58"/>
    <w:rsid w:val="30103067"/>
    <w:rsid w:val="3016316E"/>
    <w:rsid w:val="301914A6"/>
    <w:rsid w:val="303B1D8C"/>
    <w:rsid w:val="30580BC9"/>
    <w:rsid w:val="306236DA"/>
    <w:rsid w:val="30662EDC"/>
    <w:rsid w:val="306E2476"/>
    <w:rsid w:val="307775C1"/>
    <w:rsid w:val="30807D0F"/>
    <w:rsid w:val="309E6346"/>
    <w:rsid w:val="30DF62C7"/>
    <w:rsid w:val="30F77C75"/>
    <w:rsid w:val="31184CE2"/>
    <w:rsid w:val="311E2ED7"/>
    <w:rsid w:val="31304586"/>
    <w:rsid w:val="313558AC"/>
    <w:rsid w:val="313855F1"/>
    <w:rsid w:val="313C1E8F"/>
    <w:rsid w:val="31490EED"/>
    <w:rsid w:val="314A45AB"/>
    <w:rsid w:val="315C449C"/>
    <w:rsid w:val="31602870"/>
    <w:rsid w:val="31794357"/>
    <w:rsid w:val="318416EF"/>
    <w:rsid w:val="31850E90"/>
    <w:rsid w:val="31966E80"/>
    <w:rsid w:val="3197127B"/>
    <w:rsid w:val="319C0B7F"/>
    <w:rsid w:val="31B82709"/>
    <w:rsid w:val="31BD4A2C"/>
    <w:rsid w:val="31D2535D"/>
    <w:rsid w:val="31FC6025"/>
    <w:rsid w:val="31FD48C6"/>
    <w:rsid w:val="32056A82"/>
    <w:rsid w:val="321E639F"/>
    <w:rsid w:val="323F30EA"/>
    <w:rsid w:val="32400B34"/>
    <w:rsid w:val="3277593D"/>
    <w:rsid w:val="32843DF1"/>
    <w:rsid w:val="329217C9"/>
    <w:rsid w:val="32953A89"/>
    <w:rsid w:val="329E6876"/>
    <w:rsid w:val="32B16170"/>
    <w:rsid w:val="32BA5629"/>
    <w:rsid w:val="32E479AB"/>
    <w:rsid w:val="332130EA"/>
    <w:rsid w:val="3333520F"/>
    <w:rsid w:val="334100E2"/>
    <w:rsid w:val="336A1A14"/>
    <w:rsid w:val="336F4286"/>
    <w:rsid w:val="33923D3D"/>
    <w:rsid w:val="3396053C"/>
    <w:rsid w:val="339731A0"/>
    <w:rsid w:val="339C6C14"/>
    <w:rsid w:val="33AC63B4"/>
    <w:rsid w:val="33B26FA6"/>
    <w:rsid w:val="33D53B72"/>
    <w:rsid w:val="33D934D4"/>
    <w:rsid w:val="33E472C3"/>
    <w:rsid w:val="33E52FA1"/>
    <w:rsid w:val="33EE2197"/>
    <w:rsid w:val="33F660E8"/>
    <w:rsid w:val="33F8502F"/>
    <w:rsid w:val="33FE2F6A"/>
    <w:rsid w:val="340B1BE9"/>
    <w:rsid w:val="34117416"/>
    <w:rsid w:val="34197824"/>
    <w:rsid w:val="342713F4"/>
    <w:rsid w:val="342A2472"/>
    <w:rsid w:val="342E7216"/>
    <w:rsid w:val="34691A70"/>
    <w:rsid w:val="348F1BDE"/>
    <w:rsid w:val="34974931"/>
    <w:rsid w:val="349E333C"/>
    <w:rsid w:val="34A118FF"/>
    <w:rsid w:val="34B8182C"/>
    <w:rsid w:val="34D81ECE"/>
    <w:rsid w:val="350967BD"/>
    <w:rsid w:val="350B691C"/>
    <w:rsid w:val="35491BD9"/>
    <w:rsid w:val="35614940"/>
    <w:rsid w:val="35831767"/>
    <w:rsid w:val="358374A7"/>
    <w:rsid w:val="359F5039"/>
    <w:rsid w:val="359F6611"/>
    <w:rsid w:val="35AE5DEE"/>
    <w:rsid w:val="35E24456"/>
    <w:rsid w:val="35E949AD"/>
    <w:rsid w:val="36074A7F"/>
    <w:rsid w:val="360945A4"/>
    <w:rsid w:val="36107446"/>
    <w:rsid w:val="361D5769"/>
    <w:rsid w:val="362F3A4D"/>
    <w:rsid w:val="36361FEC"/>
    <w:rsid w:val="3667350A"/>
    <w:rsid w:val="366D0D29"/>
    <w:rsid w:val="36923549"/>
    <w:rsid w:val="36B75FBF"/>
    <w:rsid w:val="36B77CE8"/>
    <w:rsid w:val="36B8487B"/>
    <w:rsid w:val="36BE7876"/>
    <w:rsid w:val="36E030CE"/>
    <w:rsid w:val="36FB4891"/>
    <w:rsid w:val="37162CA1"/>
    <w:rsid w:val="37166CDE"/>
    <w:rsid w:val="37177E1B"/>
    <w:rsid w:val="371972A5"/>
    <w:rsid w:val="3723490B"/>
    <w:rsid w:val="37346E22"/>
    <w:rsid w:val="3737640B"/>
    <w:rsid w:val="37482E8A"/>
    <w:rsid w:val="374A3AED"/>
    <w:rsid w:val="37615898"/>
    <w:rsid w:val="3772660A"/>
    <w:rsid w:val="377F033F"/>
    <w:rsid w:val="378749FA"/>
    <w:rsid w:val="378C1261"/>
    <w:rsid w:val="378E0F6A"/>
    <w:rsid w:val="37916E18"/>
    <w:rsid w:val="37923DC9"/>
    <w:rsid w:val="37961A4D"/>
    <w:rsid w:val="37AF5632"/>
    <w:rsid w:val="37B947E7"/>
    <w:rsid w:val="37D800AA"/>
    <w:rsid w:val="37EA6EBE"/>
    <w:rsid w:val="37F36451"/>
    <w:rsid w:val="37F9032E"/>
    <w:rsid w:val="38042FD6"/>
    <w:rsid w:val="382A2218"/>
    <w:rsid w:val="382B0567"/>
    <w:rsid w:val="38304BA3"/>
    <w:rsid w:val="385F45BE"/>
    <w:rsid w:val="387A7301"/>
    <w:rsid w:val="38803E9D"/>
    <w:rsid w:val="3894603B"/>
    <w:rsid w:val="38A43AD0"/>
    <w:rsid w:val="38A91071"/>
    <w:rsid w:val="38C868F6"/>
    <w:rsid w:val="38CF6F69"/>
    <w:rsid w:val="38DA751E"/>
    <w:rsid w:val="38E54BBA"/>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E2DAD"/>
    <w:rsid w:val="39E210F9"/>
    <w:rsid w:val="39F02433"/>
    <w:rsid w:val="3A121975"/>
    <w:rsid w:val="3A253B5C"/>
    <w:rsid w:val="3A2F6E47"/>
    <w:rsid w:val="3A304D85"/>
    <w:rsid w:val="3A655FB2"/>
    <w:rsid w:val="3A6A767D"/>
    <w:rsid w:val="3A792D38"/>
    <w:rsid w:val="3AAF7B70"/>
    <w:rsid w:val="3AB42A96"/>
    <w:rsid w:val="3AE3204D"/>
    <w:rsid w:val="3B014A93"/>
    <w:rsid w:val="3B320E8D"/>
    <w:rsid w:val="3B3616FD"/>
    <w:rsid w:val="3B3763D1"/>
    <w:rsid w:val="3B582E1E"/>
    <w:rsid w:val="3B5B576D"/>
    <w:rsid w:val="3B5D58D4"/>
    <w:rsid w:val="3B6816D8"/>
    <w:rsid w:val="3B697CF5"/>
    <w:rsid w:val="3B7848F3"/>
    <w:rsid w:val="3B853517"/>
    <w:rsid w:val="3B935CDD"/>
    <w:rsid w:val="3B971BE6"/>
    <w:rsid w:val="3B9755D7"/>
    <w:rsid w:val="3BA23004"/>
    <w:rsid w:val="3BA47BA1"/>
    <w:rsid w:val="3BBA02E0"/>
    <w:rsid w:val="3BDD4151"/>
    <w:rsid w:val="3C022F1B"/>
    <w:rsid w:val="3C0E030A"/>
    <w:rsid w:val="3C16040A"/>
    <w:rsid w:val="3C2F1D1B"/>
    <w:rsid w:val="3C763519"/>
    <w:rsid w:val="3C9031B9"/>
    <w:rsid w:val="3CAF17E7"/>
    <w:rsid w:val="3CB23BBC"/>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E3062"/>
    <w:rsid w:val="3D7F21CE"/>
    <w:rsid w:val="3D831787"/>
    <w:rsid w:val="3D8517BA"/>
    <w:rsid w:val="3D883510"/>
    <w:rsid w:val="3D8C3369"/>
    <w:rsid w:val="3D950CBD"/>
    <w:rsid w:val="3DD340EC"/>
    <w:rsid w:val="3DFE0B23"/>
    <w:rsid w:val="3E036D99"/>
    <w:rsid w:val="3E0E5BB0"/>
    <w:rsid w:val="3E1C3B38"/>
    <w:rsid w:val="3E3A750F"/>
    <w:rsid w:val="3E491824"/>
    <w:rsid w:val="3E4C4F04"/>
    <w:rsid w:val="3E615292"/>
    <w:rsid w:val="3E780225"/>
    <w:rsid w:val="3E840A3D"/>
    <w:rsid w:val="3E923FE9"/>
    <w:rsid w:val="3EAA270B"/>
    <w:rsid w:val="3EB05EF1"/>
    <w:rsid w:val="3ECD05CA"/>
    <w:rsid w:val="3EE55913"/>
    <w:rsid w:val="3EED6196"/>
    <w:rsid w:val="3EF75647"/>
    <w:rsid w:val="3F10435E"/>
    <w:rsid w:val="3F1A6B7C"/>
    <w:rsid w:val="3F29225B"/>
    <w:rsid w:val="3F3372C6"/>
    <w:rsid w:val="3F3D7BE8"/>
    <w:rsid w:val="3F660E74"/>
    <w:rsid w:val="3F71488F"/>
    <w:rsid w:val="3F86087E"/>
    <w:rsid w:val="3FE673A7"/>
    <w:rsid w:val="3FFC248D"/>
    <w:rsid w:val="400A2F55"/>
    <w:rsid w:val="40307C5E"/>
    <w:rsid w:val="405465FD"/>
    <w:rsid w:val="40647F06"/>
    <w:rsid w:val="40713C8B"/>
    <w:rsid w:val="4079618D"/>
    <w:rsid w:val="407A6407"/>
    <w:rsid w:val="40A823FF"/>
    <w:rsid w:val="40AE0330"/>
    <w:rsid w:val="40B732E0"/>
    <w:rsid w:val="40BC6B48"/>
    <w:rsid w:val="40DC2D46"/>
    <w:rsid w:val="410A5D60"/>
    <w:rsid w:val="41270C1B"/>
    <w:rsid w:val="413B1439"/>
    <w:rsid w:val="415131CB"/>
    <w:rsid w:val="41560DD0"/>
    <w:rsid w:val="415702E0"/>
    <w:rsid w:val="4159130B"/>
    <w:rsid w:val="416C5E78"/>
    <w:rsid w:val="41814577"/>
    <w:rsid w:val="418A40DA"/>
    <w:rsid w:val="41A4267C"/>
    <w:rsid w:val="41A75102"/>
    <w:rsid w:val="41B31CF9"/>
    <w:rsid w:val="41D60885"/>
    <w:rsid w:val="41DF69BD"/>
    <w:rsid w:val="420049FD"/>
    <w:rsid w:val="42054F0F"/>
    <w:rsid w:val="42071629"/>
    <w:rsid w:val="421A1C49"/>
    <w:rsid w:val="423A3BCC"/>
    <w:rsid w:val="423B30A8"/>
    <w:rsid w:val="42535488"/>
    <w:rsid w:val="42562624"/>
    <w:rsid w:val="427E6FF7"/>
    <w:rsid w:val="42821F12"/>
    <w:rsid w:val="42870A90"/>
    <w:rsid w:val="42B63BD6"/>
    <w:rsid w:val="430C7F46"/>
    <w:rsid w:val="43150DBB"/>
    <w:rsid w:val="431C38CE"/>
    <w:rsid w:val="432B0845"/>
    <w:rsid w:val="432B52F7"/>
    <w:rsid w:val="432B5830"/>
    <w:rsid w:val="433A6FE6"/>
    <w:rsid w:val="43431778"/>
    <w:rsid w:val="434844DE"/>
    <w:rsid w:val="4350713C"/>
    <w:rsid w:val="436653E0"/>
    <w:rsid w:val="436E72E2"/>
    <w:rsid w:val="437833E7"/>
    <w:rsid w:val="438230AB"/>
    <w:rsid w:val="43AC6A00"/>
    <w:rsid w:val="43BB49FE"/>
    <w:rsid w:val="43C33DCA"/>
    <w:rsid w:val="43C346CA"/>
    <w:rsid w:val="43C35C1B"/>
    <w:rsid w:val="43D75300"/>
    <w:rsid w:val="43E56907"/>
    <w:rsid w:val="43F2077F"/>
    <w:rsid w:val="440467FC"/>
    <w:rsid w:val="440B10FC"/>
    <w:rsid w:val="441C1C24"/>
    <w:rsid w:val="4477557D"/>
    <w:rsid w:val="448B3E4F"/>
    <w:rsid w:val="448F2567"/>
    <w:rsid w:val="4499153B"/>
    <w:rsid w:val="44A616A1"/>
    <w:rsid w:val="44B459CC"/>
    <w:rsid w:val="44BC3FEE"/>
    <w:rsid w:val="44C33ACC"/>
    <w:rsid w:val="44C935E1"/>
    <w:rsid w:val="44CD14E0"/>
    <w:rsid w:val="44DE20BF"/>
    <w:rsid w:val="44F75334"/>
    <w:rsid w:val="4515575F"/>
    <w:rsid w:val="452F5B3A"/>
    <w:rsid w:val="45344BF2"/>
    <w:rsid w:val="454406F1"/>
    <w:rsid w:val="455A27D4"/>
    <w:rsid w:val="457272D0"/>
    <w:rsid w:val="45737E49"/>
    <w:rsid w:val="45857895"/>
    <w:rsid w:val="458946E9"/>
    <w:rsid w:val="45AC442D"/>
    <w:rsid w:val="45B147A1"/>
    <w:rsid w:val="45BC6CA2"/>
    <w:rsid w:val="45CB49F3"/>
    <w:rsid w:val="45D205E0"/>
    <w:rsid w:val="45F955F7"/>
    <w:rsid w:val="45FB14C5"/>
    <w:rsid w:val="46121554"/>
    <w:rsid w:val="46164604"/>
    <w:rsid w:val="461F17AF"/>
    <w:rsid w:val="46363FA1"/>
    <w:rsid w:val="465852A6"/>
    <w:rsid w:val="469E55F6"/>
    <w:rsid w:val="46C03441"/>
    <w:rsid w:val="46C04E5C"/>
    <w:rsid w:val="46C53F32"/>
    <w:rsid w:val="46CA3945"/>
    <w:rsid w:val="46CF693C"/>
    <w:rsid w:val="46D7195E"/>
    <w:rsid w:val="46D955A7"/>
    <w:rsid w:val="471274C2"/>
    <w:rsid w:val="47133957"/>
    <w:rsid w:val="471C7124"/>
    <w:rsid w:val="472E597E"/>
    <w:rsid w:val="47372589"/>
    <w:rsid w:val="474A2312"/>
    <w:rsid w:val="47635578"/>
    <w:rsid w:val="4779329E"/>
    <w:rsid w:val="477F3284"/>
    <w:rsid w:val="477F442B"/>
    <w:rsid w:val="479B0BA0"/>
    <w:rsid w:val="47A07E0C"/>
    <w:rsid w:val="47B576EE"/>
    <w:rsid w:val="47BF0CC8"/>
    <w:rsid w:val="47C86F90"/>
    <w:rsid w:val="47D96394"/>
    <w:rsid w:val="47DB6159"/>
    <w:rsid w:val="481C6EE1"/>
    <w:rsid w:val="481D6B0C"/>
    <w:rsid w:val="48376AB4"/>
    <w:rsid w:val="483A5C59"/>
    <w:rsid w:val="4842667B"/>
    <w:rsid w:val="48585234"/>
    <w:rsid w:val="48585B34"/>
    <w:rsid w:val="486C4F5F"/>
    <w:rsid w:val="4870272E"/>
    <w:rsid w:val="48970A41"/>
    <w:rsid w:val="48B1464B"/>
    <w:rsid w:val="48BE0884"/>
    <w:rsid w:val="48BF5427"/>
    <w:rsid w:val="48C040AA"/>
    <w:rsid w:val="48DC7D87"/>
    <w:rsid w:val="48EE5D90"/>
    <w:rsid w:val="48FA4F21"/>
    <w:rsid w:val="494A2E8F"/>
    <w:rsid w:val="49683266"/>
    <w:rsid w:val="49AE7234"/>
    <w:rsid w:val="49BE129E"/>
    <w:rsid w:val="49C32CF5"/>
    <w:rsid w:val="49CD6A5C"/>
    <w:rsid w:val="49D17C2D"/>
    <w:rsid w:val="49D561EC"/>
    <w:rsid w:val="49DC7715"/>
    <w:rsid w:val="49DE39FB"/>
    <w:rsid w:val="4A023139"/>
    <w:rsid w:val="4A072E04"/>
    <w:rsid w:val="4A1277D9"/>
    <w:rsid w:val="4A27689B"/>
    <w:rsid w:val="4A2B058E"/>
    <w:rsid w:val="4A314103"/>
    <w:rsid w:val="4A3B25F9"/>
    <w:rsid w:val="4A482542"/>
    <w:rsid w:val="4A536BCB"/>
    <w:rsid w:val="4A71383E"/>
    <w:rsid w:val="4A735A25"/>
    <w:rsid w:val="4A783D80"/>
    <w:rsid w:val="4A7B576F"/>
    <w:rsid w:val="4A852A36"/>
    <w:rsid w:val="4A9140FF"/>
    <w:rsid w:val="4A9F2732"/>
    <w:rsid w:val="4AD40244"/>
    <w:rsid w:val="4ADE70CD"/>
    <w:rsid w:val="4AEC7372"/>
    <w:rsid w:val="4AEF3676"/>
    <w:rsid w:val="4AFB5971"/>
    <w:rsid w:val="4B035107"/>
    <w:rsid w:val="4B0D32E2"/>
    <w:rsid w:val="4B0D4E47"/>
    <w:rsid w:val="4B1347E5"/>
    <w:rsid w:val="4B137A40"/>
    <w:rsid w:val="4B187071"/>
    <w:rsid w:val="4B2012CE"/>
    <w:rsid w:val="4B715842"/>
    <w:rsid w:val="4B7C1CC0"/>
    <w:rsid w:val="4B8245DA"/>
    <w:rsid w:val="4B8A1D1C"/>
    <w:rsid w:val="4BA24238"/>
    <w:rsid w:val="4BAD7871"/>
    <w:rsid w:val="4BB5666E"/>
    <w:rsid w:val="4BBC5C4E"/>
    <w:rsid w:val="4BCC79C4"/>
    <w:rsid w:val="4BE36845"/>
    <w:rsid w:val="4BFD0FED"/>
    <w:rsid w:val="4BFE4852"/>
    <w:rsid w:val="4BFE6267"/>
    <w:rsid w:val="4C2C2250"/>
    <w:rsid w:val="4C4A0649"/>
    <w:rsid w:val="4C567718"/>
    <w:rsid w:val="4C9B26B3"/>
    <w:rsid w:val="4C9E49B2"/>
    <w:rsid w:val="4CA76B27"/>
    <w:rsid w:val="4CAB40AA"/>
    <w:rsid w:val="4CAF7561"/>
    <w:rsid w:val="4CCD186E"/>
    <w:rsid w:val="4CD2055C"/>
    <w:rsid w:val="4CD7062B"/>
    <w:rsid w:val="4CE470D3"/>
    <w:rsid w:val="4CEA0CFB"/>
    <w:rsid w:val="4D003831"/>
    <w:rsid w:val="4D1C7F38"/>
    <w:rsid w:val="4D1F7DF0"/>
    <w:rsid w:val="4D250793"/>
    <w:rsid w:val="4D2D60B9"/>
    <w:rsid w:val="4D3F453D"/>
    <w:rsid w:val="4D6632B1"/>
    <w:rsid w:val="4D665E71"/>
    <w:rsid w:val="4D726C18"/>
    <w:rsid w:val="4D9E5C73"/>
    <w:rsid w:val="4D9F3131"/>
    <w:rsid w:val="4DA651AE"/>
    <w:rsid w:val="4DC969B3"/>
    <w:rsid w:val="4DCA28A4"/>
    <w:rsid w:val="4DCB2A58"/>
    <w:rsid w:val="4DEC4FB0"/>
    <w:rsid w:val="4E075D8A"/>
    <w:rsid w:val="4E0B5312"/>
    <w:rsid w:val="4E506598"/>
    <w:rsid w:val="4E5A0417"/>
    <w:rsid w:val="4E611B9A"/>
    <w:rsid w:val="4E6C07EA"/>
    <w:rsid w:val="4E73286E"/>
    <w:rsid w:val="4E9609D8"/>
    <w:rsid w:val="4E9E7AAE"/>
    <w:rsid w:val="4E9F0C87"/>
    <w:rsid w:val="4EB127EA"/>
    <w:rsid w:val="4EBA70BD"/>
    <w:rsid w:val="4ECC660A"/>
    <w:rsid w:val="4EF525D6"/>
    <w:rsid w:val="4F29214E"/>
    <w:rsid w:val="4F5B33BA"/>
    <w:rsid w:val="4F7A3479"/>
    <w:rsid w:val="4F991859"/>
    <w:rsid w:val="4F9F68AD"/>
    <w:rsid w:val="4FA107F2"/>
    <w:rsid w:val="4FA267CB"/>
    <w:rsid w:val="4FAC7DC3"/>
    <w:rsid w:val="4FB27BB5"/>
    <w:rsid w:val="4FC44945"/>
    <w:rsid w:val="4FC62A8C"/>
    <w:rsid w:val="4FC90388"/>
    <w:rsid w:val="4FC913EA"/>
    <w:rsid w:val="4FCF2ACA"/>
    <w:rsid w:val="4FE20F0D"/>
    <w:rsid w:val="4FE85BD4"/>
    <w:rsid w:val="4FF13B85"/>
    <w:rsid w:val="4FFE6835"/>
    <w:rsid w:val="500278C5"/>
    <w:rsid w:val="5005507B"/>
    <w:rsid w:val="50191DB5"/>
    <w:rsid w:val="50281264"/>
    <w:rsid w:val="5035654E"/>
    <w:rsid w:val="504639A3"/>
    <w:rsid w:val="50504C4B"/>
    <w:rsid w:val="506D0500"/>
    <w:rsid w:val="50772144"/>
    <w:rsid w:val="508A6399"/>
    <w:rsid w:val="508B0AF1"/>
    <w:rsid w:val="509C6E7C"/>
    <w:rsid w:val="50A05456"/>
    <w:rsid w:val="50A815FE"/>
    <w:rsid w:val="50E0152B"/>
    <w:rsid w:val="51122D44"/>
    <w:rsid w:val="511B3417"/>
    <w:rsid w:val="51356054"/>
    <w:rsid w:val="51436893"/>
    <w:rsid w:val="514B60EC"/>
    <w:rsid w:val="51544699"/>
    <w:rsid w:val="515F3A7B"/>
    <w:rsid w:val="5162104E"/>
    <w:rsid w:val="5175687A"/>
    <w:rsid w:val="51A46843"/>
    <w:rsid w:val="51AE428B"/>
    <w:rsid w:val="51CA6BF1"/>
    <w:rsid w:val="51D90B0E"/>
    <w:rsid w:val="51E111B6"/>
    <w:rsid w:val="51F53C68"/>
    <w:rsid w:val="5200736B"/>
    <w:rsid w:val="52067C23"/>
    <w:rsid w:val="521A1920"/>
    <w:rsid w:val="521C465F"/>
    <w:rsid w:val="52506D4F"/>
    <w:rsid w:val="526B217C"/>
    <w:rsid w:val="526D1F45"/>
    <w:rsid w:val="527E1028"/>
    <w:rsid w:val="52916F1A"/>
    <w:rsid w:val="529945F3"/>
    <w:rsid w:val="52996A7D"/>
    <w:rsid w:val="529B3274"/>
    <w:rsid w:val="52C17D00"/>
    <w:rsid w:val="52CB63DF"/>
    <w:rsid w:val="52DB5553"/>
    <w:rsid w:val="52F16DE6"/>
    <w:rsid w:val="531044E6"/>
    <w:rsid w:val="53137801"/>
    <w:rsid w:val="5322283B"/>
    <w:rsid w:val="5336781A"/>
    <w:rsid w:val="534157F1"/>
    <w:rsid w:val="536B2FE6"/>
    <w:rsid w:val="538B6E8E"/>
    <w:rsid w:val="538F3C48"/>
    <w:rsid w:val="539D2159"/>
    <w:rsid w:val="539F77FF"/>
    <w:rsid w:val="53A039CC"/>
    <w:rsid w:val="53A1505A"/>
    <w:rsid w:val="53A47025"/>
    <w:rsid w:val="53B9306E"/>
    <w:rsid w:val="53C01A47"/>
    <w:rsid w:val="53C241CE"/>
    <w:rsid w:val="53F51CFD"/>
    <w:rsid w:val="540339DE"/>
    <w:rsid w:val="54063E08"/>
    <w:rsid w:val="54072661"/>
    <w:rsid w:val="540A6FA1"/>
    <w:rsid w:val="540A77A2"/>
    <w:rsid w:val="543437E8"/>
    <w:rsid w:val="54843081"/>
    <w:rsid w:val="548A5BF9"/>
    <w:rsid w:val="549412E0"/>
    <w:rsid w:val="549A54AC"/>
    <w:rsid w:val="549C2D9C"/>
    <w:rsid w:val="54B35F7D"/>
    <w:rsid w:val="54C867F3"/>
    <w:rsid w:val="54C93498"/>
    <w:rsid w:val="54D23DEC"/>
    <w:rsid w:val="54E707AD"/>
    <w:rsid w:val="54E75AF6"/>
    <w:rsid w:val="54E80EA4"/>
    <w:rsid w:val="55066216"/>
    <w:rsid w:val="55214023"/>
    <w:rsid w:val="55262800"/>
    <w:rsid w:val="55276C7B"/>
    <w:rsid w:val="55382027"/>
    <w:rsid w:val="556914AB"/>
    <w:rsid w:val="55733821"/>
    <w:rsid w:val="557912EA"/>
    <w:rsid w:val="557B5277"/>
    <w:rsid w:val="559B174B"/>
    <w:rsid w:val="55C60090"/>
    <w:rsid w:val="55CE055B"/>
    <w:rsid w:val="55CE0CF4"/>
    <w:rsid w:val="55D20672"/>
    <w:rsid w:val="55E31AE3"/>
    <w:rsid w:val="55FB18B5"/>
    <w:rsid w:val="560307EB"/>
    <w:rsid w:val="56044DC2"/>
    <w:rsid w:val="56062A2F"/>
    <w:rsid w:val="560C332E"/>
    <w:rsid w:val="561A36DD"/>
    <w:rsid w:val="564209B4"/>
    <w:rsid w:val="56754B5B"/>
    <w:rsid w:val="567C7047"/>
    <w:rsid w:val="569210B7"/>
    <w:rsid w:val="569A4794"/>
    <w:rsid w:val="56AD2F30"/>
    <w:rsid w:val="56AE5351"/>
    <w:rsid w:val="56B22A9C"/>
    <w:rsid w:val="56B435F5"/>
    <w:rsid w:val="56BF4B95"/>
    <w:rsid w:val="56D979A5"/>
    <w:rsid w:val="57062473"/>
    <w:rsid w:val="57064C9D"/>
    <w:rsid w:val="571C57F3"/>
    <w:rsid w:val="571D1CAB"/>
    <w:rsid w:val="572172AD"/>
    <w:rsid w:val="572E6B98"/>
    <w:rsid w:val="573C4502"/>
    <w:rsid w:val="57653C70"/>
    <w:rsid w:val="5765719A"/>
    <w:rsid w:val="57664CC0"/>
    <w:rsid w:val="577108D4"/>
    <w:rsid w:val="579D75CB"/>
    <w:rsid w:val="57B72A76"/>
    <w:rsid w:val="57B851ED"/>
    <w:rsid w:val="57CA41EB"/>
    <w:rsid w:val="57D1482F"/>
    <w:rsid w:val="57DC5214"/>
    <w:rsid w:val="57F624E8"/>
    <w:rsid w:val="580764A3"/>
    <w:rsid w:val="581026FC"/>
    <w:rsid w:val="582836A2"/>
    <w:rsid w:val="58457759"/>
    <w:rsid w:val="5862495B"/>
    <w:rsid w:val="58683662"/>
    <w:rsid w:val="58A77952"/>
    <w:rsid w:val="58BE5D01"/>
    <w:rsid w:val="58CC267F"/>
    <w:rsid w:val="58CF5213"/>
    <w:rsid w:val="58D04AE7"/>
    <w:rsid w:val="58E14F46"/>
    <w:rsid w:val="58F3077A"/>
    <w:rsid w:val="58F9040C"/>
    <w:rsid w:val="5902799B"/>
    <w:rsid w:val="59123710"/>
    <w:rsid w:val="59163876"/>
    <w:rsid w:val="592212C0"/>
    <w:rsid w:val="5923465F"/>
    <w:rsid w:val="592F6606"/>
    <w:rsid w:val="595079D6"/>
    <w:rsid w:val="59795220"/>
    <w:rsid w:val="5983316A"/>
    <w:rsid w:val="59907AF6"/>
    <w:rsid w:val="59A170F7"/>
    <w:rsid w:val="59A93F65"/>
    <w:rsid w:val="59AA08C4"/>
    <w:rsid w:val="59CC1A83"/>
    <w:rsid w:val="59DB3E06"/>
    <w:rsid w:val="59E15CEB"/>
    <w:rsid w:val="59FF63EB"/>
    <w:rsid w:val="5A252C10"/>
    <w:rsid w:val="5A270757"/>
    <w:rsid w:val="5A283E83"/>
    <w:rsid w:val="5A3C747D"/>
    <w:rsid w:val="5A415526"/>
    <w:rsid w:val="5A4B0393"/>
    <w:rsid w:val="5A6A6727"/>
    <w:rsid w:val="5A874076"/>
    <w:rsid w:val="5A9662A1"/>
    <w:rsid w:val="5AA1498D"/>
    <w:rsid w:val="5AA41CEA"/>
    <w:rsid w:val="5ABD70AB"/>
    <w:rsid w:val="5ABE2233"/>
    <w:rsid w:val="5AEB0587"/>
    <w:rsid w:val="5AFB639C"/>
    <w:rsid w:val="5B0031FB"/>
    <w:rsid w:val="5B022AC1"/>
    <w:rsid w:val="5B056434"/>
    <w:rsid w:val="5B0D59C4"/>
    <w:rsid w:val="5B112FE6"/>
    <w:rsid w:val="5B16746E"/>
    <w:rsid w:val="5B174BD9"/>
    <w:rsid w:val="5B276D18"/>
    <w:rsid w:val="5B3946A7"/>
    <w:rsid w:val="5B4256B7"/>
    <w:rsid w:val="5B597737"/>
    <w:rsid w:val="5B621404"/>
    <w:rsid w:val="5B773003"/>
    <w:rsid w:val="5B787F9C"/>
    <w:rsid w:val="5B8F47E5"/>
    <w:rsid w:val="5B9D68C6"/>
    <w:rsid w:val="5B9E5670"/>
    <w:rsid w:val="5BA26C0E"/>
    <w:rsid w:val="5BA65DCC"/>
    <w:rsid w:val="5BB40BA6"/>
    <w:rsid w:val="5BBC67C5"/>
    <w:rsid w:val="5BC764F6"/>
    <w:rsid w:val="5BD01244"/>
    <w:rsid w:val="5BDC37A3"/>
    <w:rsid w:val="5BDF5D95"/>
    <w:rsid w:val="5BF22FC6"/>
    <w:rsid w:val="5C1C63A8"/>
    <w:rsid w:val="5C285A3E"/>
    <w:rsid w:val="5C29540E"/>
    <w:rsid w:val="5C4A1859"/>
    <w:rsid w:val="5C516770"/>
    <w:rsid w:val="5C5D48E3"/>
    <w:rsid w:val="5C766E4A"/>
    <w:rsid w:val="5C783DC5"/>
    <w:rsid w:val="5C891B7C"/>
    <w:rsid w:val="5C9950C8"/>
    <w:rsid w:val="5C9E454D"/>
    <w:rsid w:val="5CA37228"/>
    <w:rsid w:val="5CA72E3F"/>
    <w:rsid w:val="5CB079D7"/>
    <w:rsid w:val="5CB868F2"/>
    <w:rsid w:val="5CDB70F2"/>
    <w:rsid w:val="5D1D14DE"/>
    <w:rsid w:val="5D2C7751"/>
    <w:rsid w:val="5D343B95"/>
    <w:rsid w:val="5D3D751A"/>
    <w:rsid w:val="5D746389"/>
    <w:rsid w:val="5D804894"/>
    <w:rsid w:val="5D811E11"/>
    <w:rsid w:val="5D877544"/>
    <w:rsid w:val="5DAF2F7B"/>
    <w:rsid w:val="5DCD5A99"/>
    <w:rsid w:val="5DCE7E16"/>
    <w:rsid w:val="5DD1377F"/>
    <w:rsid w:val="5DD21301"/>
    <w:rsid w:val="5DEF412A"/>
    <w:rsid w:val="5DF136A3"/>
    <w:rsid w:val="5DF87A0F"/>
    <w:rsid w:val="5E23390B"/>
    <w:rsid w:val="5E364C03"/>
    <w:rsid w:val="5E4A2B2E"/>
    <w:rsid w:val="5E5C75F5"/>
    <w:rsid w:val="5E7E4670"/>
    <w:rsid w:val="5E8652D7"/>
    <w:rsid w:val="5E8E550E"/>
    <w:rsid w:val="5E925874"/>
    <w:rsid w:val="5E983162"/>
    <w:rsid w:val="5EA048F9"/>
    <w:rsid w:val="5EA54320"/>
    <w:rsid w:val="5EB237E6"/>
    <w:rsid w:val="5EB73F1D"/>
    <w:rsid w:val="5EE404C5"/>
    <w:rsid w:val="5EFC18D7"/>
    <w:rsid w:val="5F092816"/>
    <w:rsid w:val="5F1A2B43"/>
    <w:rsid w:val="5F1D035A"/>
    <w:rsid w:val="5F253005"/>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1048F"/>
    <w:rsid w:val="5FE3356B"/>
    <w:rsid w:val="5FE82AA9"/>
    <w:rsid w:val="5FED5F7E"/>
    <w:rsid w:val="600D75AD"/>
    <w:rsid w:val="601367AA"/>
    <w:rsid w:val="601377FC"/>
    <w:rsid w:val="603138EA"/>
    <w:rsid w:val="6045400C"/>
    <w:rsid w:val="604E1976"/>
    <w:rsid w:val="6055425E"/>
    <w:rsid w:val="606A01E6"/>
    <w:rsid w:val="606B77E0"/>
    <w:rsid w:val="608A282A"/>
    <w:rsid w:val="608D0753"/>
    <w:rsid w:val="608F727F"/>
    <w:rsid w:val="60B77FA4"/>
    <w:rsid w:val="60C24C13"/>
    <w:rsid w:val="60D10950"/>
    <w:rsid w:val="60E31C84"/>
    <w:rsid w:val="60E814EB"/>
    <w:rsid w:val="61053764"/>
    <w:rsid w:val="61393EFB"/>
    <w:rsid w:val="61442516"/>
    <w:rsid w:val="614537CD"/>
    <w:rsid w:val="6149217F"/>
    <w:rsid w:val="61495DD0"/>
    <w:rsid w:val="614E41B0"/>
    <w:rsid w:val="615501AE"/>
    <w:rsid w:val="616D55C9"/>
    <w:rsid w:val="61706E67"/>
    <w:rsid w:val="617C3A5E"/>
    <w:rsid w:val="617C7D2B"/>
    <w:rsid w:val="61994C6D"/>
    <w:rsid w:val="61E84E43"/>
    <w:rsid w:val="6208709F"/>
    <w:rsid w:val="62206ADF"/>
    <w:rsid w:val="62214DFA"/>
    <w:rsid w:val="62364782"/>
    <w:rsid w:val="624833DC"/>
    <w:rsid w:val="625614D2"/>
    <w:rsid w:val="62591218"/>
    <w:rsid w:val="626544F2"/>
    <w:rsid w:val="62752C1C"/>
    <w:rsid w:val="62830E1C"/>
    <w:rsid w:val="62AA26A1"/>
    <w:rsid w:val="62CC4571"/>
    <w:rsid w:val="62FC712E"/>
    <w:rsid w:val="63065013"/>
    <w:rsid w:val="630C6EA9"/>
    <w:rsid w:val="632443AD"/>
    <w:rsid w:val="6325326C"/>
    <w:rsid w:val="633F11E7"/>
    <w:rsid w:val="63514A76"/>
    <w:rsid w:val="637403CC"/>
    <w:rsid w:val="637846F9"/>
    <w:rsid w:val="63917843"/>
    <w:rsid w:val="63A1212E"/>
    <w:rsid w:val="63A8314E"/>
    <w:rsid w:val="63BD0899"/>
    <w:rsid w:val="63D40BE9"/>
    <w:rsid w:val="63D60CF2"/>
    <w:rsid w:val="63E0211F"/>
    <w:rsid w:val="63F94D40"/>
    <w:rsid w:val="63FD12C8"/>
    <w:rsid w:val="64050106"/>
    <w:rsid w:val="640E2967"/>
    <w:rsid w:val="64287C1B"/>
    <w:rsid w:val="64364A89"/>
    <w:rsid w:val="6437668D"/>
    <w:rsid w:val="64436AB5"/>
    <w:rsid w:val="644E185F"/>
    <w:rsid w:val="645E7BDA"/>
    <w:rsid w:val="64700446"/>
    <w:rsid w:val="648A0240"/>
    <w:rsid w:val="64963B81"/>
    <w:rsid w:val="64AA3A15"/>
    <w:rsid w:val="64BD5068"/>
    <w:rsid w:val="64C554BE"/>
    <w:rsid w:val="64DF4E7D"/>
    <w:rsid w:val="64E56E1C"/>
    <w:rsid w:val="64FC6011"/>
    <w:rsid w:val="65373578"/>
    <w:rsid w:val="65415EB7"/>
    <w:rsid w:val="65420B1A"/>
    <w:rsid w:val="65436A9C"/>
    <w:rsid w:val="657B402C"/>
    <w:rsid w:val="65A173AE"/>
    <w:rsid w:val="65D327C2"/>
    <w:rsid w:val="65DC0F6F"/>
    <w:rsid w:val="65E027BC"/>
    <w:rsid w:val="66281865"/>
    <w:rsid w:val="662B36E0"/>
    <w:rsid w:val="663C7C5F"/>
    <w:rsid w:val="663D0790"/>
    <w:rsid w:val="665B6338"/>
    <w:rsid w:val="665B7D83"/>
    <w:rsid w:val="666431EA"/>
    <w:rsid w:val="669E4620"/>
    <w:rsid w:val="66BD7E36"/>
    <w:rsid w:val="66C22A14"/>
    <w:rsid w:val="66C3141F"/>
    <w:rsid w:val="66C34658"/>
    <w:rsid w:val="66CC3515"/>
    <w:rsid w:val="66D81826"/>
    <w:rsid w:val="66F22E0A"/>
    <w:rsid w:val="67053AFC"/>
    <w:rsid w:val="67265724"/>
    <w:rsid w:val="672C3AE2"/>
    <w:rsid w:val="67303483"/>
    <w:rsid w:val="673B26A9"/>
    <w:rsid w:val="673E2696"/>
    <w:rsid w:val="673F2C7A"/>
    <w:rsid w:val="67446DEC"/>
    <w:rsid w:val="67680108"/>
    <w:rsid w:val="67725DFD"/>
    <w:rsid w:val="678D04E0"/>
    <w:rsid w:val="67B41AC4"/>
    <w:rsid w:val="67C560BE"/>
    <w:rsid w:val="67D47004"/>
    <w:rsid w:val="67EB5499"/>
    <w:rsid w:val="67ED6375"/>
    <w:rsid w:val="67FB3C27"/>
    <w:rsid w:val="680A6139"/>
    <w:rsid w:val="680D6040"/>
    <w:rsid w:val="68177056"/>
    <w:rsid w:val="681F6961"/>
    <w:rsid w:val="682870D1"/>
    <w:rsid w:val="68610A2F"/>
    <w:rsid w:val="68612D68"/>
    <w:rsid w:val="68664B20"/>
    <w:rsid w:val="6874548F"/>
    <w:rsid w:val="68805514"/>
    <w:rsid w:val="689A6B3D"/>
    <w:rsid w:val="68A81BF4"/>
    <w:rsid w:val="68AB721C"/>
    <w:rsid w:val="68B021BE"/>
    <w:rsid w:val="68C405FA"/>
    <w:rsid w:val="68CC2DDB"/>
    <w:rsid w:val="68DE5385"/>
    <w:rsid w:val="68DF122C"/>
    <w:rsid w:val="68E92CAD"/>
    <w:rsid w:val="68FD5B33"/>
    <w:rsid w:val="6901472A"/>
    <w:rsid w:val="69092490"/>
    <w:rsid w:val="69097014"/>
    <w:rsid w:val="691664EE"/>
    <w:rsid w:val="691B6B54"/>
    <w:rsid w:val="693B4E23"/>
    <w:rsid w:val="694B6EB9"/>
    <w:rsid w:val="694E2071"/>
    <w:rsid w:val="69613B48"/>
    <w:rsid w:val="697A3B33"/>
    <w:rsid w:val="69905DD7"/>
    <w:rsid w:val="6997151D"/>
    <w:rsid w:val="699E2456"/>
    <w:rsid w:val="69C24B64"/>
    <w:rsid w:val="69D211A4"/>
    <w:rsid w:val="69DD1E58"/>
    <w:rsid w:val="69E42540"/>
    <w:rsid w:val="69EF49DE"/>
    <w:rsid w:val="6A254F5A"/>
    <w:rsid w:val="6A257AFF"/>
    <w:rsid w:val="6A2A6BDA"/>
    <w:rsid w:val="6A324629"/>
    <w:rsid w:val="6A396EA9"/>
    <w:rsid w:val="6A3A44B6"/>
    <w:rsid w:val="6A42336B"/>
    <w:rsid w:val="6A5501E0"/>
    <w:rsid w:val="6A675E4D"/>
    <w:rsid w:val="6A705D42"/>
    <w:rsid w:val="6A782DA5"/>
    <w:rsid w:val="6A78576F"/>
    <w:rsid w:val="6AB06526"/>
    <w:rsid w:val="6AB24B59"/>
    <w:rsid w:val="6AC2028C"/>
    <w:rsid w:val="6ACD783B"/>
    <w:rsid w:val="6AE078B7"/>
    <w:rsid w:val="6AEF5EFF"/>
    <w:rsid w:val="6AF01018"/>
    <w:rsid w:val="6AF02DC7"/>
    <w:rsid w:val="6B1E6F16"/>
    <w:rsid w:val="6B295AA1"/>
    <w:rsid w:val="6B322639"/>
    <w:rsid w:val="6B454EC0"/>
    <w:rsid w:val="6B487D6B"/>
    <w:rsid w:val="6B5C3F06"/>
    <w:rsid w:val="6B6A2B79"/>
    <w:rsid w:val="6B7A4F14"/>
    <w:rsid w:val="6BE244AA"/>
    <w:rsid w:val="6BE350EA"/>
    <w:rsid w:val="6C052E0C"/>
    <w:rsid w:val="6C111246"/>
    <w:rsid w:val="6C336698"/>
    <w:rsid w:val="6C427652"/>
    <w:rsid w:val="6C432EB8"/>
    <w:rsid w:val="6C472CF7"/>
    <w:rsid w:val="6C636C38"/>
    <w:rsid w:val="6C717819"/>
    <w:rsid w:val="6CB2505C"/>
    <w:rsid w:val="6CBA7124"/>
    <w:rsid w:val="6CE801EE"/>
    <w:rsid w:val="6CE81FD1"/>
    <w:rsid w:val="6CF30EFC"/>
    <w:rsid w:val="6CFD6CF2"/>
    <w:rsid w:val="6D1E7AB0"/>
    <w:rsid w:val="6D2A3CB8"/>
    <w:rsid w:val="6D3C13EF"/>
    <w:rsid w:val="6D417C28"/>
    <w:rsid w:val="6D566DCE"/>
    <w:rsid w:val="6D5E04BB"/>
    <w:rsid w:val="6D615924"/>
    <w:rsid w:val="6D6758F6"/>
    <w:rsid w:val="6D8605B7"/>
    <w:rsid w:val="6D86469A"/>
    <w:rsid w:val="6DB12CE1"/>
    <w:rsid w:val="6DB27B28"/>
    <w:rsid w:val="6DB34098"/>
    <w:rsid w:val="6DB545B6"/>
    <w:rsid w:val="6DD01EAE"/>
    <w:rsid w:val="6DD84FE3"/>
    <w:rsid w:val="6DDF2BA1"/>
    <w:rsid w:val="6DF0064C"/>
    <w:rsid w:val="6DF901E4"/>
    <w:rsid w:val="6E0C6D84"/>
    <w:rsid w:val="6E1D7CFF"/>
    <w:rsid w:val="6E4375A0"/>
    <w:rsid w:val="6E514CED"/>
    <w:rsid w:val="6E58315D"/>
    <w:rsid w:val="6E5F380F"/>
    <w:rsid w:val="6E632885"/>
    <w:rsid w:val="6E761835"/>
    <w:rsid w:val="6E79491A"/>
    <w:rsid w:val="6E7E3225"/>
    <w:rsid w:val="6E833E77"/>
    <w:rsid w:val="6E8A0FE6"/>
    <w:rsid w:val="6E8A48AD"/>
    <w:rsid w:val="6EB563D5"/>
    <w:rsid w:val="6EB84FAC"/>
    <w:rsid w:val="6EBE2657"/>
    <w:rsid w:val="6ED61BD6"/>
    <w:rsid w:val="6EF76598"/>
    <w:rsid w:val="6F0B34FD"/>
    <w:rsid w:val="6F0F745A"/>
    <w:rsid w:val="6F225983"/>
    <w:rsid w:val="6F2F2676"/>
    <w:rsid w:val="6F4B0F13"/>
    <w:rsid w:val="6F583B84"/>
    <w:rsid w:val="6FA077A9"/>
    <w:rsid w:val="6FB30830"/>
    <w:rsid w:val="6FB3753A"/>
    <w:rsid w:val="6FD57B35"/>
    <w:rsid w:val="6FEF744F"/>
    <w:rsid w:val="6FF25F04"/>
    <w:rsid w:val="6FFC5590"/>
    <w:rsid w:val="70301DA3"/>
    <w:rsid w:val="70390FB7"/>
    <w:rsid w:val="70486433"/>
    <w:rsid w:val="704A4117"/>
    <w:rsid w:val="70623977"/>
    <w:rsid w:val="706D1DD0"/>
    <w:rsid w:val="70856B87"/>
    <w:rsid w:val="708B529E"/>
    <w:rsid w:val="70BD1BC9"/>
    <w:rsid w:val="70CC4DD8"/>
    <w:rsid w:val="70D13BDC"/>
    <w:rsid w:val="70D527EE"/>
    <w:rsid w:val="70DC329D"/>
    <w:rsid w:val="70F5516F"/>
    <w:rsid w:val="70FE3E32"/>
    <w:rsid w:val="715A1226"/>
    <w:rsid w:val="715B5300"/>
    <w:rsid w:val="715D2B32"/>
    <w:rsid w:val="715F4BD7"/>
    <w:rsid w:val="71665B90"/>
    <w:rsid w:val="716B0995"/>
    <w:rsid w:val="7178018F"/>
    <w:rsid w:val="71793B16"/>
    <w:rsid w:val="71A306A7"/>
    <w:rsid w:val="71BB2D89"/>
    <w:rsid w:val="71D27F8A"/>
    <w:rsid w:val="71DF5810"/>
    <w:rsid w:val="71E847F7"/>
    <w:rsid w:val="71ED1AE4"/>
    <w:rsid w:val="71EF3DD8"/>
    <w:rsid w:val="71F744C6"/>
    <w:rsid w:val="71F960CF"/>
    <w:rsid w:val="71FA428B"/>
    <w:rsid w:val="72040EDF"/>
    <w:rsid w:val="720E6E9F"/>
    <w:rsid w:val="72167F76"/>
    <w:rsid w:val="72200435"/>
    <w:rsid w:val="722B0C93"/>
    <w:rsid w:val="7230498D"/>
    <w:rsid w:val="72417A2A"/>
    <w:rsid w:val="7250733B"/>
    <w:rsid w:val="72606A84"/>
    <w:rsid w:val="7278639B"/>
    <w:rsid w:val="72A21274"/>
    <w:rsid w:val="72CD440E"/>
    <w:rsid w:val="72D046E2"/>
    <w:rsid w:val="72D0499C"/>
    <w:rsid w:val="72FB752A"/>
    <w:rsid w:val="72FE1DE6"/>
    <w:rsid w:val="730D40BD"/>
    <w:rsid w:val="731F5D5E"/>
    <w:rsid w:val="73427283"/>
    <w:rsid w:val="7359750C"/>
    <w:rsid w:val="735A6AC0"/>
    <w:rsid w:val="735D7E4F"/>
    <w:rsid w:val="736912ED"/>
    <w:rsid w:val="73733E55"/>
    <w:rsid w:val="739D4185"/>
    <w:rsid w:val="73A01AA0"/>
    <w:rsid w:val="73A0375E"/>
    <w:rsid w:val="73AF3ED7"/>
    <w:rsid w:val="73C21E17"/>
    <w:rsid w:val="73CF3EC6"/>
    <w:rsid w:val="73DF3DB1"/>
    <w:rsid w:val="73E55116"/>
    <w:rsid w:val="73E7597F"/>
    <w:rsid w:val="73E9749F"/>
    <w:rsid w:val="73F317FA"/>
    <w:rsid w:val="74031DBD"/>
    <w:rsid w:val="74032EFE"/>
    <w:rsid w:val="740F3F2A"/>
    <w:rsid w:val="74135DC8"/>
    <w:rsid w:val="741915E0"/>
    <w:rsid w:val="741E793C"/>
    <w:rsid w:val="741F18AA"/>
    <w:rsid w:val="74274249"/>
    <w:rsid w:val="74B66177"/>
    <w:rsid w:val="74C23A26"/>
    <w:rsid w:val="74C62050"/>
    <w:rsid w:val="74D448E6"/>
    <w:rsid w:val="74EA49FD"/>
    <w:rsid w:val="74FE2D6F"/>
    <w:rsid w:val="75022BDD"/>
    <w:rsid w:val="750F158B"/>
    <w:rsid w:val="752E10BB"/>
    <w:rsid w:val="7544268D"/>
    <w:rsid w:val="754729DC"/>
    <w:rsid w:val="75530B22"/>
    <w:rsid w:val="755A18C8"/>
    <w:rsid w:val="755A6C79"/>
    <w:rsid w:val="755B7732"/>
    <w:rsid w:val="755E784D"/>
    <w:rsid w:val="7560120D"/>
    <w:rsid w:val="756C6357"/>
    <w:rsid w:val="758D75E2"/>
    <w:rsid w:val="759877EE"/>
    <w:rsid w:val="75992D4C"/>
    <w:rsid w:val="75B01439"/>
    <w:rsid w:val="75B14511"/>
    <w:rsid w:val="75B74C0D"/>
    <w:rsid w:val="75B95F6C"/>
    <w:rsid w:val="75BD407D"/>
    <w:rsid w:val="75C20CE1"/>
    <w:rsid w:val="75D51148"/>
    <w:rsid w:val="7608190C"/>
    <w:rsid w:val="763515C6"/>
    <w:rsid w:val="76634D94"/>
    <w:rsid w:val="76830835"/>
    <w:rsid w:val="76B4114C"/>
    <w:rsid w:val="76D11CFE"/>
    <w:rsid w:val="76E11F70"/>
    <w:rsid w:val="76E16C86"/>
    <w:rsid w:val="76ED456A"/>
    <w:rsid w:val="76F60514"/>
    <w:rsid w:val="770C2D36"/>
    <w:rsid w:val="771B4F77"/>
    <w:rsid w:val="77376CED"/>
    <w:rsid w:val="775B37B3"/>
    <w:rsid w:val="77762421"/>
    <w:rsid w:val="77785105"/>
    <w:rsid w:val="777D3C34"/>
    <w:rsid w:val="77AB3A64"/>
    <w:rsid w:val="77AB7369"/>
    <w:rsid w:val="77B13B07"/>
    <w:rsid w:val="77BD15A4"/>
    <w:rsid w:val="78075902"/>
    <w:rsid w:val="780D6D66"/>
    <w:rsid w:val="780F09F4"/>
    <w:rsid w:val="78382EF8"/>
    <w:rsid w:val="783A38D3"/>
    <w:rsid w:val="784A10DC"/>
    <w:rsid w:val="7850458F"/>
    <w:rsid w:val="786C6827"/>
    <w:rsid w:val="78731D96"/>
    <w:rsid w:val="788007E2"/>
    <w:rsid w:val="78801C2E"/>
    <w:rsid w:val="788267F7"/>
    <w:rsid w:val="7886117B"/>
    <w:rsid w:val="789C4F47"/>
    <w:rsid w:val="78A90480"/>
    <w:rsid w:val="78B60185"/>
    <w:rsid w:val="78DF1AD6"/>
    <w:rsid w:val="78F24CB5"/>
    <w:rsid w:val="791C3DF8"/>
    <w:rsid w:val="79222CE5"/>
    <w:rsid w:val="792E3438"/>
    <w:rsid w:val="79352681"/>
    <w:rsid w:val="795A247F"/>
    <w:rsid w:val="79701CA2"/>
    <w:rsid w:val="79811327"/>
    <w:rsid w:val="79954AEE"/>
    <w:rsid w:val="79982FA7"/>
    <w:rsid w:val="79A67472"/>
    <w:rsid w:val="79BD4575"/>
    <w:rsid w:val="79C630CB"/>
    <w:rsid w:val="79D722A7"/>
    <w:rsid w:val="79DA5B24"/>
    <w:rsid w:val="79DD4919"/>
    <w:rsid w:val="79F959FA"/>
    <w:rsid w:val="79FB4964"/>
    <w:rsid w:val="7A0302E5"/>
    <w:rsid w:val="7A115712"/>
    <w:rsid w:val="7A1F7224"/>
    <w:rsid w:val="7A364017"/>
    <w:rsid w:val="7A595F92"/>
    <w:rsid w:val="7A620597"/>
    <w:rsid w:val="7A8265E1"/>
    <w:rsid w:val="7AE15030"/>
    <w:rsid w:val="7AE56F93"/>
    <w:rsid w:val="7AF83F51"/>
    <w:rsid w:val="7B117990"/>
    <w:rsid w:val="7B263E32"/>
    <w:rsid w:val="7B2C1881"/>
    <w:rsid w:val="7B2F7570"/>
    <w:rsid w:val="7B4D22AB"/>
    <w:rsid w:val="7B5109BD"/>
    <w:rsid w:val="7B614279"/>
    <w:rsid w:val="7B686D42"/>
    <w:rsid w:val="7B791DDF"/>
    <w:rsid w:val="7B821819"/>
    <w:rsid w:val="7B841746"/>
    <w:rsid w:val="7B86755B"/>
    <w:rsid w:val="7B8C29DC"/>
    <w:rsid w:val="7BB424C3"/>
    <w:rsid w:val="7BEB768C"/>
    <w:rsid w:val="7BF23C6E"/>
    <w:rsid w:val="7C0A4D10"/>
    <w:rsid w:val="7C0B3B92"/>
    <w:rsid w:val="7C0C51EE"/>
    <w:rsid w:val="7C226A0C"/>
    <w:rsid w:val="7C3B7650"/>
    <w:rsid w:val="7C3E65E2"/>
    <w:rsid w:val="7C6153C2"/>
    <w:rsid w:val="7C673344"/>
    <w:rsid w:val="7C787319"/>
    <w:rsid w:val="7C994AFF"/>
    <w:rsid w:val="7CA26DD4"/>
    <w:rsid w:val="7CA35EEB"/>
    <w:rsid w:val="7CAA00E0"/>
    <w:rsid w:val="7CCC7A15"/>
    <w:rsid w:val="7CDF7C7E"/>
    <w:rsid w:val="7CE64A4C"/>
    <w:rsid w:val="7CED360A"/>
    <w:rsid w:val="7D0239FF"/>
    <w:rsid w:val="7D264C9A"/>
    <w:rsid w:val="7D5E40CD"/>
    <w:rsid w:val="7D693BED"/>
    <w:rsid w:val="7D725C18"/>
    <w:rsid w:val="7D8056AC"/>
    <w:rsid w:val="7D8D7B32"/>
    <w:rsid w:val="7DB647A8"/>
    <w:rsid w:val="7DCA0DE6"/>
    <w:rsid w:val="7DDA3B8E"/>
    <w:rsid w:val="7DEA542C"/>
    <w:rsid w:val="7E122809"/>
    <w:rsid w:val="7E2D0915"/>
    <w:rsid w:val="7E325778"/>
    <w:rsid w:val="7E3F75FE"/>
    <w:rsid w:val="7E402C0C"/>
    <w:rsid w:val="7E435D95"/>
    <w:rsid w:val="7E553C2B"/>
    <w:rsid w:val="7E576F8D"/>
    <w:rsid w:val="7E8F35E5"/>
    <w:rsid w:val="7E9A66E0"/>
    <w:rsid w:val="7E9C0F50"/>
    <w:rsid w:val="7EAE7081"/>
    <w:rsid w:val="7EB90E2D"/>
    <w:rsid w:val="7EDC1B29"/>
    <w:rsid w:val="7EFD18A2"/>
    <w:rsid w:val="7F2A63D2"/>
    <w:rsid w:val="7F3A5D6A"/>
    <w:rsid w:val="7F3C0B4B"/>
    <w:rsid w:val="7F4A0143"/>
    <w:rsid w:val="7F552938"/>
    <w:rsid w:val="7F6B7CCC"/>
    <w:rsid w:val="7F7407A6"/>
    <w:rsid w:val="7F7605F4"/>
    <w:rsid w:val="7F7C22C3"/>
    <w:rsid w:val="7F83193F"/>
    <w:rsid w:val="7F8C25F6"/>
    <w:rsid w:val="7F977AA3"/>
    <w:rsid w:val="7F9F0E2D"/>
    <w:rsid w:val="7FB17C7D"/>
    <w:rsid w:val="7FCA6E59"/>
    <w:rsid w:val="7FCB7C32"/>
    <w:rsid w:val="7FE47E50"/>
    <w:rsid w:val="7FE513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6">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7">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8">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9">
    <w:name w:val="index 5"/>
    <w:basedOn w:val="1"/>
    <w:next w:val="1"/>
    <w:qFormat/>
    <w:uiPriority w:val="0"/>
    <w:pPr>
      <w:ind w:left="800" w:leftChars="800"/>
    </w:pPr>
    <w:rPr>
      <w:szCs w:val="24"/>
    </w:rPr>
  </w:style>
  <w:style w:type="paragraph" w:styleId="10">
    <w:name w:val="annotation text"/>
    <w:basedOn w:val="1"/>
    <w:link w:val="34"/>
    <w:semiHidden/>
    <w:qFormat/>
    <w:uiPriority w:val="0"/>
    <w:pPr>
      <w:jc w:val="left"/>
    </w:pPr>
    <w:rPr>
      <w:kern w:val="0"/>
      <w:sz w:val="20"/>
    </w:rPr>
  </w:style>
  <w:style w:type="paragraph" w:styleId="11">
    <w:name w:val="Body Text"/>
    <w:basedOn w:val="1"/>
    <w:next w:val="12"/>
    <w:link w:val="33"/>
    <w:qFormat/>
    <w:uiPriority w:val="0"/>
    <w:pPr>
      <w:widowControl/>
      <w:snapToGrid w:val="0"/>
      <w:spacing w:before="60" w:after="160" w:line="259" w:lineRule="auto"/>
      <w:ind w:right="113"/>
    </w:pPr>
    <w:rPr>
      <w:kern w:val="0"/>
      <w:sz w:val="18"/>
      <w:szCs w:val="18"/>
    </w:rPr>
  </w:style>
  <w:style w:type="paragraph" w:customStyle="1" w:styleId="1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Block Text"/>
    <w:basedOn w:val="1"/>
    <w:next w:val="1"/>
    <w:unhideWhenUsed/>
    <w:qFormat/>
    <w:uiPriority w:val="0"/>
    <w:pPr>
      <w:spacing w:beforeLines="0" w:after="120" w:afterLines="0"/>
      <w:ind w:left="1440" w:leftChars="700" w:right="700" w:rightChars="700"/>
    </w:pPr>
    <w:rPr>
      <w:rFonts w:hint="default" w:ascii="Times New Roman" w:hAnsi="Times New Roman" w:eastAsia="宋体" w:cs="Times New Roman"/>
      <w:sz w:val="21"/>
      <w:szCs w:val="24"/>
    </w:rPr>
  </w:style>
  <w:style w:type="paragraph" w:styleId="15">
    <w:name w:val="Plain Text"/>
    <w:basedOn w:val="1"/>
    <w:next w:val="9"/>
    <w:unhideWhenUsed/>
    <w:qFormat/>
    <w:uiPriority w:val="99"/>
    <w:rPr>
      <w:rFonts w:ascii="宋体" w:hAnsi="Courier New"/>
      <w:bCs/>
      <w:sz w:val="21"/>
    </w:rPr>
  </w:style>
  <w:style w:type="paragraph" w:styleId="16">
    <w:name w:val="Date"/>
    <w:basedOn w:val="1"/>
    <w:next w:val="1"/>
    <w:link w:val="36"/>
    <w:qFormat/>
    <w:uiPriority w:val="0"/>
    <w:pPr>
      <w:ind w:left="100" w:leftChars="2500"/>
    </w:pPr>
    <w:rPr>
      <w:kern w:val="0"/>
      <w:sz w:val="20"/>
    </w:rPr>
  </w:style>
  <w:style w:type="paragraph" w:styleId="17">
    <w:name w:val="Body Text Indent 2"/>
    <w:basedOn w:val="1"/>
    <w:qFormat/>
    <w:uiPriority w:val="0"/>
    <w:pPr>
      <w:spacing w:after="120" w:afterLines="0" w:line="480" w:lineRule="auto"/>
      <w:ind w:left="420" w:leftChars="200"/>
    </w:pPr>
    <w:rPr>
      <w:szCs w:val="24"/>
    </w:rPr>
  </w:style>
  <w:style w:type="paragraph" w:styleId="18">
    <w:name w:val="Balloon Text"/>
    <w:basedOn w:val="1"/>
    <w:link w:val="37"/>
    <w:semiHidden/>
    <w:qFormat/>
    <w:uiPriority w:val="0"/>
    <w:rPr>
      <w:sz w:val="18"/>
      <w:szCs w:val="18"/>
    </w:rPr>
  </w:style>
  <w:style w:type="paragraph" w:styleId="19">
    <w:name w:val="footer"/>
    <w:basedOn w:val="1"/>
    <w:link w:val="38"/>
    <w:qFormat/>
    <w:uiPriority w:val="0"/>
    <w:pPr>
      <w:tabs>
        <w:tab w:val="center" w:pos="4153"/>
        <w:tab w:val="right" w:pos="8306"/>
      </w:tabs>
      <w:snapToGrid w:val="0"/>
      <w:jc w:val="left"/>
    </w:pPr>
    <w:rPr>
      <w:sz w:val="18"/>
      <w:szCs w:val="18"/>
    </w:rPr>
  </w:style>
  <w:style w:type="paragraph" w:styleId="20">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next w:val="1"/>
    <w:qFormat/>
    <w:uiPriority w:val="0"/>
    <w:pPr>
      <w:spacing w:line="360" w:lineRule="auto"/>
      <w:ind w:left="200" w:hanging="200" w:hangingChars="200"/>
    </w:pPr>
    <w:rPr>
      <w:sz w:val="24"/>
    </w:rPr>
  </w:style>
  <w:style w:type="paragraph" w:styleId="22">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3">
    <w:name w:val="Title"/>
    <w:basedOn w:val="1"/>
    <w:next w:val="5"/>
    <w:qFormat/>
    <w:locked/>
    <w:uiPriority w:val="0"/>
    <w:pPr>
      <w:spacing w:before="240" w:after="60"/>
      <w:jc w:val="center"/>
      <w:outlineLvl w:val="0"/>
    </w:pPr>
    <w:rPr>
      <w:rFonts w:ascii="Arial" w:hAnsi="Arial"/>
      <w:b/>
      <w:sz w:val="32"/>
      <w:szCs w:val="20"/>
    </w:rPr>
  </w:style>
  <w:style w:type="paragraph" w:styleId="24">
    <w:name w:val="annotation subject"/>
    <w:basedOn w:val="10"/>
    <w:next w:val="10"/>
    <w:link w:val="41"/>
    <w:semiHidden/>
    <w:qFormat/>
    <w:uiPriority w:val="0"/>
    <w:rPr>
      <w:b/>
      <w:bCs/>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uiPriority w:val="0"/>
  </w:style>
  <w:style w:type="character" w:styleId="30">
    <w:name w:val="Emphasis"/>
    <w:qFormat/>
    <w:locked/>
    <w:uiPriority w:val="0"/>
    <w:rPr>
      <w:i/>
    </w:rPr>
  </w:style>
  <w:style w:type="character" w:styleId="31">
    <w:name w:val="Hyperlink"/>
    <w:basedOn w:val="27"/>
    <w:qFormat/>
    <w:uiPriority w:val="0"/>
    <w:rPr>
      <w:color w:val="0000FF"/>
      <w:u w:val="single"/>
    </w:rPr>
  </w:style>
  <w:style w:type="character" w:styleId="32">
    <w:name w:val="annotation reference"/>
    <w:basedOn w:val="27"/>
    <w:semiHidden/>
    <w:qFormat/>
    <w:uiPriority w:val="0"/>
    <w:rPr>
      <w:sz w:val="21"/>
    </w:rPr>
  </w:style>
  <w:style w:type="character" w:customStyle="1" w:styleId="33">
    <w:name w:val="Body Text Char"/>
    <w:link w:val="11"/>
    <w:qFormat/>
    <w:locked/>
    <w:uiPriority w:val="0"/>
    <w:rPr>
      <w:sz w:val="18"/>
    </w:rPr>
  </w:style>
  <w:style w:type="character" w:customStyle="1" w:styleId="34">
    <w:name w:val="Comment Text Char"/>
    <w:link w:val="10"/>
    <w:qFormat/>
    <w:locked/>
    <w:uiPriority w:val="0"/>
    <w:rPr>
      <w:rFonts w:ascii="Times New Roman" w:hAnsi="Times New Roman" w:eastAsia="宋体"/>
      <w:sz w:val="24"/>
    </w:rPr>
  </w:style>
  <w:style w:type="character" w:customStyle="1" w:styleId="35">
    <w:name w:val="Body Text Indent Char"/>
    <w:basedOn w:val="27"/>
    <w:link w:val="3"/>
    <w:semiHidden/>
    <w:qFormat/>
    <w:locked/>
    <w:uiPriority w:val="0"/>
    <w:rPr>
      <w:rFonts w:ascii="Times New Roman" w:hAnsi="Times New Roman" w:eastAsia="宋体" w:cs="Times New Roman"/>
      <w:sz w:val="24"/>
      <w:szCs w:val="24"/>
    </w:rPr>
  </w:style>
  <w:style w:type="character" w:customStyle="1" w:styleId="36">
    <w:name w:val="Date Char"/>
    <w:link w:val="16"/>
    <w:qFormat/>
    <w:locked/>
    <w:uiPriority w:val="0"/>
    <w:rPr>
      <w:rFonts w:ascii="Times New Roman" w:hAnsi="Times New Roman" w:eastAsia="宋体"/>
      <w:sz w:val="24"/>
    </w:rPr>
  </w:style>
  <w:style w:type="character" w:customStyle="1" w:styleId="37">
    <w:name w:val="Balloon Text Char"/>
    <w:basedOn w:val="27"/>
    <w:link w:val="18"/>
    <w:semiHidden/>
    <w:qFormat/>
    <w:locked/>
    <w:uiPriority w:val="0"/>
    <w:rPr>
      <w:rFonts w:ascii="Times New Roman" w:hAnsi="Times New Roman" w:eastAsia="宋体" w:cs="Times New Roman"/>
      <w:sz w:val="18"/>
      <w:szCs w:val="18"/>
    </w:rPr>
  </w:style>
  <w:style w:type="character" w:customStyle="1" w:styleId="38">
    <w:name w:val="Footer Char"/>
    <w:basedOn w:val="27"/>
    <w:link w:val="19"/>
    <w:qFormat/>
    <w:locked/>
    <w:uiPriority w:val="0"/>
    <w:rPr>
      <w:rFonts w:cs="Times New Roman"/>
      <w:sz w:val="18"/>
      <w:szCs w:val="18"/>
    </w:rPr>
  </w:style>
  <w:style w:type="character" w:customStyle="1" w:styleId="39">
    <w:name w:val="Header Char"/>
    <w:basedOn w:val="27"/>
    <w:link w:val="20"/>
    <w:qFormat/>
    <w:locked/>
    <w:uiPriority w:val="0"/>
    <w:rPr>
      <w:rFonts w:cs="Times New Roman"/>
      <w:sz w:val="18"/>
      <w:szCs w:val="18"/>
    </w:rPr>
  </w:style>
  <w:style w:type="character" w:customStyle="1" w:styleId="40">
    <w:name w:val="Normal (Web) Char"/>
    <w:link w:val="22"/>
    <w:qFormat/>
    <w:locked/>
    <w:uiPriority w:val="0"/>
    <w:rPr>
      <w:rFonts w:ascii="宋体" w:hAnsi="宋体" w:eastAsia="宋体"/>
      <w:sz w:val="24"/>
    </w:rPr>
  </w:style>
  <w:style w:type="character" w:customStyle="1" w:styleId="41">
    <w:name w:val="Comment Subject Char"/>
    <w:basedOn w:val="34"/>
    <w:link w:val="24"/>
    <w:semiHidden/>
    <w:qFormat/>
    <w:locked/>
    <w:uiPriority w:val="0"/>
    <w:rPr>
      <w:rFonts w:cs="Times New Roman"/>
      <w:b/>
      <w:bCs/>
      <w:kern w:val="2"/>
      <w:szCs w:val="24"/>
    </w:rPr>
  </w:style>
  <w:style w:type="character" w:customStyle="1" w:styleId="42">
    <w:name w:val="日期 字符"/>
    <w:basedOn w:val="27"/>
    <w:semiHidden/>
    <w:qFormat/>
    <w:uiPriority w:val="0"/>
    <w:rPr>
      <w:rFonts w:ascii="Times New Roman" w:hAnsi="Times New Roman" w:eastAsia="宋体" w:cs="Times New Roman"/>
      <w:sz w:val="24"/>
      <w:szCs w:val="24"/>
    </w:rPr>
  </w:style>
  <w:style w:type="character" w:customStyle="1" w:styleId="43">
    <w:name w:val="正文文本 字符1"/>
    <w:basedOn w:val="27"/>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7"/>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tabs>
        <w:tab w:val="left" w:pos="2730"/>
      </w:tabs>
      <w:adjustRightInd w:val="0"/>
      <w:snapToGrid w:val="0"/>
      <w:spacing w:line="520" w:lineRule="exact"/>
      <w:ind w:firstLine="0" w:firstLineChars="0"/>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szCs w:val="24"/>
      <w:lang w:val="en-US" w:eastAsia="zh-CN" w:bidi="ar-SA"/>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spacing w:line="360" w:lineRule="auto"/>
      <w:jc w:val="center"/>
    </w:pPr>
    <w:rPr>
      <w:rFonts w:ascii="Times New Roman" w:hAnsi="Times New Roman" w:eastAsia="宋体"/>
      <w:b/>
      <w:bCs/>
      <w:sz w:val="24"/>
      <w:szCs w:val="21"/>
    </w:rPr>
  </w:style>
  <w:style w:type="character" w:customStyle="1" w:styleId="57">
    <w:name w:val="表头啊啊啊啊啊 Char"/>
    <w:link w:val="56"/>
    <w:qFormat/>
    <w:uiPriority w:val="0"/>
    <w:rPr>
      <w:rFonts w:ascii="Times New Roman" w:hAnsi="Times New Roman" w:eastAsia="宋体" w:cs="Times New Roman"/>
      <w:b/>
      <w:bCs/>
      <w:sz w:val="24"/>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5"/>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link w:val="86"/>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7"/>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character" w:customStyle="1" w:styleId="74">
    <w:name w:val="10"/>
    <w:basedOn w:val="27"/>
    <w:qFormat/>
    <w:uiPriority w:val="0"/>
    <w:rPr>
      <w:rFonts w:hint="default" w:ascii="Times New Roman" w:hAnsi="Times New Roman" w:cs="Times New Roman"/>
    </w:rPr>
  </w:style>
  <w:style w:type="character" w:customStyle="1" w:styleId="75">
    <w:name w:val="15"/>
    <w:basedOn w:val="27"/>
    <w:qFormat/>
    <w:uiPriority w:val="0"/>
    <w:rPr>
      <w:rFonts w:hint="default" w:ascii="Times New Roman" w:hAnsi="Times New Roman" w:cs="Times New Roman"/>
    </w:rPr>
  </w:style>
  <w:style w:type="character" w:customStyle="1" w:styleId="76">
    <w:name w:val="font21"/>
    <w:basedOn w:val="27"/>
    <w:qFormat/>
    <w:uiPriority w:val="0"/>
    <w:rPr>
      <w:rFonts w:ascii="宋体" w:hAnsi="宋体" w:eastAsia="宋体" w:cs="宋体"/>
      <w:color w:val="000000"/>
      <w:sz w:val="14"/>
      <w:szCs w:val="14"/>
      <w:u w:val="none"/>
    </w:rPr>
  </w:style>
  <w:style w:type="character" w:customStyle="1" w:styleId="77">
    <w:name w:val="font31"/>
    <w:basedOn w:val="27"/>
    <w:qFormat/>
    <w:uiPriority w:val="0"/>
    <w:rPr>
      <w:rFonts w:ascii="宋体" w:hAnsi="宋体" w:eastAsia="宋体" w:cs="宋体"/>
      <w:color w:val="002060"/>
      <w:sz w:val="14"/>
      <w:szCs w:val="14"/>
      <w:u w:val="none"/>
    </w:rPr>
  </w:style>
  <w:style w:type="character" w:customStyle="1" w:styleId="78">
    <w:name w:val="font41"/>
    <w:basedOn w:val="27"/>
    <w:qFormat/>
    <w:uiPriority w:val="0"/>
    <w:rPr>
      <w:rFonts w:ascii="宋体" w:hAnsi="宋体" w:eastAsia="宋体" w:cs="宋体"/>
      <w:color w:val="103090"/>
      <w:sz w:val="14"/>
      <w:szCs w:val="14"/>
      <w:u w:val="none"/>
    </w:rPr>
  </w:style>
  <w:style w:type="character" w:customStyle="1" w:styleId="79">
    <w:name w:val="font51"/>
    <w:basedOn w:val="27"/>
    <w:qFormat/>
    <w:uiPriority w:val="0"/>
    <w:rPr>
      <w:rFonts w:ascii="宋体" w:hAnsi="宋体" w:eastAsia="宋体" w:cs="宋体"/>
      <w:color w:val="202040"/>
      <w:sz w:val="14"/>
      <w:szCs w:val="14"/>
      <w:u w:val="none"/>
    </w:rPr>
  </w:style>
  <w:style w:type="character" w:customStyle="1" w:styleId="80">
    <w:name w:val="font61"/>
    <w:basedOn w:val="27"/>
    <w:qFormat/>
    <w:uiPriority w:val="0"/>
    <w:rPr>
      <w:rFonts w:ascii="宋体" w:hAnsi="宋体" w:eastAsia="宋体" w:cs="宋体"/>
      <w:color w:val="203050"/>
      <w:sz w:val="14"/>
      <w:szCs w:val="14"/>
      <w:u w:val="none"/>
    </w:rPr>
  </w:style>
  <w:style w:type="character" w:customStyle="1" w:styleId="81">
    <w:name w:val="font71"/>
    <w:basedOn w:val="27"/>
    <w:qFormat/>
    <w:uiPriority w:val="0"/>
    <w:rPr>
      <w:rFonts w:ascii="宋体" w:hAnsi="宋体" w:eastAsia="宋体" w:cs="宋体"/>
      <w:color w:val="206090"/>
      <w:sz w:val="14"/>
      <w:szCs w:val="14"/>
      <w:u w:val="none"/>
    </w:rPr>
  </w:style>
  <w:style w:type="paragraph" w:customStyle="1" w:styleId="82">
    <w:name w:val="表内居左"/>
    <w:qFormat/>
    <w:uiPriority w:val="0"/>
    <w:pPr>
      <w:adjustRightInd w:val="0"/>
      <w:snapToGrid w:val="0"/>
      <w:jc w:val="both"/>
    </w:pPr>
    <w:rPr>
      <w:rFonts w:ascii="宋体" w:hAnsi="Times New Roman" w:eastAsia="宋体" w:cs="Times New Roman"/>
      <w:sz w:val="21"/>
      <w:lang w:val="en-US" w:eastAsia="zh-CN" w:bidi="ar-SA"/>
    </w:rPr>
  </w:style>
  <w:style w:type="paragraph" w:customStyle="1" w:styleId="83">
    <w:name w:val="正文啊啊啊"/>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paragraph" w:customStyle="1" w:styleId="84">
    <w:name w:val="正文啊啊"/>
    <w:basedOn w:val="1"/>
    <w:qFormat/>
    <w:uiPriority w:val="0"/>
    <w:pPr>
      <w:spacing w:line="520" w:lineRule="exact"/>
      <w:ind w:firstLine="720" w:firstLineChars="200"/>
    </w:pPr>
    <w:rPr>
      <w:rFonts w:ascii="Times New Roman" w:hAnsi="Times New Roman" w:eastAsia="宋体" w:cs="宋体"/>
      <w:sz w:val="24"/>
      <w:szCs w:val="24"/>
    </w:rPr>
  </w:style>
  <w:style w:type="paragraph" w:customStyle="1" w:styleId="85">
    <w:name w:val="正文+宋体"/>
    <w:basedOn w:val="1"/>
    <w:qFormat/>
    <w:uiPriority w:val="0"/>
    <w:pPr>
      <w:spacing w:line="360" w:lineRule="auto"/>
      <w:ind w:firstLine="480" w:firstLineChars="200"/>
    </w:pPr>
    <w:rPr>
      <w:rFonts w:ascii="宋体" w:hAnsi="宋体" w:eastAsia="宋体"/>
      <w:snapToGrid w:val="0"/>
      <w:kern w:val="24"/>
      <w:sz w:val="24"/>
    </w:rPr>
  </w:style>
  <w:style w:type="character" w:customStyle="1" w:styleId="86">
    <w:name w:val="A正文啊啊啊啊啊 Char"/>
    <w:link w:val="65"/>
    <w:qFormat/>
    <w:uiPriority w:val="0"/>
    <w:rPr>
      <w:rFonts w:ascii="Times New Roman" w:hAnsi="Times New Roman"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"/>
    </extobj>
  </extobjs>
</s:customData>
</file>

<file path=customXml/item2.xml><?xml version="1.0" encoding="utf-8"?>
<contractReview xmlns="http://schemas.wps.cn/vas-ai-hub/contract-review">
  <reviewItems>
    <reviewItem>
      <errorID>5006e2d7-97db-4b26-97ad-bf34147a3f76</errorID>
      <errorWord>：</errorWord>
      <group>L1_Format</group>
      <groupName>格式问题</groupName>
      <ability>L2_HalfPunc_CN</ability>
      <abilityName>全半角问题</abilityName>
      <candidateList>
        <item>:</item>
      </candidateList>
      <explain>文本全半角错误。</explain>
      <paraID>1AB0633E</paraID>
      <start>1</start>
      <end>2</end>
      <status>unmodified</status>
      <modifiedWord/>
      <trackRevisions>false</trackRevisions>
    </reviewItem>
    <reviewItem>
      <errorID>c87e1c8a-5504-4cd9-8fe4-607c2751e323</errorID>
      <errorWord>，</errorWord>
      <group>L1_Format</group>
      <groupName>格式问题</groupName>
      <ability>L2_HalfPunc_CN</ability>
      <abilityName>全半角问题</abilityName>
      <candidateList>
        <item>, </item>
      </candidateList>
      <explain>文本全半角错误。</explain>
      <paraID>1AB0633E</paraID>
      <start>14</start>
      <end>15</end>
      <status>unmodified</status>
      <modifiedWord/>
      <trackRevisions>false</trackRevisions>
    </reviewItem>
    <reviewItem>
      <errorID>51613cb8-69db-4da5-81ab-c0c939310da4</errorID>
      <errorWord>：</errorWord>
      <group>L1_Format</group>
      <groupName>格式问题</groupName>
      <ability>L2_HalfPunc_CN</ability>
      <abilityName>全半角问题</abilityName>
      <candidateList>
        <item>:</item>
      </candidateList>
      <explain>文本全半角错误。</explain>
      <paraID>1AB0633E</paraID>
      <start>16</start>
      <end>17</end>
      <status>unmodified</status>
      <modifiedWord/>
      <trackRevisions>false</trackRevisions>
    </reviewItem>
    <reviewItem>
      <errorID>3b45d3bc-2aa7-43a1-acb8-60fc73224427</errorID>
      <errorWord>-</errorWord>
      <group>L1_Format</group>
      <groupName>格式问题</groupName>
      <ability>L2_HalfPunc_CN</ability>
      <abilityName>全半角问题</abilityName>
      <candidateList>
        <item>－</item>
      </candidateList>
      <explain>文本全半角错误。</explain>
      <paraID> 7BDF356</paraID>
      <start>43</start>
      <end>44</end>
      <status>unmodified</status>
      <modifiedWord/>
      <trackRevisions>false</trackRevisions>
    </reviewItem>
    <reviewItem>
      <errorID>39a4df3f-b1ec-4f47-af7b-5965f2c39444</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3f140553-028e-424c-8591-3b4d3657cc01</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0f231e33-2f6a-46ef-a739-ac4309bff705</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132b5015-0eba-406c-a81f-7e3c671ddf40</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228a3f2c-70bc-410a-a240-0dc8b253399d</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ab2d3a70-523e-43f6-b316-efbf29195bfd</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135</start>
      <end>144</end>
      <status>unmodified</status>
      <modifiedWord/>
      <trackRevisions>false</trackRevisions>
    </reviewItem>
    <reviewItem>
      <errorID>6b589e8e-de0d-431e-8d11-8a1be447845d</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38B9B764</paraID>
      <start>4</start>
      <end>6</end>
      <status>unmodified</status>
      <modifiedWord/>
      <trackRevisions>false</trackRevisions>
    </reviewItem>
    <reviewItem>
      <errorID>952b80b3-d6e7-4c24-b06f-ce847d10a219</errorID>
      <errorWord>，</errorWord>
      <group>L1_Word</group>
      <groupName>字词问题</groupName>
      <ability>L2_Typo</ability>
      <abilityName>字词错误</abilityName>
      <candidateList>
        <item>，在</item>
      </candidateList>
      <explain/>
      <paraID>4DF8280C</paraID>
      <start>42</start>
      <end>43</end>
      <status>unmodified</status>
      <modifiedWord/>
      <trackRevisions>false</trackRevisions>
    </reviewItem>
    <reviewItem>
      <errorID>49313516-548a-477c-acce-84371d4e248f</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631EF439</paraID>
      <start>4</start>
      <end>6</end>
      <status>unmodified</status>
      <modifiedWord/>
      <trackRevisions>false</trackRevisions>
    </reviewItem>
    <reviewItem>
      <errorID>e0128ad9-e7a0-485d-b6d7-42e4c2b7c3c2</errorID>
      <errorWord>(</errorWord>
      <group>L1_Format</group>
      <groupName>格式问题</groupName>
      <ability>L2_HalfPunc_CN</ability>
      <abilityName>全半角问题</abilityName>
      <candidateList>
        <item>（</item>
      </candidateList>
      <explain>文本全半角错误。</explain>
      <paraID>349B5BEA</paraID>
      <start>6</start>
      <end>7</end>
      <status>unmodified</status>
      <modifiedWord/>
      <trackRevisions>false</trackRevisions>
    </reviewItem>
    <reviewItem>
      <errorID>1d0ba2eb-de02-4aa8-989a-9ef4ef6443ff</errorID>
      <errorWord>)</errorWord>
      <group>L1_Format</group>
      <groupName>格式问题</groupName>
      <ability>L2_HalfPunc_CN</ability>
      <abilityName>全半角问题</abilityName>
      <candidateList>
        <item>）</item>
      </candidateList>
      <explain>文本全半角错误。</explain>
      <paraID>349B5BEA</paraID>
      <start>12</start>
      <end>13</end>
      <status>unmodified</status>
      <modifiedWord/>
      <trackRevisions>false</trackRevisions>
    </reviewItem>
    <reviewItem>
      <errorID>9994cda3-a016-4fb4-8904-73f42da93c6b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1C9C9AB1</paraID>
      <start>25</start>
      <end>26</end>
      <status>unmodified</status>
      <modifiedWord/>
      <trackRevisions>false</trackRevisions>
    </reviewItem>
    <reviewItem>
      <errorID>7ad5c88d-bf6b-46b9-acee-9109976cfb42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3A731D89</paraID>
      <start>0</start>
      <end>2</end>
      <status>unmodified</status>
      <modifiedWord/>
      <trackRevisions>false</trackRevisions>
    </reviewItem>
    <reviewItem>
      <errorID>cad5c061-f704-414a-8536-9ec59d629020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64788873</paraID>
      <start>0</start>
      <end>2</end>
      <status>unmodified</status>
      <modifiedWord/>
      <trackRevisions>false</trackRevisions>
    </reviewItem>
    <reviewItem>
      <errorID>603c4622-3e23-4473-9f70-1d99cc520238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764BA993</paraID>
      <start>0</start>
      <end>2</end>
      <status>unmodified</status>
      <modifiedWord/>
      <trackRevisions>false</trackRevisions>
    </reviewItem>
    <reviewItem>
      <errorID>8e783f47-a829-49d2-b05f-2a06f8e100cf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7620DE42</paraID>
      <start>0</start>
      <end>2</end>
      <status>unmodified</status>
      <modifiedWord/>
      <trackRevisions>false</trackRevisions>
    </reviewItem>
    <reviewItem>
      <errorID>3d55f6bc-52da-4861-ab81-c4cb0eaf08c9</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577DD0FF</paraID>
      <start>3</start>
      <end>5</end>
      <status>unmodified</status>
      <modifiedWord/>
      <trackRevisions>false</trackRevisions>
    </reviewItem>
    <reviewItem>
      <errorID>ceaa4554-8eeb-49ac-a66a-9ac7a6f3bf2b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577DD0FF</paraID>
      <start>30</start>
      <end>31</end>
      <status>unmodified</status>
      <modifiedWord/>
      <trackRevisions>false</trackRevisions>
    </reviewItem>
    <reviewItem>
      <errorID>e41902e7-f3a5-4024-9e87-bbc725be6544</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4A626CAF</paraID>
      <start>5</start>
      <end>7</end>
      <status>unmodified</status>
      <modifiedWord/>
      <trackRevisions>false</trackRevisions>
    </reviewItem>
    <reviewItem>
      <errorID>1c8cce5d-2402-418a-94a7-9c473b32a1c2</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1FB8DEE0</paraID>
      <start>173</start>
      <end>175</end>
      <status>unmodified</status>
      <modifiedWord/>
      <trackRevisions>false</trackRevisions>
    </reviewItem>
    <reviewItem>
      <errorID>c1e7fda1-6396-4434-86d2-8b8a86ee1e04</errorID>
      <errorWord>勘查</errorWord>
      <group>L1_Word</group>
      <groupName>字词问题</groupName>
      <ability>L2_Typo</ability>
      <abilityName>字词错误</abilityName>
      <candidateList>
        <item>勘察</item>
      </candidateList>
      <explain>存在发音相同字词的误用。</explain>
      <paraID>577B19E2</paraID>
      <start>31</start>
      <end>33</end>
      <status>unmodified</status>
      <modifiedWord/>
      <trackRevisions>false</trackRevisions>
    </reviewItem>
    <reviewItem>
      <errorID>4dc8c349-bfca-4be9-aa57-08b2b7e79e27</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b1a2e51c-c49b-49b4-b2bd-193713cb68cb</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024b3aa7-4cf8-47c7-9672-ff1063c81297</errorID>
      <errorWord>（</errorWord>
      <group>L1_Format</group>
      <groupName>格式问题</groupName>
      <ability>L2_HalfPunc_CN</ability>
      <abilityName>全半角问题</abilityName>
      <candidateList>
        <item>(</item>
      </candidateList>
      <explain>文本全半角错误。</explain>
      <paraID> A725548</paraID>
      <start>0</start>
      <end>1</end>
      <status>unmodified</status>
      <modifiedWord/>
      <trackRevisions>false</trackRevisions>
    </reviewItem>
    <reviewItem>
      <errorID>deb278db-fc77-438f-b85e-5eb38c803f7a</errorID>
      <errorWord>）</errorWord>
      <group>L1_Format</group>
      <groupName>格式问题</groupName>
      <ability>L2_HalfPunc_CN</ability>
      <abilityName>全半角问题</abilityName>
      <candidateList>
        <item>)</item>
      </candidateList>
      <explain>文本全半角错误。</explain>
      <paraID> A725548</paraID>
      <start>6</start>
      <end>7</end>
      <status>unmodified</status>
      <modifiedWord/>
      <trackRevisions>false</trackRevisions>
    </reviewItem>
    <reviewItem>
      <errorID>7309dc58-27b4-4316-8e1c-407bbf32c065</errorID>
      <errorWord>(</errorWord>
      <group>L1_Format</group>
      <groupName>格式问题</groupName>
      <ability>L2_HalfPunc_CN</ability>
      <abilityName>全半角问题</abilityName>
      <candidateList>
        <item>（</item>
      </candidateList>
      <explain>文本全半角错误。</explain>
      <paraID>7C205F28</paraID>
      <start>26</start>
      <end>27</end>
      <status>unmodified</status>
      <modifiedWord/>
      <trackRevisions>false</trackRevisions>
    </reviewItem>
    <reviewItem>
      <errorID>017917a3-4e9b-48ce-a211-ed6e796dc219</errorID>
      <errorWord>)</errorWord>
      <group>L1_Format</group>
      <groupName>格式问题</groupName>
      <ability>L2_HalfPunc_CN</ability>
      <abilityName>全半角问题</abilityName>
      <candidateList>
        <item>）</item>
      </candidateList>
      <explain>文本全半角错误。</explain>
      <paraID>7C205F28</paraID>
      <start>35</start>
      <end>36</end>
      <status>unmodified</status>
      <modifiedWord/>
      <trackRevisions>false</trackRevisions>
    </reviewItem>
    <reviewItem>
      <errorID>b4ae43a0-25ea-4906-8530-02d303e5a7b4</errorID>
      <errorWord>(</errorWord>
      <group>L1_Format</group>
      <groupName>格式问题</groupName>
      <ability>L2_HalfPunc_CN</ability>
      <abilityName>全半角问题</abilityName>
      <candidateList>
        <item>（</item>
      </candidateList>
      <explain>文本全半角错误。</explain>
      <paraID>7C205F28</paraID>
      <start>37</start>
      <end>38</end>
      <status>unmodified</status>
      <modifiedWord/>
      <trackRevisions>false</trackRevisions>
    </reviewItem>
    <reviewItem>
      <errorID>52da3cdd-75c6-42fa-8ec8-12c827bb0720</errorID>
      <errorWord>)</errorWord>
      <group>L1_Format</group>
      <groupName>格式问题</groupName>
      <ability>L2_HalfPunc_CN</ability>
      <abilityName>全半角问题</abilityName>
      <candidateList>
        <item>）</item>
      </candidateList>
      <explain>文本全半角错误。</explain>
      <paraID>7C205F28</paraID>
      <start>51</start>
      <end>52</end>
      <status>unmodified</status>
      <modifiedWord/>
      <trackRevisions>false</trackRevisions>
    </reviewItem>
    <reviewItem>
      <errorID>591e8263-f6f8-4958-b7e6-81b04faaac5f</errorID>
      <errorWord>法律、法规</errorWord>
      <group>L1_Word</group>
      <groupName>字词问题</groupName>
      <ability>L2_Typo</ability>
      <abilityName>字词错误</abilityName>
      <candidateList>
        <item>法律法规</item>
      </candidateList>
      <explain/>
      <paraID>4C87318C</paraID>
      <start>170</start>
      <end>175</end>
      <status>unmodified</status>
      <modifiedWord/>
      <trackRevisions>false</trackRevisions>
    </reviewItem>
    <reviewItem>
      <errorID>fc8b2d14-55aa-4065-b6c4-ab1123c945b4</errorID>
      <errorWord>)</errorWord>
      <group>L1_Format</group>
      <groupName>格式问题</groupName>
      <ability>L2_HalfPunc_CN</ability>
      <abilityName>全半角问题</abilityName>
      <candidateList>
        <item>）</item>
      </candidateList>
      <explain>文本全半角错误。</explain>
      <paraID>1CA1EA5A</paraID>
      <start>78</start>
      <end>79</end>
      <status>unmodified</status>
      <modifiedWord/>
      <trackRevisions>false</trackRevisions>
    </reviewItem>
    <reviewItem>
      <errorID>fdc89dbf-31eb-46e5-96b5-5e04895efc8b</errorID>
      <errorWord>计</errorWord>
      <group>L1_Word</group>
      <groupName>字词问题</groupName>
      <ability>L2_Typo</ability>
      <abilityName>字词错误</abilityName>
      <candidateList>
        <item>计算</item>
      </candidateList>
      <explain/>
      <paraID>71C04F3C</paraID>
      <start>62</start>
      <end>63</end>
      <status>unmodified</status>
      <modifiedWord/>
      <trackRevisions>false</trackRevisions>
    </reviewItem>
    <reviewItem>
      <errorID>087ac332-ee66-4545-a3f2-07189ac443eb</errorID>
      <errorWord>)</errorWord>
      <group>L1_Format</group>
      <groupName>格式问题</groupName>
      <ability>L2_HalfPunc_CN</ability>
      <abilityName>全半角问题</abilityName>
      <candidateList>
        <item>）</item>
      </candidateList>
      <explain>文本全半角错误。</explain>
      <paraID>545D511B</paraID>
      <start>78</start>
      <end>79</end>
      <status>unmodified</status>
      <modifiedWord/>
      <trackRevisions>false</trackRevisions>
    </reviewItem>
    <reviewItem>
      <errorID>ffae1133-bd50-4ddc-b38d-3cbcc56f6abc</errorID>
      <errorWord>巩固脱贫攻坚成果</errorWord>
      <group>L1_Word</group>
      <groupName>字词问题</groupName>
      <ability>L2_Typo</ability>
      <abilityName>字词错误</abilityName>
      <candidateList>
        <item>巩固拓展脱贫攻坚成果</item>
      </candidateList>
      <explain/>
      <paraID>2CD36DC0</paraID>
      <start>91</start>
      <end>99</end>
      <status>unmodified</status>
      <modifiedWord/>
      <trackRevisions>false</trackRevisions>
    </reviewItem>
    <reviewItem>
      <errorID>53862ccf-ccab-4db8-a5aa-7a26dc09987f</errorID>
      <errorWord>洒</errorWord>
      <group>L1_Word</group>
      <groupName>字词问题</groupName>
      <ability>L2_Typo</ability>
      <abilityName>字词错误</abilityName>
      <candidateList>
        <item>撒</item>
      </candidateList>
      <explain>存在发音相同字词的误用。</explain>
      <paraID>5C90FDF8</paraID>
      <start>59</start>
      <end>60</end>
      <status>unmodified</status>
      <modifiedWord/>
      <trackRevisions>false</trackRevisions>
    </reviewItem>
    <reviewItem>
      <errorID>408c3b9d-a052-4857-9496-fbd7e24b75d7</errorID>
      <errorWord>工地</errorWord>
      <group>L1_Word</group>
      <groupName>字词问题</groupName>
      <ability>L2_Typo</ability>
      <abilityName>字词错误</abilityName>
      <candidateList>
        <item>场地</item>
      </candidateList>
      <explain>存在字形相近字词的误用。</explain>
      <paraID>3F152D9C</paraID>
      <start>5</start>
      <end>7</end>
      <status>unmodified</status>
      <modifiedWord/>
      <trackRevisions>false</trackRevisions>
    </reviewItem>
    <reviewItem>
      <errorID>5e6a8c8e-df57-46f3-9424-e00abc2aebe1</errorID>
      <errorWord>期</errorWord>
      <group>L1_Word</group>
      <groupName>字词问题</groupName>
      <ability>L2_Typo</ability>
      <abilityName>字词错误</abilityName>
      <candidateList>
        <item>期间</item>
      </candidateList>
      <explain>〈名〉某个时期里面：农忙～｜春节～｜抗战～。</explain>
      <paraID>4B7D3940</paraID>
      <start>2</start>
      <end>3</end>
      <status>unmodified</status>
      <modifiedWord/>
      <trackRevisions>false</trackRevisions>
    </reviewItem>
    <reviewItem>
      <errorID>59c367a1-5f21-4b54-a87f-04c289482f41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5D6C5392</paraID>
      <start>138</start>
      <end>139</end>
      <status>unmodified</status>
      <modifiedWord/>
      <trackRevisions>false</trackRevisions>
    </reviewItem>
    <reviewItem>
      <errorID>c9094e57-a6e7-429e-8e0f-a04b9ff689fc</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4B6D35A8</paraID>
      <start>11</start>
      <end>13</end>
      <status>unmodified</status>
      <modifiedWord/>
      <trackRevisions>false</trackRevisions>
    </reviewItem>
    <reviewItem>
      <errorID>18aeb588-ac9d-4fbe-bc3c-827733c2c1d9</errorID>
      <errorWord>(</errorWord>
      <group>L1_Format</group>
      <groupName>格式问题</groupName>
      <ability>L2_HalfPunc_CN</ability>
      <abilityName>全半角问题</abilityName>
      <candidateList>
        <item>（</item>
      </candidateList>
      <explain>文本全半角错误。</explain>
      <paraID>5ED77B63</paraID>
      <start>20</start>
      <end>21</end>
      <status>unmodified</status>
      <modifiedWord/>
      <trackRevisions>false</trackRevisions>
    </reviewItem>
    <reviewItem>
      <errorID>d4eee789-2983-4174-a80e-0369a96a03d9</errorID>
      <errorWord>)</errorWord>
      <group>L1_Format</group>
      <groupName>格式问题</groupName>
      <ability>L2_HalfPunc_CN</ability>
      <abilityName>全半角问题</abilityName>
      <candidateList>
        <item>）</item>
      </candidateList>
      <explain>文本全半角错误。</explain>
      <paraID>5ED77B63</paraID>
      <start>23</start>
      <end>24</end>
      <status>unmodified</status>
      <modifiedWord/>
      <trackRevisions>false</trackRevisions>
    </reviewItem>
    <reviewItem>
      <errorID>1b5586ec-88a6-40d7-867c-7212258c647e</errorID>
      <errorWord>(</errorWord>
      <group>L1_Format</group>
      <groupName>格式问题</groupName>
      <ability>L2_HalfPunc_CN</ability>
      <abilityName>全半角问题</abilityName>
      <candidateList>
        <item>（</item>
      </candidateList>
      <explain>文本全半角错误。</explain>
      <paraID>5ED77B63</paraID>
      <start>25</start>
      <end>26</end>
      <status>unmodified</status>
      <modifiedWord/>
      <trackRevisions>false</trackRevisions>
    </reviewItem>
    <reviewItem>
      <errorID>0b8a78a0-d225-479d-95b3-65eaf7f372c0</errorID>
      <errorWord>)</errorWord>
      <group>L1_Format</group>
      <groupName>格式问题</groupName>
      <ability>L2_HalfPunc_CN</ability>
      <abilityName>全半角问题</abilityName>
      <candidateList>
        <item>）</item>
      </candidateList>
      <explain>文本全半角错误。</explain>
      <paraID>5ED77B63</paraID>
      <start>36</start>
      <end>37</end>
      <status>unmodified</status>
      <modifiedWord/>
      <trackRevisions>false</trackRevisions>
    </reviewItem>
    <reviewItem>
      <errorID>0088a656-442f-4000-97cb-b07b589d1dda</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1FB9D8FF</paraID>
      <start>5</start>
      <end>9</end>
      <status>unmodified</status>
      <modifiedWord/>
      <trackRevisions>false</trackRevisions>
    </reviewItem>
    <reviewItem>
      <errorID>a88706b9-80db-4835-904a-4772607c4e52</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55912B6F</paraID>
      <start>125</start>
      <end>128</end>
      <status>unmodified</status>
      <modifiedWord/>
      <trackRevisions>false</trackRevisions>
    </reviewItem>
    <reviewItem>
      <errorID>db73bec7-8ce1-48de-8d44-5be1e107dbd9</errorID>
      <errorWord>IV</errorWord>
      <group>L1_Knowledge</group>
      <groupName>知识性问题</groupName>
      <ability>L2_Knowledge</ability>
      <abilityName>其他知识</abilityName>
      <candidateList>
        <item>Ⅳ</item>
      </candidateList>
      <explain>中文环境下罗马数字格式错误。</explain>
      <paraID>28361805</paraID>
      <start>2</start>
      <end>4</end>
      <status>unmodified</status>
      <modifiedWord/>
      <trackRevisions>false</trackRevisions>
    </reviewItem>
    <reviewItem>
      <errorID>94bd2442-d6ad-421f-8494-076342794f99</errorID>
      <errorWord>*</errorWord>
      <group>L1_Punc</group>
      <groupName>标点问题</groupName>
      <ability>L2_Punc_CN</ability>
      <abilityName>标点符号问题</abilityName>
      <candidateList/>
      <explain/>
      <paraID>4CE9F9CB</paraID>
      <start>0</start>
      <end>1</end>
      <status>unmodified</status>
      <modifiedWord/>
      <trackRevisions>false</trackRevisions>
    </reviewItem>
    <reviewItem>
      <errorID>c2ab567e-e768-497f-a686-5b550dbd4ae8</errorID>
      <errorWord>：</errorWord>
      <group>L1_Format</group>
      <groupName>格式问题</groupName>
      <ability>L2_HalfPunc_CN</ability>
      <abilityName>全半角问题</abilityName>
      <candidateList>
        <item>:</item>
      </candidateList>
      <explain>文本全半角错误。</explain>
      <paraID>5C7AEC21</paraID>
      <start>1</start>
      <end>2</end>
      <status>unmodified</status>
      <modifiedWord/>
      <trackRevisions>false</trackRevisions>
    </reviewItem>
    <reviewItem>
      <errorID>36ad04d8-74b8-4b95-9f13-0570d1925b2a</errorID>
      <errorWord>，</errorWord>
      <group>L1_Format</group>
      <groupName>格式问题</groupName>
      <ability>L2_HalfPunc_CN</ability>
      <abilityName>全半角问题</abilityName>
      <candidateList>
        <item>, </item>
      </candidateList>
      <explain>文本全半角错误。</explain>
      <paraID>5C7AEC21</paraID>
      <start>15</start>
      <end>16</end>
      <status>unmodified</status>
      <modifiedWord/>
      <trackRevisions>false</trackRevisions>
    </reviewItem>
    <reviewItem>
      <errorID>2ff3cba6-9476-419e-8c7a-c57a80ebdea6</errorID>
      <errorWord>：</errorWord>
      <group>L1_Format</group>
      <groupName>格式问题</groupName>
      <ability>L2_HalfPunc_CN</ability>
      <abilityName>全半角问题</abilityName>
      <candidateList>
        <item>:</item>
      </candidateList>
      <explain>文本全半角错误。</explain>
      <paraID>5C7AEC21</paraID>
      <start>17</start>
      <end>18</end>
      <status>unmodified</status>
      <modifiedWord/>
      <trackRevisions>false</trackRevisions>
    </reviewItem>
    <reviewItem>
      <errorID>29b30c5e-7083-4e83-9804-a2b709dc904f</errorID>
      <errorWord>责</errorWord>
      <group>L1_Word</group>
      <groupName>字词问题</groupName>
      <ability>L2_Typo</ability>
      <abilityName>字词错误</abilityName>
      <candidateList>
        <item>责和</item>
      </candidateList>
      <explain/>
      <paraID> 46C8254</paraID>
      <start>44</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81ff5-a280-4669-a57f-d118d37783eb}">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66</Pages>
  <Words>11812</Words>
  <Characters>12827</Characters>
  <Lines>1</Lines>
  <Paragraphs>1</Paragraphs>
  <TotalTime>7</TotalTime>
  <ScaleCrop>false</ScaleCrop>
  <LinksUpToDate>false</LinksUpToDate>
  <CharactersWithSpaces>12935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69BDAA01CA774F06988CDFB98C100A1F_13</vt:lpwstr>
  </property>
  <property fmtid="{D5CDD505-2E9C-101B-9397-08002B2CF9AE}" pid="4" name="KSOTemplateDocerSaveRecord">
    <vt:lpwstr>eyJoZGlkIjoiYmM5NTNhOWMzNThmMTgxMjhlYmYwYmRlODczZGZjNDkiLCJ1c2VySWQiOiIxMTU1MDY3NzcxIn0=</vt:lpwstr>
  </property>
</Properties>
</file>