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hint="eastAsia" w:ascii="仿宋_GB2312" w:hAnsi="仿宋_GB2312" w:eastAsia="仿宋_GB2312" w:cs="仿宋_GB2312"/>
          <w:sz w:val="36"/>
          <w:szCs w:val="36"/>
        </w:rPr>
      </w:pPr>
    </w:p>
    <w:p>
      <w:pPr>
        <w:adjustRightInd w:val="0"/>
        <w:snapToGrid w:val="0"/>
        <w:jc w:val="center"/>
        <w:outlineLvl w:val="0"/>
        <w:rPr>
          <w:rFonts w:hint="eastAsia" w:ascii="方正小标宋_GBK" w:hAnsi="Times New Roman" w:eastAsia="方正小标宋_GBK" w:cs="Times New Roman"/>
          <w:bCs/>
          <w:sz w:val="72"/>
          <w:szCs w:val="72"/>
        </w:rPr>
      </w:pPr>
      <w:r>
        <w:rPr>
          <w:rFonts w:hint="eastAsia" w:ascii="方正小标宋_GBK" w:hAnsi="Times New Roman" w:eastAsia="方正小标宋_GBK" w:cs="Times New Roman"/>
          <w:bCs/>
          <w:sz w:val="72"/>
          <w:szCs w:val="72"/>
        </w:rPr>
        <w:t>建设项目环境影响报告表</w:t>
      </w:r>
    </w:p>
    <w:p>
      <w:pPr>
        <w:adjustRightInd w:val="0"/>
        <w:snapToGrid w:val="0"/>
        <w:spacing w:before="192" w:beforeLines="80"/>
        <w:jc w:val="center"/>
        <w:rPr>
          <w:rFonts w:hint="eastAsia" w:ascii="楷体_GB2312" w:hAnsi="Times New Roman" w:eastAsia="楷体_GB2312" w:cs="Times New Roman"/>
          <w:bCs/>
          <w:sz w:val="48"/>
          <w:szCs w:val="48"/>
        </w:rPr>
      </w:pPr>
      <w:r>
        <w:rPr>
          <w:rFonts w:hint="eastAsia" w:ascii="楷体_GB2312" w:hAnsi="Times New Roman" w:eastAsia="楷体_GB2312" w:cs="Times New Roman"/>
          <w:bCs/>
          <w:sz w:val="48"/>
          <w:szCs w:val="48"/>
        </w:rPr>
        <w:t>（</w:t>
      </w:r>
      <w:r>
        <w:rPr>
          <w:rFonts w:hint="eastAsia" w:ascii="楷体_GB2312" w:hAnsi="Times New Roman" w:eastAsia="楷体_GB2312" w:cs="Times New Roman"/>
          <w:bCs/>
          <w:sz w:val="48"/>
          <w:szCs w:val="48"/>
          <w:lang w:val="en-US" w:eastAsia="zh-CN"/>
        </w:rPr>
        <w:t>生态</w:t>
      </w:r>
      <w:r>
        <w:rPr>
          <w:rFonts w:hint="eastAsia" w:ascii="楷体_GB2312" w:hAnsi="Times New Roman" w:eastAsia="楷体_GB2312" w:cs="Times New Roman"/>
          <w:bCs/>
          <w:sz w:val="48"/>
          <w:szCs w:val="48"/>
        </w:rPr>
        <w:t>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ascii="Times New Roman" w:hAnsi="Times New Roman" w:eastAsia="仿宋" w:cs="Times New Roman"/>
          <w:sz w:val="52"/>
          <w:szCs w:val="52"/>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adjustRightInd w:val="0"/>
        <w:snapToGrid w:val="0"/>
        <w:spacing w:line="288" w:lineRule="auto"/>
        <w:jc w:val="both"/>
        <w:rPr>
          <w:rFonts w:hint="eastAsia" w:ascii="仿宋_GB2312" w:hAnsi="Times New Roman" w:eastAsia="仿宋_GB2312" w:cs="Times New Roman"/>
          <w:sz w:val="36"/>
          <w:szCs w:val="36"/>
        </w:rPr>
      </w:pPr>
      <w:bookmarkStart w:id="1" w:name="_Hlk57884087"/>
    </w:p>
    <w:p>
      <w:pPr>
        <w:adjustRightInd w:val="0"/>
        <w:snapToGrid w:val="0"/>
        <w:spacing w:line="288" w:lineRule="auto"/>
        <w:jc w:val="both"/>
        <w:rPr>
          <w:rFonts w:hint="eastAsia" w:ascii="仿宋_GB2312" w:hAnsi="Times New Roman" w:eastAsia="仿宋_GB2312" w:cs="Times New Roman"/>
          <w:sz w:val="36"/>
          <w:szCs w:val="36"/>
        </w:rPr>
      </w:pPr>
    </w:p>
    <w:p>
      <w:pPr>
        <w:adjustRightInd w:val="0"/>
        <w:snapToGrid w:val="0"/>
        <w:spacing w:line="288" w:lineRule="auto"/>
        <w:jc w:val="both"/>
        <w:rPr>
          <w:rFonts w:hint="eastAsia" w:ascii="仿宋_GB2312" w:eastAsia="仿宋_GB2312" w:cs="Times New Roman"/>
          <w:sz w:val="36"/>
          <w:szCs w:val="36"/>
          <w:u w:val="single"/>
          <w:lang w:val="en-US" w:eastAsia="zh-CN"/>
        </w:rPr>
      </w:pPr>
      <w:r>
        <w:rPr>
          <w:rFonts w:hint="eastAsia" w:ascii="仿宋_GB2312" w:hAnsi="Times New Roman" w:eastAsia="仿宋_GB2312" w:cs="Times New Roman"/>
          <w:sz w:val="36"/>
          <w:szCs w:val="36"/>
        </w:rPr>
        <w:t>项目名称：</w:t>
      </w:r>
      <w:r>
        <w:rPr>
          <w:rFonts w:hint="eastAsia" w:ascii="仿宋_GB2312" w:eastAsia="仿宋_GB2312" w:cs="Times New Roman"/>
          <w:sz w:val="36"/>
          <w:szCs w:val="36"/>
          <w:u w:val="single"/>
          <w:lang w:val="en-US" w:eastAsia="zh-CN"/>
        </w:rPr>
        <w:t xml:space="preserve">      新疆和硕县塔西干河西铜铅矿勘探       </w:t>
      </w:r>
    </w:p>
    <w:p>
      <w:pPr>
        <w:adjustRightInd w:val="0"/>
        <w:snapToGrid w:val="0"/>
        <w:spacing w:line="288" w:lineRule="auto"/>
        <w:jc w:val="both"/>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建设单位（盖章）：</w:t>
      </w:r>
      <w:r>
        <w:rPr>
          <w:rFonts w:hint="eastAsia" w:ascii="仿宋_GB2312" w:eastAsia="仿宋_GB2312" w:cs="Times New Roman"/>
          <w:sz w:val="36"/>
          <w:szCs w:val="36"/>
          <w:u w:val="single"/>
          <w:lang w:val="en-US" w:eastAsia="zh-CN"/>
        </w:rPr>
        <w:t>北京西域宝地矿业技术开发有限公司</w:t>
      </w:r>
    </w:p>
    <w:p>
      <w:pPr>
        <w:adjustRightInd w:val="0"/>
        <w:snapToGrid w:val="0"/>
        <w:spacing w:line="288" w:lineRule="auto"/>
        <w:ind w:firstLine="720" w:firstLineChars="200"/>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编制日期：</w:t>
      </w:r>
      <w:r>
        <w:rPr>
          <w:rFonts w:hint="eastAsia" w:ascii="仿宋_GB2312" w:hAnsi="Times New Roman" w:eastAsia="仿宋_GB2312" w:cs="Times New Roman"/>
          <w:sz w:val="36"/>
          <w:szCs w:val="36"/>
          <w:u w:val="single"/>
          <w:lang w:val="en-US" w:eastAsia="zh-CN"/>
        </w:rPr>
        <w:t xml:space="preserve">           2026年</w:t>
      </w:r>
      <w:r>
        <w:rPr>
          <w:rFonts w:hint="eastAsia" w:ascii="仿宋_GB2312" w:eastAsia="仿宋_GB2312" w:cs="Times New Roman"/>
          <w:sz w:val="36"/>
          <w:szCs w:val="36"/>
          <w:u w:val="single"/>
          <w:lang w:val="en-US" w:eastAsia="zh-CN"/>
        </w:rPr>
        <w:t>7</w:t>
      </w:r>
      <w:r>
        <w:rPr>
          <w:rFonts w:hint="eastAsia" w:ascii="仿宋_GB2312" w:hAnsi="Times New Roman" w:eastAsia="仿宋_GB2312" w:cs="Times New Roman"/>
          <w:sz w:val="36"/>
          <w:szCs w:val="36"/>
          <w:u w:val="single"/>
          <w:lang w:val="en-US" w:eastAsia="zh-CN"/>
        </w:rPr>
        <w:t>月</w:t>
      </w:r>
      <w:r>
        <w:rPr>
          <w:rFonts w:ascii="仿宋_GB2312" w:hAnsi="Times New Roman" w:eastAsia="仿宋_GB2312" w:cs="Times New Roman"/>
          <w:sz w:val="36"/>
          <w:szCs w:val="36"/>
          <w:u w:val="single"/>
        </w:rPr>
        <w:t xml:space="preserve">   </w:t>
      </w:r>
      <w:r>
        <w:rPr>
          <w:rFonts w:hint="eastAsia" w:ascii="仿宋_GB2312" w:hAnsi="Times New Roman" w:eastAsia="仿宋_GB2312" w:cs="Times New Roman"/>
          <w:sz w:val="36"/>
          <w:szCs w:val="36"/>
          <w:u w:val="single"/>
          <w:lang w:val="en-US" w:eastAsia="zh-CN"/>
        </w:rPr>
        <w:t xml:space="preserve"> </w:t>
      </w:r>
      <w:r>
        <w:rPr>
          <w:rFonts w:ascii="仿宋_GB2312" w:hAnsi="Times New Roman" w:eastAsia="仿宋_GB2312" w:cs="Times New Roman"/>
          <w:sz w:val="36"/>
          <w:szCs w:val="36"/>
          <w:u w:val="single"/>
        </w:rPr>
        <w:t xml:space="preserve">   </w:t>
      </w:r>
      <w:r>
        <w:rPr>
          <w:rFonts w:hint="eastAsia" w:ascii="仿宋_GB2312" w:hAnsi="Times New Roman" w:eastAsia="仿宋_GB2312" w:cs="Times New Roman"/>
          <w:sz w:val="36"/>
          <w:szCs w:val="36"/>
          <w:u w:val="single"/>
          <w:lang w:val="en-US" w:eastAsia="zh-CN"/>
        </w:rPr>
        <w:t xml:space="preserve">  </w:t>
      </w:r>
      <w:r>
        <w:rPr>
          <w:rFonts w:hint="eastAsia" w:ascii="仿宋_GB2312" w:eastAsia="仿宋_GB2312" w:cs="Times New Roman"/>
          <w:sz w:val="36"/>
          <w:szCs w:val="36"/>
          <w:u w:val="single"/>
          <w:lang w:val="en-US" w:eastAsia="zh-CN"/>
        </w:rPr>
        <w:t xml:space="preserve">   </w:t>
      </w:r>
      <w:r>
        <w:rPr>
          <w:rFonts w:hint="eastAsia" w:ascii="仿宋_GB2312" w:hAnsi="Times New Roman" w:eastAsia="仿宋_GB2312" w:cs="Times New Roman"/>
          <w:sz w:val="36"/>
          <w:szCs w:val="36"/>
          <w:u w:val="single"/>
          <w:lang w:val="en-US" w:eastAsia="zh-CN"/>
        </w:rPr>
        <w:t xml:space="preserve">  </w:t>
      </w:r>
    </w:p>
    <w:p>
      <w:pPr>
        <w:adjustRightInd w:val="0"/>
        <w:snapToGrid w:val="0"/>
        <w:spacing w:line="288" w:lineRule="auto"/>
        <w:ind w:firstLine="1040"/>
        <w:rPr>
          <w:rFonts w:ascii="仿宋_GB2312" w:hAnsi="Times New Roman" w:eastAsia="仿宋_GB2312" w:cs="Times New Roman"/>
          <w:sz w:val="36"/>
          <w:szCs w:val="36"/>
          <w:u w:val="single"/>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hint="eastAsia" w:ascii="仿宋_GB2312" w:hAnsi="Times New Roman" w:eastAsia="仿宋_GB2312" w:cs="Times New Roman"/>
          <w:sz w:val="36"/>
          <w:szCs w:val="36"/>
        </w:rPr>
      </w:pPr>
    </w:p>
    <w:bookmarkEnd w:id="1"/>
    <w:p>
      <w:pPr>
        <w:adjustRightInd w:val="0"/>
        <w:snapToGrid w:val="0"/>
        <w:spacing w:line="288" w:lineRule="auto"/>
        <w:jc w:val="center"/>
        <w:rPr>
          <w:rFonts w:hint="eastAsia" w:ascii="楷体_GB2312" w:hAnsi="Times New Roman" w:eastAsia="楷体_GB2312" w:cs="Times New Roman"/>
          <w:sz w:val="36"/>
          <w:szCs w:val="36"/>
        </w:rPr>
      </w:pPr>
      <w:r>
        <w:rPr>
          <w:rFonts w:hint="eastAsia" w:ascii="楷体_GB2312" w:hAnsi="Times New Roman" w:eastAsia="楷体_GB2312" w:cs="Times New Roman"/>
          <w:sz w:val="36"/>
          <w:szCs w:val="36"/>
        </w:rPr>
        <w:t>中华人民共和国生态环境部制</w:t>
      </w:r>
    </w:p>
    <w:p>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fmt="decimal" w:start="3"/>
          <w:cols w:space="720" w:num="1"/>
          <w:docGrid w:linePitch="312" w:charSpace="0"/>
        </w:sectPr>
      </w:pPr>
    </w:p>
    <w:p>
      <w:pPr>
        <w:rPr>
          <w:rFonts w:ascii="仿宋_GB2312" w:hAnsi="仿宋_GB2312" w:eastAsia="仿宋_GB2312" w:cs="仿宋_GB2312"/>
          <w:sz w:val="36"/>
          <w:szCs w:val="36"/>
        </w:rPr>
      </w:pPr>
    </w:p>
    <w:bookmarkEnd w:id="0"/>
    <w:p>
      <w:pPr>
        <w:adjustRightInd w:val="0"/>
        <w:snapToGrid w:val="0"/>
        <w:spacing w:line="288" w:lineRule="auto"/>
        <w:rPr>
          <w:rFonts w:ascii="仿宋_GB2312" w:eastAsia="仿宋_GB2312"/>
          <w:sz w:val="36"/>
          <w:szCs w:val="36"/>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5"/>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建设项目名称</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新疆和硕县塔西干河西铜铅矿勘探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项目代码</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bookmarkStart w:id="4" w:name="_GoBack"/>
            <w:bookmarkEnd w:id="4"/>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建设单位联系人</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highlight w:val="none"/>
                <w:lang w:val="en-US" w:eastAsia="zh-CN"/>
              </w:rPr>
            </w:pP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highlight w:val="none"/>
              </w:rPr>
            </w:pP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eastAsia="宋体"/>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建设地点</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b/>
                <w:bC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地理坐标</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建设项目</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行业类别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rFonts w:hint="default"/>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临时占地面积为790m</w:t>
            </w:r>
            <w:r>
              <w:rPr>
                <w:rFonts w:hint="eastAsia"/>
                <w:color w:val="auto"/>
                <w:highlight w:val="none"/>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建设性质</w:t>
            </w:r>
          </w:p>
        </w:tc>
        <w:tc>
          <w:tcPr>
            <w:tcW w:w="2512"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□改建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□扩建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rPr>
              <w:t>建设项目</w:t>
            </w:r>
            <w:r>
              <w:rPr>
                <w:rFonts w:hint="eastAsia" w:ascii="宋体" w:hAnsi="宋体" w:cs="宋体"/>
                <w:color w:val="auto"/>
                <w:szCs w:val="21"/>
                <w:lang w:val="en-US" w:eastAsia="zh-CN"/>
              </w:rPr>
              <w:t xml:space="preserve">   </w:t>
            </w:r>
          </w:p>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□不予批准后再次申报项目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□超五年重新审核项目</w:t>
            </w:r>
          </w:p>
          <w:p>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备案）部门（选填）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备案）文号（选填）</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总投资（万元）</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432.83</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环保投资（万元）</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3.63</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施工工期</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5天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是否开工建设</w:t>
            </w:r>
          </w:p>
        </w:tc>
        <w:tc>
          <w:tcPr>
            <w:tcW w:w="7405" w:type="dxa"/>
            <w:gridSpan w:val="3"/>
            <w:noWrap w:val="0"/>
            <w:vAlign w:val="center"/>
          </w:tcPr>
          <w:p>
            <w:pPr>
              <w:keepNext w:val="0"/>
              <w:keepLines w:val="0"/>
              <w:suppressLineNumbers w:val="0"/>
              <w:adjustRightInd w:val="0"/>
              <w:snapToGrid w:val="0"/>
              <w:spacing w:before="0" w:beforeAutospacing="0" w:after="0" w:afterAutospacing="0"/>
              <w:ind w:left="0" w:right="0" w:firstLine="105"/>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否</w:t>
            </w:r>
          </w:p>
          <w:p>
            <w:pPr>
              <w:keepNext w:val="0"/>
              <w:keepLines w:val="0"/>
              <w:suppressLineNumbers w:val="0"/>
              <w:adjustRightInd w:val="0"/>
              <w:snapToGrid w:val="0"/>
              <w:spacing w:before="0" w:beforeAutospacing="0" w:after="0" w:afterAutospacing="0"/>
              <w:ind w:left="0" w:right="0" w:firstLine="92"/>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hint="default" w:ascii="宋体" w:hAnsi="宋体" w:cs="宋体"/>
                <w:szCs w:val="21"/>
                <w:u w:val="single"/>
              </w:rPr>
              <w:t xml:space="preserve"> </w:t>
            </w:r>
            <w:r>
              <w:rPr>
                <w:rFonts w:hint="eastAsia" w:ascii="宋体" w:hAnsi="宋体" w:cs="宋体"/>
                <w:szCs w:val="21"/>
                <w:u w:val="single"/>
              </w:rPr>
              <w:t xml:space="preserve">                     </w:t>
            </w:r>
            <w:r>
              <w:rPr>
                <w:rFonts w:hint="default"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专项评价设置情况</w:t>
            </w:r>
          </w:p>
        </w:tc>
        <w:tc>
          <w:tcPr>
            <w:tcW w:w="7405" w:type="dxa"/>
            <w:gridSpan w:val="3"/>
            <w:noWrap w:val="0"/>
            <w:tcMar>
              <w:top w:w="16" w:type="dxa"/>
              <w:left w:w="16" w:type="dxa"/>
              <w:right w:w="16" w:type="dxa"/>
            </w:tcMar>
            <w:vAlign w:val="center"/>
          </w:tcPr>
          <w:p>
            <w:pPr>
              <w:pStyle w:val="54"/>
              <w:keepNext w:val="0"/>
              <w:keepLines w:val="0"/>
              <w:suppressLineNumbers w:val="0"/>
              <w:bidi w:val="0"/>
              <w:spacing w:before="0" w:beforeAutospacing="0" w:after="0" w:afterAutospacing="0"/>
              <w:ind w:left="0" w:right="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rPr>
                <w:rFonts w:hint="eastAsia" w:eastAsia="宋体"/>
                <w:lang w:eastAsia="zh-CN"/>
              </w:rPr>
            </w:pPr>
            <w:r>
              <w:rPr>
                <w:rFonts w:hint="eastAsia"/>
              </w:rPr>
              <w:t>规划名称：《新疆维吾尔自治区矿产资源总体规划（2021</w:t>
            </w:r>
            <w:r>
              <w:rPr>
                <w:rFonts w:hint="eastAsia"/>
                <w:lang w:val="en-US" w:eastAsia="zh-CN"/>
              </w:rPr>
              <w:t>—</w:t>
            </w:r>
            <w:r>
              <w:rPr>
                <w:rFonts w:hint="eastAsia"/>
              </w:rPr>
              <w:t>2025年）》</w:t>
            </w:r>
            <w:r>
              <w:rPr>
                <w:rFonts w:hint="eastAsia"/>
                <w:lang w:eastAsia="zh-CN"/>
              </w:rPr>
              <w:t>；</w:t>
            </w:r>
          </w:p>
          <w:p>
            <w:pPr>
              <w:pStyle w:val="67"/>
              <w:keepNext w:val="0"/>
              <w:keepLines w:val="0"/>
              <w:suppressLineNumbers w:val="0"/>
              <w:spacing w:before="0" w:beforeAutospacing="0" w:after="0" w:afterAutospacing="0"/>
              <w:ind w:left="0" w:right="0"/>
              <w:rPr>
                <w:rFonts w:hint="eastAsia" w:eastAsia="宋体"/>
                <w:lang w:eastAsia="zh-CN"/>
              </w:rPr>
            </w:pPr>
            <w:r>
              <w:rPr>
                <w:rFonts w:hint="eastAsia"/>
              </w:rPr>
              <w:t>审批机关：自然资源部</w:t>
            </w:r>
            <w:r>
              <w:rPr>
                <w:rFonts w:hint="eastAsia"/>
                <w:lang w:eastAsia="zh-CN"/>
              </w:rPr>
              <w:t>；</w:t>
            </w:r>
          </w:p>
          <w:p>
            <w:pPr>
              <w:pStyle w:val="67"/>
              <w:keepNext w:val="0"/>
              <w:keepLines w:val="0"/>
              <w:suppressLineNumbers w:val="0"/>
              <w:spacing w:before="0" w:beforeAutospacing="0" w:after="0" w:afterAutospacing="0"/>
              <w:ind w:left="0" w:right="0"/>
              <w:rPr>
                <w:rFonts w:hint="eastAsia"/>
              </w:rPr>
            </w:pPr>
            <w:r>
              <w:rPr>
                <w:rFonts w:hint="eastAsia"/>
              </w:rPr>
              <w:t>审批文件名称及文号：《关于〈新疆维吾尔自治区矿产资源总体规划（2021</w:t>
            </w:r>
            <w:r>
              <w:rPr>
                <w:rFonts w:hint="eastAsia"/>
                <w:lang w:eastAsia="zh-CN"/>
              </w:rPr>
              <w:t>—</w:t>
            </w:r>
            <w:r>
              <w:rPr>
                <w:rFonts w:hint="eastAsia"/>
              </w:rPr>
              <w:t>2025年）〉的审查意见》</w:t>
            </w:r>
            <w:r>
              <w:rPr>
                <w:rFonts w:hint="eastAsia"/>
                <w:lang w:eastAsia="zh-CN"/>
              </w:rPr>
              <w:t>（</w:t>
            </w:r>
            <w:r>
              <w:rPr>
                <w:rFonts w:hint="eastAsia"/>
              </w:rPr>
              <w:t>自然资函〔2022〕1092号</w:t>
            </w:r>
            <w:r>
              <w:rPr>
                <w:rFonts w:hint="eastAsia"/>
                <w:lang w:eastAsia="zh-CN"/>
              </w:rPr>
              <w:t>）；</w:t>
            </w:r>
          </w:p>
          <w:p>
            <w:pPr>
              <w:pStyle w:val="67"/>
              <w:keepNext w:val="0"/>
              <w:keepLines w:val="0"/>
              <w:suppressLineNumbers w:val="0"/>
              <w:spacing w:before="0" w:beforeAutospacing="0" w:after="0" w:afterAutospacing="0"/>
              <w:ind w:left="0" w:right="0"/>
              <w:rPr>
                <w:rFonts w:hint="eastAsia" w:eastAsia="宋体"/>
                <w:lang w:eastAsia="zh-CN"/>
              </w:rPr>
            </w:pPr>
            <w:r>
              <w:rPr>
                <w:rFonts w:hint="eastAsia"/>
              </w:rPr>
              <w:t>规划名称：《巴音郭楞蒙古自治州矿产资源总体规划（2021</w:t>
            </w:r>
            <w:r>
              <w:rPr>
                <w:rFonts w:hint="eastAsia"/>
                <w:lang w:eastAsia="zh-CN"/>
              </w:rPr>
              <w:t>—</w:t>
            </w:r>
            <w:r>
              <w:rPr>
                <w:rFonts w:hint="eastAsia"/>
              </w:rPr>
              <w:t>2025年）》</w:t>
            </w:r>
            <w:r>
              <w:rPr>
                <w:rFonts w:hint="eastAsia"/>
                <w:lang w:eastAsia="zh-CN"/>
              </w:rPr>
              <w:t>；</w:t>
            </w:r>
          </w:p>
          <w:p>
            <w:pPr>
              <w:pStyle w:val="67"/>
              <w:keepNext w:val="0"/>
              <w:keepLines w:val="0"/>
              <w:suppressLineNumbers w:val="0"/>
              <w:spacing w:before="0" w:beforeAutospacing="0" w:after="0" w:afterAutospacing="0"/>
              <w:ind w:left="0" w:right="0"/>
              <w:rPr>
                <w:rFonts w:hint="default" w:ascii="Times New Roman" w:hAnsi="Times New Roman" w:cs="Times New Roman"/>
                <w:highlight w:val="none"/>
                <w:lang w:val="en-US" w:eastAsia="zh-CN"/>
              </w:rPr>
            </w:pPr>
            <w:r>
              <w:rPr>
                <w:rFonts w:hint="eastAsia"/>
              </w:rPr>
              <w:t>审批机关：巴州人民政府</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0"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规划环境影响</w:t>
            </w:r>
          </w:p>
          <w:p>
            <w:pPr>
              <w:pStyle w:val="58"/>
              <w:keepNext w:val="0"/>
              <w:keepLines w:val="0"/>
              <w:suppressLineNumbers w:val="0"/>
              <w:bidi w:val="0"/>
              <w:spacing w:before="0" w:beforeAutospacing="0" w:after="0" w:afterAutospacing="0"/>
              <w:ind w:left="0" w:right="0"/>
              <w:rPr>
                <w:rFonts w:hint="default"/>
              </w:rPr>
            </w:pPr>
            <w:r>
              <w:rPr>
                <w:rFonts w:hint="eastAsia"/>
              </w:rPr>
              <w:t>评价情况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jc w:val="left"/>
              <w:rPr>
                <w:rFonts w:hint="eastAsia" w:eastAsia="宋体"/>
                <w:lang w:eastAsia="zh-CN"/>
              </w:rPr>
            </w:pPr>
            <w:r>
              <w:rPr>
                <w:rFonts w:hint="eastAsia"/>
              </w:rPr>
              <w:t>规划环评文件名称：《新疆维吾尔自治区矿产资源总体规划（2021</w:t>
            </w:r>
            <w:r>
              <w:rPr>
                <w:rFonts w:hint="eastAsia"/>
                <w:lang w:eastAsia="zh-CN"/>
              </w:rPr>
              <w:t>—</w:t>
            </w:r>
            <w:r>
              <w:rPr>
                <w:rFonts w:hint="eastAsia"/>
              </w:rPr>
              <w:t>2025年）环境影响报告书》</w:t>
            </w:r>
            <w:r>
              <w:rPr>
                <w:rFonts w:hint="eastAsia"/>
                <w:lang w:eastAsia="zh-CN"/>
              </w:rPr>
              <w:t>；</w:t>
            </w:r>
          </w:p>
          <w:p>
            <w:pPr>
              <w:pStyle w:val="67"/>
              <w:keepNext w:val="0"/>
              <w:keepLines w:val="0"/>
              <w:suppressLineNumbers w:val="0"/>
              <w:spacing w:before="0" w:beforeAutospacing="0" w:after="0" w:afterAutospacing="0"/>
              <w:ind w:left="0" w:right="0"/>
              <w:jc w:val="left"/>
              <w:rPr>
                <w:rFonts w:hint="eastAsia" w:eastAsia="宋体"/>
                <w:lang w:eastAsia="zh-CN"/>
              </w:rPr>
            </w:pPr>
            <w:r>
              <w:rPr>
                <w:rFonts w:hint="eastAsia"/>
              </w:rPr>
              <w:t>审查机关：生态环境部</w:t>
            </w:r>
            <w:r>
              <w:rPr>
                <w:rFonts w:hint="eastAsia"/>
                <w:lang w:eastAsia="zh-CN"/>
              </w:rPr>
              <w:t>；</w:t>
            </w:r>
          </w:p>
          <w:p>
            <w:pPr>
              <w:pStyle w:val="58"/>
              <w:keepNext w:val="0"/>
              <w:keepLines w:val="0"/>
              <w:suppressLineNumbers w:val="0"/>
              <w:bidi w:val="0"/>
              <w:spacing w:before="0" w:beforeAutospacing="0" w:after="0" w:afterAutospacing="0"/>
              <w:ind w:left="0" w:right="0"/>
              <w:jc w:val="left"/>
              <w:rPr>
                <w:rFonts w:hint="default" w:ascii="Times New Roman" w:hAnsi="Times New Roman" w:cs="Times New Roman"/>
                <w:lang w:eastAsia="zh-CN"/>
              </w:rPr>
            </w:pPr>
            <w:r>
              <w:rPr>
                <w:rFonts w:hint="eastAsia"/>
              </w:rPr>
              <w:t>审查文件名称及文号：《关于〈新疆维吾尔自治区矿产资源总体规划（2021—2025年）环境影响报告书〉的审查意见》</w:t>
            </w:r>
            <w:r>
              <w:rPr>
                <w:rFonts w:hint="eastAsia"/>
                <w:lang w:eastAsia="zh-CN"/>
              </w:rPr>
              <w:t>（</w:t>
            </w:r>
            <w:r>
              <w:rPr>
                <w:rFonts w:hint="eastAsia"/>
              </w:rPr>
              <w:t>环审〔2022〕124号</w:t>
            </w:r>
            <w:r>
              <w:rPr>
                <w:rFonts w:hint="eastAsia"/>
                <w:lang w:eastAsia="zh-CN"/>
              </w:rPr>
              <w:t>）。</w:t>
            </w:r>
          </w:p>
        </w:tc>
      </w:tr>
    </w:tbl>
    <w:p>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kern w:val="0"/>
          <w:szCs w:val="21"/>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tbl>
      <w:tblPr>
        <w:tblStyle w:val="25"/>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740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861" w:hRule="atLeast"/>
        </w:trPr>
        <w:tc>
          <w:tcPr>
            <w:tcW w:w="1634"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7405" w:type="dxa"/>
            <w:noWrap w:val="0"/>
            <w:tcMar>
              <w:top w:w="16" w:type="dxa"/>
              <w:left w:w="16" w:type="dxa"/>
              <w:right w:w="16" w:type="dxa"/>
            </w:tcMar>
            <w:vAlign w:val="center"/>
          </w:tcPr>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表1-1</w:t>
            </w:r>
            <w:r>
              <w:rPr>
                <w:rFonts w:hint="eastAsia"/>
                <w:lang w:val="en-US" w:eastAsia="zh-CN"/>
              </w:rPr>
              <w:t xml:space="preserve">    本</w:t>
            </w:r>
            <w:r>
              <w:rPr>
                <w:rFonts w:hint="default"/>
                <w:lang w:val="en-US" w:eastAsia="zh-CN"/>
              </w:rPr>
              <w:t>项目与《新疆维吾尔自治区矿产资源总体规划（2021—2025年）》相符性分析</w:t>
            </w:r>
          </w:p>
          <w:tbl>
            <w:tblPr>
              <w:tblStyle w:val="26"/>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3"/>
              <w:gridCol w:w="270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654"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74"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2" w:hRule="atLeast"/>
                <w:jc w:val="center"/>
              </w:trPr>
              <w:tc>
                <w:tcPr>
                  <w:tcW w:w="265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val="en-US" w:eastAsia="zh-CN"/>
                    </w:rPr>
                    <w:t>落实国家能源资源安全战略，结合新疆实际，合理确定重点、限制、禁止勘查开采矿种</w:t>
                  </w:r>
                  <w:r>
                    <w:rPr>
                      <w:rFonts w:hint="eastAsia"/>
                      <w:lang w:val="en-US" w:eastAsia="zh-CN"/>
                    </w:rPr>
                    <w:t>。</w:t>
                  </w:r>
                  <w:r>
                    <w:rPr>
                      <w:rFonts w:hint="default"/>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lang w:val="en-US" w:eastAsia="zh-CN"/>
                    </w:rPr>
                    <w:t>“</w:t>
                  </w:r>
                  <w:r>
                    <w:rPr>
                      <w:rFonts w:hint="default"/>
                      <w:lang w:val="en-US" w:eastAsia="zh-CN"/>
                    </w:rPr>
                    <w:t>限粘</w:t>
                  </w:r>
                  <w:r>
                    <w:rPr>
                      <w:rFonts w:hint="eastAsia"/>
                      <w:lang w:val="en-US" w:eastAsia="zh-CN"/>
                    </w:rPr>
                    <w:t>”</w:t>
                  </w:r>
                  <w:r>
                    <w:rPr>
                      <w:rFonts w:hint="default"/>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rPr>
                    <w:t>本</w:t>
                  </w:r>
                  <w:r>
                    <w:rPr>
                      <w:rFonts w:hint="default"/>
                      <w:color w:val="auto"/>
                    </w:rPr>
                    <w:t>次地质</w:t>
                  </w:r>
                  <w:r>
                    <w:rPr>
                      <w:rFonts w:hint="eastAsia"/>
                      <w:color w:val="auto"/>
                      <w:lang w:val="en-US" w:eastAsia="zh-CN"/>
                    </w:rPr>
                    <w:t>勘探</w:t>
                  </w:r>
                  <w:r>
                    <w:rPr>
                      <w:rFonts w:hint="default"/>
                      <w:color w:val="auto"/>
                    </w:rPr>
                    <w:t>工作主要针对</w:t>
                  </w:r>
                  <w:r>
                    <w:rPr>
                      <w:rFonts w:hint="eastAsia"/>
                      <w:i w:val="0"/>
                      <w:iCs w:val="0"/>
                      <w:color w:val="auto"/>
                      <w:highlight w:val="none"/>
                      <w:lang w:val="en-US" w:eastAsia="zh-CN"/>
                    </w:rPr>
                    <w:t>铜铅矿</w:t>
                  </w:r>
                  <w:r>
                    <w:rPr>
                      <w:rFonts w:hint="default"/>
                      <w:color w:val="auto"/>
                    </w:rPr>
                    <w:t>进行勘</w:t>
                  </w:r>
                  <w:r>
                    <w:rPr>
                      <w:rFonts w:hint="eastAsia"/>
                      <w:color w:val="auto"/>
                      <w:lang w:val="en-US" w:eastAsia="zh-CN"/>
                    </w:rPr>
                    <w:t>查</w:t>
                  </w:r>
                  <w:r>
                    <w:rPr>
                      <w:rFonts w:hint="default"/>
                      <w:color w:val="auto"/>
                    </w:rPr>
                    <w:t>，</w:t>
                  </w:r>
                  <w:r>
                    <w:rPr>
                      <w:rFonts w:hint="eastAsia"/>
                      <w:color w:val="auto"/>
                      <w:lang w:val="en-US" w:eastAsia="zh-CN"/>
                    </w:rPr>
                    <w:t>为重点勘查开采矿种，不属于限制和禁止开采矿种</w:t>
                  </w:r>
                  <w:r>
                    <w:rPr>
                      <w:rFonts w:hint="default"/>
                      <w:color w:val="auto"/>
                      <w:lang w:eastAsia="zh-CN"/>
                    </w:rPr>
                    <w:t>，</w:t>
                  </w:r>
                  <w:r>
                    <w:rPr>
                      <w:rFonts w:hint="default"/>
                      <w:color w:val="auto"/>
                    </w:rPr>
                    <w:t>符合</w:t>
                  </w:r>
                  <w:r>
                    <w:rPr>
                      <w:rFonts w:hint="eastAsia"/>
                      <w:color w:val="auto"/>
                      <w:lang w:eastAsia="zh-CN"/>
                    </w:rPr>
                    <w:t>《</w:t>
                  </w:r>
                  <w:r>
                    <w:rPr>
                      <w:rFonts w:hint="default"/>
                      <w:color w:val="auto"/>
                    </w:rPr>
                    <w:t>新疆维吾尔自治区矿产资源总体规划（2021</w:t>
                  </w:r>
                  <w:r>
                    <w:rPr>
                      <w:rFonts w:hint="eastAsia"/>
                      <w:color w:val="auto"/>
                      <w:lang w:eastAsia="zh-CN"/>
                    </w:rPr>
                    <w:t>—</w:t>
                  </w:r>
                  <w:r>
                    <w:rPr>
                      <w:rFonts w:hint="default"/>
                      <w:color w:val="auto"/>
                    </w:rPr>
                    <w:t>2025年）</w:t>
                  </w:r>
                  <w:r>
                    <w:rPr>
                      <w:rFonts w:hint="eastAsia"/>
                      <w:color w:val="auto"/>
                      <w:lang w:eastAsia="zh-CN"/>
                    </w:rPr>
                    <w:t>》</w:t>
                  </w:r>
                  <w:r>
                    <w:rPr>
                      <w:rFonts w:hint="eastAsia"/>
                      <w:color w:val="auto"/>
                      <w:lang w:val="en-US" w:eastAsia="zh-CN"/>
                    </w:rPr>
                    <w:t>中的规</w:t>
                  </w:r>
                  <w:r>
                    <w:rPr>
                      <w:rFonts w:hint="eastAsia"/>
                      <w:lang w:val="en-US" w:eastAsia="zh-CN"/>
                    </w:rPr>
                    <w:t>划要求</w:t>
                  </w:r>
                  <w:r>
                    <w:rPr>
                      <w:rFonts w:hint="default"/>
                    </w:rPr>
                    <w:t>。</w:t>
                  </w:r>
                </w:p>
              </w:tc>
              <w:tc>
                <w:tcPr>
                  <w:tcW w:w="47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bl>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2    本</w:t>
            </w:r>
            <w:r>
              <w:rPr>
                <w:rFonts w:hint="default"/>
                <w:lang w:val="en-US" w:eastAsia="zh-CN"/>
              </w:rPr>
              <w:t>项目与《巴音郭楞蒙古自治州矿产资源总体规划（2021</w:t>
            </w:r>
            <w:r>
              <w:rPr>
                <w:rFonts w:hint="eastAsia"/>
                <w:lang w:val="en-US" w:eastAsia="zh-CN"/>
              </w:rPr>
              <w:t>—</w:t>
            </w:r>
            <w:r>
              <w:rPr>
                <w:rFonts w:hint="default"/>
                <w:lang w:val="en-US" w:eastAsia="zh-CN"/>
              </w:rPr>
              <w:t>2025年）》相符性分析</w:t>
            </w:r>
          </w:p>
          <w:tbl>
            <w:tblPr>
              <w:tblStyle w:val="26"/>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9" w:hRule="atLeast"/>
                <w:jc w:val="center"/>
              </w:trPr>
              <w:tc>
                <w:tcPr>
                  <w:tcW w:w="2658"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严格管控施工各环节。在满足地质勘查目的前提下，实现对地质环境的破坏最小化。项目施工时，剥离表土临时堆放，待项目结束后进行表土回填及植被恢复，尽可能地恢复施工迹地原有使用功能。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eastAsia="宋体"/>
                      <w:lang w:val="en-US" w:eastAsia="zh-CN"/>
                    </w:rPr>
                  </w:pPr>
                  <w:r>
                    <w:rPr>
                      <w:rFonts w:hint="eastAsia"/>
                      <w:lang w:val="en-US" w:eastAsia="zh-CN"/>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default" w:ascii="Times New Roman" w:hAnsi="Times New Roman" w:eastAsia="宋体" w:cs="Times New Roman"/>
                      <w:sz w:val="21"/>
                      <w:szCs w:val="21"/>
                      <w:highlight w:val="none"/>
                      <w:lang w:val="zh-CN" w:eastAsia="zh-CN"/>
                    </w:rPr>
                    <w:t>本项目按照《绿色地质勘查工作规范》要求，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w:t>
                  </w:r>
                  <w:r>
                    <w:rPr>
                      <w:rFonts w:hint="eastAsia" w:cs="Times New Roman"/>
                      <w:sz w:val="21"/>
                      <w:szCs w:val="21"/>
                      <w:highlight w:val="none"/>
                      <w:lang w:eastAsia="zh-CN"/>
                    </w:rPr>
                    <w:t>、</w:t>
                  </w:r>
                  <w:r>
                    <w:rPr>
                      <w:rFonts w:hint="eastAsia" w:cs="Times New Roman"/>
                      <w:sz w:val="21"/>
                      <w:szCs w:val="21"/>
                      <w:highlight w:val="none"/>
                      <w:lang w:val="en-US" w:eastAsia="zh-CN"/>
                    </w:rPr>
                    <w:t>钻探</w:t>
                  </w:r>
                  <w:r>
                    <w:rPr>
                      <w:rFonts w:hint="default" w:ascii="Times New Roman" w:hAnsi="Times New Roman" w:eastAsia="宋体" w:cs="Times New Roman"/>
                      <w:sz w:val="21"/>
                      <w:szCs w:val="21"/>
                      <w:highlight w:val="none"/>
                    </w:rPr>
                    <w:t>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eastAsia="zh-CN"/>
                    </w:rPr>
                    <w:t>符合</w:t>
                  </w:r>
                </w:p>
              </w:tc>
            </w:tr>
          </w:tbl>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项目与《新疆维吾尔自治区矿产资源总体规划（2021—2025年）环境影响报告书》及审查意见的符合性分析内容</w:t>
            </w:r>
          </w:p>
          <w:tbl>
            <w:tblPr>
              <w:tblStyle w:val="26"/>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4"/>
              <w:gridCol w:w="2408"/>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85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676"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85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676"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w:t>
                  </w:r>
                  <w:r>
                    <w:rPr>
                      <w:rFonts w:hint="eastAsia"/>
                      <w:lang w:val="en-US" w:eastAsia="zh-CN"/>
                    </w:rPr>
                    <w:t>不涉及</w:t>
                  </w:r>
                  <w:r>
                    <w:rPr>
                      <w:rFonts w:hint="default"/>
                    </w:rPr>
                    <w:t>生态保护红线</w:t>
                  </w:r>
                  <w:r>
                    <w:rPr>
                      <w:rFonts w:hint="eastAsia"/>
                      <w:lang w:eastAsia="zh-CN"/>
                    </w:rPr>
                    <w:t>，</w:t>
                  </w:r>
                  <w:r>
                    <w:rPr>
                      <w:rFonts w:hint="eastAsia"/>
                      <w:lang w:val="en-US" w:eastAsia="zh-CN"/>
                    </w:rPr>
                    <w:t>符合相关</w:t>
                  </w:r>
                  <w:r>
                    <w:rPr>
                      <w:rFonts w:hint="default"/>
                    </w:rPr>
                    <w:t>要求。</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285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lang w:eastAsia="zh-CN"/>
                    </w:rPr>
                    <w:t>；</w:t>
                  </w:r>
                  <w:r>
                    <w:rPr>
                      <w:rFonts w:hint="default"/>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676"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lang w:val="en-US" w:eastAsia="zh-CN"/>
                    </w:rPr>
                  </w:pPr>
                  <w:r>
                    <w:rPr>
                      <w:rFonts w:hint="eastAsia"/>
                      <w:lang w:val="en-US" w:eastAsia="zh-CN"/>
                    </w:rPr>
                    <w:t>本项目产生的生活污水经一体化污水处理设施处理后用于洒水绿化，不外排</w:t>
                  </w:r>
                  <w:r>
                    <w:rPr>
                      <w:rFonts w:hint="eastAsia"/>
                      <w:lang w:eastAsia="zh-CN"/>
                    </w:rPr>
                    <w:t>。</w:t>
                  </w:r>
                  <w:r>
                    <w:rPr>
                      <w:rFonts w:hint="eastAsia"/>
                      <w:lang w:val="en-US" w:eastAsia="zh-CN"/>
                    </w:rPr>
                    <w:t>钻井设备冲洗水经沉淀池处理后用于洒水降尘，不外排；泥浆废水经泥浆沉淀池处理后全部回用于泥浆配制、不外排，不与地表水体发生水力关系。不会影响区域水环境质量。</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85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eastAsia"/>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1676"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lang w:val="en-US" w:eastAsia="zh-CN"/>
                    </w:rPr>
                  </w:pPr>
                  <w:r>
                    <w:rPr>
                      <w:rFonts w:hint="eastAsia"/>
                      <w:lang w:val="en-US" w:eastAsia="zh-CN"/>
                    </w:rPr>
                    <w:t>本项目对应探矿权目前已过有效期，相关延续手续正在办理，和硕县自然资源局已出具《关于和硕县塔西干河西铜铅矿勘探探矿权变更延续的调查意见》（硕自然资发〔2026〕32号），文件中明确同意该探矿权办理变更延续登记手续。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6"/>
              <w:keepNext w:val="0"/>
              <w:keepLines w:val="0"/>
              <w:suppressLineNumbers w:val="0"/>
              <w:bidi w:val="0"/>
              <w:spacing w:before="0" w:beforeAutospacing="0" w:after="0" w:afterAutospacing="0"/>
              <w:ind w:left="0" w:right="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70" w:hRule="atLeast"/>
        </w:trPr>
        <w:tc>
          <w:tcPr>
            <w:tcW w:w="1634"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bookmarkStart w:id="2" w:name="_Hlk56690880"/>
            <w:r>
              <w:rPr>
                <w:rFonts w:hint="eastAsia" w:ascii="宋体" w:hAnsi="宋体" w:cs="宋体"/>
                <w:kern w:val="0"/>
                <w:szCs w:val="21"/>
              </w:rPr>
              <w:t>其他符合性分析</w:t>
            </w:r>
            <w:bookmarkEnd w:id="2"/>
          </w:p>
        </w:tc>
        <w:tc>
          <w:tcPr>
            <w:tcW w:w="7405" w:type="dxa"/>
            <w:noWrap w:val="0"/>
            <w:tcMar>
              <w:top w:w="16" w:type="dxa"/>
              <w:left w:w="16" w:type="dxa"/>
              <w:right w:w="16" w:type="dxa"/>
            </w:tcMar>
            <w:vAlign w:val="center"/>
          </w:tcPr>
          <w:p>
            <w:pPr>
              <w:pStyle w:val="50"/>
              <w:keepNext w:val="0"/>
              <w:keepLines w:val="0"/>
              <w:suppressLineNumbers w:val="0"/>
              <w:bidi w:val="0"/>
              <w:spacing w:before="0" w:beforeAutospacing="0" w:after="0" w:afterAutospacing="0"/>
              <w:ind w:left="0" w:right="0" w:firstLine="0" w:firstLineChars="0"/>
              <w:rPr>
                <w:rFonts w:hint="eastAsia" w:ascii="Times New Roman" w:hAnsi="Times New Roman"/>
                <w:lang w:val="en-US" w:eastAsia="zh-CN"/>
              </w:rPr>
            </w:pPr>
            <w:r>
              <w:rPr>
                <w:rFonts w:hint="eastAsia" w:ascii="Times New Roman" w:hAnsi="Times New Roman"/>
                <w:lang w:val="en-US" w:eastAsia="zh-CN"/>
              </w:rPr>
              <w:t>1.产业政策符合性分析</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属于陆地矿产资源地质勘查项目，项目对应探矿权目前已过有效期，相关延续手续正在办理，和硕县自然资源局已出具《关于和硕县塔西干河西铜铅矿勘探探矿权变更延续的调查意见》（硕自然资发〔2026〕32号），文件中明确同意该探矿权办理变更延续登记手续。根据《产业结构调整指导目录（2024年本）》，不属于鼓励类、限制类及淘汰类，为允许类，符合《产业结构调整指导目录（2024年本）》要求。本项目为陆地矿产资源地质勘查项目，不在《新疆维吾尔自治区28个国家重点生态功能区县（市）产业准入负面清单（试行）》产业准入负面清单的禁止类和限制类中。综上所述，本项目符合产业政策。</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2.</w:t>
            </w:r>
            <w:r>
              <w:rPr>
                <w:rFonts w:hint="eastAsia"/>
                <w:lang w:eastAsia="zh-CN"/>
              </w:rPr>
              <w:t>“</w:t>
            </w:r>
            <w:r>
              <w:rPr>
                <w:rFonts w:hint="eastAsia"/>
                <w:lang w:val="en-US" w:eastAsia="zh-CN"/>
              </w:rPr>
              <w:t>生态环境分区管控</w:t>
            </w:r>
            <w:r>
              <w:rPr>
                <w:rFonts w:hint="eastAsia"/>
                <w:lang w:eastAsia="zh-CN"/>
              </w:rPr>
              <w:t>”</w:t>
            </w:r>
            <w:r>
              <w:rPr>
                <w:rFonts w:hint="eastAsia"/>
                <w:lang w:val="en-US" w:eastAsia="zh-CN"/>
              </w:rPr>
              <w:t>要求</w:t>
            </w:r>
            <w:r>
              <w:rPr>
                <w:rFonts w:hint="default"/>
              </w:rPr>
              <w:t>符合性分析</w:t>
            </w:r>
          </w:p>
          <w:p>
            <w:pPr>
              <w:pStyle w:val="50"/>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表1-4    本项目</w:t>
            </w:r>
            <w:r>
              <w:rPr>
                <w:rFonts w:hint="default"/>
                <w:lang w:val="en-US" w:eastAsia="zh-CN"/>
              </w:rPr>
              <w:t>与《关于印发〈新疆维吾尔自治区生态环境分区管控动态更新成果〉的通知》（新环环评发〔2024〕157号）</w:t>
            </w:r>
            <w:r>
              <w:rPr>
                <w:rFonts w:hint="eastAsia"/>
                <w:lang w:val="en-US" w:eastAsia="zh-CN"/>
              </w:rPr>
              <w:t>符合性分析</w:t>
            </w:r>
          </w:p>
          <w:tbl>
            <w:tblPr>
              <w:tblStyle w:val="26"/>
              <w:tblW w:w="49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693"/>
              <w:gridCol w:w="2582"/>
              <w:gridCol w:w="2712"/>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管控要求</w:t>
                  </w:r>
                </w:p>
              </w:tc>
              <w:tc>
                <w:tcPr>
                  <w:tcW w:w="1778"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环境管理政策有关要求</w:t>
                  </w:r>
                </w:p>
              </w:tc>
              <w:tc>
                <w:tcPr>
                  <w:tcW w:w="1868"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本项目情况</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restar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A1</w:t>
                  </w:r>
                  <w:r>
                    <w:rPr>
                      <w:rFonts w:hint="eastAsia"/>
                      <w:lang w:val="en-US" w:eastAsia="zh-CN"/>
                    </w:rPr>
                    <w:t>空间布局约束</w:t>
                  </w:r>
                </w:p>
              </w:tc>
              <w:tc>
                <w:tcPr>
                  <w:tcW w:w="477" w:type="pct"/>
                  <w:vMerge w:val="restart"/>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val="en-US" w:eastAsia="zh-CN"/>
                    </w:rPr>
                    <w:t>A1.1禁止开发建设的活动</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本项目不属于</w:t>
                  </w:r>
                  <w:r>
                    <w:rPr>
                      <w:rFonts w:hint="default"/>
                    </w:rPr>
                    <w:t>《产业结构调整指导目录</w:t>
                  </w:r>
                  <w:r>
                    <w:rPr>
                      <w:rFonts w:hint="eastAsia"/>
                      <w:lang w:eastAsia="zh-CN"/>
                    </w:rPr>
                    <w:t>（</w:t>
                  </w:r>
                  <w:r>
                    <w:rPr>
                      <w:rFonts w:hint="default"/>
                    </w:rPr>
                    <w:t>2024年本</w:t>
                  </w:r>
                  <w:r>
                    <w:rPr>
                      <w:rFonts w:hint="eastAsia"/>
                      <w:lang w:eastAsia="zh-CN"/>
                    </w:rPr>
                    <w:t>）</w:t>
                  </w:r>
                  <w:r>
                    <w:rPr>
                      <w:rFonts w:hint="default"/>
                    </w:rPr>
                    <w:t>》中鼓励类、限制类和淘汰类，属于允许类；</w:t>
                  </w:r>
                  <w:r>
                    <w:rPr>
                      <w:rFonts w:hint="eastAsia"/>
                      <w:lang w:val="en-US" w:eastAsia="zh-CN"/>
                    </w:rPr>
                    <w:t>本项目也不属于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符合国家产业政策</w:t>
                  </w:r>
                  <w:r>
                    <w:rPr>
                      <w:rFonts w:hint="eastAsia"/>
                      <w:lang w:eastAsia="zh-CN"/>
                    </w:rPr>
                    <w:t>。</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continue"/>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p>
              </w:tc>
              <w:tc>
                <w:tcPr>
                  <w:tcW w:w="477" w:type="pct"/>
                  <w:vMerge w:val="continue"/>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〔A1.1-</w:t>
                  </w:r>
                  <w:r>
                    <w:rPr>
                      <w:rFonts w:hint="eastAsia"/>
                      <w:lang w:val="en-US" w:eastAsia="zh-CN"/>
                    </w:rPr>
                    <w:t>4</w:t>
                  </w:r>
                  <w:r>
                    <w:rPr>
                      <w:rFonts w:hint="default"/>
                      <w:lang w:val="en-US" w:eastAsia="zh-CN"/>
                    </w:rPr>
                    <w:t>〕</w:t>
                  </w:r>
                  <w:r>
                    <w:rPr>
                      <w:rFonts w:hint="eastAsia"/>
                      <w:lang w:val="en-US" w:eastAsia="zh-CN"/>
                    </w:rPr>
                    <w:t>禁止在水源涵养区、地下水源、饮用水源、自然保护区、风景名胜区、森林公园、重要湿地及人群密集区等生态敏感区域内进行煤炭、石油、天然气开发。</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位于新疆维吾尔自治区巴音郭楞蒙古自治州和硕县城东北27°方向，直线距离47千米处，不涉及水源涵养区、地下水源、饮用水源、自然保护区、风景名胜区、森林公园、重要湿地及人群密集区等生态敏感区域。本项目勘探以铜铅矿为主攻矿种</w:t>
                  </w:r>
                  <w:r>
                    <w:rPr>
                      <w:rFonts w:hint="eastAsia"/>
                      <w:lang w:eastAsia="zh-CN"/>
                    </w:rPr>
                    <w:t>，</w:t>
                  </w:r>
                  <w:r>
                    <w:rPr>
                      <w:rFonts w:hint="eastAsia"/>
                      <w:lang w:val="en-US" w:eastAsia="zh-CN"/>
                    </w:rPr>
                    <w:t>不涉及煤炭、石油、天然气开发，符合相关要求。</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A2污染物排放管控</w:t>
                  </w:r>
                </w:p>
              </w:tc>
              <w:tc>
                <w:tcPr>
                  <w:tcW w:w="477"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val="en-US" w:eastAsia="zh-CN"/>
                    </w:rPr>
                    <w:t>A2</w:t>
                  </w:r>
                  <w:r>
                    <w:rPr>
                      <w:rFonts w:hint="eastAsia"/>
                      <w:lang w:val="en-US" w:eastAsia="zh-CN"/>
                    </w:rPr>
                    <w:t>.2污染控制措施要求</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w:t>
                  </w:r>
                  <w:r>
                    <w:rPr>
                      <w:rFonts w:hint="eastAsia"/>
                      <w:lang w:val="en-US" w:eastAsia="zh-CN"/>
                    </w:rPr>
                    <w:t>2</w:t>
                  </w:r>
                  <w:r>
                    <w:rPr>
                      <w:rFonts w:hint="default"/>
                      <w:lang w:val="en-US" w:eastAsia="zh-CN"/>
                    </w:rPr>
                    <w:t>.</w:t>
                  </w:r>
                  <w:r>
                    <w:rPr>
                      <w:rFonts w:hint="eastAsia"/>
                      <w:lang w:val="en-US" w:eastAsia="zh-CN"/>
                    </w:rPr>
                    <w:t>2</w:t>
                  </w:r>
                  <w:r>
                    <w:rPr>
                      <w:rFonts w:hint="default"/>
                      <w:lang w:val="en-US" w:eastAsia="zh-CN"/>
                    </w:rPr>
                    <w:t>-4〕</w:t>
                  </w:r>
                  <w:r>
                    <w:rPr>
                      <w:rFonts w:hint="eastAsia"/>
                      <w:lang w:val="en-US" w:eastAsia="zh-CN"/>
                    </w:rPr>
                    <w:t>强化用水定额管理。推进地下水超采综合治理。开展河湖生态流量（水量）确定工作，强化生态用水保障。</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项目用水定期从附近</w:t>
                  </w:r>
                  <w:r>
                    <w:rPr>
                      <w:rFonts w:hint="eastAsia"/>
                      <w:lang w:val="en-US" w:eastAsia="zh-CN"/>
                    </w:rPr>
                    <w:t>乡镇</w:t>
                  </w:r>
                  <w:r>
                    <w:rPr>
                      <w:rFonts w:hint="default"/>
                      <w:lang w:val="en-US" w:eastAsia="zh-CN"/>
                    </w:rPr>
                    <w:t>拉运。项目采用较为先进的地质勘查技术，勘探过程中水耗不超过国家要求。产生的生活污水排入一体化污水处理设施处理达标后，用于洒水绿化，不外排；钻井设备冲洗水经沉淀池处理后</w:t>
                  </w:r>
                  <w:r>
                    <w:rPr>
                      <w:rFonts w:hint="eastAsia"/>
                      <w:lang w:val="en-US" w:eastAsia="zh-CN"/>
                    </w:rPr>
                    <w:t>用于洒水降尘，不外排</w:t>
                  </w:r>
                  <w:r>
                    <w:rPr>
                      <w:rFonts w:hint="default"/>
                      <w:lang w:val="en-US" w:eastAsia="zh-CN"/>
                    </w:rPr>
                    <w:t>；泥浆废水经泥浆沉淀池处理后全部回用于泥浆配制，不外排，不与地表水体发生水力关系，不会影响区域水环境质量。</w:t>
                  </w:r>
                  <w:r>
                    <w:rPr>
                      <w:rFonts w:hint="eastAsia"/>
                      <w:lang w:val="en-US" w:eastAsia="zh-CN"/>
                    </w:rPr>
                    <w:t>符合相关要求</w:t>
                  </w:r>
                  <w:r>
                    <w:rPr>
                      <w:rFonts w:hint="default"/>
                      <w:lang w:val="en-US" w:eastAsia="zh-CN"/>
                    </w:rPr>
                    <w:t>。</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A3环境风险防控</w:t>
                  </w:r>
                </w:p>
              </w:tc>
              <w:tc>
                <w:tcPr>
                  <w:tcW w:w="477"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A3.2联防联控要求</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shd w:val="clear" w:color="auto" w:fill="auto"/>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A4资源利用要求</w:t>
                  </w:r>
                </w:p>
              </w:tc>
              <w:tc>
                <w:tcPr>
                  <w:tcW w:w="477" w:type="pct"/>
                  <w:shd w:val="clear" w:color="auto" w:fill="auto"/>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A4.5资源综合利用</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槽探产生的土石方就近堆存并覆盖彩布条，在勘探期结束后全部回填至开挖地，钻探岩心交至单位统一保管，岩屑用于回填，泥浆固化后拉运至一般固废处置单位统一处理，沉淀池沉渣就地掩埋；生活营地内设置一定数量的垃圾桶，用于临时存放生活垃圾，统一收集后送至和硕县垃圾填埋场，符合相关要求。</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2.2《巴音郭楞蒙古自治州“三线一单”生态环境分区管控动态更新成果（2023年）》（巴政办发〔2024〕32号）符合性分析</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本工程建设地点位于新疆维吾尔自治区巴音郭楞蒙古自治州和硕县</w:t>
            </w:r>
            <w:r>
              <w:rPr>
                <w:rFonts w:hint="eastAsia"/>
                <w:lang w:eastAsia="zh-CN"/>
              </w:rPr>
              <w:t>，</w:t>
            </w:r>
            <w:r>
              <w:rPr>
                <w:rFonts w:hint="eastAsia"/>
                <w:lang w:val="en-US" w:eastAsia="zh-CN"/>
              </w:rPr>
              <w:t>根据《巴音郭楞蒙古自治州“三线一单”生态环境分区管控动态更新成果（2023年）》（巴政办发〔2024〕32号）可知，本项目涉及重点管控单元（和硕县大气布局敏感区</w:t>
            </w:r>
            <w:r>
              <w:rPr>
                <w:rFonts w:hint="default"/>
                <w:lang w:val="en-US" w:eastAsia="zh-CN"/>
              </w:rPr>
              <w:t>ZH65282820001</w:t>
            </w:r>
            <w:r>
              <w:rPr>
                <w:rFonts w:hint="eastAsia"/>
                <w:lang w:val="en-US" w:eastAsia="zh-CN"/>
              </w:rPr>
              <w:t>），环境管控单元管控要求详见下表。</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表1-5    本项目与《巴音郭楞蒙古自治州“三线一单”生态环境分区管控动态更新成果（2023年）》（巴政办发〔2024〕32号）符合性分析</w:t>
            </w:r>
          </w:p>
          <w:tbl>
            <w:tblPr>
              <w:tblStyle w:val="26"/>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735"/>
              <w:gridCol w:w="2497"/>
              <w:gridCol w:w="2701"/>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lang w:val="en-US" w:eastAsia="zh-CN"/>
                    </w:rPr>
                    <w:t>环境管控单元编码</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default"/>
                      <w:lang w:val="en-US" w:eastAsia="zh-CN"/>
                    </w:rPr>
                    <w:t>ZH65282820001</w:t>
                  </w:r>
                </w:p>
              </w:tc>
              <w:tc>
                <w:tcPr>
                  <w:tcW w:w="2701" w:type="dxa"/>
                  <w:vMerge w:val="restart"/>
                  <w:noWrap w:val="0"/>
                  <w:vAlign w:val="center"/>
                </w:tcPr>
                <w:p>
                  <w:pPr>
                    <w:pStyle w:val="58"/>
                    <w:keepNext w:val="0"/>
                    <w:keepLines w:val="0"/>
                    <w:suppressLineNumbers w:val="0"/>
                    <w:bidi w:val="0"/>
                    <w:spacing w:before="0" w:beforeAutospacing="0" w:after="0" w:afterAutospacing="0"/>
                    <w:ind w:left="0" w:right="0"/>
                    <w:jc w:val="center"/>
                    <w:rPr>
                      <w:rFonts w:hint="default"/>
                    </w:rPr>
                  </w:pPr>
                  <w:r>
                    <w:rPr>
                      <w:rFonts w:hint="eastAsia"/>
                      <w:lang w:val="en-US" w:eastAsia="zh-CN"/>
                    </w:rPr>
                    <w:t>本工程情况</w:t>
                  </w:r>
                </w:p>
              </w:tc>
              <w:tc>
                <w:tcPr>
                  <w:tcW w:w="690" w:type="dxa"/>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lang w:val="en-US" w:eastAsia="zh-CN"/>
                    </w:rPr>
                    <w:t>环境管控单元名称</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jc w:val="both"/>
                    <w:rPr>
                      <w:rFonts w:hint="eastAsia" w:ascii="Times New Roman" w:hAnsi="Times New Roman" w:eastAsia="宋体" w:cs="Times New Roman"/>
                      <w:kern w:val="2"/>
                      <w:sz w:val="21"/>
                      <w:szCs w:val="21"/>
                      <w:lang w:val="en-US" w:eastAsia="zh-CN" w:bidi="ar-SA"/>
                    </w:rPr>
                  </w:pPr>
                  <w:r>
                    <w:rPr>
                      <w:rFonts w:hint="eastAsia"/>
                      <w:lang w:val="en-US" w:eastAsia="zh-CN"/>
                    </w:rPr>
                    <w:t>和硕县大气布局敏感区</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jc w:val="both"/>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t>环境管控单元类别</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重点管控单元</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jc w:val="both"/>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管控要求</w:t>
                  </w: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空间布局约束</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1.严格建设项目节能环保准入，涉及大气污染物排放的，执行国家大气污染物排放限值，待地方大气污染物排放标准出台后一并执行。</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2.禁止引进国家和自治区明令禁止或淘汰的产业及工艺、园区规划的项目；引进符合国家产业政策和清洁生产要求的、采用先进生产工艺和设备的、自动化程度高的、具有可靠先进的污染治理技术的生产项目。</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eastAsia"/>
                      <w:lang w:eastAsia="zh-CN"/>
                    </w:rPr>
                  </w:pPr>
                  <w:r>
                    <w:rPr>
                      <w:rFonts w:hint="eastAsia"/>
                      <w:lang w:val="en-US" w:eastAsia="zh-CN"/>
                    </w:rPr>
                    <w:t>本项目为勘查项目，勘查过程中产生的粉尘执行</w:t>
                  </w:r>
                  <w:r>
                    <w:rPr>
                      <w:rFonts w:hint="default"/>
                    </w:rPr>
                    <w:t>《大气污染物综合排放标准》（GB16297-1996）无组织排放限值</w:t>
                  </w:r>
                  <w:r>
                    <w:rPr>
                      <w:rFonts w:hint="eastAsia"/>
                      <w:lang w:eastAsia="zh-CN"/>
                    </w:rPr>
                    <w:t>。</w:t>
                  </w:r>
                </w:p>
                <w:p>
                  <w:pPr>
                    <w:pStyle w:val="58"/>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本项目为陆地矿产资源地质勘查项目，不涉及国家和自治区明令禁止或淘汰的产业及工艺。</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污染物排放管控</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1.执行环境空气质量二级标准。</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2.严格实施污染物总量控制和排污许可证制度，严格落实大气主要污染物排放总量控制，实现区域污染物减排目标。加强环境监管工作，严格执行建设项目环境保护“三同时”制度，所有新建项目必须实现污染物达标排放才能允许生产，从源头上控制污染物的排放。</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3.协同控制温室气体排放。按照国家统一要求，逐步开展对温室气体排放源的监测和监管。</w:t>
                  </w:r>
                </w:p>
              </w:tc>
              <w:tc>
                <w:tcPr>
                  <w:tcW w:w="2701"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default"/>
                    </w:rPr>
                    <w:t>项目所在区域环境空气功能区划为二类区，执行《环境空气质量标准》（GB3095</w:t>
                  </w:r>
                  <w:r>
                    <w:rPr>
                      <w:rFonts w:hint="eastAsia"/>
                      <w:lang w:val="en-US" w:eastAsia="zh-CN"/>
                    </w:rPr>
                    <w:t>-</w:t>
                  </w:r>
                  <w:r>
                    <w:rPr>
                      <w:rFonts w:hint="default"/>
                    </w:rPr>
                    <w:t>2026）二级标准。通过采用符合国标排放标准的施工机械、洒水抑尘、物料篷布覆盖等措施，确保颗粒物浓度满足《大气污染物综合排放标准》（GB16297-1996）无组织排放限值，区域环境空气质量不受明显影响，可稳定达到二级标准要求。</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环境风险防控</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合理规划居住区与工业功能区，在居住区和工业区、工业企业之间设置防护绿化隔离带。</w:t>
                  </w:r>
                </w:p>
              </w:tc>
              <w:tc>
                <w:tcPr>
                  <w:tcW w:w="2701" w:type="dxa"/>
                  <w:noWrap w:val="0"/>
                  <w:vAlign w:val="center"/>
                </w:tcPr>
                <w:p>
                  <w:pPr>
                    <w:pStyle w:val="58"/>
                    <w:keepNext w:val="0"/>
                    <w:keepLines w:val="0"/>
                    <w:suppressLineNumbers w:val="0"/>
                    <w:bidi w:val="0"/>
                    <w:spacing w:before="0" w:beforeAutospacing="0" w:after="0" w:afterAutospacing="0"/>
                    <w:ind w:left="0" w:right="0"/>
                    <w:jc w:val="center"/>
                    <w:rPr>
                      <w:rFonts w:hint="default" w:eastAsia="宋体"/>
                      <w:lang w:val="en-US" w:eastAsia="zh-CN"/>
                    </w:rPr>
                  </w:pPr>
                  <w:r>
                    <w:rPr>
                      <w:rFonts w:hint="eastAsia"/>
                      <w:lang w:val="en-US" w:eastAsia="zh-CN"/>
                    </w:rPr>
                    <w:t>不适用上述要求。</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资源利用效率</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大力发展循环经济，推广高效绿色适用技术，降低污染物排放强度。</w:t>
                  </w:r>
                </w:p>
              </w:tc>
              <w:tc>
                <w:tcPr>
                  <w:tcW w:w="2701"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eastAsia="宋体"/>
                      <w:lang w:val="en-US" w:eastAsia="zh-CN"/>
                    </w:rPr>
                  </w:pPr>
                  <w:r>
                    <w:rPr>
                      <w:rFonts w:hint="eastAsia"/>
                      <w:lang w:val="en-US" w:eastAsia="zh-CN"/>
                    </w:rPr>
                    <w:t>本项目属于绿色勘查类探矿项目，全过程严格落实《绿色地质勘查工作规范》。</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环境管理政策</w:t>
            </w:r>
            <w:r>
              <w:rPr>
                <w:rFonts w:hint="eastAsia"/>
                <w:lang w:val="en-US" w:eastAsia="zh-CN"/>
              </w:rPr>
              <w:t>、环境保护规划</w:t>
            </w:r>
            <w:r>
              <w:rPr>
                <w:rFonts w:hint="default"/>
                <w:lang w:val="en-US" w:eastAsia="zh-CN"/>
              </w:rPr>
              <w:t>相符性分析</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default"/>
              </w:rPr>
              <w:t>《新疆维吾尔自治区重点行业生态环境准入条件（2024年）》符合性分析</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ascii="Times New Roman" w:hAnsi="Times New Roman" w:eastAsia="宋体" w:cs="宋体"/>
                <w:kern w:val="0"/>
                <w:sz w:val="24"/>
                <w:szCs w:val="24"/>
                <w:lang w:val="en-US" w:eastAsia="zh-CN" w:bidi="ar-SA"/>
              </w:rPr>
              <w:t>（2）</w:t>
            </w:r>
            <w:r>
              <w:rPr>
                <w:rFonts w:hint="eastAsia"/>
              </w:rPr>
              <w:t>《新疆生态环境保护“十四五”规划》符合性分析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keepNext w:val="0"/>
              <w:keepLines w:val="0"/>
              <w:suppressLineNumbers w:val="0"/>
              <w:bidi w:val="0"/>
              <w:spacing w:before="0" w:beforeAutospacing="0" w:after="0" w:afterAutospacing="0"/>
              <w:ind w:left="0" w:right="0"/>
              <w:jc w:val="both"/>
              <w:rPr>
                <w:rFonts w:hint="eastAsia"/>
                <w:lang w:eastAsia="zh-CN"/>
              </w:rPr>
            </w:pPr>
            <w:r>
              <w:rPr>
                <w:rFonts w:hint="eastAsia"/>
                <w:lang w:eastAsia="zh-CN"/>
              </w:rPr>
              <w:t>本项目为陆地矿产资源地质勘查项目，项目所属探矿权现已届满，探矿权变更延续相关手续正在办理阶段；和硕县自然资源局已出具《关于和硕县塔西干河西铜铅矿勘探探矿权变更延续的调查意见》（硕自然资发〔2026〕3</w:t>
            </w:r>
            <w:r>
              <w:rPr>
                <w:rFonts w:hint="eastAsia"/>
                <w:lang w:val="en-US" w:eastAsia="zh-CN"/>
              </w:rPr>
              <w:t>2</w:t>
            </w:r>
            <w:r>
              <w:rPr>
                <w:rFonts w:hint="eastAsia"/>
                <w:lang w:eastAsia="zh-CN"/>
              </w:rPr>
              <w:t>号），文件明确同意该探矿权办理变更延续登记手续。在探矿权范围内开展勘探活动，项目用地不在生态保护红线内，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3</w:t>
            </w:r>
            <w:r>
              <w:rPr>
                <w:rFonts w:hint="eastAsia"/>
                <w:lang w:eastAsia="zh-CN"/>
              </w:rPr>
              <w:t>）《矿山生态环境保护与污染防治技术政策》符合性分析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本项目属于矿产资源勘查项目，</w:t>
            </w:r>
            <w:r>
              <w:rPr>
                <w:rFonts w:hint="eastAsia"/>
                <w:highlight w:val="none"/>
                <w:lang w:val="en-US" w:eastAsia="zh-CN"/>
              </w:rPr>
              <w:t>槽探</w:t>
            </w:r>
            <w:r>
              <w:rPr>
                <w:rFonts w:hint="eastAsia"/>
                <w:highlight w:val="none"/>
                <w:lang w:eastAsia="zh-CN"/>
              </w:rPr>
              <w:t>开挖过程中同步采集勘探样品并外运留存，开挖土方临时堆置于探槽一侧，采用</w:t>
            </w:r>
            <w:r>
              <w:rPr>
                <w:rFonts w:hint="eastAsia"/>
                <w:highlight w:val="none"/>
                <w:lang w:val="en-US" w:eastAsia="zh-CN"/>
              </w:rPr>
              <w:t>彩布条</w:t>
            </w:r>
            <w:r>
              <w:rPr>
                <w:rFonts w:hint="eastAsia"/>
                <w:highlight w:val="none"/>
                <w:lang w:eastAsia="zh-CN"/>
              </w:rPr>
              <w:t>苫盖防护；</w:t>
            </w:r>
            <w:r>
              <w:rPr>
                <w:rFonts w:hint="eastAsia"/>
                <w:lang w:val="en-US" w:eastAsia="zh-CN"/>
              </w:rPr>
              <w:t>钻探结束后岩心交至单位统一保管，岩屑用于回填封孔；泥浆固化后送至一般固废处置单位统一处理，沉淀池沉渣就地掩埋。</w:t>
            </w:r>
            <w:r>
              <w:rPr>
                <w:rFonts w:hint="eastAsia"/>
                <w:highlight w:val="none"/>
                <w:lang w:eastAsia="zh-CN"/>
              </w:rPr>
              <w:t>无弃土产生，可有效防治水土流失，</w:t>
            </w:r>
            <w:r>
              <w:rPr>
                <w:rFonts w:hint="eastAsia"/>
                <w:lang w:eastAsia="zh-CN"/>
              </w:rPr>
              <w:t>对周边环境影响较小。符合《矿山生态环境保护与污染防治技术政策》的要求。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4</w:t>
            </w:r>
            <w:r>
              <w:rPr>
                <w:rFonts w:hint="eastAsia"/>
                <w:lang w:eastAsia="zh-CN"/>
              </w:rPr>
              <w:t>）自然资源部、国家林草局《关于〈在新一轮找矿突破战略行动中全面实施绿色勘查〉的通知》符合性分析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施工产生的坑、沟等，严格按照森林、草原、湿地、防沙治沙有关法律法规和标准规范在规定时间内做好复绿、复植等。</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槽探、钻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5</w:t>
            </w:r>
            <w:r>
              <w:rPr>
                <w:rFonts w:hint="eastAsia"/>
                <w:lang w:eastAsia="zh-CN"/>
              </w:rPr>
              <w:t>）《巴音郭楞蒙古自治州生态环境“十四五”规划》符合性分析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严格执行能源、矿产资源开发自治区人民政府“一支笔”审批制度、环境保护“一票否决”制度，守住生态保护红线、环境质量底线和自然资源利用上线。本项目已依法取得探矿权，在探矿权属范围内开展勘探活动，项目用地不在生态保护红线内，符合《巴音郭楞蒙古自治州生态环境“十四五”规划》的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（6）《新疆维吾尔自治区2025年空气质量持续改善行动实施方案》（新政办发〔2024〕58号）符合性分析。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本项目属于矿产资源勘查项目，不涉及矿产资源的开采，勘探区采用了边开挖、边回填、边复垦的勘探方式，</w:t>
            </w:r>
            <w:r>
              <w:rPr>
                <w:rFonts w:hint="eastAsia"/>
                <w:highlight w:val="none"/>
                <w:lang w:val="en-US" w:eastAsia="zh-CN"/>
              </w:rPr>
              <w:t>项目区属于非沙化土地，在勘查过程中加强防沙治沙工作，防止从非沙化土地转变为沙化土地。</w:t>
            </w:r>
          </w:p>
          <w:p>
            <w:pPr>
              <w:pStyle w:val="48"/>
              <w:keepNext w:val="0"/>
              <w:keepLines w:val="0"/>
              <w:numPr>
                <w:ilvl w:val="0"/>
                <w:numId w:val="0"/>
              </w:numPr>
              <w:suppressLineNumbers w:val="0"/>
              <w:bidi w:val="0"/>
              <w:spacing w:before="0" w:beforeAutospacing="0" w:after="0" w:afterAutospacing="0"/>
              <w:ind w:left="0" w:leftChars="0" w:right="0" w:rightChars="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7</w:t>
            </w:r>
            <w:r>
              <w:rPr>
                <w:rFonts w:hint="eastAsia" w:ascii="Times New Roman" w:hAnsi="Times New Roman" w:eastAsia="宋体" w:cs="宋体"/>
                <w:kern w:val="0"/>
                <w:sz w:val="24"/>
                <w:szCs w:val="24"/>
                <w:lang w:val="en-US" w:eastAsia="zh-CN" w:bidi="ar-SA"/>
              </w:rPr>
              <w:t>）</w:t>
            </w:r>
            <w:r>
              <w:rPr>
                <w:rFonts w:hint="eastAsia"/>
                <w:lang w:val="en-US" w:eastAsia="zh-CN"/>
              </w:rPr>
              <w:t>《绿色地质勘查工作规范》（DZ/T0374-2021）符合性分析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本项目在勘查工作前对工作人员进行绿色勘查培训，在勘查过程中加强监督管理，提高勘查水平，本着谁施工、谁恢复、谁治理的原则。勘查完成后，对所破坏的环境进行恢复治理，符合绿色地质勘查工作规范。</w:t>
            </w: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default"/>
                <w:lang w:val="en-US" w:eastAsia="zh-CN"/>
              </w:rPr>
            </w:pPr>
          </w:p>
        </w:tc>
      </w:tr>
    </w:tbl>
    <w:p>
      <w:pPr>
        <w:spacing w:line="360" w:lineRule="auto"/>
        <w:outlineLvl w:val="0"/>
        <w:rPr>
          <w:rFonts w:eastAsia="黑体"/>
          <w:sz w:val="30"/>
        </w:rPr>
        <w:sectPr>
          <w:footerReference r:id="rId8" w:type="default"/>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8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地理位置</w:t>
            </w:r>
          </w:p>
        </w:tc>
        <w:tc>
          <w:tcPr>
            <w:tcW w:w="7812" w:type="dxa"/>
            <w:noWrap w:val="0"/>
            <w:vAlign w:val="center"/>
          </w:tcPr>
          <w:p>
            <w:pPr>
              <w:pStyle w:val="48"/>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w:t>
            </w:r>
            <w:r>
              <w:rPr>
                <w:rFonts w:hint="eastAsia"/>
              </w:rPr>
              <w:t>位于</w:t>
            </w:r>
            <w:r>
              <w:rPr>
                <w:rFonts w:hint="eastAsia"/>
                <w:lang w:val="en-US" w:eastAsia="zh-CN"/>
              </w:rPr>
              <w:t>新疆维吾尔自治区巴音郭楞蒙古自治州和硕县城东北27°方向，直线距离47千米处</w:t>
            </w:r>
            <w:r>
              <w:rPr>
                <w:rFonts w:hint="eastAsia"/>
              </w:rPr>
              <w:t>，中心点坐标（CGCS2000坐标系）：</w:t>
            </w:r>
            <w:r>
              <w:rPr>
                <w:rFonts w:hint="default"/>
              </w:rPr>
              <w:t>东经</w:t>
            </w:r>
            <w:r>
              <w:rPr>
                <w:rFonts w:hint="default" w:ascii="Times New Roman" w:hAnsi="Times New Roman" w:cs="Times New Roman"/>
                <w:lang w:val="en-US" w:eastAsia="zh-CN"/>
              </w:rPr>
              <w:t>87°9′1.994″</w:t>
            </w:r>
            <w:r>
              <w:rPr>
                <w:rFonts w:hint="default"/>
                <w:lang w:val="en-US" w:eastAsia="zh-CN"/>
              </w:rPr>
              <w:t>，</w:t>
            </w:r>
            <w:r>
              <w:rPr>
                <w:rFonts w:hint="default"/>
              </w:rPr>
              <w:t>北纬</w:t>
            </w:r>
            <w:r>
              <w:rPr>
                <w:rFonts w:hint="default" w:ascii="Times New Roman" w:hAnsi="Times New Roman" w:cs="Times New Roman"/>
                <w:lang w:val="en-US" w:eastAsia="zh-CN"/>
              </w:rPr>
              <w:t>42°41′12.898″</w:t>
            </w:r>
            <w:r>
              <w:rPr>
                <w:rFonts w:hint="default"/>
              </w:rPr>
              <w:t>。工作区面积</w:t>
            </w:r>
            <w:r>
              <w:rPr>
                <w:rFonts w:hint="eastAsia"/>
                <w:lang w:val="en-US" w:eastAsia="zh-CN"/>
              </w:rPr>
              <w:t>15.8052平方公里</w:t>
            </w:r>
            <w:r>
              <w:rPr>
                <w:rFonts w:hint="eastAsia"/>
                <w:lang w:eastAsia="zh-CN"/>
              </w:rPr>
              <w:t>，</w:t>
            </w:r>
            <w:r>
              <w:rPr>
                <w:rFonts w:hint="eastAsia"/>
              </w:rPr>
              <w:t>行政区划隶属于</w:t>
            </w:r>
            <w:r>
              <w:rPr>
                <w:rFonts w:hint="eastAsia"/>
                <w:lang w:val="en-US" w:eastAsia="zh-CN"/>
              </w:rPr>
              <w:t>和硕</w:t>
            </w:r>
            <w:r>
              <w:rPr>
                <w:rFonts w:hint="eastAsia"/>
              </w:rPr>
              <w:t>县管辖。</w:t>
            </w:r>
            <w:r>
              <w:rPr>
                <w:rFonts w:hint="eastAsia"/>
                <w:lang w:val="en-US" w:eastAsia="zh-CN"/>
              </w:rPr>
              <w:t>勘探区范围由6个拐点圈定，拐点坐标见表2-1。</w:t>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表2-1    勘探</w:t>
            </w:r>
            <w:r>
              <w:rPr>
                <w:rFonts w:hint="eastAsia"/>
              </w:rPr>
              <w:t>区范围拐点坐标表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521"/>
              <w:gridCol w:w="2366"/>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r>
                    <w:rPr>
                      <w:rFonts w:hint="default" w:ascii="Times New Roman" w:hAnsi="Times New Roman" w:cs="Times New Roman"/>
                      <w:highlight w:val="none"/>
                    </w:rPr>
                    <w:t>点号</w:t>
                  </w:r>
                </w:p>
              </w:tc>
              <w:tc>
                <w:tcPr>
                  <w:tcW w:w="3222" w:type="pct"/>
                  <w:gridSpan w:val="2"/>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r>
                    <w:rPr>
                      <w:rFonts w:hint="default" w:ascii="Times New Roman" w:hAnsi="Times New Roman" w:cs="Times New Roman"/>
                      <w:highlight w:val="none"/>
                    </w:rPr>
                    <w:t>2000国家大地坐标系</w:t>
                  </w:r>
                </w:p>
              </w:tc>
              <w:tc>
                <w:tcPr>
                  <w:tcW w:w="1313" w:type="pct"/>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r>
                    <w:rPr>
                      <w:rFonts w:hint="default" w:ascii="Times New Roman" w:hAnsi="Times New Roman" w:cs="Times New Roman"/>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p>
              </w:tc>
              <w:tc>
                <w:tcPr>
                  <w:tcW w:w="1662" w:type="pct"/>
                  <w:tcBorders>
                    <w:tl2br w:val="nil"/>
                    <w:tr2bl w:val="nil"/>
                  </w:tcBorders>
                  <w:noWrap/>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cs="Times New Roman"/>
                      <w:highlight w:val="none"/>
                    </w:rPr>
                  </w:pPr>
                  <w:r>
                    <w:rPr>
                      <w:rFonts w:hint="default" w:ascii="Times New Roman" w:hAnsi="Times New Roman" w:cs="Times New Roman"/>
                      <w:highlight w:val="none"/>
                    </w:rPr>
                    <w:t>经度</w:t>
                  </w:r>
                </w:p>
              </w:tc>
              <w:tc>
                <w:tcPr>
                  <w:tcW w:w="1560" w:type="pct"/>
                  <w:tcBorders>
                    <w:tl2br w:val="nil"/>
                    <w:tr2bl w:val="nil"/>
                  </w:tcBorders>
                  <w:noWrap/>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cs="Times New Roman"/>
                      <w:highlight w:val="none"/>
                    </w:rPr>
                  </w:pPr>
                  <w:r>
                    <w:rPr>
                      <w:rFonts w:hint="default" w:ascii="Times New Roman" w:hAnsi="Times New Roman" w:cs="Times New Roman"/>
                      <w:highlight w:val="none"/>
                    </w:rPr>
                    <w:t>纬度</w:t>
                  </w:r>
                </w:p>
              </w:tc>
              <w:tc>
                <w:tcPr>
                  <w:tcW w:w="1313"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highlight w:val="none"/>
                      <w:lang w:eastAsia="zh-CN"/>
                    </w:rPr>
                  </w:pPr>
                  <w:r>
                    <w:rPr>
                      <w:rFonts w:hint="default" w:ascii="Times New Roman" w:hAnsi="Times New Roman" w:cs="Times New Roman"/>
                      <w:highlight w:val="none"/>
                      <w:lang w:val="en-US" w:eastAsia="zh-CN"/>
                    </w:rPr>
                    <w:t>1</w:t>
                  </w:r>
                </w:p>
              </w:tc>
              <w:tc>
                <w:tcPr>
                  <w:tcW w:w="1662"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default" w:ascii="Times New Roman" w:hAnsi="Times New Roman" w:cs="Times New Roman"/>
                    </w:rPr>
                    <w:t>87°08</w:t>
                  </w:r>
                  <w:r>
                    <w:rPr>
                      <w:rFonts w:hint="default" w:ascii="Times New Roman" w:hAnsi="Times New Roman" w:cs="Times New Roman"/>
                      <w:lang w:eastAsia="zh-CN"/>
                    </w:rPr>
                    <w:t>′</w:t>
                  </w:r>
                  <w:r>
                    <w:rPr>
                      <w:rFonts w:hint="default" w:ascii="Times New Roman" w:hAnsi="Times New Roman" w:cs="Times New Roman"/>
                    </w:rPr>
                    <w:t>09.000</w:t>
                  </w:r>
                  <w:r>
                    <w:rPr>
                      <w:rFonts w:hint="default" w:ascii="Times New Roman" w:hAnsi="Times New Roman" w:cs="Times New Roman"/>
                      <w:lang w:eastAsia="zh-CN"/>
                    </w:rPr>
                    <w:t>″</w:t>
                  </w:r>
                </w:p>
              </w:tc>
              <w:tc>
                <w:tcPr>
                  <w:tcW w:w="1560"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default" w:ascii="Times New Roman" w:hAnsi="Times New Roman" w:cs="Times New Roman"/>
                    </w:rPr>
                    <w:t>42°42</w:t>
                  </w:r>
                  <w:r>
                    <w:rPr>
                      <w:rFonts w:hint="default" w:ascii="Times New Roman" w:hAnsi="Times New Roman" w:cs="Times New Roman"/>
                      <w:lang w:eastAsia="zh-CN"/>
                    </w:rPr>
                    <w:t>′</w:t>
                  </w:r>
                  <w:r>
                    <w:rPr>
                      <w:rFonts w:hint="default" w:ascii="Times New Roman" w:hAnsi="Times New Roman" w:cs="Times New Roman"/>
                    </w:rPr>
                    <w:t>46.000</w:t>
                  </w:r>
                  <w:r>
                    <w:rPr>
                      <w:rFonts w:hint="default" w:ascii="Times New Roman" w:hAnsi="Times New Roman" w:cs="Times New Roman"/>
                      <w:lang w:eastAsia="zh-CN"/>
                    </w:rPr>
                    <w:t>″</w:t>
                  </w:r>
                </w:p>
              </w:tc>
              <w:tc>
                <w:tcPr>
                  <w:tcW w:w="1313" w:type="pct"/>
                  <w:vMerge w:val="restar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eastAsia="zh-CN"/>
                    </w:rPr>
                  </w:pPr>
                  <w:r>
                    <w:rPr>
                      <w:rFonts w:hint="default" w:ascii="Times New Roman" w:hAnsi="Times New Roman" w:cs="Times New Roman"/>
                      <w:highlight w:val="none"/>
                    </w:rPr>
                    <w:t>共由</w:t>
                  </w:r>
                  <w:r>
                    <w:rPr>
                      <w:rFonts w:hint="eastAsia" w:cs="Times New Roman"/>
                      <w:highlight w:val="none"/>
                      <w:lang w:val="en-US" w:eastAsia="zh-CN"/>
                    </w:rPr>
                    <w:t>6</w:t>
                  </w:r>
                  <w:r>
                    <w:rPr>
                      <w:rFonts w:hint="default" w:ascii="Times New Roman" w:hAnsi="Times New Roman" w:cs="Times New Roman"/>
                      <w:highlight w:val="none"/>
                    </w:rPr>
                    <w:t>个拐点圈连，面积</w:t>
                  </w:r>
                  <w:r>
                    <w:rPr>
                      <w:rFonts w:hint="eastAsia" w:cs="Times New Roman"/>
                      <w:highlight w:val="none"/>
                      <w:lang w:val="en-US" w:eastAsia="zh-CN"/>
                    </w:rPr>
                    <w:t>15.8052平方公里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highlight w:val="none"/>
                      <w:lang w:eastAsia="zh-CN"/>
                    </w:rPr>
                  </w:pPr>
                  <w:r>
                    <w:rPr>
                      <w:rFonts w:hint="default" w:ascii="Times New Roman" w:hAnsi="Times New Roman" w:cs="Times New Roman"/>
                      <w:highlight w:val="none"/>
                      <w:lang w:val="en-US" w:eastAsia="zh-CN"/>
                    </w:rPr>
                    <w:t>2</w:t>
                  </w:r>
                </w:p>
              </w:tc>
              <w:tc>
                <w:tcPr>
                  <w:tcW w:w="1662"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default" w:ascii="Times New Roman" w:hAnsi="Times New Roman" w:cs="Times New Roman"/>
                    </w:rPr>
                    <w:t>87°09</w:t>
                  </w:r>
                  <w:r>
                    <w:rPr>
                      <w:rFonts w:hint="default" w:ascii="Times New Roman" w:hAnsi="Times New Roman" w:cs="Times New Roman"/>
                      <w:lang w:eastAsia="zh-CN"/>
                    </w:rPr>
                    <w:t>′</w:t>
                  </w:r>
                  <w:r>
                    <w:rPr>
                      <w:rFonts w:hint="default" w:ascii="Times New Roman" w:hAnsi="Times New Roman" w:cs="Times New Roman"/>
                    </w:rPr>
                    <w:t>33.200</w:t>
                  </w:r>
                  <w:r>
                    <w:rPr>
                      <w:rFonts w:hint="default" w:ascii="Times New Roman" w:hAnsi="Times New Roman" w:cs="Times New Roman"/>
                      <w:lang w:eastAsia="zh-CN"/>
                    </w:rPr>
                    <w:t>″</w:t>
                  </w:r>
                </w:p>
              </w:tc>
              <w:tc>
                <w:tcPr>
                  <w:tcW w:w="1560"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default" w:ascii="Times New Roman" w:hAnsi="Times New Roman" w:cs="Times New Roman"/>
                    </w:rPr>
                    <w:t>42°42</w:t>
                  </w:r>
                  <w:r>
                    <w:rPr>
                      <w:rFonts w:hint="default" w:ascii="Times New Roman" w:hAnsi="Times New Roman" w:cs="Times New Roman"/>
                      <w:lang w:eastAsia="zh-CN"/>
                    </w:rPr>
                    <w:t>′</w:t>
                  </w:r>
                  <w:r>
                    <w:rPr>
                      <w:rFonts w:hint="default" w:ascii="Times New Roman" w:hAnsi="Times New Roman" w:cs="Times New Roman"/>
                    </w:rPr>
                    <w:t>46.000</w:t>
                  </w:r>
                  <w:r>
                    <w:rPr>
                      <w:rFonts w:hint="default" w:ascii="Times New Roman" w:hAnsi="Times New Roman" w:cs="Times New Roman"/>
                      <w:lang w:eastAsia="zh-CN"/>
                    </w:rPr>
                    <w:t>″</w:t>
                  </w:r>
                </w:p>
              </w:tc>
              <w:tc>
                <w:tcPr>
                  <w:tcW w:w="1313"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3</w:t>
                  </w:r>
                </w:p>
              </w:tc>
              <w:tc>
                <w:tcPr>
                  <w:tcW w:w="1662"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default" w:ascii="Times New Roman" w:hAnsi="Times New Roman" w:cs="Times New Roman"/>
                    </w:rPr>
                    <w:t>87°09</w:t>
                  </w:r>
                  <w:r>
                    <w:rPr>
                      <w:rFonts w:hint="default" w:ascii="Times New Roman" w:hAnsi="Times New Roman" w:cs="Times New Roman"/>
                      <w:lang w:eastAsia="zh-CN"/>
                    </w:rPr>
                    <w:t>′</w:t>
                  </w:r>
                  <w:r>
                    <w:rPr>
                      <w:rFonts w:hint="default" w:ascii="Times New Roman" w:hAnsi="Times New Roman" w:cs="Times New Roman"/>
                    </w:rPr>
                    <w:t>33.200</w:t>
                  </w:r>
                  <w:r>
                    <w:rPr>
                      <w:rFonts w:hint="default" w:ascii="Times New Roman" w:hAnsi="Times New Roman" w:cs="Times New Roman"/>
                      <w:lang w:eastAsia="zh-CN"/>
                    </w:rPr>
                    <w:t>″</w:t>
                  </w:r>
                </w:p>
              </w:tc>
              <w:tc>
                <w:tcPr>
                  <w:tcW w:w="1560"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default" w:ascii="Times New Roman" w:hAnsi="Times New Roman" w:cs="Times New Roman"/>
                    </w:rPr>
                    <w:t>42°41</w:t>
                  </w:r>
                  <w:r>
                    <w:rPr>
                      <w:rFonts w:hint="default" w:ascii="Times New Roman" w:hAnsi="Times New Roman" w:cs="Times New Roman"/>
                      <w:lang w:eastAsia="zh-CN"/>
                    </w:rPr>
                    <w:t>′</w:t>
                  </w:r>
                  <w:r>
                    <w:rPr>
                      <w:rFonts w:hint="default" w:ascii="Times New Roman" w:hAnsi="Times New Roman" w:cs="Times New Roman"/>
                    </w:rPr>
                    <w:t>47.615</w:t>
                  </w:r>
                  <w:r>
                    <w:rPr>
                      <w:rFonts w:hint="default" w:ascii="Times New Roman" w:hAnsi="Times New Roman" w:cs="Times New Roman"/>
                      <w:lang w:eastAsia="zh-CN"/>
                    </w:rPr>
                    <w:t>″</w:t>
                  </w:r>
                </w:p>
              </w:tc>
              <w:tc>
                <w:tcPr>
                  <w:tcW w:w="1313"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4</w:t>
                  </w:r>
                </w:p>
              </w:tc>
              <w:tc>
                <w:tcPr>
                  <w:tcW w:w="1662"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cs="Times New Roman"/>
                    </w:rPr>
                    <w:t>87°11</w:t>
                  </w:r>
                  <w:r>
                    <w:rPr>
                      <w:rFonts w:hint="default" w:ascii="Times New Roman" w:hAnsi="Times New Roman" w:cs="Times New Roman"/>
                      <w:lang w:eastAsia="zh-CN"/>
                    </w:rPr>
                    <w:t>′</w:t>
                  </w:r>
                  <w:r>
                    <w:rPr>
                      <w:rFonts w:hint="default" w:ascii="Times New Roman" w:hAnsi="Times New Roman" w:cs="Times New Roman"/>
                    </w:rPr>
                    <w:t>11.000</w:t>
                  </w:r>
                  <w:r>
                    <w:rPr>
                      <w:rFonts w:hint="default" w:ascii="Times New Roman" w:hAnsi="Times New Roman" w:cs="Times New Roman"/>
                      <w:lang w:eastAsia="zh-CN"/>
                    </w:rPr>
                    <w:t>″</w:t>
                  </w:r>
                </w:p>
              </w:tc>
              <w:tc>
                <w:tcPr>
                  <w:tcW w:w="1560"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cs="Times New Roman"/>
                    </w:rPr>
                    <w:t>42°41</w:t>
                  </w:r>
                  <w:r>
                    <w:rPr>
                      <w:rFonts w:hint="default" w:ascii="Times New Roman" w:hAnsi="Times New Roman" w:cs="Times New Roman"/>
                      <w:lang w:eastAsia="zh-CN"/>
                    </w:rPr>
                    <w:t>′</w:t>
                  </w:r>
                  <w:r>
                    <w:rPr>
                      <w:rFonts w:hint="default" w:ascii="Times New Roman" w:hAnsi="Times New Roman" w:cs="Times New Roman"/>
                    </w:rPr>
                    <w:t>47.615</w:t>
                  </w:r>
                  <w:r>
                    <w:rPr>
                      <w:rFonts w:hint="default" w:ascii="Times New Roman" w:hAnsi="Times New Roman" w:cs="Times New Roman"/>
                      <w:lang w:eastAsia="zh-CN"/>
                    </w:rPr>
                    <w:t>″</w:t>
                  </w:r>
                </w:p>
              </w:tc>
              <w:tc>
                <w:tcPr>
                  <w:tcW w:w="1313"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lang w:val="en-US" w:eastAsia="zh-CN"/>
                    </w:rPr>
                  </w:pPr>
                  <w:r>
                    <w:rPr>
                      <w:rFonts w:hint="eastAsia" w:cs="Times New Roman"/>
                      <w:highlight w:val="none"/>
                      <w:lang w:val="en-US" w:eastAsia="zh-CN"/>
                    </w:rPr>
                    <w:t>5</w:t>
                  </w:r>
                </w:p>
              </w:tc>
              <w:tc>
                <w:tcPr>
                  <w:tcW w:w="1662"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cs="Times New Roman"/>
                    </w:rPr>
                    <w:t>87°11</w:t>
                  </w:r>
                  <w:r>
                    <w:rPr>
                      <w:rFonts w:hint="default" w:ascii="Times New Roman" w:hAnsi="Times New Roman" w:cs="Times New Roman"/>
                      <w:lang w:eastAsia="zh-CN"/>
                    </w:rPr>
                    <w:t>′</w:t>
                  </w:r>
                  <w:r>
                    <w:rPr>
                      <w:rFonts w:hint="default" w:ascii="Times New Roman" w:hAnsi="Times New Roman" w:cs="Times New Roman"/>
                    </w:rPr>
                    <w:t>11.000</w:t>
                  </w:r>
                  <w:r>
                    <w:rPr>
                      <w:rFonts w:hint="default" w:ascii="Times New Roman" w:hAnsi="Times New Roman" w:cs="Times New Roman"/>
                      <w:lang w:eastAsia="zh-CN"/>
                    </w:rPr>
                    <w:t>″</w:t>
                  </w:r>
                </w:p>
              </w:tc>
              <w:tc>
                <w:tcPr>
                  <w:tcW w:w="1560"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cs="Times New Roman"/>
                    </w:rPr>
                    <w:t>42°40</w:t>
                  </w:r>
                  <w:r>
                    <w:rPr>
                      <w:rFonts w:hint="default" w:ascii="Times New Roman" w:hAnsi="Times New Roman" w:cs="Times New Roman"/>
                      <w:lang w:eastAsia="zh-CN"/>
                    </w:rPr>
                    <w:t>′</w:t>
                  </w:r>
                  <w:r>
                    <w:rPr>
                      <w:rFonts w:hint="default" w:ascii="Times New Roman" w:hAnsi="Times New Roman" w:cs="Times New Roman"/>
                    </w:rPr>
                    <w:t>11.000</w:t>
                  </w:r>
                  <w:r>
                    <w:rPr>
                      <w:rFonts w:hint="default" w:ascii="Times New Roman" w:hAnsi="Times New Roman" w:cs="Times New Roman"/>
                      <w:lang w:eastAsia="zh-CN"/>
                    </w:rPr>
                    <w:t>″</w:t>
                  </w:r>
                </w:p>
              </w:tc>
              <w:tc>
                <w:tcPr>
                  <w:tcW w:w="1313"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lang w:val="en-US" w:eastAsia="zh-CN"/>
                    </w:rPr>
                  </w:pPr>
                  <w:r>
                    <w:rPr>
                      <w:rFonts w:hint="eastAsia" w:cs="Times New Roman"/>
                      <w:highlight w:val="none"/>
                      <w:lang w:val="en-US" w:eastAsia="zh-CN"/>
                    </w:rPr>
                    <w:t>6</w:t>
                  </w:r>
                </w:p>
              </w:tc>
              <w:tc>
                <w:tcPr>
                  <w:tcW w:w="1662"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cs="Times New Roman"/>
                    </w:rPr>
                    <w:t>87°08</w:t>
                  </w:r>
                  <w:r>
                    <w:rPr>
                      <w:rFonts w:hint="default" w:ascii="Times New Roman" w:hAnsi="Times New Roman" w:cs="Times New Roman"/>
                      <w:lang w:eastAsia="zh-CN"/>
                    </w:rPr>
                    <w:t>′</w:t>
                  </w:r>
                  <w:r>
                    <w:rPr>
                      <w:rFonts w:hint="default" w:ascii="Times New Roman" w:hAnsi="Times New Roman" w:cs="Times New Roman"/>
                    </w:rPr>
                    <w:t>09.000</w:t>
                  </w:r>
                  <w:r>
                    <w:rPr>
                      <w:rFonts w:hint="default" w:ascii="Times New Roman" w:hAnsi="Times New Roman" w:cs="Times New Roman"/>
                      <w:lang w:eastAsia="zh-CN"/>
                    </w:rPr>
                    <w:t>″</w:t>
                  </w:r>
                </w:p>
              </w:tc>
              <w:tc>
                <w:tcPr>
                  <w:tcW w:w="1560" w:type="pct"/>
                  <w:tcBorders>
                    <w:tl2br w:val="nil"/>
                    <w:tr2bl w:val="nil"/>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cs="Times New Roman"/>
                    </w:rPr>
                    <w:t>42°40</w:t>
                  </w:r>
                  <w:r>
                    <w:rPr>
                      <w:rFonts w:hint="default" w:ascii="Times New Roman" w:hAnsi="Times New Roman" w:cs="Times New Roman"/>
                      <w:lang w:eastAsia="zh-CN"/>
                    </w:rPr>
                    <w:t>′</w:t>
                  </w:r>
                  <w:r>
                    <w:rPr>
                      <w:rFonts w:hint="default" w:ascii="Times New Roman" w:hAnsi="Times New Roman" w:cs="Times New Roman"/>
                    </w:rPr>
                    <w:t>11.000</w:t>
                  </w:r>
                  <w:r>
                    <w:rPr>
                      <w:rFonts w:hint="default" w:ascii="Times New Roman" w:hAnsi="Times New Roman" w:cs="Times New Roman"/>
                      <w:lang w:eastAsia="zh-CN"/>
                    </w:rPr>
                    <w:t>″</w:t>
                  </w:r>
                </w:p>
              </w:tc>
              <w:tc>
                <w:tcPr>
                  <w:tcW w:w="1313"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highlight w:val="none"/>
                    </w:rPr>
                  </w:pPr>
                </w:p>
              </w:tc>
            </w:tr>
          </w:tbl>
          <w:p>
            <w:pPr>
              <w:pStyle w:val="48"/>
              <w:keepNext w:val="0"/>
              <w:keepLines w:val="0"/>
              <w:suppressLineNumbers w:val="0"/>
              <w:bidi w:val="0"/>
              <w:spacing w:before="0" w:beforeAutospacing="0" w:after="0" w:afterAutospacing="0"/>
              <w:ind w:left="0" w:right="0"/>
              <w:rPr>
                <w:rFonts w:hint="default" w:eastAsia="宋体"/>
                <w:lang w:val="en-US" w:eastAsia="zh-CN"/>
              </w:rPr>
            </w:pPr>
            <w:r>
              <w:rPr>
                <w:rFonts w:hint="default" w:eastAsia="宋体"/>
                <w:lang w:val="en-US" w:eastAsia="zh-CN"/>
              </w:rPr>
              <w:t>工作区对外交通条件较为便利，吐和高速（G3012）</w:t>
            </w:r>
            <w:r>
              <w:rPr>
                <w:rFonts w:hint="eastAsia"/>
                <w:lang w:val="en-US" w:eastAsia="zh-CN"/>
              </w:rPr>
              <w:t>北行45km土路即可到达项目区，</w:t>
            </w:r>
            <w:r>
              <w:rPr>
                <w:rFonts w:hint="default" w:eastAsia="宋体"/>
                <w:lang w:val="en-US" w:eastAsia="zh-CN"/>
              </w:rPr>
              <w:t>区域交通通达性良好，无需新建简易施工道路。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项目组成及规模</w:t>
            </w:r>
          </w:p>
        </w:tc>
        <w:tc>
          <w:tcPr>
            <w:tcW w:w="7812" w:type="dxa"/>
            <w:noWrap w:val="0"/>
            <w:vAlign w:val="center"/>
          </w:tcPr>
          <w:p>
            <w:pPr>
              <w:pStyle w:val="50"/>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1.项目基本情况</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北京西域宝地矿业技术开发有限公司于</w:t>
            </w:r>
            <w:r>
              <w:rPr>
                <w:rFonts w:hint="eastAsia"/>
                <w:highlight w:val="none"/>
                <w:lang w:val="en-US" w:eastAsia="zh-CN"/>
              </w:rPr>
              <w:t>2021年4月6日取得“</w:t>
            </w:r>
            <w:r>
              <w:rPr>
                <w:rFonts w:hint="eastAsia"/>
                <w:highlight w:val="none"/>
                <w:lang w:eastAsia="zh-CN"/>
              </w:rPr>
              <w:t>新疆和硕县塔西干河西铜铅矿勘探</w:t>
            </w:r>
            <w:r>
              <w:rPr>
                <w:rFonts w:hint="eastAsia"/>
                <w:highlight w:val="none"/>
                <w:lang w:val="en-US" w:eastAsia="zh-CN"/>
              </w:rPr>
              <w:t>”</w:t>
            </w:r>
            <w:r>
              <w:rPr>
                <w:rFonts w:hint="default"/>
                <w:highlight w:val="none"/>
              </w:rPr>
              <w:t>探矿权</w:t>
            </w:r>
            <w:r>
              <w:rPr>
                <w:rFonts w:hint="eastAsia"/>
                <w:highlight w:val="none"/>
                <w:lang w:eastAsia="zh-CN"/>
              </w:rPr>
              <w:t>，</w:t>
            </w:r>
            <w:r>
              <w:rPr>
                <w:rFonts w:hint="eastAsia"/>
                <w:highlight w:val="none"/>
                <w:lang w:val="en-US" w:eastAsia="zh-CN"/>
              </w:rPr>
              <w:t>该探矿权已于2026年4月6日届满，目前正在办理变更延续手续；和硕县自然资源局已出具《关于和硕县塔西干河西铜铅矿勘探探矿权变更延续的调查意见》（硕自然资发〔2026〕32号），文件明确同意该探矿权办理变更延续登记手续。</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项目名称：新疆和硕县塔西干河西铜铅矿勘探</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探矿权人：</w:t>
            </w:r>
            <w:r>
              <w:rPr>
                <w:rFonts w:hint="eastAsia"/>
                <w:lang w:val="en-US" w:eastAsia="zh-CN"/>
              </w:rPr>
              <w:t>北京西域宝地矿业技术开发有限公司</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地理位置：新疆维吾尔自治区巴音郭楞蒙古自治州</w:t>
            </w:r>
            <w:r>
              <w:rPr>
                <w:rFonts w:hint="eastAsia"/>
                <w:lang w:val="en-US" w:eastAsia="zh-CN"/>
              </w:rPr>
              <w:t>和硕县</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勘查面积：</w:t>
            </w:r>
            <w:r>
              <w:rPr>
                <w:rFonts w:hint="eastAsia"/>
                <w:lang w:val="en-US" w:eastAsia="zh-CN"/>
              </w:rPr>
              <w:t>15.8052平方公里</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color w:val="auto"/>
                <w:lang w:val="en-US" w:eastAsia="zh-CN"/>
              </w:rPr>
            </w:pPr>
            <w:r>
              <w:rPr>
                <w:rFonts w:hint="eastAsia"/>
                <w:lang w:val="en-US" w:eastAsia="zh-CN"/>
              </w:rPr>
              <w:t>北京西域宝地矿业技术开发有限公司</w:t>
            </w:r>
            <w:r>
              <w:rPr>
                <w:rFonts w:hint="eastAsia"/>
                <w:highlight w:val="none"/>
                <w:lang w:val="en-US" w:eastAsia="zh-CN"/>
              </w:rPr>
              <w:t>法定代表人为杜武平，</w:t>
            </w:r>
            <w:r>
              <w:rPr>
                <w:rFonts w:hint="eastAsia"/>
                <w:color w:val="auto"/>
                <w:highlight w:val="none"/>
                <w:lang w:val="en-US" w:eastAsia="zh-CN"/>
              </w:rPr>
              <w:t>统一社会信用代码：9111010566841588XK。</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2.项目主要建设内容</w:t>
            </w:r>
          </w:p>
          <w:p>
            <w:pPr>
              <w:pStyle w:val="6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根据本项目目的任务，以及工作区内实际情况，拟采用地形测量、槽探、钻探、样品采集等手段来开展勘查工作。本次选择1:1万地质测量、1:5000地质剖面测量、1:5000岩石剖面测量、槽探、钻探、采样等探矿工程手段对该矿进行勘查评价工作。</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本项目主要建设内容详见下表。</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表2-2    主要建设内容一览表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235"/>
              <w:gridCol w:w="1271"/>
              <w:gridCol w:w="977"/>
              <w:gridCol w:w="1799"/>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类别</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建设内容</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计量单位</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主体工程</w:t>
                  </w: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地质测量</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1:1万地质测量</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15.8052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1:5000地质剖面测量</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1:5000岩石剖面测量</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探矿工程</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槽探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立方</w:t>
                  </w: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钻探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tcBorders>
                    <w:top w:val="single" w:color="000000"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采样与分析</w:t>
                  </w:r>
                </w:p>
              </w:tc>
              <w:tc>
                <w:tcPr>
                  <w:tcW w:w="1482" w:type="pct"/>
                  <w:gridSpan w:val="2"/>
                  <w:tcBorders>
                    <w:top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bidi="ar"/>
                    </w:rPr>
                    <w:t>基本分析样</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件</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eastAsia" w:cs="Times New Roman" w:eastAsiaTheme="minorEastAsia"/>
                      <w:color w:val="auto"/>
                      <w:kern w:val="0"/>
                      <w:sz w:val="21"/>
                      <w:szCs w:val="21"/>
                      <w:highlight w:val="none"/>
                      <w:lang w:val="en-US" w:eastAsia="zh-CN" w:bidi="ar"/>
                    </w:rPr>
                  </w:pPr>
                  <w:r>
                    <w:rPr>
                      <w:rFonts w:hint="eastAsia" w:cs="Times New Roman"/>
                      <w:color w:val="auto"/>
                      <w:sz w:val="21"/>
                      <w:szCs w:val="21"/>
                      <w:lang w:val="en-US" w:eastAsia="zh-CN"/>
                    </w:rPr>
                    <w:t>组合分析样</w:t>
                  </w:r>
                </w:p>
              </w:tc>
              <w:tc>
                <w:tcPr>
                  <w:tcW w:w="1186"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临时工程</w:t>
                  </w: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生活营地</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设置一个生活营地，占地</w:t>
                  </w:r>
                  <w:r>
                    <w:rPr>
                      <w:rFonts w:hint="eastAsia" w:cs="Times New Roman" w:eastAsiaTheme="minorEastAsia"/>
                      <w:color w:val="auto"/>
                      <w:sz w:val="21"/>
                      <w:szCs w:val="21"/>
                      <w:highlight w:val="none"/>
                      <w:lang w:val="en-US" w:eastAsia="zh-CN"/>
                    </w:rPr>
                    <w:t>100</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2</w:t>
                  </w:r>
                  <w:r>
                    <w:rPr>
                      <w:rFonts w:hint="default" w:ascii="Times New Roman" w:hAnsi="Times New Roman" w:cs="Times New Roman" w:eastAsiaTheme="minorEastAsia"/>
                      <w:color w:val="auto"/>
                      <w:sz w:val="21"/>
                      <w:szCs w:val="21"/>
                      <w:highlight w:val="none"/>
                      <w:vertAlign w:val="baseline"/>
                      <w:lang w:val="en-US" w:eastAsia="zh-CN"/>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施工道路</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lang w:val="en-US" w:eastAsia="zh-CN"/>
                    </w:rPr>
                    <w:t>勘查区域交通较为便利，无需新修临时道路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临时堆场</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槽探</w:t>
                  </w:r>
                  <w:r>
                    <w:rPr>
                      <w:rFonts w:hint="eastAsia" w:cs="Times New Roman" w:eastAsiaTheme="minorEastAsia"/>
                      <w:color w:val="auto"/>
                      <w:sz w:val="21"/>
                      <w:szCs w:val="21"/>
                      <w:lang w:val="en-US" w:eastAsia="zh-CN"/>
                    </w:rPr>
                    <w:t>一侧</w:t>
                  </w:r>
                  <w:r>
                    <w:rPr>
                      <w:rFonts w:hint="default" w:ascii="Times New Roman" w:hAnsi="Times New Roman" w:cs="Times New Roman" w:eastAsiaTheme="minorEastAsia"/>
                      <w:color w:val="auto"/>
                      <w:sz w:val="21"/>
                      <w:szCs w:val="21"/>
                      <w:lang w:val="en-US" w:eastAsia="zh-CN"/>
                    </w:rPr>
                    <w:t>设置</w:t>
                  </w:r>
                  <w:r>
                    <w:rPr>
                      <w:rFonts w:hint="eastAsia" w:cs="Times New Roman" w:eastAsiaTheme="minorEastAsia"/>
                      <w:color w:val="auto"/>
                      <w:sz w:val="21"/>
                      <w:szCs w:val="21"/>
                      <w:lang w:val="en-US" w:eastAsia="zh-CN"/>
                    </w:rPr>
                    <w:t>500</w:t>
                  </w:r>
                  <w:r>
                    <w:rPr>
                      <w:rFonts w:hint="default" w:ascii="Times New Roman" w:hAnsi="Times New Roman" w:cs="Times New Roman" w:eastAsiaTheme="minorEastAsia"/>
                      <w:color w:val="auto"/>
                      <w:sz w:val="21"/>
                      <w:szCs w:val="21"/>
                      <w:lang w:val="en-US" w:eastAsia="zh-CN"/>
                    </w:rPr>
                    <w:t>m</w:t>
                  </w:r>
                  <w:r>
                    <w:rPr>
                      <w:rFonts w:hint="default" w:ascii="Times New Roman" w:hAnsi="Times New Roman" w:cs="Times New Roman" w:eastAsiaTheme="minorEastAsia"/>
                      <w:color w:val="auto"/>
                      <w:sz w:val="21"/>
                      <w:szCs w:val="21"/>
                      <w:vertAlign w:val="superscript"/>
                      <w:lang w:val="en-US" w:eastAsia="zh-CN"/>
                    </w:rPr>
                    <w:t>2</w:t>
                  </w:r>
                  <w:r>
                    <w:rPr>
                      <w:rFonts w:hint="default" w:ascii="Times New Roman" w:hAnsi="Times New Roman" w:cs="Times New Roman" w:eastAsiaTheme="minorEastAsia"/>
                      <w:color w:val="auto"/>
                      <w:sz w:val="21"/>
                      <w:szCs w:val="21"/>
                      <w:lang w:val="en-US" w:eastAsia="zh-CN"/>
                    </w:rPr>
                    <w:t>临时堆场</w:t>
                  </w:r>
                  <w:r>
                    <w:rPr>
                      <w:rFonts w:hint="eastAsia" w:cs="Times New Roman" w:eastAsiaTheme="minorEastAsia"/>
                      <w:color w:val="auto"/>
                      <w:sz w:val="21"/>
                      <w:szCs w:val="21"/>
                      <w:lang w:val="en-US" w:eastAsia="zh-CN"/>
                    </w:rPr>
                    <w:t>，堆放槽探施工产生的土石方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柴油贮存点</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在生活营地内设置一处10m</w:t>
                  </w:r>
                  <w:r>
                    <w:rPr>
                      <w:rFonts w:hint="default" w:ascii="Times New Roman" w:hAnsi="Times New Roman" w:cs="Times New Roman" w:eastAsiaTheme="minorEastAsia"/>
                      <w:color w:val="auto"/>
                      <w:sz w:val="21"/>
                      <w:szCs w:val="21"/>
                      <w:vertAlign w:val="superscript"/>
                      <w:lang w:val="en-US" w:eastAsia="zh-CN"/>
                    </w:rPr>
                    <w:t>2</w:t>
                  </w:r>
                  <w:r>
                    <w:rPr>
                      <w:rFonts w:hint="default" w:ascii="Times New Roman" w:hAnsi="Times New Roman" w:cs="Times New Roman" w:eastAsiaTheme="minorEastAsia"/>
                      <w:color w:val="auto"/>
                      <w:sz w:val="21"/>
                      <w:szCs w:val="21"/>
                      <w:lang w:val="en-US" w:eastAsia="zh-CN"/>
                    </w:rPr>
                    <w:t>的柴油贮存点，采用防渗柴油桶盛装并置于防渗托盘上，贮存点做好防日晒、防雨淋、防渗漏等措施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公用工程</w:t>
                  </w: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供水</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定期从</w:t>
                  </w:r>
                  <w:r>
                    <w:rPr>
                      <w:rFonts w:hint="eastAsia" w:cs="Times New Roman" w:eastAsiaTheme="minorEastAsia"/>
                      <w:color w:val="auto"/>
                      <w:sz w:val="21"/>
                      <w:szCs w:val="21"/>
                      <w:lang w:val="en-US" w:eastAsia="zh-CN"/>
                    </w:rPr>
                    <w:t>附近乡镇</w:t>
                  </w:r>
                  <w:r>
                    <w:rPr>
                      <w:rFonts w:hint="default" w:ascii="Times New Roman" w:hAnsi="Times New Roman" w:cs="Times New Roman" w:eastAsiaTheme="minorEastAsia"/>
                      <w:color w:val="auto"/>
                      <w:sz w:val="21"/>
                      <w:szCs w:val="21"/>
                      <w:lang w:val="en-US" w:eastAsia="zh-CN"/>
                    </w:rPr>
                    <w:t>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排水</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lang w:val="en-US" w:eastAsia="zh-CN"/>
                    </w:rPr>
                    <w:t>洒水绿化</w:t>
                  </w:r>
                  <w:r>
                    <w:rPr>
                      <w:rFonts w:hint="default" w:ascii="Times New Roman" w:hAnsi="Times New Roman" w:eastAsia="宋体" w:cs="Times New Roman"/>
                      <w:color w:val="auto"/>
                      <w:sz w:val="21"/>
                      <w:szCs w:val="21"/>
                      <w:lang w:val="en-US" w:eastAsia="zh-CN"/>
                    </w:rPr>
                    <w:t>，不外排</w:t>
                  </w:r>
                  <w:r>
                    <w:rPr>
                      <w:rFonts w:hint="default" w:ascii="Times New Roman" w:hAnsi="Times New Roman" w:cs="Times New Roman" w:eastAsiaTheme="minorEastAsia"/>
                      <w:color w:val="auto"/>
                      <w:sz w:val="21"/>
                      <w:szCs w:val="21"/>
                      <w:lang w:val="en-US" w:eastAsia="zh-CN"/>
                    </w:rPr>
                    <w:t>；钻井设备冲洗水经沉淀池处理后</w:t>
                  </w:r>
                  <w:r>
                    <w:rPr>
                      <w:rFonts w:hint="eastAsia" w:cs="Times New Roman" w:eastAsiaTheme="minorEastAsia"/>
                      <w:color w:val="auto"/>
                      <w:sz w:val="21"/>
                      <w:szCs w:val="21"/>
                      <w:lang w:val="en-US" w:eastAsia="zh-CN"/>
                    </w:rPr>
                    <w:t>用于洒水降尘，不外排</w:t>
                  </w:r>
                  <w:r>
                    <w:rPr>
                      <w:rFonts w:hint="default" w:ascii="Times New Roman" w:hAnsi="Times New Roman" w:cs="Times New Roman" w:eastAsiaTheme="minorEastAsia"/>
                      <w:color w:val="auto"/>
                      <w:sz w:val="21"/>
                      <w:szCs w:val="21"/>
                      <w:lang w:val="en-US" w:eastAsia="zh-CN"/>
                    </w:rPr>
                    <w:t>；泥浆废水经泥浆沉淀池处理后全部回用于泥浆配制</w:t>
                  </w:r>
                  <w:r>
                    <w:rPr>
                      <w:rFonts w:hint="eastAsia" w:cs="Times New Roman" w:eastAsiaTheme="minorEastAsia"/>
                      <w:color w:val="auto"/>
                      <w:sz w:val="21"/>
                      <w:szCs w:val="21"/>
                      <w:lang w:val="en-US" w:eastAsia="zh-CN"/>
                    </w:rPr>
                    <w:t>；勘查过程中产生的粉尘通过洒水降尘的措施进行处理，全部蒸发逸散，不外排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供电</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rPr>
                    <w:t>发电机发电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环保工程</w:t>
                  </w: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废气治理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扬尘</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开挖土</w:t>
                  </w:r>
                  <w:r>
                    <w:rPr>
                      <w:rFonts w:hint="default" w:ascii="Times New Roman" w:hAnsi="Times New Roman" w:cs="Times New Roman" w:eastAsiaTheme="minorEastAsia"/>
                      <w:color w:val="auto"/>
                      <w:sz w:val="21"/>
                      <w:szCs w:val="21"/>
                      <w:lang w:val="en-US" w:eastAsia="zh-CN"/>
                    </w:rPr>
                    <w:t>石</w:t>
                  </w:r>
                  <w:r>
                    <w:rPr>
                      <w:rFonts w:hint="default" w:ascii="Times New Roman" w:hAnsi="Times New Roman" w:cs="Times New Roman" w:eastAsiaTheme="minorEastAsia"/>
                      <w:color w:val="auto"/>
                      <w:sz w:val="21"/>
                      <w:szCs w:val="21"/>
                    </w:rPr>
                    <w:t>方使用</w:t>
                  </w:r>
                  <w:r>
                    <w:rPr>
                      <w:rFonts w:hint="eastAsia" w:cs="Times New Roman" w:eastAsiaTheme="minorEastAsia"/>
                      <w:color w:val="auto"/>
                      <w:sz w:val="21"/>
                      <w:szCs w:val="21"/>
                      <w:lang w:val="en-US" w:eastAsia="zh-CN"/>
                    </w:rPr>
                    <w:t>彩布条</w:t>
                  </w:r>
                  <w:r>
                    <w:rPr>
                      <w:rFonts w:hint="default" w:ascii="Times New Roman" w:hAnsi="Times New Roman" w:cs="Times New Roman" w:eastAsiaTheme="minorEastAsia"/>
                      <w:color w:val="auto"/>
                      <w:sz w:val="21"/>
                      <w:szCs w:val="21"/>
                      <w:lang w:val="en-US" w:eastAsia="zh-CN"/>
                    </w:rPr>
                    <w:t>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燃油废气</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对</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发电机及运输车辆定期维护保养，使用正品</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废水治理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生活污水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排入一体化污水处理设施处理达标后，用于</w:t>
                  </w:r>
                  <w:r>
                    <w:rPr>
                      <w:rFonts w:hint="eastAsia" w:cs="Times New Roman" w:eastAsiaTheme="minorEastAsia"/>
                      <w:color w:val="auto"/>
                      <w:sz w:val="21"/>
                      <w:szCs w:val="21"/>
                      <w:lang w:val="en-US" w:eastAsia="zh-CN"/>
                    </w:rPr>
                    <w:t>洒水</w:t>
                  </w:r>
                  <w:r>
                    <w:rPr>
                      <w:rFonts w:hint="default" w:ascii="Times New Roman" w:hAnsi="Times New Roman" w:cs="Times New Roman" w:eastAsiaTheme="minorEastAsia"/>
                      <w:color w:val="auto"/>
                      <w:sz w:val="21"/>
                      <w:szCs w:val="21"/>
                      <w:lang w:val="en-US" w:eastAsia="zh-CN"/>
                    </w:rPr>
                    <w:t>绿化，不外排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钻井</w:t>
                  </w:r>
                  <w:r>
                    <w:rPr>
                      <w:rFonts w:hint="default" w:ascii="Times New Roman" w:hAnsi="Times New Roman" w:cs="Times New Roman" w:eastAsiaTheme="minorEastAsia"/>
                      <w:color w:val="auto"/>
                      <w:sz w:val="21"/>
                      <w:szCs w:val="21"/>
                      <w:lang w:eastAsia="zh-CN"/>
                    </w:rPr>
                    <w:t>设备冲洗水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val="en-US" w:eastAsia="zh-CN"/>
                    </w:rPr>
                    <w:t>防渗</w:t>
                  </w:r>
                  <w:r>
                    <w:rPr>
                      <w:rFonts w:hint="default" w:ascii="Times New Roman" w:hAnsi="Times New Roman" w:cs="Times New Roman" w:eastAsiaTheme="minorEastAsia"/>
                      <w:color w:val="auto"/>
                      <w:sz w:val="21"/>
                      <w:szCs w:val="21"/>
                      <w:highlight w:val="none"/>
                      <w:lang w:eastAsia="zh-CN"/>
                    </w:rPr>
                    <w:t>沉淀池（</w:t>
                  </w:r>
                  <w:r>
                    <w:rPr>
                      <w:rFonts w:hint="eastAsia" w:cs="Times New Roman" w:eastAsiaTheme="minorEastAsia"/>
                      <w:color w:val="auto"/>
                      <w:sz w:val="21"/>
                      <w:szCs w:val="21"/>
                      <w:highlight w:val="none"/>
                      <w:lang w:val="en-US" w:eastAsia="zh-CN"/>
                    </w:rPr>
                    <w:t>5m</w:t>
                  </w:r>
                  <w:r>
                    <w:rPr>
                      <w:rFonts w:hint="eastAsia"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eastAsia="zh-CN"/>
                    </w:rPr>
                    <w:t>）收集</w:t>
                  </w:r>
                  <w:r>
                    <w:rPr>
                      <w:rFonts w:hint="default" w:ascii="Times New Roman" w:hAnsi="Times New Roman" w:cs="Times New Roman" w:eastAsiaTheme="minorEastAsia"/>
                      <w:color w:val="auto"/>
                      <w:sz w:val="21"/>
                      <w:szCs w:val="21"/>
                      <w:highlight w:val="none"/>
                      <w:lang w:val="en-US" w:eastAsia="zh-CN"/>
                    </w:rPr>
                    <w:t>后</w:t>
                  </w:r>
                  <w:r>
                    <w:rPr>
                      <w:rFonts w:hint="eastAsia" w:cs="Times New Roman" w:eastAsiaTheme="minorEastAsia"/>
                      <w:color w:val="auto"/>
                      <w:sz w:val="21"/>
                      <w:szCs w:val="21"/>
                      <w:highlight w:val="none"/>
                      <w:lang w:val="en-US" w:eastAsia="zh-CN"/>
                    </w:rPr>
                    <w:t>用于洒水降尘</w:t>
                  </w:r>
                  <w:r>
                    <w:rPr>
                      <w:rFonts w:hint="default" w:ascii="Times New Roman" w:hAnsi="Times New Roman" w:cs="Times New Roman" w:eastAsiaTheme="minorEastAsia"/>
                      <w:color w:val="auto"/>
                      <w:sz w:val="21"/>
                      <w:szCs w:val="21"/>
                      <w:highlight w:val="none"/>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泥浆废水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排入移动式泥浆沉淀池（</w:t>
                  </w:r>
                  <w:r>
                    <w:rPr>
                      <w:rFonts w:hint="eastAsia" w:cs="Times New Roman" w:eastAsiaTheme="minorEastAsia"/>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val="en-US" w:eastAsia="zh-CN"/>
                    </w:rPr>
                    <w:t>）</w:t>
                  </w:r>
                  <w:r>
                    <w:rPr>
                      <w:rFonts w:hint="eastAsia" w:ascii="Times New Roman" w:hAnsi="Times New Roman" w:cs="Times New Roman"/>
                      <w:lang w:val="en-US" w:eastAsia="zh-CN"/>
                    </w:rPr>
                    <w:t>处理后全部回用于泥浆配制，循环使用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固废治理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生活垃圾</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集中收集后送至</w:t>
                  </w:r>
                  <w:r>
                    <w:rPr>
                      <w:rFonts w:hint="eastAsia" w:cs="Times New Roman" w:eastAsiaTheme="minorEastAsia"/>
                      <w:color w:val="auto"/>
                      <w:sz w:val="21"/>
                      <w:szCs w:val="21"/>
                      <w:lang w:val="en-US" w:eastAsia="zh-CN"/>
                    </w:rPr>
                    <w:t>和硕县</w:t>
                  </w:r>
                  <w:r>
                    <w:rPr>
                      <w:rFonts w:hint="default" w:ascii="Times New Roman" w:hAnsi="Times New Roman" w:cs="Times New Roman" w:eastAsiaTheme="minorEastAsia"/>
                      <w:color w:val="auto"/>
                      <w:sz w:val="21"/>
                      <w:szCs w:val="21"/>
                      <w:lang w:val="en-US" w:eastAsia="zh-CN"/>
                    </w:rPr>
                    <w:t>垃圾填埋场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开挖土石</w:t>
                  </w:r>
                  <w:r>
                    <w:rPr>
                      <w:rFonts w:hint="default" w:ascii="Times New Roman" w:hAnsi="Times New Roman" w:cs="Times New Roman" w:eastAsiaTheme="minorEastAsia"/>
                      <w:color w:val="auto"/>
                      <w:sz w:val="21"/>
                      <w:szCs w:val="21"/>
                      <w:lang w:val="en-US" w:eastAsia="zh-CN"/>
                    </w:rPr>
                    <w:t>方</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回填</w:t>
                  </w:r>
                  <w:r>
                    <w:rPr>
                      <w:rFonts w:hint="eastAsia" w:cs="Times New Roman" w:eastAsiaTheme="minorEastAsia"/>
                      <w:color w:val="auto"/>
                      <w:sz w:val="21"/>
                      <w:szCs w:val="21"/>
                      <w:lang w:val="en-US" w:eastAsia="zh-CN"/>
                    </w:rPr>
                    <w:t>或用于周边场地平整</w:t>
                  </w:r>
                  <w:r>
                    <w:rPr>
                      <w:rFonts w:hint="default"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lang w:val="en-US" w:eastAsia="zh-CN"/>
                    </w:rPr>
                    <w:t>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钻井泥浆</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固化后</w:t>
                  </w:r>
                  <w:r>
                    <w:rPr>
                      <w:rFonts w:hint="eastAsia" w:cs="Times New Roman" w:eastAsiaTheme="minorEastAsia"/>
                      <w:color w:val="auto"/>
                      <w:sz w:val="21"/>
                      <w:szCs w:val="21"/>
                      <w:lang w:val="en-US" w:eastAsia="zh-CN"/>
                    </w:rPr>
                    <w:t>拉运至一般固废处置单位统一处理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钻井</w:t>
                  </w:r>
                  <w:r>
                    <w:rPr>
                      <w:rFonts w:hint="eastAsia" w:cs="Times New Roman" w:eastAsiaTheme="minorEastAsia"/>
                      <w:color w:val="auto"/>
                      <w:sz w:val="21"/>
                      <w:szCs w:val="21"/>
                      <w:lang w:val="en-US" w:eastAsia="zh-CN"/>
                    </w:rPr>
                    <w:t>岩屑</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岩屑回填</w:t>
                  </w:r>
                  <w:r>
                    <w:rPr>
                      <w:rFonts w:hint="eastAsia" w:cs="Times New Roman" w:eastAsiaTheme="minorEastAsia"/>
                      <w:color w:val="auto"/>
                      <w:sz w:val="21"/>
                      <w:szCs w:val="21"/>
                      <w:lang w:val="en-US" w:eastAsia="zh-CN"/>
                    </w:rPr>
                    <w:t>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default" w:ascii="Times New Roman" w:hAnsi="Times New Roman" w:eastAsia="宋体" w:cs="Times New Roman"/>
                      <w:color w:val="auto"/>
                      <w:sz w:val="21"/>
                      <w:szCs w:val="21"/>
                      <w:lang w:val="en-US" w:eastAsia="zh-CN"/>
                    </w:rPr>
                    <w:t>沉淀池沉渣</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eastAsia" w:cs="Times New Roman"/>
                      <w:color w:val="auto"/>
                      <w:sz w:val="21"/>
                      <w:szCs w:val="21"/>
                      <w:lang w:val="en-US" w:eastAsia="zh-CN"/>
                    </w:rPr>
                    <w:t>固化后</w:t>
                  </w:r>
                  <w:r>
                    <w:rPr>
                      <w:rFonts w:hint="default" w:ascii="Times New Roman" w:hAnsi="Times New Roman" w:eastAsia="宋体" w:cs="Times New Roman"/>
                      <w:color w:val="auto"/>
                      <w:sz w:val="21"/>
                      <w:szCs w:val="21"/>
                      <w:lang w:val="en-US" w:eastAsia="zh-CN"/>
                    </w:rPr>
                    <w:t>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噪声治理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施工、钻井设备噪声</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生态保护与恢复工程</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环境风险防范工程</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制定环境风险管理制度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000" w:type="pct"/>
                  <w:gridSpan w:val="6"/>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color w:val="auto"/>
                      <w:sz w:val="20"/>
                      <w:szCs w:val="20"/>
                      <w:highlight w:val="none"/>
                      <w:lang w:val="en-US" w:eastAsia="zh-CN"/>
                    </w:rPr>
                    <w:t>备注：本项目勘探作业车辆均于进矿前完成维修保养，勘探实施阶段无废润滑油产生，故不单独再设置危险废物贮存点</w:t>
                  </w:r>
                </w:p>
              </w:tc>
            </w:tr>
          </w:tbl>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w:t>
            </w:r>
            <w:r>
              <w:rPr>
                <w:rFonts w:hint="default"/>
                <w:color w:val="auto"/>
                <w:lang w:val="en-US" w:eastAsia="zh-CN"/>
              </w:rPr>
              <w:t>主要勘探设备及原、辅材料</w:t>
            </w:r>
          </w:p>
          <w:p>
            <w:pPr>
              <w:pStyle w:val="48"/>
              <w:keepNext w:val="0"/>
              <w:keepLines w:val="0"/>
              <w:suppressLineNumbers w:val="0"/>
              <w:bidi w:val="0"/>
              <w:spacing w:before="0" w:beforeAutospacing="0" w:after="0" w:afterAutospacing="0"/>
              <w:ind w:left="0" w:right="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 xml:space="preserve">3    </w:t>
            </w:r>
            <w:r>
              <w:rPr>
                <w:rFonts w:hint="default"/>
                <w:lang w:val="en-US" w:eastAsia="zh-CN"/>
              </w:rPr>
              <w:t>工程主要设备一览表</w:t>
            </w:r>
          </w:p>
          <w:tbl>
            <w:tblPr>
              <w:tblStyle w:val="2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35"/>
              <w:gridCol w:w="2654"/>
              <w:gridCol w:w="1997"/>
              <w:gridCol w:w="16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序号</w:t>
                  </w: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装备名称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数量</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RTK测绘仪器</w:t>
                  </w:r>
                </w:p>
              </w:tc>
              <w:tc>
                <w:tcPr>
                  <w:tcW w:w="1316" w:type="pct"/>
                  <w:tcBorders>
                    <w:top w:val="single" w:color="auto" w:sz="4" w:space="0"/>
                    <w:left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1套</w:t>
                  </w:r>
                </w:p>
              </w:tc>
              <w:tc>
                <w:tcPr>
                  <w:tcW w:w="1118" w:type="pct"/>
                  <w:tcBorders>
                    <w:top w:val="single" w:color="auto" w:sz="4" w:space="0"/>
                    <w:left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地形测量、工程定测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无人机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手持GPS</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数码相机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野外影像采集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笔记本电脑</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野外数据汇集及整理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多功能一体机(打印、复印)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图件输入、文件输出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对讲机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地质锤、地质罗盘、放大镜</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地质、矿产工作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单面弹簧度盘秤</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样品称重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手持式XRF分析仪</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野外快速分析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挖掘机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探槽施工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LF90全液压钻机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岩芯切割机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w:t>
                  </w:r>
                  <w:r>
                    <w:rPr>
                      <w:rFonts w:hint="eastAsia" w:cs="Times New Roman" w:eastAsiaTheme="minorEastAsia"/>
                      <w:color w:val="auto"/>
                      <w:sz w:val="21"/>
                      <w:szCs w:val="21"/>
                      <w:highlight w:val="none"/>
                      <w:lang w:val="en-US" w:eastAsia="zh-CN"/>
                    </w:rPr>
                    <w:t>取样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lang w:val="en-US" w:eastAsia="zh-CN"/>
                    </w:rPr>
                  </w:pPr>
                  <w:r>
                    <w:rPr>
                      <w:rFonts w:hint="eastAsia"/>
                      <w:lang w:val="en-US" w:eastAsia="zh-CN"/>
                    </w:rPr>
                    <w:t>刻槽取样机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打样槽、取化验样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柴油发电机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生活、生产发电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越野小汽车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皮卡车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柴油</w:t>
                  </w:r>
                  <w:r>
                    <w:rPr>
                      <w:rFonts w:hint="eastAsia" w:ascii="Times New Roman" w:hAnsi="Times New Roman" w:cs="Times New Roman" w:eastAsiaTheme="minorEastAsia"/>
                      <w:color w:val="auto"/>
                      <w:sz w:val="21"/>
                      <w:szCs w:val="21"/>
                      <w:highlight w:val="none"/>
                      <w:lang w:val="en-US" w:eastAsia="zh-CN"/>
                    </w:rPr>
                    <w:t>发电机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生活、勘查</w:t>
                  </w:r>
                  <w:r>
                    <w:rPr>
                      <w:rFonts w:hint="eastAsia" w:ascii="Times New Roman" w:hAnsi="Times New Roman" w:cs="Times New Roman" w:eastAsiaTheme="minorEastAsia"/>
                      <w:color w:val="auto"/>
                      <w:sz w:val="21"/>
                      <w:szCs w:val="21"/>
                      <w:highlight w:val="none"/>
                      <w:lang w:val="en-US" w:eastAsia="zh-CN"/>
                    </w:rPr>
                    <w:t>发电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卫星电话</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r>
                    <w:rPr>
                      <w:rFonts w:hint="eastAsia" w:cs="Times New Roman" w:eastAsiaTheme="minorEastAsia"/>
                      <w:color w:val="auto"/>
                      <w:sz w:val="21"/>
                      <w:szCs w:val="21"/>
                      <w:highlight w:val="none"/>
                      <w:lang w:val="en-US" w:eastAsia="zh-CN"/>
                    </w:rPr>
                    <w:t>部</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通信联络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安全帽</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灭火器</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防火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棉帐篷</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营地住宿</w:t>
                  </w:r>
                </w:p>
              </w:tc>
            </w:tr>
          </w:tbl>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表2-</w:t>
            </w:r>
            <w:r>
              <w:rPr>
                <w:rFonts w:hint="eastAsia"/>
                <w:lang w:val="en-US" w:eastAsia="zh-CN"/>
              </w:rPr>
              <w:t xml:space="preserve">4    </w:t>
            </w:r>
            <w:r>
              <w:rPr>
                <w:rFonts w:hint="default"/>
              </w:rPr>
              <w:t>工程主要原、辅材料一览表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720"/>
              <w:gridCol w:w="1272"/>
              <w:gridCol w:w="1250"/>
              <w:gridCol w:w="1650"/>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序号</w:t>
                  </w:r>
                </w:p>
              </w:tc>
              <w:tc>
                <w:tcPr>
                  <w:tcW w:w="474"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类别</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名称</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用量</w:t>
                  </w:r>
                </w:p>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w:t>
                  </w:r>
                  <w:r>
                    <w:rPr>
                      <w:rFonts w:hint="eastAsia"/>
                      <w:lang w:val="en-US" w:eastAsia="zh-CN"/>
                    </w:rPr>
                    <w:t>勘探期</w:t>
                  </w:r>
                  <w:r>
                    <w:rPr>
                      <w:rFonts w:hint="eastAsia"/>
                      <w:lang w:eastAsia="zh-CN"/>
                    </w:rPr>
                    <w: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来源</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w:t>
                  </w:r>
                </w:p>
              </w:tc>
              <w:tc>
                <w:tcPr>
                  <w:tcW w:w="47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辅料</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彩布条</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800m</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外购</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对槽探开挖石料进行</w:t>
                  </w:r>
                  <w:r>
                    <w:rPr>
                      <w:rFonts w:hint="eastAsia"/>
                      <w:lang w:val="en-US" w:eastAsia="zh-CN"/>
                    </w:rPr>
                    <w:t>苫盖，</w:t>
                  </w:r>
                  <w:r>
                    <w:rPr>
                      <w:rFonts w:hint="default"/>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膨润土</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0.04t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外购</w:t>
                  </w:r>
                </w:p>
              </w:tc>
              <w:tc>
                <w:tcPr>
                  <w:tcW w:w="131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聚合物、降失水剂等</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0.01t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水泥</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0.02t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用于钻探封孔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5</w:t>
                  </w:r>
                </w:p>
              </w:tc>
              <w:tc>
                <w:tcPr>
                  <w:tcW w:w="47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资源</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rPr>
                    <w:t>水</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22.75</w:t>
                  </w:r>
                  <w:r>
                    <w:rPr>
                      <w:rFonts w:hint="default"/>
                      <w:color w:val="auto"/>
                      <w:lang w:eastAsia="zh-CN"/>
                    </w:rPr>
                    <w:t>m</w:t>
                  </w:r>
                  <w:r>
                    <w:rPr>
                      <w:rFonts w:hint="eastAsia"/>
                      <w:color w:val="auto"/>
                      <w:vertAlign w:val="superscript"/>
                      <w:lang w:val="en-US" w:eastAsia="zh-CN"/>
                    </w:rPr>
                    <w:t>3</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定期从附近乡镇拉运至生活营后用储水箱储存</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柴油</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定期从</w:t>
                  </w:r>
                  <w:r>
                    <w:rPr>
                      <w:rFonts w:hint="eastAsia"/>
                      <w:lang w:val="en-US" w:eastAsia="zh-CN"/>
                    </w:rPr>
                    <w:t>附近乡镇</w:t>
                  </w:r>
                  <w:r>
                    <w:rPr>
                      <w:rFonts w:hint="default"/>
                      <w:lang w:val="en-US" w:eastAsia="zh-CN"/>
                    </w:rPr>
                    <w:t>拉运</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油桶储存，最大储存量为2.5t，设置专门的柴油存放区</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4.公用工程</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4.1给水</w:t>
            </w:r>
          </w:p>
          <w:p>
            <w:pPr>
              <w:pStyle w:val="6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项目用水主要为生活用水和生产用水，车辆定期</w:t>
            </w:r>
            <w:r>
              <w:rPr>
                <w:rFonts w:hint="default"/>
                <w:lang w:val="en-US" w:eastAsia="zh-CN"/>
              </w:rPr>
              <w:t>从</w:t>
            </w:r>
            <w:r>
              <w:rPr>
                <w:rFonts w:hint="eastAsia"/>
                <w:lang w:val="en-US" w:eastAsia="zh-CN"/>
              </w:rPr>
              <w:t>邻近乡镇</w:t>
            </w:r>
            <w:r>
              <w:rPr>
                <w:rFonts w:hint="default"/>
                <w:lang w:val="en-US" w:eastAsia="zh-CN"/>
              </w:rPr>
              <w:t>拉运至生活营地内储水箱储存</w:t>
            </w:r>
            <w:r>
              <w:rPr>
                <w:rFonts w:hint="eastAsia"/>
                <w:lang w:val="en-US" w:eastAsia="zh-CN"/>
              </w:rPr>
              <w:t>。</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（1）生活用水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w:t>
            </w:r>
            <w:r>
              <w:rPr>
                <w:rFonts w:hint="eastAsia" w:cs="Times New Roman"/>
                <w:color w:val="auto"/>
                <w:sz w:val="24"/>
                <w:szCs w:val="24"/>
                <w:highlight w:val="none"/>
                <w:lang w:val="en-US" w:eastAsia="zh-CN"/>
              </w:rPr>
              <w:t>探矿</w:t>
            </w:r>
            <w:r>
              <w:rPr>
                <w:rFonts w:hint="eastAsia" w:ascii="Times New Roman" w:hAnsi="Times New Roman" w:eastAsia="宋体" w:cs="Times New Roman"/>
                <w:color w:val="auto"/>
                <w:sz w:val="24"/>
                <w:szCs w:val="24"/>
                <w:highlight w:val="none"/>
                <w:lang w:eastAsia="zh-CN"/>
              </w:rPr>
              <w:t>过程中，劳动定员约为</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人</w:t>
            </w:r>
            <w:r>
              <w:rPr>
                <w:rFonts w:hint="default" w:ascii="Times New Roman" w:hAnsi="Times New Roman" w:eastAsia="宋体" w:cs="Times New Roman"/>
                <w:color w:val="auto"/>
                <w:sz w:val="24"/>
                <w:szCs w:val="24"/>
                <w:highlight w:val="none"/>
                <w:lang w:eastAsia="zh-CN"/>
              </w:rPr>
              <w:t>，职工</w:t>
            </w:r>
            <w:r>
              <w:rPr>
                <w:rFonts w:hint="eastAsia" w:ascii="Times New Roman" w:hAnsi="Times New Roman" w:eastAsia="宋体" w:cs="Times New Roman"/>
                <w:color w:val="auto"/>
                <w:sz w:val="24"/>
                <w:szCs w:val="24"/>
                <w:highlight w:val="none"/>
                <w:lang w:eastAsia="zh-CN"/>
              </w:rPr>
              <w:t>均</w:t>
            </w:r>
            <w:r>
              <w:rPr>
                <w:rFonts w:hint="default" w:ascii="Times New Roman" w:hAnsi="Times New Roman" w:eastAsia="宋体" w:cs="Times New Roman"/>
                <w:color w:val="auto"/>
                <w:sz w:val="24"/>
                <w:szCs w:val="24"/>
                <w:highlight w:val="none"/>
                <w:lang w:eastAsia="zh-CN"/>
              </w:rPr>
              <w:t>在矿区</w:t>
            </w:r>
            <w:r>
              <w:rPr>
                <w:rFonts w:hint="eastAsia" w:cs="Times New Roman"/>
                <w:color w:val="auto"/>
                <w:sz w:val="24"/>
                <w:szCs w:val="24"/>
                <w:highlight w:val="none"/>
                <w:lang w:val="en-US" w:eastAsia="zh-CN"/>
              </w:rPr>
              <w:t>临时生活营地</w:t>
            </w:r>
            <w:r>
              <w:rPr>
                <w:rFonts w:hint="default" w:ascii="Times New Roman" w:hAnsi="Times New Roman" w:eastAsia="宋体" w:cs="Times New Roman"/>
                <w:color w:val="auto"/>
                <w:sz w:val="24"/>
                <w:szCs w:val="24"/>
                <w:highlight w:val="none"/>
                <w:lang w:eastAsia="zh-CN"/>
              </w:rPr>
              <w:t>食宿，根据《新疆维吾尔自治区生活用水定额》</w:t>
            </w:r>
            <w:r>
              <w:rPr>
                <w:rFonts w:hint="eastAsia" w:cs="Times New Roman"/>
                <w:color w:val="auto"/>
                <w:sz w:val="24"/>
                <w:szCs w:val="24"/>
                <w:highlight w:val="none"/>
                <w:lang w:val="en-US" w:eastAsia="zh-CN"/>
              </w:rPr>
              <w:t>可知，生</w:t>
            </w:r>
            <w:r>
              <w:rPr>
                <w:rFonts w:hint="default" w:ascii="Times New Roman" w:hAnsi="Times New Roman" w:eastAsia="宋体" w:cs="Times New Roman"/>
                <w:color w:val="auto"/>
                <w:sz w:val="24"/>
                <w:szCs w:val="24"/>
                <w:highlight w:val="none"/>
                <w:lang w:eastAsia="zh-CN"/>
              </w:rPr>
              <w:t>活用水量为</w:t>
            </w:r>
            <w:r>
              <w:rPr>
                <w:rFonts w:hint="eastAsia"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CN"/>
              </w:rPr>
              <w:t>L/d·人，</w:t>
            </w:r>
            <w:r>
              <w:rPr>
                <w:rFonts w:hint="eastAsia" w:cs="Times New Roman"/>
                <w:color w:val="auto"/>
                <w:sz w:val="24"/>
                <w:szCs w:val="24"/>
                <w:highlight w:val="none"/>
                <w:lang w:val="en-US" w:eastAsia="zh-CN"/>
              </w:rPr>
              <w:t>施工期和勘探期共计45</w:t>
            </w:r>
            <w:r>
              <w:rPr>
                <w:rFonts w:hint="default" w:ascii="Times New Roman" w:hAnsi="Times New Roman" w:eastAsia="宋体" w:cs="Times New Roman"/>
                <w:color w:val="auto"/>
                <w:sz w:val="24"/>
                <w:szCs w:val="24"/>
                <w:highlight w:val="none"/>
                <w:lang w:eastAsia="zh-CN"/>
              </w:rPr>
              <w:t>d，则可知本项目生活用水量为</w:t>
            </w:r>
            <w:r>
              <w:rPr>
                <w:rFonts w:hint="eastAsia" w:cs="Times New Roman"/>
                <w:color w:val="auto"/>
                <w:sz w:val="24"/>
                <w:szCs w:val="24"/>
                <w:highlight w:val="none"/>
                <w:lang w:val="en-US" w:eastAsia="zh-CN"/>
              </w:rPr>
              <w:t>0.15</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/d</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生活用水总量为6.75</w:t>
            </w:r>
            <w:r>
              <w:rPr>
                <w:rFonts w:hint="default" w:ascii="Times New Roman" w:hAnsi="Times New Roman" w:eastAsia="宋体" w:cs="Times New Roman"/>
                <w:color w:val="auto"/>
                <w:sz w:val="24"/>
                <w:szCs w:val="24"/>
                <w:highlight w:val="none"/>
                <w:lang w:eastAsia="zh-CN"/>
              </w:rPr>
              <w:t>m</w:t>
            </w:r>
            <w:r>
              <w:rPr>
                <w:rFonts w:hint="eastAsia"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（2）生产用水</w:t>
            </w:r>
          </w:p>
          <w:p>
            <w:pPr>
              <w:pStyle w:val="48"/>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lang w:val="en-US" w:eastAsia="zh-CN"/>
              </w:rPr>
              <w:t>泥浆调配用水：</w:t>
            </w:r>
            <w:r>
              <w:rPr>
                <w:rFonts w:hint="eastAsia" w:ascii="Times New Roman" w:hAnsi="Times New Roman" w:eastAsia="宋体" w:cs="Times New Roman"/>
                <w:sz w:val="24"/>
                <w:szCs w:val="24"/>
                <w:highlight w:val="none"/>
                <w:lang w:val="en-US" w:eastAsia="zh-CN"/>
              </w:rPr>
              <w:t>项目钻井期间泥浆调配用水</w:t>
            </w:r>
            <w:r>
              <w:rPr>
                <w:rFonts w:hint="eastAsia" w:cs="Times New Roman"/>
                <w:sz w:val="24"/>
                <w:szCs w:val="24"/>
                <w:highlight w:val="none"/>
                <w:lang w:val="en-US" w:eastAsia="zh-CN"/>
              </w:rPr>
              <w:t>补充量</w:t>
            </w:r>
            <w:r>
              <w:rPr>
                <w:rFonts w:hint="eastAsia" w:ascii="Times New Roman" w:hAnsi="Times New Roman" w:eastAsia="宋体" w:cs="Times New Roman"/>
                <w:sz w:val="24"/>
                <w:szCs w:val="24"/>
                <w:highlight w:val="none"/>
                <w:lang w:val="en-US" w:eastAsia="zh-CN"/>
              </w:rPr>
              <w:t>为</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vertAlign w:val="baseline"/>
                <w:lang w:val="en-US" w:eastAsia="zh-CN"/>
              </w:rPr>
              <w:t>，调配好的泥浆循环使用。</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钻井设备冲洗用水：</w:t>
            </w:r>
            <w:r>
              <w:rPr>
                <w:rFonts w:hint="eastAsia"/>
                <w:color w:val="auto"/>
                <w:highlight w:val="none"/>
                <w:lang w:val="en-US" w:eastAsia="zh-CN"/>
              </w:rPr>
              <w:t>项目</w:t>
            </w:r>
            <w:r>
              <w:rPr>
                <w:rFonts w:hint="eastAsia" w:cs="Times New Roman"/>
                <w:color w:val="auto"/>
                <w:sz w:val="24"/>
                <w:szCs w:val="24"/>
                <w:highlight w:val="none"/>
                <w:lang w:val="en-US" w:eastAsia="zh-CN"/>
              </w:rPr>
              <w:t>勘探期间</w:t>
            </w:r>
            <w:r>
              <w:rPr>
                <w:rFonts w:hint="eastAsia"/>
                <w:color w:val="auto"/>
                <w:highlight w:val="none"/>
                <w:lang w:val="en-US" w:eastAsia="zh-CN"/>
              </w:rPr>
              <w:t>用水量约为</w:t>
            </w:r>
            <w:r>
              <w:rPr>
                <w:rFonts w:hint="eastAsia"/>
                <w:color w:val="auto"/>
                <w:highlight w:val="none"/>
                <w:vertAlign w:val="baseline"/>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vertAlign w:val="baseline"/>
                <w:lang w:val="en-US" w:eastAsia="zh-CN"/>
              </w:rPr>
              <w:t>，</w:t>
            </w:r>
            <w:r>
              <w:rPr>
                <w:rFonts w:hint="eastAsia"/>
                <w:color w:val="auto"/>
                <w:highlight w:val="none"/>
                <w:lang w:val="en-US" w:eastAsia="zh-CN"/>
              </w:rPr>
              <w:t>经沉淀池处理后用于洒水降尘、蒸发逸散，不外排。</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4.2排水</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8"/>
              <w:keepNext w:val="0"/>
              <w:keepLines w:val="0"/>
              <w:suppressLineNumbers w:val="0"/>
              <w:bidi w:val="0"/>
              <w:spacing w:before="0" w:beforeAutospacing="0" w:after="0" w:afterAutospacing="0"/>
              <w:ind w:left="0" w:right="0"/>
              <w:rPr>
                <w:rFonts w:hint="default"/>
                <w:color w:val="auto"/>
                <w:highlight w:val="yellow"/>
                <w:lang w:val="en-US" w:eastAsia="zh-CN"/>
              </w:rPr>
            </w:pPr>
            <w:r>
              <w:rPr>
                <w:rFonts w:hint="eastAsia"/>
                <w:color w:val="auto"/>
                <w:highlight w:val="none"/>
                <w:lang w:val="en-US" w:eastAsia="zh-CN"/>
              </w:rPr>
              <w:t>生活污水产生量较少，生活污水排入一体化污水处理设施后，其出水标准可达到《农村生活污水处理排放标准》（DB654275-2019）表2中A级标准，用于洒水绿化，不外排。</w:t>
            </w:r>
            <w:r>
              <w:rPr>
                <w:rFonts w:hint="default"/>
                <w:color w:val="auto"/>
                <w:highlight w:val="none"/>
                <w:lang w:val="en-US" w:eastAsia="zh-CN"/>
              </w:rPr>
              <w:t>生活污水量以生活用水量的80%计，则可知本项目探矿期生活污水产生量为</w:t>
            </w:r>
            <w:r>
              <w:rPr>
                <w:rFonts w:hint="eastAsia"/>
                <w:color w:val="auto"/>
                <w:highlight w:val="none"/>
                <w:lang w:val="en-US" w:eastAsia="zh-CN"/>
              </w:rPr>
              <w:t>5.4m</w:t>
            </w:r>
            <w:r>
              <w:rPr>
                <w:rFonts w:hint="eastAsia"/>
                <w:color w:val="auto"/>
                <w:highlight w:val="none"/>
                <w:vertAlign w:val="superscript"/>
                <w:lang w:val="en-US" w:eastAsia="zh-CN"/>
              </w:rPr>
              <w:t>3</w:t>
            </w:r>
            <w:r>
              <w:rPr>
                <w:rFonts w:hint="default"/>
                <w:color w:val="auto"/>
                <w:highlight w:val="none"/>
                <w:lang w:val="en-US" w:eastAsia="zh-CN"/>
              </w:rPr>
              <w:t>。</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（2）生产废水</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泥浆废水：经防渗沉淀池处理后全部回用于钻孔泥浆配制，定期补充，循环使用，不外排。</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color w:val="auto"/>
                <w:lang w:val="en-US" w:eastAsia="zh-CN"/>
              </w:rPr>
            </w:pPr>
            <w:r>
              <w:rPr>
                <w:rFonts w:hint="eastAsia"/>
                <w:color w:val="auto"/>
                <w:lang w:val="en-US" w:eastAsia="zh-CN"/>
              </w:rPr>
              <w:t>钻井设备冲洗用水：经沉淀池处理后用于洒水降尘，不外排。</w:t>
            </w:r>
          </w:p>
          <w:p>
            <w:pPr>
              <w:pStyle w:val="52"/>
              <w:keepNext w:val="0"/>
              <w:keepLines w:val="0"/>
              <w:suppressLineNumbers w:val="0"/>
              <w:bidi w:val="0"/>
              <w:spacing w:before="0" w:beforeAutospacing="0" w:after="0" w:afterAutospacing="0"/>
              <w:ind w:left="0" w:right="0"/>
              <w:rPr>
                <w:rFonts w:hint="eastAsia"/>
                <w:lang w:val="en-US" w:eastAsia="zh-CN"/>
              </w:rPr>
            </w:pPr>
            <w:r>
              <w:rPr>
                <w:rFonts w:hint="default"/>
              </w:rPr>
              <w:drawing>
                <wp:inline distT="0" distB="0" distL="114300" distR="114300">
                  <wp:extent cx="4664710" cy="2713990"/>
                  <wp:effectExtent l="0" t="0" r="2540" b="10160"/>
                  <wp:docPr id="5" name="F360BE8B-6686-4F3D-AEAF-501FE73E4058-1" descr="C:/Users/Administrator/AppData/Local/Temp/绘图1(138).png绘图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360BE8B-6686-4F3D-AEAF-501FE73E4058-1" descr="C:/Users/Administrator/AppData/Local/Temp/绘图1(138).png绘图1(138)"/>
                          <pic:cNvPicPr>
                            <a:picLocks noChangeAspect="1"/>
                          </pic:cNvPicPr>
                        </pic:nvPicPr>
                        <pic:blipFill>
                          <a:blip r:embed="rId10"/>
                          <a:stretch>
                            <a:fillRect/>
                          </a:stretch>
                        </pic:blipFill>
                        <pic:spPr>
                          <a:xfrm>
                            <a:off x="0" y="0"/>
                            <a:ext cx="4664710" cy="2713990"/>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图2-1    探矿工作期水平衡示意图    （m</w:t>
            </w:r>
            <w:r>
              <w:rPr>
                <w:rFonts w:hint="eastAsia"/>
                <w:vertAlign w:val="superscript"/>
                <w:lang w:val="en-US" w:eastAsia="zh-CN"/>
              </w:rPr>
              <w:t>3</w:t>
            </w:r>
            <w:r>
              <w:rPr>
                <w:rFonts w:hint="eastAsia"/>
                <w:lang w:val="en-US" w:eastAsia="zh-CN"/>
              </w:rPr>
              <w:t>/探矿期）</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4.3供电</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使用</w:t>
            </w:r>
            <w:r>
              <w:rPr>
                <w:rFonts w:hint="eastAsia"/>
                <w:lang w:val="en-US" w:eastAsia="zh-CN"/>
              </w:rPr>
              <w:t>两台柴油</w:t>
            </w:r>
            <w:r>
              <w:rPr>
                <w:rFonts w:hint="eastAsia"/>
                <w:lang w:eastAsia="zh-CN"/>
              </w:rPr>
              <w:t>发电机供电</w:t>
            </w:r>
            <w:r>
              <w:rPr>
                <w:rFonts w:hint="default"/>
                <w:lang w:eastAsia="zh-CN"/>
              </w:rPr>
              <w:t>，柴油用量一共为</w:t>
            </w:r>
            <w:r>
              <w:rPr>
                <w:rFonts w:hint="eastAsia"/>
                <w:lang w:val="en-US" w:eastAsia="zh-CN"/>
              </w:rPr>
              <w:t>2.5</w:t>
            </w:r>
            <w:r>
              <w:rPr>
                <w:rFonts w:hint="default"/>
                <w:lang w:eastAsia="zh-CN"/>
              </w:rPr>
              <w:t>t/</w:t>
            </w:r>
            <w:r>
              <w:rPr>
                <w:rFonts w:hint="eastAsia"/>
                <w:lang w:val="en-US" w:eastAsia="zh-CN"/>
              </w:rPr>
              <w:t>探矿期</w:t>
            </w:r>
            <w:r>
              <w:rPr>
                <w:rFonts w:hint="eastAsia"/>
                <w:lang w:eastAsia="zh-CN"/>
              </w:rPr>
              <w:t>。</w:t>
            </w:r>
            <w:r>
              <w:rPr>
                <w:rFonts w:hint="eastAsia"/>
                <w:color w:val="auto"/>
                <w:lang w:val="en-US" w:eastAsia="zh-CN"/>
              </w:rPr>
              <w:t>存放于铺有防渗托盘的柴油贮存点。</w:t>
            </w:r>
          </w:p>
          <w:p>
            <w:pPr>
              <w:pStyle w:val="50"/>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本项目劳动定员为5人，建设周期为2026年8月1日-2026年9月14日，其中施工期5天，勘查期40天，采取8小时工作制。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总平面及现场布置</w:t>
            </w:r>
          </w:p>
        </w:tc>
        <w:tc>
          <w:tcPr>
            <w:tcW w:w="7812" w:type="dxa"/>
            <w:noWrap w:val="0"/>
            <w:vAlign w:val="center"/>
          </w:tcPr>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1、生活营地</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lang w:val="en-US" w:eastAsia="zh-CN"/>
              </w:rPr>
            </w:pPr>
            <w:r>
              <w:rPr>
                <w:rFonts w:hint="eastAsia"/>
                <w:color w:val="auto"/>
                <w:lang w:val="en-US" w:eastAsia="zh-CN"/>
              </w:rPr>
              <w:t>本项目在矿区内设置一个临时生活营地搭建帐篷，占地面积共100m</w:t>
            </w:r>
            <w:r>
              <w:rPr>
                <w:rFonts w:hint="eastAsia"/>
                <w:color w:val="auto"/>
                <w:vertAlign w:val="superscript"/>
                <w:lang w:val="en-US" w:eastAsia="zh-CN"/>
              </w:rPr>
              <w:t>2</w:t>
            </w:r>
            <w:r>
              <w:rPr>
                <w:rFonts w:hint="eastAsia"/>
                <w:color w:val="auto"/>
                <w:lang w:val="en-US" w:eastAsia="zh-CN"/>
              </w:rPr>
              <w:t>，布置在地势平缓植被稀疏处，探矿工作结束后对临时生活营地进行拆除和恢复。</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2、柴油贮存点</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在生活营地内设置一处10m</w:t>
            </w:r>
            <w:r>
              <w:rPr>
                <w:rFonts w:hint="eastAsia"/>
                <w:color w:val="auto"/>
                <w:vertAlign w:val="superscript"/>
                <w:lang w:val="en-US" w:eastAsia="zh-CN"/>
              </w:rPr>
              <w:t>2</w:t>
            </w:r>
            <w:r>
              <w:rPr>
                <w:rFonts w:hint="eastAsia"/>
                <w:color w:val="auto"/>
                <w:lang w:val="en-US" w:eastAsia="zh-CN"/>
              </w:rPr>
              <w:t>的柴油贮存点，采用防渗柴油桶盛装并置于防渗托盘上，贮存点做好防日晒、防雨淋、防渗漏等措施。</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3、临时堆场</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highlight w:val="none"/>
                <w:lang w:val="en-US" w:eastAsia="zh-CN"/>
              </w:rPr>
              <w:t>临时堆场</w:t>
            </w:r>
            <w:r>
              <w:rPr>
                <w:rFonts w:hint="eastAsia"/>
                <w:color w:val="auto"/>
                <w:highlight w:val="none"/>
                <w:lang w:val="en-US" w:eastAsia="zh-CN"/>
              </w:rPr>
              <w:t>位于</w:t>
            </w:r>
            <w:r>
              <w:rPr>
                <w:rFonts w:hint="default"/>
                <w:color w:val="auto"/>
                <w:highlight w:val="none"/>
                <w:lang w:val="en-US" w:eastAsia="zh-CN"/>
              </w:rPr>
              <w:t>槽探一侧</w:t>
            </w:r>
            <w:r>
              <w:rPr>
                <w:rFonts w:hint="eastAsia"/>
                <w:color w:val="auto"/>
                <w:highlight w:val="none"/>
                <w:lang w:val="en-US" w:eastAsia="zh-CN"/>
              </w:rPr>
              <w:t>，占地面积共500</w:t>
            </w:r>
            <w:r>
              <w:rPr>
                <w:rFonts w:hint="default"/>
                <w:color w:val="auto"/>
                <w:highlight w:val="none"/>
                <w:lang w:val="en-US" w:eastAsia="zh-CN"/>
              </w:rPr>
              <w:t>m</w:t>
            </w:r>
            <w:r>
              <w:rPr>
                <w:rFonts w:hint="default"/>
                <w:color w:val="auto"/>
                <w:highlight w:val="none"/>
                <w:vertAlign w:val="superscript"/>
                <w:lang w:val="en-US" w:eastAsia="zh-CN"/>
              </w:rPr>
              <w:t>2</w:t>
            </w:r>
            <w:r>
              <w:rPr>
                <w:rFonts w:hint="default"/>
                <w:color w:val="auto"/>
                <w:lang w:val="en-US" w:eastAsia="zh-CN"/>
              </w:rPr>
              <w:t>，堆放槽探施工产生的土石方，</w:t>
            </w:r>
            <w:r>
              <w:rPr>
                <w:rFonts w:hint="eastAsia"/>
                <w:color w:val="auto"/>
                <w:lang w:val="en-US" w:eastAsia="zh-CN"/>
              </w:rPr>
              <w:t>采用彩布条</w:t>
            </w:r>
            <w:r>
              <w:rPr>
                <w:rFonts w:hint="default"/>
                <w:color w:val="auto"/>
                <w:lang w:val="en-US" w:eastAsia="zh-CN"/>
              </w:rPr>
              <w:t>苫盖，用于后期恢复</w:t>
            </w:r>
            <w:r>
              <w:rPr>
                <w:rFonts w:hint="eastAsia"/>
                <w:color w:val="auto"/>
                <w:lang w:val="en-US" w:eastAsia="zh-CN"/>
              </w:rPr>
              <w:t>。</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4、勘探工程</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highlight w:val="none"/>
                <w:lang w:val="en-US" w:eastAsia="zh-CN"/>
              </w:rPr>
            </w:pPr>
            <w:r>
              <w:rPr>
                <w:rFonts w:hint="eastAsia"/>
                <w:color w:val="auto"/>
                <w:highlight w:val="none"/>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总工作量200m</w:t>
            </w:r>
            <w:r>
              <w:rPr>
                <w:rFonts w:hint="eastAsia"/>
                <w:color w:val="auto"/>
                <w:highlight w:val="none"/>
                <w:vertAlign w:val="superscript"/>
                <w:lang w:val="en-US" w:eastAsia="zh-CN"/>
              </w:rPr>
              <w:t>3</w:t>
            </w:r>
            <w:r>
              <w:rPr>
                <w:rFonts w:hint="eastAsia"/>
                <w:color w:val="auto"/>
                <w:highlight w:val="none"/>
                <w:lang w:val="en-US" w:eastAsia="zh-CN"/>
              </w:rPr>
              <w:t>，探槽施工深度一般2-3米，本项目按2.5米计，故探槽占地80m</w:t>
            </w:r>
            <w:r>
              <w:rPr>
                <w:rFonts w:hint="eastAsia"/>
                <w:color w:val="auto"/>
                <w:highlight w:val="none"/>
                <w:vertAlign w:val="superscript"/>
                <w:lang w:val="en-US" w:eastAsia="zh-CN"/>
              </w:rPr>
              <w:t>2</w:t>
            </w:r>
            <w:r>
              <w:rPr>
                <w:rFonts w:hint="eastAsia"/>
                <w:color w:val="auto"/>
                <w:highlight w:val="none"/>
                <w:lang w:val="en-US" w:eastAsia="zh-CN"/>
              </w:rPr>
              <w:t>。项目共布设35个钻孔，钻孔位于探槽倾斜坡面，不额外新增占地，钻探工程所需材料利用便道随用随卸，不单设固定的施工场地。</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highlight w:val="none"/>
                <w:lang w:val="en-US" w:eastAsia="zh-CN"/>
              </w:rPr>
            </w:pPr>
            <w:r>
              <w:rPr>
                <w:rFonts w:hint="eastAsia"/>
                <w:color w:val="auto"/>
                <w:highlight w:val="none"/>
                <w:lang w:val="en-US" w:eastAsia="zh-CN"/>
              </w:rPr>
              <w:t>本项目设置1个3m</w:t>
            </w:r>
            <w:r>
              <w:rPr>
                <w:rFonts w:hint="eastAsia"/>
                <w:color w:val="auto"/>
                <w:highlight w:val="none"/>
                <w:vertAlign w:val="superscript"/>
                <w:lang w:val="en-US" w:eastAsia="zh-CN"/>
              </w:rPr>
              <w:t>3</w:t>
            </w:r>
            <w:r>
              <w:rPr>
                <w:rFonts w:hint="eastAsia"/>
                <w:color w:val="auto"/>
                <w:highlight w:val="none"/>
                <w:lang w:val="en-US" w:eastAsia="zh-CN"/>
              </w:rPr>
              <w:t>移动式泥浆沉淀池和1个5m</w:t>
            </w:r>
            <w:r>
              <w:rPr>
                <w:rFonts w:hint="eastAsia"/>
                <w:color w:val="auto"/>
                <w:highlight w:val="none"/>
                <w:vertAlign w:val="superscript"/>
                <w:lang w:val="en-US" w:eastAsia="zh-CN"/>
              </w:rPr>
              <w:t>3</w:t>
            </w:r>
            <w:r>
              <w:rPr>
                <w:rFonts w:hint="eastAsia"/>
                <w:color w:val="auto"/>
                <w:highlight w:val="none"/>
                <w:vertAlign w:val="baseline"/>
                <w:lang w:val="en-US" w:eastAsia="zh-CN"/>
              </w:rPr>
              <w:t>钻井设备</w:t>
            </w:r>
            <w:r>
              <w:rPr>
                <w:rFonts w:hint="eastAsia"/>
                <w:color w:val="auto"/>
                <w:highlight w:val="none"/>
                <w:lang w:val="en-US" w:eastAsia="zh-CN"/>
              </w:rPr>
              <w:t>冲洗水沉淀池。钻探泥浆自孔口连续排出、流动性强，为实现即时收集、防止漫流渗漏，泥浆沉淀池需紧邻钻孔布设；项目共计35个钻孔，则泥浆沉淀池占地面积共为105m</w:t>
            </w:r>
            <w:r>
              <w:rPr>
                <w:rFonts w:hint="eastAsia"/>
                <w:color w:val="auto"/>
                <w:highlight w:val="none"/>
                <w:vertAlign w:val="superscript"/>
                <w:lang w:val="en-US" w:eastAsia="zh-CN"/>
              </w:rPr>
              <w:t>2</w:t>
            </w:r>
            <w:r>
              <w:rPr>
                <w:rFonts w:hint="eastAsia"/>
                <w:color w:val="auto"/>
                <w:highlight w:val="none"/>
                <w:lang w:val="en-US" w:eastAsia="zh-CN"/>
              </w:rPr>
              <w:t>，冲洗水沉淀池占地面积5m</w:t>
            </w:r>
            <w:r>
              <w:rPr>
                <w:rFonts w:hint="eastAsia"/>
                <w:color w:val="auto"/>
                <w:highlight w:val="none"/>
                <w:vertAlign w:val="superscript"/>
                <w:lang w:val="en-US" w:eastAsia="zh-CN"/>
              </w:rPr>
              <w:t>2</w:t>
            </w:r>
            <w:r>
              <w:rPr>
                <w:rFonts w:hint="eastAsia"/>
                <w:color w:val="auto"/>
                <w:highlight w:val="none"/>
                <w:lang w:val="en-US" w:eastAsia="zh-CN"/>
              </w:rPr>
              <w:t>，则沉淀池总占地面积为110m</w:t>
            </w:r>
            <w:r>
              <w:rPr>
                <w:rFonts w:hint="eastAsia"/>
                <w:color w:val="auto"/>
                <w:highlight w:val="none"/>
                <w:vertAlign w:val="superscript"/>
                <w:lang w:val="en-US" w:eastAsia="zh-CN"/>
              </w:rPr>
              <w:t>2</w:t>
            </w:r>
            <w:r>
              <w:rPr>
                <w:rFonts w:hint="eastAsia"/>
                <w:color w:val="auto"/>
                <w:highlight w:val="none"/>
                <w:lang w:val="en-US" w:eastAsia="zh-CN"/>
              </w:rPr>
              <w:t>。</w:t>
            </w:r>
          </w:p>
          <w:p>
            <w:pPr>
              <w:pStyle w:val="4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本项目占地类型一览表见下表。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5</w:t>
            </w:r>
            <w:r>
              <w:rPr>
                <w:rFonts w:hint="default"/>
                <w:lang w:val="en-US" w:eastAsia="zh-CN"/>
              </w:rPr>
              <w:t xml:space="preserve">    项目占地类型一览表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1470"/>
              <w:gridCol w:w="1162"/>
              <w:gridCol w:w="1785"/>
              <w:gridCol w:w="1313"/>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3" w:type="pct"/>
                  <w:gridSpan w:val="2"/>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名称</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占地面积（m</w:t>
                  </w:r>
                  <w:r>
                    <w:rPr>
                      <w:rFonts w:hint="default"/>
                      <w:color w:val="auto"/>
                      <w:highlight w:val="none"/>
                      <w:vertAlign w:val="superscript"/>
                      <w:lang w:val="en-US" w:eastAsia="zh-CN"/>
                    </w:rPr>
                    <w:t>2</w:t>
                  </w:r>
                  <w:r>
                    <w:rPr>
                      <w:rFonts w:hint="default"/>
                      <w:color w:val="auto"/>
                      <w:highlight w:val="none"/>
                      <w:lang w:val="en-US" w:eastAsia="zh-CN"/>
                    </w:rPr>
                    <w:t>）</w:t>
                  </w:r>
                </w:p>
              </w:tc>
              <w:tc>
                <w:tcPr>
                  <w:tcW w:w="117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占地类型</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占地性质</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23" w:type="pct"/>
                  <w:gridSpan w:val="2"/>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探矿权范围</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15805200</w:t>
                  </w:r>
                </w:p>
              </w:tc>
              <w:tc>
                <w:tcPr>
                  <w:tcW w:w="117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低覆盖度草地、中覆盖度草地、裸岩石砾地</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54" w:type="pct"/>
                  <w:vMerge w:val="restar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其中</w:t>
                  </w:r>
                </w:p>
              </w:tc>
              <w:tc>
                <w:tcPr>
                  <w:tcW w:w="969"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槽探区</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80</w:t>
                  </w:r>
                </w:p>
              </w:tc>
              <w:tc>
                <w:tcPr>
                  <w:tcW w:w="1176"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中覆盖度草地</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钻探施工</w:t>
                  </w:r>
                </w:p>
              </w:tc>
              <w:tc>
                <w:tcPr>
                  <w:tcW w:w="766"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w:t>
                  </w:r>
                </w:p>
              </w:tc>
              <w:tc>
                <w:tcPr>
                  <w:tcW w:w="1176"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中覆盖度草地</w:t>
                  </w:r>
                </w:p>
              </w:tc>
              <w:tc>
                <w:tcPr>
                  <w:tcW w:w="865"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rPr>
                    <w:t>临时占地</w:t>
                  </w:r>
                </w:p>
              </w:tc>
              <w:tc>
                <w:tcPr>
                  <w:tcW w:w="967"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lang w:val="en-US" w:eastAsia="zh-CN"/>
                    </w:rPr>
                    <w:t>钻孔</w:t>
                  </w:r>
                  <w:r>
                    <w:rPr>
                      <w:rFonts w:hint="eastAsia"/>
                      <w:color w:val="auto"/>
                      <w:szCs w:val="21"/>
                      <w:highlight w:val="none"/>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沉淀池</w:t>
                  </w:r>
                </w:p>
              </w:tc>
              <w:tc>
                <w:tcPr>
                  <w:tcW w:w="766"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110</w:t>
                  </w:r>
                </w:p>
              </w:tc>
              <w:tc>
                <w:tcPr>
                  <w:tcW w:w="1176" w:type="pct"/>
                  <w:noWrap w:val="0"/>
                  <w:vAlign w:val="center"/>
                </w:tcPr>
                <w:p>
                  <w:pPr>
                    <w:keepNext w:val="0"/>
                    <w:keepLines w:val="0"/>
                    <w:suppressLineNumbers w:val="0"/>
                    <w:bidi w:val="0"/>
                    <w:spacing w:before="0" w:beforeAutospacing="0" w:after="0" w:afterAutospacing="0"/>
                    <w:ind w:left="0" w:right="0"/>
                    <w:jc w:val="center"/>
                    <w:rPr>
                      <w:rFonts w:hint="eastAsia" w:cs="Times New Roman"/>
                      <w:color w:val="auto"/>
                      <w:kern w:val="0"/>
                      <w:szCs w:val="21"/>
                      <w:highlight w:val="none"/>
                      <w:lang w:val="en-US" w:eastAsia="zh-CN"/>
                    </w:rPr>
                  </w:pPr>
                  <w:r>
                    <w:rPr>
                      <w:rFonts w:hint="eastAsia"/>
                      <w:color w:val="auto"/>
                      <w:highlight w:val="none"/>
                      <w:lang w:val="en-US" w:eastAsia="zh-CN"/>
                    </w:rPr>
                    <w:t>中覆盖度草地</w:t>
                  </w:r>
                </w:p>
              </w:tc>
              <w:tc>
                <w:tcPr>
                  <w:tcW w:w="865" w:type="pct"/>
                  <w:noWrap w:val="0"/>
                  <w:vAlign w:val="center"/>
                </w:tcPr>
                <w:p>
                  <w:pPr>
                    <w:keepNext w:val="0"/>
                    <w:keepLines w:val="0"/>
                    <w:suppressLineNumbers w:val="0"/>
                    <w:bidi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临时占地</w:t>
                  </w:r>
                </w:p>
              </w:tc>
              <w:tc>
                <w:tcPr>
                  <w:tcW w:w="967"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临时堆场</w:t>
                  </w:r>
                </w:p>
              </w:tc>
              <w:tc>
                <w:tcPr>
                  <w:tcW w:w="766"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500</w:t>
                  </w:r>
                </w:p>
              </w:tc>
              <w:tc>
                <w:tcPr>
                  <w:tcW w:w="1176"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中覆盖度草地</w:t>
                  </w:r>
                </w:p>
              </w:tc>
              <w:tc>
                <w:tcPr>
                  <w:tcW w:w="865"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临时占地</w:t>
                  </w:r>
                </w:p>
              </w:tc>
              <w:tc>
                <w:tcPr>
                  <w:tcW w:w="9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位于探槽</w:t>
                  </w:r>
                  <w:r>
                    <w:rPr>
                      <w:rFonts w:hint="eastAsia"/>
                      <w:color w:val="auto"/>
                      <w:highlight w:val="none"/>
                      <w:lang w:val="en-US" w:eastAsia="zh-CN"/>
                    </w:rPr>
                    <w:t>一</w:t>
                  </w:r>
                  <w:r>
                    <w:rPr>
                      <w:rFonts w:hint="default"/>
                      <w:color w:val="auto"/>
                      <w:highlight w:val="none"/>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4" w:type="pct"/>
                  <w:vMerge w:val="continue"/>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p>
              </w:tc>
              <w:tc>
                <w:tcPr>
                  <w:tcW w:w="969"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eastAsia" w:ascii="Times New Roman" w:hAnsi="Times New Roman" w:cs="Times New Roman"/>
                      <w:color w:val="auto"/>
                      <w:kern w:val="0"/>
                      <w:szCs w:val="21"/>
                      <w:highlight w:val="none"/>
                      <w:lang w:eastAsia="zh-CN"/>
                    </w:rPr>
                  </w:pPr>
                  <w:r>
                    <w:rPr>
                      <w:rFonts w:hint="eastAsia" w:ascii="Times New Roman" w:hAnsi="Times New Roman" w:cs="Times New Roman"/>
                      <w:color w:val="auto"/>
                      <w:kern w:val="0"/>
                      <w:szCs w:val="21"/>
                      <w:highlight w:val="none"/>
                      <w:lang w:eastAsia="zh-CN"/>
                    </w:rPr>
                    <w:t>生活营地</w:t>
                  </w:r>
                </w:p>
              </w:tc>
              <w:tc>
                <w:tcPr>
                  <w:tcW w:w="766"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100</w:t>
                  </w:r>
                </w:p>
              </w:tc>
              <w:tc>
                <w:tcPr>
                  <w:tcW w:w="1176"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低覆盖度草地</w:t>
                  </w:r>
                </w:p>
              </w:tc>
              <w:tc>
                <w:tcPr>
                  <w:tcW w:w="865"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临时占地</w:t>
                  </w:r>
                </w:p>
              </w:tc>
              <w:tc>
                <w:tcPr>
                  <w:tcW w:w="967"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w:t>
                  </w:r>
                </w:p>
              </w:tc>
            </w:tr>
          </w:tbl>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施工方案</w:t>
            </w:r>
          </w:p>
        </w:tc>
        <w:tc>
          <w:tcPr>
            <w:tcW w:w="7812" w:type="dxa"/>
            <w:noWrap w:val="0"/>
            <w:vAlign w:val="center"/>
          </w:tcPr>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50"/>
              <w:keepNext w:val="0"/>
              <w:keepLines w:val="0"/>
              <w:suppressLineNumbers w:val="0"/>
              <w:bidi w:val="0"/>
              <w:spacing w:before="0" w:beforeAutospacing="0" w:after="0" w:afterAutospacing="0"/>
              <w:ind w:left="0" w:right="0"/>
              <w:rPr>
                <w:rFonts w:hint="default"/>
                <w:highlight w:val="green"/>
                <w:lang w:val="en-US" w:eastAsia="zh-CN"/>
              </w:rPr>
            </w:pPr>
            <w:r>
              <w:rPr>
                <w:rFonts w:hint="eastAsia"/>
                <w:color w:val="auto"/>
                <w:lang w:val="en-US" w:eastAsia="zh-CN"/>
              </w:rPr>
              <w:t>1.1</w:t>
            </w:r>
            <w:r>
              <w:rPr>
                <w:rFonts w:hint="eastAsia"/>
                <w:color w:val="auto"/>
                <w:highlight w:val="none"/>
                <w:lang w:val="en-US" w:eastAsia="zh-CN"/>
              </w:rPr>
              <w:t>地质勘查工作</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default"/>
                <w:highlight w:val="none"/>
                <w:lang w:val="en-US" w:eastAsia="zh-CN"/>
              </w:rPr>
            </w:pPr>
            <w:r>
              <w:rPr>
                <w:rFonts w:hint="eastAsia"/>
                <w:highlight w:val="none"/>
                <w:lang w:val="en-US" w:eastAsia="zh-CN"/>
              </w:rPr>
              <w:t>（1）1︰10000地质测量</w:t>
            </w:r>
          </w:p>
          <w:p>
            <w:pPr>
              <w:pStyle w:val="4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highlight w:val="none"/>
                <w:lang w:val="en-US" w:eastAsia="zh-CN"/>
              </w:rPr>
            </w:pPr>
            <w:r>
              <w:rPr>
                <w:rFonts w:hint="default"/>
                <w:highlight w:val="none"/>
                <w:lang w:val="en-US" w:eastAsia="zh-CN"/>
              </w:rPr>
              <w:t>采用中大比例尺野外填图，详细查明评价区地层、岩性、断裂构造、第四系分布及水文地质条件，同步调查滑坡、崩塌等环境地质问题，查清地层界线、含水层与不良地质体空间分布，为区域地质环境现状、地下水污染风险及地质灾害影响分析提供基础地质依据。</w:t>
            </w:r>
            <w:r>
              <w:rPr>
                <w:rFonts w:hint="eastAsia"/>
                <w:highlight w:val="none"/>
                <w:lang w:val="en-US" w:eastAsia="zh-CN"/>
              </w:rPr>
              <w:t>测量面积为15.8052km</w:t>
            </w:r>
            <w:r>
              <w:rPr>
                <w:rFonts w:hint="eastAsia"/>
                <w:highlight w:val="none"/>
                <w:vertAlign w:val="superscript"/>
                <w:lang w:val="en-US" w:eastAsia="zh-CN"/>
              </w:rPr>
              <w:t>2</w:t>
            </w:r>
            <w:r>
              <w:rPr>
                <w:rFonts w:hint="eastAsia"/>
                <w:highlight w:val="none"/>
                <w:lang w:val="en-US" w:eastAsia="zh-CN"/>
              </w:rPr>
              <w:t>。</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highlight w:val="none"/>
                <w:lang w:val="en-US" w:eastAsia="zh-CN"/>
              </w:rPr>
              <w:t>（2）</w:t>
            </w:r>
            <w:r>
              <w:rPr>
                <w:rFonts w:hint="eastAsia"/>
                <w:lang w:val="en-US" w:eastAsia="zh-CN"/>
              </w:rPr>
              <w:t>1：5000地质剖面测量</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lang w:val="en-US" w:eastAsia="zh-CN"/>
              </w:rPr>
              <w:t>采用1：5000比例尺开展地质剖面测量，系统查明沿线地层岩性、岩层产状、断裂构造、含水层分布及岩土体分层特征，清晰反映纵向地质结构，为地下水、地质环境现状评价提供剖面地质依据。</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lang w:val="en-US" w:eastAsia="zh-CN"/>
              </w:rPr>
              <w:t>（3）1:5000岩石剖面测量</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开展1:5000岩石剖面测量，系统划分区内岩性单元、岩浆岩期次、蚀变及接触界线，实测岩层产状与岩体结构特征，查清岩体空间展布规律，为地质环境、岩土工程评价提供岩体基础资料。</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4</w:t>
            </w:r>
            <w:r>
              <w:rPr>
                <w:rFonts w:hint="default"/>
                <w:color w:val="auto"/>
                <w:lang w:val="en-US" w:eastAsia="zh-CN"/>
              </w:rPr>
              <w:t>）槽探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本次设计槽探工作量</w:t>
            </w:r>
            <w:r>
              <w:rPr>
                <w:rFonts w:hint="eastAsia"/>
                <w:color w:val="auto"/>
                <w:lang w:val="en-US" w:eastAsia="zh-CN"/>
              </w:rPr>
              <w:t>200</w:t>
            </w:r>
            <w:r>
              <w:rPr>
                <w:rFonts w:hint="default"/>
                <w:color w:val="auto"/>
                <w:lang w:val="en-US" w:eastAsia="zh-CN"/>
              </w:rPr>
              <w:t>立方米。用于揭露地表矿体、构造、重要地质界线，为深部钻探工程提供地质依据。</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槽探施工要求：探槽槽顶开口1～1.2米，个别覆盖较厚地段开口1.5～2.0米，槽底宽度不能小于0.8米，槽底见基岩0.3米以上。槽长度的设计以达到地质目的为原则，槽底平整，两壁坡度应按土质和槽深而定，1米以内为90°；1～3米探槽在结实土层内为75～80°，在松软的土层内为60～70°，野外施工过程中以保证安全，不易坍塌为原则。</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5</w:t>
            </w:r>
            <w:r>
              <w:rPr>
                <w:rFonts w:hint="default"/>
                <w:color w:val="auto"/>
                <w:lang w:val="en-US" w:eastAsia="zh-CN"/>
              </w:rPr>
              <w:t>）钻探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本次设计钻探</w:t>
            </w:r>
            <w:r>
              <w:rPr>
                <w:rFonts w:hint="eastAsia"/>
                <w:color w:val="auto"/>
                <w:lang w:val="en-US" w:eastAsia="zh-CN"/>
              </w:rPr>
              <w:t>1800</w:t>
            </w:r>
            <w:r>
              <w:rPr>
                <w:rFonts w:hint="default"/>
                <w:color w:val="auto"/>
                <w:lang w:val="en-US" w:eastAsia="zh-CN"/>
              </w:rPr>
              <w:t>米，用于深部矿（化）体的控制，在充分了解矿化体（层）赋存状态、断裂、矿带分布及特征的基础上，确定钻孔位置，编写钻孔设计书。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钻探</w:t>
            </w:r>
            <w:r>
              <w:rPr>
                <w:rFonts w:hint="default"/>
                <w:color w:val="auto"/>
                <w:lang w:val="en-US" w:eastAsia="zh-CN"/>
              </w:rPr>
              <w:t>施工要求：钻孔开孔后25m测量一次倾角和方位角；直孔每钻进100m，测一次倾角和方位角；斜孔每钻进50m测一次倾角和方位角；换径、终孔、矿体顶、底板加测一次倾角和方位角；当矿体厚度小于5m时，矿体顶板与底板可只测1次；直孔每钻进100m，顶角偏斜不应超过2°；斜孔每钻进100m，方位角偏斜不应超过3°，顶角偏斜不应超过3°。有特殊需要时，按勘查设计或合同的要求执行；定向钻孔的弯曲与测量间距要求，应遵守DZ/T0054的相关规定；在有磁性干扰的地层（含矿体）中，采用不受干扰的测斜仪测斜，各种测斜仪器在使用前应经过检查和校正。</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孔均应进行简易水文观测，每小班选择1-2回次，提钻前、下钻前各测量一次水位，间隔时间应大于5分钟。观测内容一般包括：孔内静止水位、冲洗液消耗量、涌水位置、涌水量及水头高度、漏失位置和漏失量等，钻进过程中若遇到掉块、坍塌及钻具掉落等异常现象时，应及时记录其深度以便于处理。</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1.2</w:t>
            </w:r>
            <w:r>
              <w:rPr>
                <w:rFonts w:hint="default"/>
                <w:color w:val="auto"/>
                <w:lang w:val="en-US" w:eastAsia="zh-CN"/>
              </w:rPr>
              <w:t>样品采集</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本次工作设计采取基本分析样、基岩光谱分析样等，样品合计</w:t>
            </w:r>
            <w:r>
              <w:rPr>
                <w:rFonts w:hint="eastAsia"/>
                <w:color w:val="auto"/>
                <w:lang w:val="en-US" w:eastAsia="zh-CN"/>
              </w:rPr>
              <w:t>350</w:t>
            </w:r>
            <w:r>
              <w:rPr>
                <w:rFonts w:hint="default"/>
                <w:color w:val="auto"/>
                <w:lang w:val="en-US" w:eastAsia="zh-CN"/>
              </w:rPr>
              <w:t>件。设计样品数可根据野外实际情况，以达到地质目的为原则，可</w:t>
            </w:r>
            <w:r>
              <w:rPr>
                <w:rFonts w:hint="eastAsia"/>
                <w:color w:val="auto"/>
                <w:lang w:val="en-US" w:eastAsia="zh-CN"/>
              </w:rPr>
              <w:t>做</w:t>
            </w:r>
            <w:r>
              <w:rPr>
                <w:rFonts w:hint="default"/>
                <w:color w:val="auto"/>
                <w:lang w:val="en-US" w:eastAsia="zh-CN"/>
              </w:rPr>
              <w:t>适当增减或调整。</w:t>
            </w:r>
            <w:r>
              <w:rPr>
                <w:rFonts w:hint="eastAsia"/>
                <w:color w:val="auto"/>
                <w:lang w:val="en-US" w:eastAsia="zh-CN"/>
              </w:rPr>
              <w:t>本次探矿只包含取样工作，现场不设实验室，样品测试工作交由实验室承担。</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2.施工期流程简述</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本项目为新建项目，施工期主要污染来自临时生活营地建设时产生的施工废气、施工扬尘、施工噪声、开挖土石方等，施工期工艺流程图及产污环节见下图。</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mc:AlternateContent>
                <mc:Choice Requires="wps">
                  <w:drawing>
                    <wp:anchor distT="0" distB="0" distL="114300" distR="114300" simplePos="0" relativeHeight="251663360" behindDoc="0" locked="0" layoutInCell="1" allowOverlap="1">
                      <wp:simplePos x="0" y="0"/>
                      <wp:positionH relativeFrom="column">
                        <wp:posOffset>2609215</wp:posOffset>
                      </wp:positionH>
                      <wp:positionV relativeFrom="paragraph">
                        <wp:posOffset>690245</wp:posOffset>
                      </wp:positionV>
                      <wp:extent cx="796925" cy="252095"/>
                      <wp:effectExtent l="0" t="0" r="3175" b="14605"/>
                      <wp:wrapNone/>
                      <wp:docPr id="17" name="文本框 17"/>
                      <wp:cNvGraphicFramePr/>
                      <a:graphic xmlns:a="http://schemas.openxmlformats.org/drawingml/2006/main">
                        <a:graphicData uri="http://schemas.microsoft.com/office/word/2010/wordprocessingShape">
                          <wps:wsp>
                            <wps:cNvSpPr txBox="1"/>
                            <wps:spPr>
                              <a:xfrm>
                                <a:off x="4187190" y="1986915"/>
                                <a:ext cx="79692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45pt;margin-top:54.35pt;height:19.85pt;width:62.75pt;z-index:251663360;mso-width-relative:page;mso-height-relative:page;" fillcolor="#FFFFFF [3212]" filled="t" stroked="f" coordsize="21600,21600" o:gfxdata="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3Dp&#10;n9YAAAALAQAADwAAAAAAAAABACAAAAAiAAAAZHJzL2Rvd25yZXYueG1sUEsBAhQAFAAAAAgAh07i&#10;QHqzeTldAgAAnAQAAA4AAAAAAAAAAQAgAAAAJQEAAGRycy9lMm9Eb2MueG1sUEsFBgAAAAAGAAYA&#10;WQEAAPQFA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default"/>
                <w:lang w:val="en-US" w:eastAsia="zh-CN"/>
              </w:rPr>
              <w:drawing>
                <wp:anchor distT="0" distB="0" distL="114300" distR="114300" simplePos="0" relativeHeight="251662336" behindDoc="0" locked="0" layoutInCell="1" allowOverlap="1">
                  <wp:simplePos x="0" y="0"/>
                  <wp:positionH relativeFrom="column">
                    <wp:posOffset>109855</wp:posOffset>
                  </wp:positionH>
                  <wp:positionV relativeFrom="paragraph">
                    <wp:posOffset>42545</wp:posOffset>
                  </wp:positionV>
                  <wp:extent cx="4674235" cy="989330"/>
                  <wp:effectExtent l="0" t="0" r="12065" b="1270"/>
                  <wp:wrapTopAndBottom/>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1"/>
                          <a:stretch>
                            <a:fillRect/>
                          </a:stretch>
                        </pic:blipFill>
                        <pic:spPr>
                          <a:xfrm>
                            <a:off x="0" y="0"/>
                            <a:ext cx="4674235" cy="989330"/>
                          </a:xfrm>
                          <a:prstGeom prst="rect">
                            <a:avLst/>
                          </a:prstGeom>
                          <a:noFill/>
                          <a:ln>
                            <a:noFill/>
                          </a:ln>
                        </pic:spPr>
                      </pic:pic>
                    </a:graphicData>
                  </a:graphic>
                </wp:anchor>
              </w:drawing>
            </w:r>
            <w:r>
              <w:rPr>
                <w:rFonts w:hint="default"/>
                <w:lang w:val="en-US" w:eastAsia="zh-CN"/>
              </w:rPr>
              <w:t>图2-2    生活营地建设工艺及产污环节图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3.勘探期流程简述</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勘探期</w:t>
            </w:r>
            <w:r>
              <w:rPr>
                <w:rFonts w:hint="eastAsia"/>
              </w:rPr>
              <w:t>主要包括槽探和钻探，工程实施过程中主要污染来自槽探和钻探过程中扬尘、机械噪声、工程弃渣及工作人员生活过程中产生的生活污水和生活垃圾。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3.1槽探</w:t>
            </w:r>
          </w:p>
          <w:p>
            <w:pPr>
              <w:pStyle w:val="56"/>
              <w:keepNext w:val="0"/>
              <w:keepLines w:val="0"/>
              <w:suppressLineNumbers w:val="0"/>
              <w:bidi w:val="0"/>
              <w:spacing w:before="0" w:beforeAutospacing="0" w:after="0" w:afterAutospacing="0"/>
              <w:ind w:left="0" w:right="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2"/>
                          <a:stretch>
                            <a:fillRect/>
                          </a:stretch>
                        </pic:blipFill>
                        <pic:spPr>
                          <a:xfrm>
                            <a:off x="0" y="0"/>
                            <a:ext cx="4231640" cy="1612265"/>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3  </w:t>
            </w:r>
            <w:r>
              <w:rPr>
                <w:rFonts w:hint="default"/>
                <w:lang w:val="en-US" w:eastAsia="zh-CN"/>
              </w:rPr>
              <w:t xml:space="preserve">  槽探施工流程及产污环节示意图</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使用防风彩布条苫盖。施工结束后表土及</w:t>
            </w:r>
            <w:r>
              <w:rPr>
                <w:rFonts w:hint="default"/>
                <w:lang w:val="en-US" w:eastAsia="zh-CN"/>
              </w:rPr>
              <w:t>开挖废石全部回填探槽。</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3.2钻探</w:t>
            </w:r>
          </w:p>
          <w:p>
            <w:pPr>
              <w:pStyle w:val="56"/>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kern w:val="0"/>
                <w:szCs w:val="21"/>
                <w:lang w:eastAsia="zh-CN"/>
              </w:rPr>
            </w:pPr>
            <w:r>
              <w:rPr>
                <w:rFonts w:hint="default"/>
                <w:sz w:val="21"/>
              </w:rPr>
              <mc:AlternateContent>
                <mc:Choice Requires="wps">
                  <w:drawing>
                    <wp:anchor distT="0" distB="0" distL="114300" distR="114300" simplePos="0" relativeHeight="251661312" behindDoc="0" locked="0" layoutInCell="1" allowOverlap="1">
                      <wp:simplePos x="0" y="0"/>
                      <wp:positionH relativeFrom="column">
                        <wp:posOffset>1515110</wp:posOffset>
                      </wp:positionH>
                      <wp:positionV relativeFrom="paragraph">
                        <wp:posOffset>516255</wp:posOffset>
                      </wp:positionV>
                      <wp:extent cx="871855" cy="362585"/>
                      <wp:effectExtent l="0" t="0" r="0" b="0"/>
                      <wp:wrapNone/>
                      <wp:docPr id="3" name="文本框 3"/>
                      <wp:cNvGraphicFramePr/>
                      <a:graphic xmlns:a="http://schemas.openxmlformats.org/drawingml/2006/main">
                        <a:graphicData uri="http://schemas.microsoft.com/office/word/2010/wordprocessingShape">
                          <wps:wsp>
                            <wps:cNvSpPr txBox="1"/>
                            <wps:spPr>
                              <a:xfrm>
                                <a:off x="3178810" y="3946525"/>
                                <a:ext cx="871855" cy="362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3pt;margin-top:40.65pt;height:28.55pt;width:68.65pt;z-index:251661312;mso-width-relative:page;mso-height-relative:page;" filled="f" stroked="f" coordsize="21600,21600" o:gfxdata="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AKgJ82wAAAAoBAAAPAAAAAAAA&#10;AAEAIAAAACIAAABkcnMvZG93bnJldi54bWxQSwECFAAUAAAACACHTuJAc8ELpUgCAABxBAAADgAA&#10;AAAAAAABACAAAAAqAQAAZHJzL2Uyb0RvYy54bWxQSwUGAAAAAAYABgBZAQAA5A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v:textbox>
                    </v:shape>
                  </w:pict>
                </mc:Fallback>
              </mc:AlternateContent>
            </w:r>
            <w:r>
              <w:rPr>
                <w:rFonts w:hint="default" w:ascii="Times New Roman" w:hAnsi="Times New Roman" w:eastAsia="宋体" w:cs="Times New Roman"/>
                <w:b/>
                <w:color w:val="auto"/>
                <w:kern w:val="0"/>
                <w:szCs w:val="21"/>
                <w:lang w:eastAsia="zh-CN"/>
              </w:rPr>
              <w:drawing>
                <wp:inline distT="0" distB="0" distL="114300" distR="114300">
                  <wp:extent cx="4208780" cy="1427480"/>
                  <wp:effectExtent l="0" t="0" r="1270" b="1270"/>
                  <wp:docPr id="8" name="图片 1" descr="2018080817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0180808173806"/>
                          <pic:cNvPicPr>
                            <a:picLocks noChangeAspect="1"/>
                          </pic:cNvPicPr>
                        </pic:nvPicPr>
                        <pic:blipFill>
                          <a:blip r:embed="rId13"/>
                          <a:srcRect b="2127"/>
                          <a:stretch>
                            <a:fillRect/>
                          </a:stretch>
                        </pic:blipFill>
                        <pic:spPr>
                          <a:xfrm>
                            <a:off x="0" y="0"/>
                            <a:ext cx="4208780" cy="1427480"/>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8"/>
              <w:keepNext w:val="0"/>
              <w:keepLines w:val="0"/>
              <w:suppressLineNumbers w:val="0"/>
              <w:shd w:val="clear" w:color="auto" w:fill="auto"/>
              <w:bidi w:val="0"/>
              <w:spacing w:before="0" w:beforeAutospacing="0" w:after="0" w:afterAutospacing="0"/>
              <w:ind w:left="0" w:right="0"/>
              <w:rPr>
                <w:rFonts w:hint="default" w:ascii="Times New Roman" w:hAnsi="Times New Roman" w:eastAsia="宋体" w:cs="宋体"/>
                <w:shd w:val="clear" w:color="auto" w:fill="auto"/>
                <w:lang w:val="en-US" w:eastAsia="zh-CN"/>
              </w:rPr>
            </w:pPr>
            <w:r>
              <w:rPr>
                <w:rFonts w:hint="eastAsia" w:ascii="Times New Roman" w:hAnsi="Times New Roman" w:eastAsia="宋体" w:cs="宋体"/>
                <w:shd w:val="clear" w:color="auto" w:fill="auto"/>
                <w:lang w:val="en-US" w:eastAsia="zh-CN"/>
              </w:rPr>
              <w:t>钻探施工时先进行钻孔定位、放线，然后开展施工平台场地平整，接着依次进行井架安装、钻孔施工，之后进行岩心取样、化验分析，最后实施钻孔封堵、表土回填恢复。本项目</w:t>
            </w:r>
            <w:r>
              <w:rPr>
                <w:rFonts w:hint="default" w:ascii="Times New Roman" w:hAnsi="Times New Roman" w:eastAsia="宋体" w:cs="宋体"/>
                <w:shd w:val="clear" w:color="auto" w:fill="auto"/>
                <w:lang w:val="en-US" w:eastAsia="zh-CN"/>
              </w:rPr>
              <w:t>根据矿区矿</w:t>
            </w:r>
            <w:r>
              <w:rPr>
                <w:rFonts w:hint="eastAsia" w:ascii="Times New Roman" w:hAnsi="Times New Roman" w:eastAsia="宋体" w:cs="宋体"/>
                <w:shd w:val="clear" w:color="auto" w:fill="auto"/>
                <w:lang w:val="en-US" w:eastAsia="zh-CN"/>
              </w:rPr>
              <w:t>体</w:t>
            </w:r>
            <w:r>
              <w:rPr>
                <w:rFonts w:hint="default" w:ascii="Times New Roman" w:hAnsi="Times New Roman" w:eastAsia="宋体" w:cs="宋体"/>
                <w:shd w:val="clear" w:color="auto" w:fill="auto"/>
                <w:lang w:val="en-US" w:eastAsia="zh-CN"/>
              </w:rPr>
              <w:t>实际情况，采用机械岩心</w:t>
            </w:r>
            <w:r>
              <w:rPr>
                <w:rFonts w:hint="eastAsia" w:cs="宋体"/>
                <w:shd w:val="clear" w:color="auto" w:fill="auto"/>
                <w:lang w:val="en-US" w:eastAsia="zh-CN"/>
              </w:rPr>
              <w:t>金刚石钻头</w:t>
            </w:r>
            <w:r>
              <w:rPr>
                <w:rFonts w:hint="default" w:ascii="Times New Roman" w:hAnsi="Times New Roman" w:eastAsia="宋体" w:cs="宋体"/>
                <w:shd w:val="clear" w:color="auto" w:fill="auto"/>
                <w:lang w:val="en-US" w:eastAsia="zh-CN"/>
              </w:rPr>
              <w:t>，终孔孔径不小于75毫米，孔口下套管护壁。钻孔布设时，应坚持</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一基多孔</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一孔多用</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的原则，尽量减少钻孔机场的开挖导致的对自然地貌、自然景观的破坏。</w:t>
            </w:r>
          </w:p>
          <w:p>
            <w:pPr>
              <w:pStyle w:val="48"/>
              <w:keepNext w:val="0"/>
              <w:keepLines w:val="0"/>
              <w:suppressLineNumbers w:val="0"/>
              <w:shd w:val="clear" w:color="auto" w:fill="auto"/>
              <w:bidi w:val="0"/>
              <w:spacing w:before="0" w:beforeAutospacing="0" w:after="0" w:afterAutospacing="0"/>
              <w:ind w:left="0" w:right="0"/>
              <w:rPr>
                <w:rFonts w:hint="eastAsia" w:ascii="Times New Roman" w:hAnsi="Times New Roman" w:eastAsia="宋体" w:cs="宋体"/>
                <w:shd w:val="clear" w:color="auto" w:fill="auto"/>
                <w:lang w:val="en-US" w:eastAsia="zh-CN"/>
              </w:rPr>
            </w:pPr>
            <w:r>
              <w:rPr>
                <w:rFonts w:hint="default" w:ascii="Times New Roman" w:hAnsi="Times New Roman" w:eastAsia="宋体" w:cs="宋体"/>
                <w:shd w:val="clear" w:color="auto" w:fill="auto"/>
                <w:lang w:val="en-US" w:eastAsia="zh-CN"/>
              </w:rPr>
              <w:t>钻探施工</w:t>
            </w:r>
            <w:r>
              <w:rPr>
                <w:rFonts w:hint="eastAsia" w:cs="宋体"/>
                <w:shd w:val="clear" w:color="auto" w:fill="auto"/>
                <w:lang w:val="en-US" w:eastAsia="zh-CN"/>
              </w:rPr>
              <w:t>时</w:t>
            </w:r>
            <w:r>
              <w:rPr>
                <w:rFonts w:hint="default" w:ascii="Times New Roman" w:hAnsi="Times New Roman" w:eastAsia="宋体" w:cs="宋体"/>
                <w:shd w:val="clear" w:color="auto" w:fill="auto"/>
                <w:lang w:val="en-US" w:eastAsia="zh-CN"/>
              </w:rPr>
              <w:t>布设</w:t>
            </w:r>
            <w:r>
              <w:rPr>
                <w:rFonts w:hint="eastAsia" w:cs="宋体"/>
                <w:shd w:val="clear" w:color="auto" w:fill="auto"/>
                <w:lang w:val="en-US" w:eastAsia="zh-CN"/>
              </w:rPr>
              <w:t>移动式泥浆</w:t>
            </w:r>
            <w:r>
              <w:rPr>
                <w:rFonts w:hint="default" w:ascii="Times New Roman" w:hAnsi="Times New Roman" w:eastAsia="宋体" w:cs="宋体"/>
                <w:shd w:val="clear" w:color="auto" w:fill="auto"/>
                <w:lang w:val="en-US" w:eastAsia="zh-CN"/>
              </w:rPr>
              <w:t>沉淀池，收集处置钻井泥浆废水，废水经沉淀处理后循环回用；勘探完工后，池内剩余泥浆固化</w:t>
            </w:r>
            <w:r>
              <w:rPr>
                <w:rFonts w:hint="eastAsia" w:cs="宋体"/>
                <w:shd w:val="clear" w:color="auto" w:fill="auto"/>
                <w:lang w:val="en-US" w:eastAsia="zh-CN"/>
              </w:rPr>
              <w:t>后拉运至一般固废处置单位统一处理</w:t>
            </w:r>
            <w:r>
              <w:rPr>
                <w:rFonts w:hint="default" w:ascii="Times New Roman" w:hAnsi="Times New Roman" w:eastAsia="宋体" w:cs="宋体"/>
                <w:shd w:val="clear" w:color="auto" w:fill="auto"/>
                <w:lang w:val="en-US" w:eastAsia="zh-CN"/>
              </w:rPr>
              <w:t>。钻探作业涉及表土剥离及钻孔施工，</w:t>
            </w:r>
            <w:r>
              <w:rPr>
                <w:rFonts w:hint="eastAsia" w:ascii="Times New Roman" w:hAnsi="Times New Roman" w:eastAsia="宋体" w:cs="宋体"/>
                <w:shd w:val="clear" w:color="auto" w:fill="auto"/>
                <w:lang w:val="en-US" w:eastAsia="zh-CN"/>
              </w:rPr>
              <w:t>会产生泥浆等固废。</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highlight w:val="none"/>
                <w:lang w:val="en-US" w:eastAsia="zh-CN"/>
              </w:rPr>
              <w:t>4</w:t>
            </w:r>
            <w:r>
              <w:rPr>
                <w:rFonts w:hint="default"/>
                <w:highlight w:val="none"/>
                <w:lang w:val="en-US" w:eastAsia="zh-CN"/>
              </w:rPr>
              <w:t>.施工时序及建设周期</w:t>
            </w:r>
          </w:p>
          <w:p>
            <w:pPr>
              <w:pStyle w:val="48"/>
              <w:keepNext w:val="0"/>
              <w:keepLines w:val="0"/>
              <w:suppressLineNumbers w:val="0"/>
              <w:shd w:val="clear" w:color="auto" w:fill="auto"/>
              <w:bidi w:val="0"/>
              <w:spacing w:before="0" w:beforeAutospacing="0" w:after="0" w:afterAutospacing="0"/>
              <w:ind w:left="0" w:right="0"/>
              <w:rPr>
                <w:rFonts w:hint="eastAsia"/>
                <w:color w:val="auto"/>
                <w:shd w:val="clear" w:color="auto" w:fill="auto"/>
                <w:lang w:val="en-US" w:eastAsia="zh-CN"/>
              </w:rPr>
            </w:pPr>
            <w:r>
              <w:rPr>
                <w:rFonts w:hint="eastAsia"/>
                <w:color w:val="auto"/>
                <w:lang w:val="en-US" w:eastAsia="zh-CN"/>
              </w:rPr>
              <w:t>本项目具体工作计划与进度安排见下表</w:t>
            </w:r>
            <w:r>
              <w:rPr>
                <w:rFonts w:hint="eastAsia"/>
                <w:color w:val="auto"/>
                <w:shd w:val="clear" w:color="auto" w:fill="auto"/>
                <w:lang w:val="en-US" w:eastAsia="zh-CN"/>
              </w:rPr>
              <w:t>。</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表2-6    工作计划与时间安排表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1534"/>
              <w:gridCol w:w="4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13"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工作年度</w:t>
                  </w:r>
                </w:p>
              </w:tc>
              <w:tc>
                <w:tcPr>
                  <w:tcW w:w="1011"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时间安排</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013" w:type="pct"/>
                  <w:noWrap w:val="0"/>
                  <w:vAlign w:val="center"/>
                </w:tcPr>
                <w:p>
                  <w:pPr>
                    <w:pStyle w:val="54"/>
                    <w:keepNext w:val="0"/>
                    <w:keepLines w:val="0"/>
                    <w:suppressLineNumbers w:val="0"/>
                    <w:bidi w:val="0"/>
                    <w:spacing w:before="0" w:beforeAutospacing="0" w:after="0" w:afterAutospacing="0"/>
                    <w:ind w:left="0" w:right="0"/>
                    <w:rPr>
                      <w:rFonts w:hint="default"/>
                      <w:color w:val="auto"/>
                      <w:highlight w:val="none"/>
                    </w:rPr>
                  </w:pPr>
                  <w:r>
                    <w:rPr>
                      <w:rFonts w:hint="eastAsia"/>
                    </w:rPr>
                    <w:t>准备阶段</w:t>
                  </w:r>
                </w:p>
              </w:tc>
              <w:tc>
                <w:tcPr>
                  <w:tcW w:w="1011"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2026年8</w:t>
                  </w:r>
                  <w:r>
                    <w:rPr>
                      <w:rFonts w:hint="default"/>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分析研究已有资料，编写项目设计书。确定人员机构编制、组建项目分队并组织技术人员学习设计，熟悉工作区所获各种资料，落实资金、设备、运输等诸项事宜，健全规章制度。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13" w:type="pct"/>
                  <w:noWrap w:val="0"/>
                  <w:vAlign w:val="center"/>
                </w:tcPr>
                <w:p>
                  <w:pPr>
                    <w:pStyle w:val="54"/>
                    <w:keepNext w:val="0"/>
                    <w:keepLines w:val="0"/>
                    <w:suppressLineNumbers w:val="0"/>
                    <w:bidi w:val="0"/>
                    <w:spacing w:before="0" w:beforeAutospacing="0" w:after="0" w:afterAutospacing="0"/>
                    <w:ind w:left="0" w:right="0"/>
                    <w:rPr>
                      <w:rFonts w:hint="eastAsia" w:eastAsia="宋体"/>
                      <w:color w:val="auto"/>
                      <w:highlight w:val="none"/>
                      <w:lang w:val="en-US" w:eastAsia="zh-CN"/>
                    </w:rPr>
                  </w:pPr>
                  <w:r>
                    <w:rPr>
                      <w:rFonts w:hint="eastAsia"/>
                      <w:lang w:val="en-US" w:eastAsia="zh-CN"/>
                    </w:rPr>
                    <w:t>勘探阶段</w:t>
                  </w:r>
                </w:p>
              </w:tc>
              <w:tc>
                <w:tcPr>
                  <w:tcW w:w="1011"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2026年8</w:t>
                  </w:r>
                  <w:r>
                    <w:rPr>
                      <w:rFonts w:hint="eastAsia"/>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lang w:val="en-US" w:eastAsia="zh-CN"/>
                    </w:rPr>
                    <w:t>开展地形测量，地质测量，环境地质测量，钻探，采样测试等探矿工程。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013" w:type="pct"/>
                  <w:noWrap w:val="0"/>
                  <w:vAlign w:val="center"/>
                </w:tcPr>
                <w:p>
                  <w:pPr>
                    <w:pStyle w:val="54"/>
                    <w:keepNext w:val="0"/>
                    <w:keepLines w:val="0"/>
                    <w:suppressLineNumbers w:val="0"/>
                    <w:bidi w:val="0"/>
                    <w:spacing w:before="0" w:beforeAutospacing="0" w:after="0" w:afterAutospacing="0"/>
                    <w:ind w:left="0" w:right="0"/>
                    <w:rPr>
                      <w:rFonts w:hint="default" w:eastAsia="宋体"/>
                      <w:color w:val="auto"/>
                      <w:highlight w:val="none"/>
                      <w:lang w:val="en-US" w:eastAsia="zh-CN"/>
                    </w:rPr>
                  </w:pPr>
                  <w:r>
                    <w:rPr>
                      <w:rFonts w:hint="default"/>
                    </w:rPr>
                    <w:t>室内资料综合整理报告编写</w:t>
                  </w:r>
                </w:p>
              </w:tc>
              <w:tc>
                <w:tcPr>
                  <w:tcW w:w="1011" w:type="pct"/>
                  <w:noWrap w:val="0"/>
                  <w:vAlign w:val="center"/>
                </w:tcPr>
                <w:p>
                  <w:pPr>
                    <w:pStyle w:val="58"/>
                    <w:keepNext w:val="0"/>
                    <w:keepLines w:val="0"/>
                    <w:suppressLineNumbers w:val="0"/>
                    <w:bidi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2026年9</w:t>
                  </w:r>
                  <w:r>
                    <w:rPr>
                      <w:rFonts w:hint="eastAsia"/>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对野外所获的全部地质资料、测试成果及以往所获地质资料进行系统整理和综合研究，编制各类地质图件，编写报告。</w:t>
                  </w:r>
                </w:p>
              </w:tc>
            </w:tr>
          </w:tbl>
          <w:p>
            <w:pPr>
              <w:pStyle w:val="48"/>
              <w:keepNext w:val="0"/>
              <w:keepLines w:val="0"/>
              <w:suppressLineNumbers w:val="0"/>
              <w:shd w:val="clear" w:color="auto" w:fill="auto"/>
              <w:bidi w:val="0"/>
              <w:spacing w:before="0" w:beforeAutospacing="0" w:after="0" w:afterAutospacing="0"/>
              <w:ind w:left="0" w:right="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人员配置齐全，包含施工单位负责人及施工管理人员，工程监理人员、安全生产管理人员、现场施工队伍等。</w:t>
            </w:r>
            <w:r>
              <w:rPr>
                <w:rFonts w:hint="default"/>
                <w:shd w:val="clear" w:color="auto" w:fill="auto"/>
                <w:lang w:val="en-US" w:eastAsia="zh-CN"/>
              </w:rPr>
              <w:t>③</w:t>
            </w:r>
            <w:r>
              <w:rPr>
                <w:rFonts w:hint="eastAsia"/>
                <w:shd w:val="clear" w:color="auto" w:fill="auto"/>
                <w:lang w:val="en-US" w:eastAsia="zh-CN"/>
              </w:rPr>
              <w:t>施工设备准备齐全，包含挖掘机、运输车辆等。④物资准备齐全，包含生活用品和安全生产用品等。⑤施工现场布置清晰、道路和设备、人员等进行合理管理。⑥明确施工环境保护措施。</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5.土石方平衡分析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本项目主要的土石方工程为槽探、钻探期间开挖的土壤与风化岩石剥离、回填产生的土石方。</w:t>
            </w:r>
          </w:p>
          <w:p>
            <w:pPr>
              <w:pStyle w:val="48"/>
              <w:keepNext w:val="0"/>
              <w:keepLines w:val="0"/>
              <w:suppressLineNumbers w:val="0"/>
              <w:tabs>
                <w:tab w:val="left" w:pos="3780"/>
              </w:tabs>
              <w:bidi w:val="0"/>
              <w:spacing w:before="0" w:beforeAutospacing="0" w:after="0" w:afterAutospacing="0"/>
              <w:ind w:left="0" w:right="0"/>
              <w:jc w:val="both"/>
              <w:rPr>
                <w:rFonts w:hint="eastAsia"/>
                <w:highlight w:val="none"/>
                <w:lang w:val="en-US" w:eastAsia="zh-CN"/>
              </w:rPr>
            </w:pPr>
            <w:r>
              <w:rPr>
                <w:rFonts w:hint="eastAsia"/>
                <w:highlight w:val="none"/>
                <w:lang w:val="en-US" w:eastAsia="zh-CN"/>
              </w:rPr>
              <w:t>本项目槽探总工作量200m</w:t>
            </w:r>
            <w:r>
              <w:rPr>
                <w:rFonts w:hint="eastAsia"/>
                <w:highlight w:val="none"/>
                <w:vertAlign w:val="superscript"/>
                <w:lang w:val="en-US" w:eastAsia="zh-CN"/>
              </w:rPr>
              <w:t>3</w:t>
            </w:r>
            <w:r>
              <w:rPr>
                <w:rFonts w:hint="eastAsia"/>
                <w:highlight w:val="none"/>
                <w:lang w:val="en-US" w:eastAsia="zh-CN"/>
              </w:rPr>
              <w:t>，钻探总工作量为1800m，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55mm岩心管），根据公式V=</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r>
              <w:rPr>
                <w:rFonts w:hint="eastAsia"/>
                <w:lang w:val="en-US" w:eastAsia="zh-CN"/>
              </w:rPr>
              <w:t>计算，钻孔产生的土石方量约为7.95m</w:t>
            </w:r>
            <w:r>
              <w:rPr>
                <w:rFonts w:hint="eastAsia"/>
                <w:vertAlign w:val="superscript"/>
                <w:lang w:val="en-US" w:eastAsia="zh-CN"/>
              </w:rPr>
              <w:t>3</w:t>
            </w:r>
            <w:r>
              <w:rPr>
                <w:rFonts w:hint="eastAsia"/>
                <w:vertAlign w:val="baseline"/>
                <w:lang w:val="en-US" w:eastAsia="zh-CN"/>
              </w:rPr>
              <w:t>，</w:t>
            </w:r>
            <w:r>
              <w:rPr>
                <w:rFonts w:hint="eastAsia"/>
                <w:lang w:val="en-US" w:eastAsia="zh-CN"/>
              </w:rPr>
              <w:t>钻探岩心产生的土石方量约为4.27m</w:t>
            </w:r>
            <w:r>
              <w:rPr>
                <w:rFonts w:hint="eastAsia"/>
                <w:vertAlign w:val="superscript"/>
                <w:lang w:val="en-US" w:eastAsia="zh-CN"/>
              </w:rPr>
              <w:t>3</w:t>
            </w:r>
            <w:r>
              <w:rPr>
                <w:rFonts w:hint="eastAsia"/>
                <w:vertAlign w:val="baseline"/>
                <w:lang w:val="en-US" w:eastAsia="zh-CN"/>
              </w:rPr>
              <w:t>，则岩屑产生的土石方量为3.68</w:t>
            </w:r>
            <w:r>
              <w:rPr>
                <w:rFonts w:hint="eastAsia"/>
                <w:lang w:val="en-US" w:eastAsia="zh-CN"/>
              </w:rPr>
              <w:t>m</w:t>
            </w:r>
            <w:r>
              <w:rPr>
                <w:rFonts w:hint="eastAsia"/>
                <w:vertAlign w:val="superscript"/>
                <w:lang w:val="en-US" w:eastAsia="zh-CN"/>
              </w:rPr>
              <w:t>3</w:t>
            </w:r>
            <w:r>
              <w:rPr>
                <w:rFonts w:hint="eastAsia"/>
                <w:vertAlign w:val="baseline"/>
                <w:lang w:val="en-US" w:eastAsia="zh-CN"/>
              </w:rPr>
              <w:t>。</w:t>
            </w:r>
            <w:r>
              <w:rPr>
                <w:rFonts w:hint="eastAsia"/>
                <w:lang w:val="en-US" w:eastAsia="zh-CN"/>
              </w:rPr>
              <w:t>钻探</w:t>
            </w:r>
            <w:r>
              <w:rPr>
                <w:rFonts w:hint="eastAsia" w:ascii="Times New Roman" w:hAnsi="Times New Roman" w:eastAsia="宋体" w:cs="宋体"/>
                <w:kern w:val="2"/>
                <w:sz w:val="24"/>
                <w:szCs w:val="24"/>
                <w:lang w:val="en-US" w:eastAsia="zh-CN" w:bidi="ar-SA"/>
              </w:rPr>
              <w:t>岩心由地质勘探队收集后交至单位岩心库统一保管，</w:t>
            </w:r>
            <w:r>
              <w:rPr>
                <w:rStyle w:val="86"/>
                <w:rFonts w:hint="eastAsia"/>
                <w:lang w:val="en-US" w:eastAsia="zh-CN"/>
              </w:rPr>
              <w:t>钻井岩屑回填钻孔</w:t>
            </w:r>
            <w:r>
              <w:rPr>
                <w:rFonts w:hint="eastAsia" w:cs="Times New Roman"/>
                <w:kern w:val="2"/>
                <w:sz w:val="21"/>
                <w:szCs w:val="21"/>
                <w:lang w:val="en-US" w:eastAsia="zh-CN" w:bidi="ar-SA"/>
              </w:rPr>
              <w:t>。</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表2-7    工程土石方平衡分析表    单位：m</w:t>
            </w:r>
            <w:r>
              <w:rPr>
                <w:rFonts w:hint="eastAsia"/>
                <w:vertAlign w:val="superscript"/>
                <w:lang w:val="en-US" w:eastAsia="zh-CN"/>
              </w:rPr>
              <w:t>3</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288"/>
              <w:gridCol w:w="1721"/>
              <w:gridCol w:w="1012"/>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28"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lang w:val="en-US" w:eastAsia="zh-CN"/>
                    </w:rPr>
                    <w:t>类型</w:t>
                  </w:r>
                </w:p>
              </w:tc>
              <w:tc>
                <w:tcPr>
                  <w:tcW w:w="84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挖方</w:t>
                  </w:r>
                </w:p>
              </w:tc>
              <w:tc>
                <w:tcPr>
                  <w:tcW w:w="113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回填</w:t>
                  </w:r>
                </w:p>
              </w:tc>
              <w:tc>
                <w:tcPr>
                  <w:tcW w:w="6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调出</w:t>
                  </w:r>
                </w:p>
              </w:tc>
              <w:tc>
                <w:tcPr>
                  <w:tcW w:w="15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生活营地</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200</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190</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4.27</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4.27</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收集后交至单位统一保管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钻探岩屑</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3.68</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3.68</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rPr>
                    <w:t>总计</w:t>
                  </w:r>
                </w:p>
              </w:tc>
              <w:tc>
                <w:tcPr>
                  <w:tcW w:w="849"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237.95</w:t>
                  </w:r>
                </w:p>
              </w:tc>
              <w:tc>
                <w:tcPr>
                  <w:tcW w:w="1134"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223.68</w:t>
                  </w:r>
                </w:p>
              </w:tc>
              <w:tc>
                <w:tcPr>
                  <w:tcW w:w="667" w:type="pct"/>
                  <w:shd w:val="clear" w:color="auto" w:fill="auto"/>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14.27</w:t>
                  </w:r>
                </w:p>
              </w:tc>
              <w:tc>
                <w:tcPr>
                  <w:tcW w:w="1520" w:type="pct"/>
                  <w:shd w:val="clear" w:color="auto" w:fill="auto"/>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54"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7812" w:type="dxa"/>
            <w:noWrap w:val="0"/>
            <w:vAlign w:val="center"/>
          </w:tcPr>
          <w:p>
            <w:pPr>
              <w:pStyle w:val="4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无</w:t>
            </w:r>
          </w:p>
        </w:tc>
      </w:tr>
    </w:tbl>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5"/>
        <w:tblW w:w="9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83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生态环境现状</w:t>
            </w:r>
          </w:p>
        </w:tc>
        <w:tc>
          <w:tcPr>
            <w:tcW w:w="8368" w:type="dxa"/>
            <w:noWrap w:val="0"/>
            <w:vAlign w:val="center"/>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1.生态环境</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default"/>
                <w:lang w:val="en-US" w:eastAsia="zh-CN"/>
              </w:rPr>
              <w:t>天山南坡中段山地草原生态功能区</w:t>
            </w:r>
            <w:r>
              <w:rPr>
                <w:rFonts w:hint="eastAsia"/>
                <w:lang w:eastAsia="zh-CN"/>
              </w:rPr>
              <w:t>”</w:t>
            </w:r>
            <w:r>
              <w:rPr>
                <w:rFonts w:hint="default"/>
              </w:rPr>
              <w:t>，</w:t>
            </w:r>
            <w:r>
              <w:rPr>
                <w:rFonts w:hint="default"/>
                <w:lang w:val="en-US" w:eastAsia="zh-CN"/>
              </w:rPr>
              <w:t>该功能区发展方向见下表。</w:t>
            </w:r>
          </w:p>
          <w:p>
            <w:pPr>
              <w:pStyle w:val="52"/>
              <w:keepNext w:val="0"/>
              <w:keepLines w:val="0"/>
              <w:suppressLineNumbers w:val="0"/>
              <w:bidi w:val="0"/>
              <w:spacing w:before="0" w:beforeAutospacing="0" w:after="0" w:afterAutospacing="0"/>
              <w:ind w:left="0" w:right="0"/>
              <w:rPr>
                <w:rFonts w:hint="default"/>
              </w:rPr>
            </w:pPr>
            <w:r>
              <w:rPr>
                <w:rFonts w:hint="eastAsia"/>
                <w:lang w:val="en-US" w:eastAsia="zh-CN"/>
              </w:rPr>
              <w:t xml:space="preserve">表3-1    </w:t>
            </w:r>
            <w:r>
              <w:rPr>
                <w:rFonts w:hint="default"/>
                <w:lang w:val="en-US" w:eastAsia="zh-CN"/>
              </w:rPr>
              <w:t>新疆重点生态功能区的类型和发展方向</w:t>
            </w:r>
          </w:p>
          <w:tbl>
            <w:tblPr>
              <w:tblStyle w:val="2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718"/>
              <w:gridCol w:w="3891"/>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57"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名称</w:t>
                  </w:r>
                </w:p>
              </w:tc>
              <w:tc>
                <w:tcPr>
                  <w:tcW w:w="44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类型</w:t>
                  </w:r>
                </w:p>
              </w:tc>
              <w:tc>
                <w:tcPr>
                  <w:tcW w:w="239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综合评价</w:t>
                  </w:r>
                </w:p>
              </w:tc>
              <w:tc>
                <w:tcPr>
                  <w:tcW w:w="1409"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5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天山南坡中段山地草原生态功能区</w:t>
                  </w:r>
                </w:p>
              </w:tc>
              <w:tc>
                <w:tcPr>
                  <w:tcW w:w="44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水源涵养</w:t>
                  </w:r>
                </w:p>
              </w:tc>
              <w:tc>
                <w:tcPr>
                  <w:tcW w:w="239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冰川发育，众多河流发源地，拥</w:t>
                  </w:r>
                  <w:r>
                    <w:rPr>
                      <w:rFonts w:hint="eastAsia"/>
                      <w:lang w:val="en-US" w:eastAsia="zh-CN"/>
                    </w:rPr>
                    <w:t>有全</w:t>
                  </w:r>
                  <w:r>
                    <w:rPr>
                      <w:rFonts w:hint="default"/>
                      <w:lang w:val="en-US" w:eastAsia="zh-CN"/>
                    </w:rPr>
                    <w:t>国最大的淡水内陆湖，分布有大面积的芦苇湿地，巴州重要的供水水源地。目前水土流失、土壤侵蚀严重、森林遭到破坏，草原退化，湖水水质污染、湿地萎缩</w:t>
                  </w:r>
                </w:p>
              </w:tc>
              <w:tc>
                <w:tcPr>
                  <w:tcW w:w="140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禁止过度放牧，恢复天然草原植被，加大水污染防治力度，加强野生动物和湿地保护</w:t>
                  </w:r>
                </w:p>
              </w:tc>
            </w:tr>
          </w:tbl>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rPr>
              <w:t>根据《新疆生态功能区划》，评价区属</w:t>
            </w:r>
            <w:r>
              <w:rPr>
                <w:rFonts w:hint="eastAsia" w:ascii="Times New Roman" w:hAnsi="Times New Roman"/>
                <w:lang w:val="en-US" w:eastAsia="zh-CN"/>
              </w:rPr>
              <w:t>“</w:t>
            </w:r>
            <w:r>
              <w:rPr>
                <w:rFonts w:hint="default" w:ascii="Times New Roman" w:hAnsi="Times New Roman" w:cs="Times New Roman"/>
              </w:rPr>
              <w:t>Ⅲ</w:t>
            </w:r>
            <w:r>
              <w:rPr>
                <w:rFonts w:hint="eastAsia" w:ascii="Times New Roman" w:hAnsi="Times New Roman"/>
              </w:rPr>
              <w:t>3 天山南坡草原牧业、绿洲农业生态亚区</w:t>
            </w:r>
            <w:r>
              <w:rPr>
                <w:rFonts w:hint="eastAsia" w:ascii="Times New Roman" w:hAnsi="Times New Roman"/>
                <w:lang w:val="en-US" w:eastAsia="zh-CN"/>
              </w:rPr>
              <w:t>”</w:t>
            </w:r>
            <w:r>
              <w:rPr>
                <w:rFonts w:hint="eastAsia"/>
                <w:lang w:eastAsia="zh-CN"/>
              </w:rPr>
              <w:t>，</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2"/>
              <w:keepNext w:val="0"/>
              <w:keepLines w:val="0"/>
              <w:suppressLineNumbers w:val="0"/>
              <w:bidi w:val="0"/>
              <w:spacing w:before="0" w:beforeAutospacing="0" w:after="0" w:afterAutospacing="0"/>
              <w:ind w:left="0" w:right="0"/>
            </w:pPr>
            <w:r>
              <w:rPr>
                <w:rFonts w:hint="eastAsia"/>
              </w:rPr>
              <w:t>表3-</w:t>
            </w:r>
            <w:r>
              <w:rPr>
                <w:rFonts w:hint="eastAsia"/>
                <w:lang w:val="en-US" w:eastAsia="zh-CN"/>
              </w:rPr>
              <w:t xml:space="preserve">2    </w:t>
            </w:r>
            <w:r>
              <w:rPr>
                <w:rFonts w:hint="eastAsia"/>
              </w:rPr>
              <w:t>生态功能区划</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1178"/>
              <w:gridCol w:w="1440"/>
              <w:gridCol w:w="1363"/>
              <w:gridCol w:w="1468"/>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93" w:type="pct"/>
                  <w:noWrap w:val="0"/>
                  <w:vAlign w:val="center"/>
                </w:tcPr>
                <w:p>
                  <w:pPr>
                    <w:pStyle w:val="54"/>
                    <w:keepNext w:val="0"/>
                    <w:keepLines w:val="0"/>
                    <w:suppressLineNumbers w:val="0"/>
                    <w:bidi w:val="0"/>
                    <w:spacing w:before="0" w:beforeAutospacing="0" w:after="0" w:afterAutospacing="0"/>
                    <w:ind w:left="0" w:right="0"/>
                  </w:pPr>
                  <w:r>
                    <w:rPr>
                      <w:rFonts w:hint="eastAsia"/>
                    </w:rPr>
                    <w:t>生态功能分区</w:t>
                  </w:r>
                </w:p>
              </w:tc>
              <w:tc>
                <w:tcPr>
                  <w:tcW w:w="723"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主要生态服务功能</w:t>
                  </w:r>
                </w:p>
              </w:tc>
              <w:tc>
                <w:tcPr>
                  <w:tcW w:w="884"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主要生态问题</w:t>
                  </w:r>
                </w:p>
              </w:tc>
              <w:tc>
                <w:tcPr>
                  <w:tcW w:w="837"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w:t>
                  </w:r>
                </w:p>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rPr>
                    <w:t>敏感因子</w:t>
                  </w:r>
                  <w:r>
                    <w:rPr>
                      <w:rFonts w:hint="eastAsia"/>
                      <w:lang w:eastAsia="zh-CN"/>
                    </w:rPr>
                    <w:t>、</w:t>
                  </w:r>
                  <w:r>
                    <w:rPr>
                      <w:rFonts w:hint="eastAsia"/>
                      <w:lang w:val="en-US" w:eastAsia="zh-CN"/>
                    </w:rPr>
                    <w:t>敏感程度</w:t>
                  </w:r>
                </w:p>
              </w:tc>
              <w:tc>
                <w:tcPr>
                  <w:tcW w:w="901" w:type="pct"/>
                  <w:noWrap w:val="0"/>
                  <w:vAlign w:val="center"/>
                </w:tcPr>
                <w:p>
                  <w:pPr>
                    <w:pStyle w:val="54"/>
                    <w:keepNext w:val="0"/>
                    <w:keepLines w:val="0"/>
                    <w:suppressLineNumbers w:val="0"/>
                    <w:bidi w:val="0"/>
                    <w:spacing w:before="0" w:beforeAutospacing="0" w:after="0" w:afterAutospacing="0"/>
                    <w:ind w:left="0" w:right="0"/>
                  </w:pPr>
                  <w:r>
                    <w:rPr>
                      <w:rFonts w:hint="eastAsia"/>
                      <w:lang w:val="en-US" w:eastAsia="zh-CN"/>
                    </w:rPr>
                    <w:t>主要</w:t>
                  </w:r>
                  <w:r>
                    <w:rPr>
                      <w:rFonts w:hint="eastAsia"/>
                    </w:rPr>
                    <w:t>保护目标</w:t>
                  </w:r>
                </w:p>
              </w:tc>
              <w:tc>
                <w:tcPr>
                  <w:tcW w:w="759" w:type="pct"/>
                  <w:noWrap w:val="0"/>
                  <w:vAlign w:val="center"/>
                </w:tcPr>
                <w:p>
                  <w:pPr>
                    <w:pStyle w:val="54"/>
                    <w:keepNext w:val="0"/>
                    <w:keepLines w:val="0"/>
                    <w:suppressLineNumbers w:val="0"/>
                    <w:bidi w:val="0"/>
                    <w:spacing w:before="0" w:beforeAutospacing="0" w:after="0" w:afterAutospacing="0"/>
                    <w:ind w:left="0" w:right="0"/>
                  </w:pPr>
                  <w:r>
                    <w:rPr>
                      <w:rFonts w:hint="eastAsia"/>
                    </w:rPr>
                    <w:t>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893"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42．托木尔峰和天山南坡中段冰雪水源及生物多样性保护生态功能区</w:t>
                  </w:r>
                </w:p>
              </w:tc>
              <w:tc>
                <w:tcPr>
                  <w:tcW w:w="723"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水源补给、生物多样性维护、土壤保持</w:t>
                  </w:r>
                </w:p>
              </w:tc>
              <w:tc>
                <w:tcPr>
                  <w:tcW w:w="884" w:type="pct"/>
                  <w:noWrap w:val="0"/>
                  <w:vAlign w:val="center"/>
                </w:tcPr>
                <w:p>
                  <w:pPr>
                    <w:pStyle w:val="54"/>
                    <w:keepNext w:val="0"/>
                    <w:keepLines w:val="0"/>
                    <w:suppressLineNumbers w:val="0"/>
                    <w:bidi w:val="0"/>
                    <w:spacing w:before="0" w:beforeAutospacing="0" w:after="0" w:afterAutospacing="0"/>
                    <w:ind w:left="0" w:right="0"/>
                    <w:jc w:val="center"/>
                    <w:rPr>
                      <w:rFonts w:hint="eastAsia"/>
                    </w:rPr>
                  </w:pPr>
                  <w:r>
                    <w:rPr>
                      <w:rFonts w:hint="eastAsia" w:ascii="宋体" w:hAnsi="宋体"/>
                    </w:rPr>
                    <w:t>水土流失、野生动物减少、土壤侵蚀、森林破坏</w:t>
                  </w:r>
                </w:p>
              </w:tc>
              <w:tc>
                <w:tcPr>
                  <w:tcW w:w="837" w:type="pct"/>
                  <w:noWrap w:val="0"/>
                  <w:vAlign w:val="center"/>
                </w:tcPr>
                <w:p>
                  <w:pPr>
                    <w:keepNext w:val="0"/>
                    <w:keepLines w:val="0"/>
                    <w:suppressLineNumbers w:val="0"/>
                    <w:spacing w:before="0" w:beforeAutospacing="0" w:after="0" w:afterAutospacing="0"/>
                    <w:ind w:left="0" w:right="0"/>
                    <w:jc w:val="center"/>
                    <w:rPr>
                      <w:rFonts w:hint="eastAsia"/>
                    </w:rPr>
                  </w:pPr>
                  <w:r>
                    <w:rPr>
                      <w:rFonts w:hint="eastAsia" w:ascii="宋体" w:hAnsi="宋体"/>
                    </w:rPr>
                    <w:t>生物多样性及其生境极度敏感，土壤侵蚀轻度敏感</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ascii="宋体" w:hAnsi="宋体"/>
                    </w:rPr>
                    <w:t>保护托木尔峰自然景观、保护高山冰川、保护野生动物、保护森林和草原</w:t>
                  </w:r>
                </w:p>
              </w:tc>
              <w:tc>
                <w:tcPr>
                  <w:tcW w:w="759"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ascii="宋体" w:hAnsi="宋体"/>
                    </w:rPr>
                    <w:t>草地减牧、森林禁伐、禁猎、加强保护区管理</w:t>
                  </w:r>
                </w:p>
              </w:tc>
            </w:tr>
          </w:tbl>
          <w:p>
            <w:pPr>
              <w:pStyle w:val="48"/>
              <w:keepNext w:val="0"/>
              <w:keepLines w:val="0"/>
              <w:numPr>
                <w:ilvl w:val="0"/>
                <w:numId w:val="0"/>
              </w:numPr>
              <w:suppressLineNumbers w:val="0"/>
              <w:bidi w:val="0"/>
              <w:spacing w:before="0" w:beforeAutospacing="0" w:after="0" w:afterAutospacing="0"/>
              <w:ind w:left="420" w:leftChars="200" w:right="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8"/>
              <w:keepNext w:val="0"/>
              <w:keepLines w:val="0"/>
              <w:suppressLineNumbers w:val="0"/>
              <w:bidi w:val="0"/>
              <w:spacing w:before="0" w:beforeAutospacing="0" w:after="0" w:afterAutospacing="0"/>
              <w:ind w:left="0" w:right="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经现场调查，</w:t>
            </w:r>
            <w:r>
              <w:rPr>
                <w:rFonts w:hint="eastAsia"/>
              </w:rPr>
              <w:t>项目区</w:t>
            </w:r>
            <w:r>
              <w:rPr>
                <w:rFonts w:hint="eastAsia"/>
                <w:lang w:val="en-US" w:eastAsia="zh-CN"/>
              </w:rPr>
              <w:t>植被类型简单，群落稀疏</w:t>
            </w:r>
            <w:r>
              <w:rPr>
                <w:rFonts w:hint="eastAsia"/>
                <w:lang w:eastAsia="zh-CN"/>
              </w:rPr>
              <w:t>。</w:t>
            </w:r>
            <w:r>
              <w:rPr>
                <w:rFonts w:hint="eastAsia"/>
              </w:rPr>
              <w:t>评价区常见的</w:t>
            </w:r>
            <w:r>
              <w:rPr>
                <w:rFonts w:hint="eastAsia"/>
                <w:lang w:eastAsia="zh-CN"/>
              </w:rPr>
              <w:t>植物</w:t>
            </w:r>
            <w:r>
              <w:rPr>
                <w:rFonts w:hint="eastAsia"/>
              </w:rPr>
              <w:t>名录见下表。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6"/>
              <w:tblW w:w="4994"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166"/>
              <w:gridCol w:w="2309"/>
              <w:gridCol w:w="3835"/>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图片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蓼科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沙拐枣属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沙拐枣</w:t>
                  </w: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default"/>
                    </w:rPr>
                    <w:drawing>
                      <wp:inline distT="0" distB="0" distL="114300" distR="114300">
                        <wp:extent cx="2054225" cy="1772285"/>
                        <wp:effectExtent l="0" t="0" r="317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2054225" cy="177228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豆科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骆驼刺属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骆驼刺</w:t>
                  </w: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drawing>
                      <wp:inline distT="0" distB="0" distL="114300" distR="114300">
                        <wp:extent cx="2094865" cy="1684655"/>
                        <wp:effectExtent l="0" t="0" r="63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5"/>
                                <a:stretch>
                                  <a:fillRect/>
                                </a:stretch>
                              </pic:blipFill>
                              <pic:spPr>
                                <a:xfrm>
                                  <a:off x="0" y="0"/>
                                  <a:ext cx="2094865" cy="168465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豆科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锦鸡儿属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白皮锦鸡儿</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drawing>
                      <wp:inline distT="0" distB="0" distL="114300" distR="114300">
                        <wp:extent cx="2089150" cy="2309495"/>
                        <wp:effectExtent l="0" t="0" r="6350" b="1460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6"/>
                                <a:stretch>
                                  <a:fillRect/>
                                </a:stretch>
                              </pic:blipFill>
                              <pic:spPr>
                                <a:xfrm>
                                  <a:off x="0" y="0"/>
                                  <a:ext cx="2089150" cy="230949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禾本科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针茅属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针茅</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drawing>
                      <wp:inline distT="0" distB="0" distL="114300" distR="114300">
                        <wp:extent cx="2233930" cy="1458595"/>
                        <wp:effectExtent l="0" t="0" r="13970" b="825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7"/>
                                <a:stretch>
                                  <a:fillRect/>
                                </a:stretch>
                              </pic:blipFill>
                              <pic:spPr>
                                <a:xfrm>
                                  <a:off x="0" y="0"/>
                                  <a:ext cx="2233930" cy="1458595"/>
                                </a:xfrm>
                                <a:prstGeom prst="rect">
                                  <a:avLst/>
                                </a:prstGeom>
                                <a:noFill/>
                                <a:ln>
                                  <a:noFill/>
                                </a:ln>
                              </pic:spPr>
                            </pic:pic>
                          </a:graphicData>
                        </a:graphic>
                      </wp:inline>
                    </w:drawing>
                  </w:r>
                </w:p>
              </w:tc>
            </w:tr>
          </w:tbl>
          <w:p>
            <w:pPr>
              <w:pStyle w:val="48"/>
              <w:keepNext w:val="0"/>
              <w:keepLines w:val="0"/>
              <w:suppressLineNumbers w:val="0"/>
              <w:bidi w:val="0"/>
              <w:spacing w:before="0" w:beforeAutospacing="0" w:after="0" w:afterAutospacing="0"/>
              <w:ind w:left="0" w:right="0"/>
              <w:rPr>
                <w:rFonts w:hint="default"/>
              </w:rPr>
            </w:pPr>
            <w:r>
              <w:rPr>
                <w:rFonts w:hint="default"/>
              </w:rPr>
              <w:t>评价区的地质地貌、气候等自然因素处于相对稳定状态，地形、地貌等对植被的影响主要通过水分、盐分、矿质养分的分配差异体现出来</w:t>
            </w:r>
            <w:r>
              <w:rPr>
                <w:rFonts w:hint="eastAsia"/>
              </w:rPr>
              <w:t>。本区域植被</w:t>
            </w:r>
            <w:r>
              <w:rPr>
                <w:rFonts w:hint="default"/>
              </w:rPr>
              <w:t>主要为草本植物，植物类型主要</w:t>
            </w:r>
            <w:r>
              <w:rPr>
                <w:rFonts w:hint="eastAsia"/>
                <w:lang w:eastAsia="zh-CN"/>
              </w:rPr>
              <w:t>为</w:t>
            </w:r>
            <w:r>
              <w:rPr>
                <w:rFonts w:hint="eastAsia"/>
                <w:lang w:val="en-US" w:eastAsia="zh-CN"/>
              </w:rPr>
              <w:t>沙拐枣、骆驼刺、白皮锦鸡儿和针茅</w:t>
            </w:r>
            <w:r>
              <w:rPr>
                <w:rFonts w:hint="default"/>
              </w:rPr>
              <w:t>，</w:t>
            </w:r>
            <w:r>
              <w:rPr>
                <w:rFonts w:hint="eastAsia"/>
                <w:lang w:val="en-US" w:eastAsia="zh-CN"/>
              </w:rPr>
              <w:t>大部分区域</w:t>
            </w:r>
            <w:r>
              <w:rPr>
                <w:rFonts w:hint="default"/>
              </w:rPr>
              <w:t>植被生长稀疏，不涉及保护植物。</w:t>
            </w:r>
          </w:p>
          <w:p>
            <w:pPr>
              <w:pStyle w:val="48"/>
              <w:keepNext w:val="0"/>
              <w:keepLines w:val="0"/>
              <w:suppressLineNumbers w:val="0"/>
              <w:bidi w:val="0"/>
              <w:spacing w:before="0" w:beforeAutospacing="0" w:after="0" w:afterAutospacing="0"/>
              <w:ind w:left="0" w:right="0"/>
              <w:rPr>
                <w:rFonts w:hint="default"/>
              </w:rPr>
            </w:pPr>
            <w:r>
              <w:rPr>
                <w:rFonts w:hint="eastAsia"/>
              </w:rPr>
              <w:t>②</w:t>
            </w:r>
            <w:r>
              <w:rPr>
                <w:rFonts w:hint="default"/>
              </w:rPr>
              <w:t>野生动物现状调查及评价</w:t>
            </w:r>
          </w:p>
          <w:p>
            <w:pPr>
              <w:pStyle w:val="48"/>
              <w:keepNext w:val="0"/>
              <w:keepLines w:val="0"/>
              <w:suppressLineNumbers w:val="0"/>
              <w:bidi w:val="0"/>
              <w:spacing w:before="0" w:beforeAutospacing="0" w:after="0" w:afterAutospacing="0"/>
              <w:ind w:left="0" w:right="0"/>
              <w:rPr>
                <w:rFonts w:hint="eastAsia"/>
                <w:lang w:eastAsia="zh-CN"/>
              </w:rPr>
            </w:pPr>
            <w:r>
              <w:rPr>
                <w:rFonts w:hint="default"/>
              </w:rPr>
              <w:t>按中国动物地理区划的分级标准，项目区属古北界、中亚亚界、蒙新区</w:t>
            </w:r>
            <w:r>
              <w:rPr>
                <w:rFonts w:hint="eastAsia"/>
              </w:rPr>
              <w:t>。</w:t>
            </w:r>
            <w:r>
              <w:rPr>
                <w:rFonts w:hint="eastAsia"/>
                <w:lang w:val="en-US" w:eastAsia="zh-CN"/>
              </w:rPr>
              <w:t>因气候寒冷和食物短缺，无栖息及躲藏之地，野生动物分布数量较少且动物组成较为单一</w:t>
            </w:r>
            <w:r>
              <w:rPr>
                <w:rFonts w:hint="default"/>
              </w:rPr>
              <w:t>。本次评价于2026年</w:t>
            </w:r>
            <w:r>
              <w:rPr>
                <w:rFonts w:hint="eastAsia"/>
                <w:lang w:val="en-US" w:eastAsia="zh-CN"/>
              </w:rPr>
              <w:t>5</w:t>
            </w:r>
            <w:r>
              <w:rPr>
                <w:rFonts w:hint="default"/>
              </w:rPr>
              <w:t>月开展了专项调查。调查范围以槽探区及临时生活营地为中心，向四周外延1km。调查采用样线法、访问调查法与资料收集法相结合的方式：在槽探区及营地周边布设样线，以步行方式观察记录野生动物情况；同时走访附近乡镇人员，并查阅《新疆生态功能区划》及相关文献资料</w:t>
            </w:r>
            <w:r>
              <w:rPr>
                <w:rFonts w:hint="eastAsia"/>
                <w:lang w:eastAsia="zh-CN"/>
              </w:rPr>
              <w:t>，</w:t>
            </w:r>
            <w:r>
              <w:rPr>
                <w:rFonts w:hint="eastAsia"/>
                <w:lang w:val="en-US" w:eastAsia="zh-CN"/>
              </w:rPr>
              <w:t>未见国家及自治区级保护野生动物</w:t>
            </w:r>
            <w:r>
              <w:rPr>
                <w:rFonts w:hint="eastAsia"/>
                <w:lang w:eastAsia="zh-CN"/>
              </w:rPr>
              <w:t>。</w:t>
            </w:r>
          </w:p>
          <w:p>
            <w:pPr>
              <w:pStyle w:val="48"/>
              <w:keepNext w:val="0"/>
              <w:keepLines w:val="0"/>
              <w:suppressLineNumbers w:val="0"/>
              <w:bidi w:val="0"/>
              <w:spacing w:before="0" w:beforeAutospacing="0" w:after="0" w:afterAutospacing="0"/>
              <w:ind w:left="0" w:right="0"/>
              <w:rPr>
                <w:rFonts w:hint="eastAsia" w:ascii="Times New Roman" w:hAnsi="Times New Roman" w:eastAsia="宋体" w:cs="Times New Roman"/>
                <w:b/>
                <w:kern w:val="0"/>
                <w:szCs w:val="21"/>
                <w:lang w:eastAsia="zh-CN"/>
              </w:rPr>
            </w:pPr>
            <w:r>
              <w:rPr>
                <w:rFonts w:hint="eastAsia"/>
              </w:rPr>
              <w:t>评价区主要野生动物名录</w:t>
            </w:r>
            <w:r>
              <w:rPr>
                <w:rFonts w:hint="default"/>
              </w:rPr>
              <w:t>见</w:t>
            </w:r>
            <w:r>
              <w:rPr>
                <w:rFonts w:hint="eastAsia"/>
                <w:lang w:eastAsia="zh-CN"/>
              </w:rPr>
              <w:t>下</w:t>
            </w:r>
            <w:r>
              <w:rPr>
                <w:rFonts w:hint="default"/>
              </w:rPr>
              <w:t>表</w:t>
            </w:r>
            <w:r>
              <w:rPr>
                <w:rFonts w:hint="eastAsia"/>
                <w:lang w:eastAsia="zh-CN"/>
              </w:rPr>
              <w:t>。</w:t>
            </w:r>
          </w:p>
          <w:p>
            <w:pPr>
              <w:pStyle w:val="52"/>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1401"/>
              <w:gridCol w:w="1505"/>
              <w:gridCol w:w="1578"/>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中文名</w:t>
                  </w:r>
                </w:p>
              </w:tc>
              <w:tc>
                <w:tcPr>
                  <w:tcW w:w="1415" w:type="pct"/>
                  <w:tcBorders>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灰仓鼠</w:t>
                  </w:r>
                </w:p>
              </w:tc>
              <w:tc>
                <w:tcPr>
                  <w:tcW w:w="1415"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哺乳纲</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兔科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草兔</w:t>
                  </w:r>
                </w:p>
              </w:tc>
              <w:tc>
                <w:tcPr>
                  <w:tcW w:w="1415"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rPr>
                  </w:pPr>
                  <w:r>
                    <w:rPr>
                      <w:rFonts w:hint="default"/>
                      <w:i/>
                      <w:iCs/>
                    </w:rPr>
                    <w:t>Lepus capensis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蜥蜴</w:t>
                  </w:r>
                </w:p>
              </w:tc>
              <w:tc>
                <w:tcPr>
                  <w:tcW w:w="1415"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lang w:val="en-US" w:eastAsia="en-US"/>
                    </w:rPr>
                  </w:pPr>
                  <w:r>
                    <w:rPr>
                      <w:rFonts w:hint="default"/>
                      <w:i/>
                      <w:iCs/>
                    </w:rPr>
                    <w:t>Lizard</w:t>
                  </w:r>
                </w:p>
              </w:tc>
            </w:tr>
          </w:tbl>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③水土流失现状调查：2024年和硕县水土流失面积3387.82km</w:t>
            </w:r>
            <w:r>
              <w:rPr>
                <w:rFonts w:hint="eastAsia"/>
                <w:vertAlign w:val="superscript"/>
                <w:lang w:val="en-US" w:eastAsia="zh-CN"/>
              </w:rPr>
              <w:t>2</w:t>
            </w:r>
            <w:r>
              <w:rPr>
                <w:rFonts w:hint="eastAsia"/>
                <w:lang w:val="en-US" w:eastAsia="zh-CN"/>
              </w:rPr>
              <w:t>，占全县土地总面积的26.56%。其中水力侵蚀面积为582.76km</w:t>
            </w:r>
            <w:r>
              <w:rPr>
                <w:rFonts w:hint="eastAsia"/>
                <w:vertAlign w:val="superscript"/>
                <w:lang w:val="en-US" w:eastAsia="zh-CN"/>
              </w:rPr>
              <w:t>2</w:t>
            </w:r>
            <w:r>
              <w:rPr>
                <w:rFonts w:hint="eastAsia"/>
                <w:lang w:val="en-US" w:eastAsia="zh-CN"/>
              </w:rPr>
              <w:t>，占水土流失面积的17.20%；风力侵蚀面积为2805.06km</w:t>
            </w:r>
            <w:r>
              <w:rPr>
                <w:rFonts w:hint="eastAsia"/>
                <w:vertAlign w:val="superscript"/>
                <w:lang w:val="en-US" w:eastAsia="zh-CN"/>
              </w:rPr>
              <w:t>2</w:t>
            </w:r>
            <w:r>
              <w:rPr>
                <w:rFonts w:hint="eastAsia"/>
                <w:lang w:val="en-US" w:eastAsia="zh-CN"/>
              </w:rPr>
              <w:t>，占水土流失面积的82.80%。</w:t>
            </w:r>
          </w:p>
          <w:p>
            <w:pPr>
              <w:pStyle w:val="48"/>
              <w:keepNext w:val="0"/>
              <w:keepLines w:val="0"/>
              <w:suppressLineNumbers w:val="0"/>
              <w:bidi w:val="0"/>
              <w:spacing w:before="0" w:beforeAutospacing="0" w:after="0" w:afterAutospacing="0"/>
              <w:ind w:left="0" w:right="0"/>
              <w:rPr>
                <w:rFonts w:hint="default"/>
                <w:highlight w:val="none"/>
                <w:lang w:val="en-US" w:eastAsia="zh-CN"/>
              </w:rPr>
            </w:pPr>
            <w:r>
              <w:rPr>
                <w:rFonts w:hint="eastAsia"/>
                <w:lang w:val="en-US" w:eastAsia="zh-CN"/>
              </w:rPr>
              <w:t>和硕县2024年水土流失面积比2023年减少了5.17km</w:t>
            </w:r>
            <w:r>
              <w:rPr>
                <w:rFonts w:hint="eastAsia"/>
                <w:vertAlign w:val="superscript"/>
                <w:lang w:val="en-US" w:eastAsia="zh-CN"/>
              </w:rPr>
              <w:t>2</w:t>
            </w:r>
            <w:r>
              <w:rPr>
                <w:rFonts w:hint="eastAsia"/>
                <w:lang w:val="en-US" w:eastAsia="zh-CN"/>
              </w:rPr>
              <w:t>。</w:t>
            </w:r>
            <w:r>
              <w:rPr>
                <w:rFonts w:hint="eastAsia"/>
                <w:highlight w:val="none"/>
                <w:lang w:val="en-US" w:eastAsia="zh-CN"/>
              </w:rPr>
              <w:t>项目区水土流失情况为微度和轻度，</w:t>
            </w:r>
            <w:r>
              <w:rPr>
                <w:rFonts w:hint="eastAsia"/>
                <w:lang w:val="en-US" w:eastAsia="zh-CN"/>
              </w:rPr>
              <w:t>水土流失类型包括水力侵蚀，风力侵蚀和冻融侵蚀。</w:t>
            </w:r>
            <w:r>
              <w:rPr>
                <w:rFonts w:hint="eastAsia"/>
                <w:highlight w:val="none"/>
                <w:lang w:val="en-US" w:eastAsia="zh-CN"/>
              </w:rPr>
              <w:t>水土流失类型见附图。</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4"/>
                <w:szCs w:val="24"/>
                <w:highlight w:val="green"/>
                <w:lang w:val="en-US" w:eastAsia="zh-CN" w:bidi="ar-SA"/>
              </w:rPr>
            </w:pPr>
            <w:r>
              <w:rPr>
                <w:rFonts w:hint="eastAsia" w:cs="Times New Roman"/>
                <w:color w:val="auto"/>
                <w:kern w:val="2"/>
                <w:sz w:val="24"/>
                <w:szCs w:val="24"/>
                <w:highlight w:val="none"/>
                <w:lang w:val="en-US" w:eastAsia="zh-CN" w:bidi="ar-SA"/>
              </w:rPr>
              <w:t>⑤</w:t>
            </w:r>
            <w:r>
              <w:rPr>
                <w:rFonts w:hint="eastAsia"/>
                <w:color w:val="auto"/>
                <w:highlight w:val="none"/>
                <w:lang w:val="en-US" w:eastAsia="zh-CN"/>
              </w:rPr>
              <w:t>土地利用现状：本项目土地利用类型为低覆盖度草地，中覆盖度草地和裸岩石砾地，</w:t>
            </w:r>
            <w:r>
              <w:rPr>
                <w:rFonts w:hint="eastAsia" w:ascii="Times New Roman" w:hAnsi="Times New Roman" w:eastAsia="宋体" w:cs="Times New Roman"/>
                <w:color w:val="auto"/>
                <w:kern w:val="2"/>
                <w:sz w:val="24"/>
                <w:szCs w:val="24"/>
                <w:highlight w:val="none"/>
                <w:lang w:val="en-US" w:eastAsia="zh-CN" w:bidi="ar-SA"/>
              </w:rPr>
              <w:t>土地利用现状见附图。</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2.大气环境质量现状</w:t>
            </w:r>
          </w:p>
          <w:p>
            <w:pPr>
              <w:pStyle w:val="48"/>
              <w:keepNext w:val="0"/>
              <w:keepLines w:val="0"/>
              <w:suppressLineNumbers w:val="0"/>
              <w:bidi w:val="0"/>
              <w:spacing w:before="0" w:beforeAutospacing="0" w:after="0" w:afterAutospacing="0"/>
              <w:ind w:left="0" w:right="0"/>
              <w:rPr>
                <w:rFonts w:hint="eastAsia"/>
                <w:lang w:eastAsia="zh-CN"/>
              </w:rPr>
            </w:pPr>
            <w:r>
              <w:rPr>
                <w:rFonts w:hint="eastAsia"/>
              </w:rPr>
              <w:t>（</w:t>
            </w:r>
            <w:r>
              <w:rPr>
                <w:rFonts w:hint="default"/>
              </w:rPr>
              <w:t>1</w:t>
            </w:r>
            <w:r>
              <w:rPr>
                <w:rFonts w:hint="eastAsia"/>
              </w:rPr>
              <w:t>）评价数据选用</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根据《建设项目环境影响报告表编制技术指南（生态影响类）（试行）》</w:t>
            </w:r>
            <w:r>
              <w:rPr>
                <w:rFonts w:hint="eastAsia"/>
                <w:lang w:val="en-US" w:eastAsia="zh-CN"/>
              </w:rPr>
              <w:t>“</w:t>
            </w:r>
            <w:r>
              <w:rPr>
                <w:rFonts w:hint="default"/>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lang w:val="en-US" w:eastAsia="zh-CN"/>
              </w:rPr>
              <w:t>”</w:t>
            </w:r>
            <w:r>
              <w:rPr>
                <w:rFonts w:hint="default"/>
                <w:lang w:val="en-US" w:eastAsia="zh-CN"/>
              </w:rPr>
              <w:t>，项目所在区域目前没有国家和地方生态环境部门公开发布的评价基准年环境质量公告或环境质量报告中的数据，本次选用</w:t>
            </w:r>
            <w:r>
              <w:rPr>
                <w:rFonts w:hint="eastAsia"/>
                <w:lang w:val="en-US" w:eastAsia="zh-CN"/>
              </w:rPr>
              <w:t>和硕县</w:t>
            </w:r>
            <w:r>
              <w:rPr>
                <w:rFonts w:hint="default"/>
                <w:lang w:val="en-US" w:eastAsia="zh-CN"/>
              </w:rPr>
              <w:t>空气自动监测站202</w:t>
            </w:r>
            <w:r>
              <w:rPr>
                <w:rFonts w:hint="eastAsia"/>
                <w:lang w:val="en-US" w:eastAsia="zh-CN"/>
              </w:rPr>
              <w:t>4</w:t>
            </w:r>
            <w:r>
              <w:rPr>
                <w:rFonts w:hint="default"/>
                <w:lang w:val="en-US" w:eastAsia="zh-CN"/>
              </w:rPr>
              <w:t>年的监测数据。环境空气质量达标情况评价指标为SO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、CO和O</w:t>
            </w:r>
            <w:r>
              <w:rPr>
                <w:rFonts w:hint="default"/>
                <w:vertAlign w:val="subscript"/>
                <w:lang w:val="en-US" w:eastAsia="zh-CN"/>
              </w:rPr>
              <w:t>3</w:t>
            </w:r>
            <w:r>
              <w:rPr>
                <w:rFonts w:hint="default"/>
                <w:lang w:val="en-US" w:eastAsia="zh-CN"/>
              </w:rPr>
              <w:t>等6项基本污染物数据来源</w:t>
            </w:r>
            <w:r>
              <w:rPr>
                <w:rFonts w:hint="eastAsia"/>
                <w:lang w:val="en-US" w:eastAsia="zh-CN"/>
              </w:rPr>
              <w:t>，所引用数据可以满足环境空气质量评价有效性要求。</w:t>
            </w:r>
          </w:p>
          <w:p>
            <w:pPr>
              <w:pStyle w:val="48"/>
              <w:keepNext w:val="0"/>
              <w:keepLines w:val="0"/>
              <w:suppressLineNumbers w:val="0"/>
              <w:bidi w:val="0"/>
              <w:spacing w:before="0" w:beforeAutospacing="0" w:after="0" w:afterAutospacing="0"/>
              <w:ind w:left="0" w:right="0"/>
              <w:rPr>
                <w:rFonts w:hint="default"/>
              </w:rPr>
            </w:pPr>
            <w:r>
              <w:rPr>
                <w:rFonts w:hint="eastAsia"/>
              </w:rPr>
              <w:t>①监测点位：</w:t>
            </w:r>
            <w:r>
              <w:rPr>
                <w:rFonts w:hint="eastAsia"/>
                <w:lang w:val="en-US" w:eastAsia="zh-CN"/>
              </w:rPr>
              <w:t>和硕县</w:t>
            </w:r>
            <w:r>
              <w:rPr>
                <w:rFonts w:hint="eastAsia"/>
              </w:rPr>
              <w:t>环境空气自动监测站。</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②监测项目：二氧化硫（</w:t>
            </w:r>
            <w:r>
              <w:rPr>
                <w:rFonts w:hint="default"/>
              </w:rPr>
              <w:t>SO</w:t>
            </w:r>
            <w:r>
              <w:rPr>
                <w:rFonts w:hint="default"/>
                <w:vertAlign w:val="subscript"/>
              </w:rPr>
              <w:t>2</w:t>
            </w:r>
            <w:r>
              <w:rPr>
                <w:rFonts w:hint="eastAsia"/>
              </w:rPr>
              <w:t>）、二氧化氮（</w:t>
            </w:r>
            <w:r>
              <w:rPr>
                <w:rFonts w:hint="default"/>
              </w:rPr>
              <w:t>NO</w:t>
            </w:r>
            <w:r>
              <w:rPr>
                <w:rFonts w:hint="default"/>
                <w:vertAlign w:val="subscript"/>
              </w:rPr>
              <w:t>2</w:t>
            </w:r>
            <w:r>
              <w:rPr>
                <w:rFonts w:hint="eastAsia"/>
              </w:rPr>
              <w:t>）、可吸入颗粒物（</w:t>
            </w:r>
            <w:r>
              <w:rPr>
                <w:rFonts w:hint="default"/>
              </w:rPr>
              <w:t>PM</w:t>
            </w:r>
            <w:r>
              <w:rPr>
                <w:rFonts w:hint="default"/>
                <w:vertAlign w:val="subscript"/>
              </w:rPr>
              <w:t>10</w:t>
            </w:r>
            <w:r>
              <w:rPr>
                <w:rFonts w:hint="eastAsia"/>
              </w:rPr>
              <w:t>）、一氧化碳（</w:t>
            </w:r>
            <w:r>
              <w:rPr>
                <w:rFonts w:hint="default"/>
              </w:rPr>
              <w:t>CO</w:t>
            </w:r>
            <w:r>
              <w:rPr>
                <w:rFonts w:hint="eastAsia"/>
              </w:rPr>
              <w:t>）、臭氧（</w:t>
            </w:r>
            <w:r>
              <w:rPr>
                <w:rFonts w:hint="default"/>
              </w:rPr>
              <w:t>O</w:t>
            </w:r>
            <w:r>
              <w:rPr>
                <w:rFonts w:hint="default"/>
                <w:vertAlign w:val="subscript"/>
              </w:rPr>
              <w:t>3</w:t>
            </w:r>
            <w:r>
              <w:rPr>
                <w:rFonts w:hint="eastAsia"/>
              </w:rPr>
              <w:t>）、细颗粒物（</w:t>
            </w:r>
            <w:r>
              <w:rPr>
                <w:rFonts w:hint="default"/>
              </w:rPr>
              <w:t>PM</w:t>
            </w:r>
            <w:r>
              <w:rPr>
                <w:rFonts w:hint="default"/>
                <w:vertAlign w:val="subscript"/>
              </w:rPr>
              <w:t>2.5</w:t>
            </w:r>
            <w:r>
              <w:rPr>
                <w:rFonts w:hint="eastAsia"/>
              </w:rPr>
              <w:t>）六项。</w:t>
            </w:r>
          </w:p>
          <w:p>
            <w:pPr>
              <w:pStyle w:val="48"/>
              <w:keepNext w:val="0"/>
              <w:keepLines w:val="0"/>
              <w:suppressLineNumbers w:val="0"/>
              <w:bidi w:val="0"/>
              <w:spacing w:before="0" w:beforeAutospacing="0" w:after="0" w:afterAutospacing="0"/>
              <w:ind w:left="0" w:right="0"/>
              <w:rPr>
                <w:rFonts w:hint="default"/>
              </w:rPr>
            </w:pPr>
            <w:r>
              <w:rPr>
                <w:rFonts w:hint="eastAsia"/>
              </w:rPr>
              <w:t>③监测时间：</w:t>
            </w:r>
            <w:r>
              <w:rPr>
                <w:rFonts w:hint="default"/>
              </w:rPr>
              <w:t>20</w:t>
            </w:r>
            <w:r>
              <w:rPr>
                <w:rFonts w:hint="eastAsia"/>
                <w:lang w:val="en-US" w:eastAsia="zh-CN"/>
              </w:rPr>
              <w:t>24年全年。</w:t>
            </w:r>
          </w:p>
          <w:p>
            <w:pPr>
              <w:pStyle w:val="48"/>
              <w:keepNext w:val="0"/>
              <w:keepLines w:val="0"/>
              <w:suppressLineNumbers w:val="0"/>
              <w:bidi w:val="0"/>
              <w:spacing w:before="0" w:beforeAutospacing="0" w:after="0" w:afterAutospacing="0"/>
              <w:ind w:left="0" w:right="0"/>
              <w:rPr>
                <w:rFonts w:hint="default"/>
              </w:rPr>
            </w:pPr>
            <w:r>
              <w:rPr>
                <w:rFonts w:hint="eastAsia"/>
              </w:rPr>
              <w:t>（</w:t>
            </w:r>
            <w:r>
              <w:rPr>
                <w:rFonts w:hint="default"/>
              </w:rPr>
              <w:t>2</w:t>
            </w:r>
            <w:r>
              <w:rPr>
                <w:rFonts w:hint="eastAsia"/>
              </w:rPr>
              <w:t>）评价标准</w:t>
            </w:r>
          </w:p>
          <w:p>
            <w:pPr>
              <w:pStyle w:val="48"/>
              <w:keepNext w:val="0"/>
              <w:keepLines w:val="0"/>
              <w:suppressLineNumbers w:val="0"/>
              <w:bidi w:val="0"/>
              <w:spacing w:before="0" w:beforeAutospacing="0" w:after="0" w:afterAutospacing="0"/>
              <w:ind w:left="0" w:right="0"/>
              <w:rPr>
                <w:rFonts w:hint="eastAsia"/>
              </w:rPr>
            </w:pPr>
            <w:r>
              <w:rPr>
                <w:rFonts w:hint="eastAsia"/>
              </w:rPr>
              <w:t>项目区属于二类环境空气功能区，评价标准采用环境空气质量执行《环境空气质量标准》（</w:t>
            </w:r>
            <w:r>
              <w:rPr>
                <w:rFonts w:hint="default"/>
              </w:rPr>
              <w:t>GB3095-20</w:t>
            </w:r>
            <w:r>
              <w:rPr>
                <w:rFonts w:hint="eastAsia"/>
                <w:lang w:val="en-US" w:eastAsia="zh-CN"/>
              </w:rPr>
              <w:t>26</w:t>
            </w:r>
            <w:r>
              <w:rPr>
                <w:rFonts w:hint="eastAsia"/>
              </w:rPr>
              <w:t>）</w:t>
            </w:r>
            <w:r>
              <w:rPr>
                <w:rFonts w:hint="eastAsia"/>
                <w:lang w:val="en-US" w:eastAsia="zh-CN"/>
              </w:rPr>
              <w:t>过渡阶段的</w:t>
            </w:r>
            <w:r>
              <w:rPr>
                <w:rFonts w:hint="eastAsia"/>
              </w:rPr>
              <w:t>二级标准。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（3）评价方法</w:t>
            </w:r>
          </w:p>
          <w:p>
            <w:pPr>
              <w:pStyle w:val="48"/>
              <w:keepNext w:val="0"/>
              <w:keepLines w:val="0"/>
              <w:suppressLineNumbers w:val="0"/>
              <w:bidi w:val="0"/>
              <w:spacing w:before="0" w:beforeAutospacing="0" w:after="0" w:afterAutospacing="0"/>
              <w:ind w:left="0" w:right="0"/>
              <w:rPr>
                <w:rFonts w:hint="default"/>
              </w:rPr>
            </w:pPr>
            <w:r>
              <w:rPr>
                <w:rFonts w:hint="default"/>
              </w:rPr>
              <w:t>选用占标率进行评价，公式为：</w:t>
            </w:r>
          </w:p>
          <w:p>
            <w:pPr>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jc w:val="center"/>
              <w:rPr>
                <w:rFonts w:hint="default" w:ascii="Times New Roman" w:hAnsi="Times New Roman" w:eastAsia="宋体" w:cs="Times New Roman"/>
                <w:sz w:val="24"/>
                <w:szCs w:val="24"/>
                <w:highlight w:val="none"/>
                <w:vertAlign w:val="subscript"/>
              </w:rPr>
            </w:pP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i</w:t>
            </w:r>
            <w:r>
              <w:rPr>
                <w:rFonts w:hint="eastAsia" w:cs="Times New Roman"/>
                <w:sz w:val="24"/>
                <w:szCs w:val="24"/>
                <w:highlight w:val="none"/>
                <w:vertAlign w:val="subscript"/>
                <w:lang w:eastAsia="zh-CN"/>
              </w:rPr>
              <w:t>=</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i</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oi</w:t>
            </w:r>
          </w:p>
          <w:p>
            <w:pPr>
              <w:pStyle w:val="48"/>
              <w:keepNext w:val="0"/>
              <w:keepLines w:val="0"/>
              <w:suppressLineNumbers w:val="0"/>
              <w:bidi w:val="0"/>
              <w:spacing w:before="0" w:beforeAutospacing="0" w:after="0" w:afterAutospacing="0"/>
              <w:ind w:left="0" w:right="0"/>
              <w:rPr>
                <w:rFonts w:hint="default"/>
              </w:rPr>
            </w:pPr>
            <w:r>
              <w:rPr>
                <w:rFonts w:hint="default"/>
              </w:rPr>
              <w:t>式中，Pi－第i个污染物的质量浓度占标率，%；</w:t>
            </w:r>
          </w:p>
          <w:p>
            <w:pPr>
              <w:pStyle w:val="48"/>
              <w:keepNext w:val="0"/>
              <w:keepLines w:val="0"/>
              <w:suppressLineNumbers w:val="0"/>
              <w:bidi w:val="0"/>
              <w:spacing w:before="0" w:beforeAutospacing="0" w:after="0" w:afterAutospacing="0"/>
              <w:ind w:left="0" w:right="0"/>
              <w:rPr>
                <w:rFonts w:hint="default"/>
              </w:rPr>
            </w:pPr>
            <w:r>
              <w:rPr>
                <w:rFonts w:hint="default"/>
              </w:rPr>
              <w:t>Ci－污染物的浓度，mg/m</w:t>
            </w:r>
            <w:r>
              <w:rPr>
                <w:rFonts w:hint="default"/>
                <w:vertAlign w:val="superscript"/>
              </w:rPr>
              <w:t>3</w:t>
            </w:r>
            <w:r>
              <w:rPr>
                <w:rFonts w:hint="default"/>
              </w:rPr>
              <w:t>（标准状态）；</w:t>
            </w:r>
          </w:p>
          <w:p>
            <w:pPr>
              <w:pStyle w:val="48"/>
              <w:keepNext w:val="0"/>
              <w:keepLines w:val="0"/>
              <w:suppressLineNumbers w:val="0"/>
              <w:bidi w:val="0"/>
              <w:spacing w:before="0" w:beforeAutospacing="0" w:after="0" w:afterAutospacing="0"/>
              <w:ind w:left="0" w:right="0"/>
              <w:rPr>
                <w:rFonts w:hint="default"/>
              </w:rPr>
            </w:pPr>
            <w:r>
              <w:rPr>
                <w:rFonts w:hint="default"/>
              </w:rPr>
              <w:t>Coi－污染物的质量标准，mg/m</w:t>
            </w:r>
            <w:r>
              <w:rPr>
                <w:rFonts w:hint="default"/>
                <w:vertAlign w:val="superscript"/>
              </w:rPr>
              <w:t>3</w:t>
            </w:r>
            <w:r>
              <w:rPr>
                <w:rFonts w:hint="default"/>
              </w:rPr>
              <w:t>（标准状态）。</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（4）评价结果</w:t>
            </w:r>
          </w:p>
          <w:p>
            <w:pPr>
              <w:pStyle w:val="48"/>
              <w:keepNext w:val="0"/>
              <w:keepLines w:val="0"/>
              <w:suppressLineNumbers w:val="0"/>
              <w:bidi w:val="0"/>
              <w:spacing w:before="0" w:beforeAutospacing="0" w:after="0" w:afterAutospacing="0"/>
              <w:ind w:left="0" w:right="0"/>
              <w:rPr>
                <w:rFonts w:hint="default"/>
              </w:rPr>
            </w:pPr>
            <w:r>
              <w:rPr>
                <w:rFonts w:hint="default"/>
              </w:rPr>
              <w:t>评价结果见下表。</w:t>
            </w:r>
          </w:p>
          <w:p>
            <w:pPr>
              <w:pStyle w:val="52"/>
              <w:keepNext w:val="0"/>
              <w:keepLines w:val="0"/>
              <w:suppressLineNumbers w:val="0"/>
              <w:bidi w:val="0"/>
              <w:spacing w:before="0" w:beforeAutospacing="0" w:after="0" w:afterAutospacing="0"/>
              <w:ind w:left="0" w:right="0"/>
              <w:rPr>
                <w:rFonts w:hint="default"/>
                <w:highlight w:val="none"/>
                <w:lang w:val="en-US" w:eastAsia="zh-CN"/>
              </w:rPr>
            </w:pPr>
            <w:r>
              <w:rPr>
                <w:rFonts w:hint="default"/>
                <w:lang w:val="en-US" w:eastAsia="zh-CN"/>
              </w:rPr>
              <w:t>表3-</w:t>
            </w:r>
            <w:r>
              <w:rPr>
                <w:rFonts w:hint="eastAsia"/>
                <w:lang w:val="en-US" w:eastAsia="zh-CN"/>
              </w:rPr>
              <w:t xml:space="preserve">5 </w:t>
            </w:r>
            <w:r>
              <w:rPr>
                <w:rFonts w:hint="default"/>
                <w:lang w:val="en-US" w:eastAsia="zh-CN"/>
              </w:rPr>
              <w:t xml:space="preserve">   </w:t>
            </w:r>
            <w:r>
              <w:rPr>
                <w:rFonts w:hint="default"/>
                <w:highlight w:val="none"/>
                <w:lang w:val="en-US" w:eastAsia="zh-CN"/>
              </w:rPr>
              <w:t>现状监测结果分析表</w:t>
            </w:r>
          </w:p>
          <w:tbl>
            <w:tblPr>
              <w:tblStyle w:val="26"/>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2502"/>
              <w:gridCol w:w="1158"/>
              <w:gridCol w:w="1405"/>
              <w:gridCol w:w="939"/>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污染物</w:t>
                  </w:r>
                </w:p>
              </w:tc>
              <w:tc>
                <w:tcPr>
                  <w:tcW w:w="1537" w:type="pct"/>
                  <w:tcBorders>
                    <w:tl2br w:val="nil"/>
                    <w:tr2bl w:val="nil"/>
                  </w:tcBorders>
                  <w:noWrap w:val="0"/>
                  <w:vAlign w:val="center"/>
                </w:tcPr>
                <w:p>
                  <w:pPr>
                    <w:pStyle w:val="52"/>
                    <w:keepNext w:val="0"/>
                    <w:keepLines w:val="0"/>
                    <w:suppressLineNumbers w:val="0"/>
                    <w:bidi w:val="0"/>
                    <w:spacing w:before="0" w:beforeAutospacing="0" w:after="0" w:afterAutospacing="0"/>
                    <w:ind w:left="0" w:right="0"/>
                  </w:pPr>
                  <w:r>
                    <w:rPr>
                      <w:rFonts w:hint="eastAsia"/>
                    </w:rPr>
                    <w:t>评价项目</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t>浓度</w:t>
                  </w:r>
                </w:p>
                <w:p>
                  <w:pPr>
                    <w:pStyle w:val="54"/>
                    <w:keepNext w:val="0"/>
                    <w:keepLines w:val="0"/>
                    <w:suppressLineNumbers w:val="0"/>
                    <w:bidi w:val="0"/>
                    <w:spacing w:before="0" w:beforeAutospacing="0" w:after="0" w:afterAutospacing="0"/>
                    <w:ind w:left="0" w:right="0"/>
                  </w:pP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标准（二级）</w:t>
                  </w: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57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eastAsia="zh-CN"/>
                    </w:rPr>
                    <w:t>占标率</w:t>
                  </w:r>
                  <w:r>
                    <w:rPr>
                      <w:rFonts w:hint="eastAsia"/>
                      <w:lang w:val="en-US" w:eastAsia="zh-CN"/>
                    </w:rPr>
                    <w:t>%</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eastAsia"/>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SO</w:t>
                  </w:r>
                  <w:r>
                    <w:rPr>
                      <w:rFonts w:hint="eastAsia"/>
                      <w:vertAlign w:val="subscript"/>
                    </w:rPr>
                    <w:t>2</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150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NO</w:t>
                  </w:r>
                  <w:r>
                    <w:rPr>
                      <w:rFonts w:hint="eastAsia"/>
                      <w:vertAlign w:val="subscript"/>
                    </w:rPr>
                    <w:t>2</w:t>
                  </w: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40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53</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80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66</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CO</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1000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rPr>
                    <w:t>4</w:t>
                  </w:r>
                  <w:r>
                    <w:rPr>
                      <w:rFonts w:hint="eastAsia"/>
                      <w:lang w:val="en-US" w:eastAsia="zh-CN"/>
                    </w:rPr>
                    <w:t>000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O</w:t>
                  </w:r>
                  <w:r>
                    <w:rPr>
                      <w:rFonts w:hint="eastAsia"/>
                      <w:vertAlign w:val="subscript"/>
                    </w:rPr>
                    <w:t>3</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最大8小时滑动平均值的第90百分位数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139</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160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87</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PM</w:t>
                  </w:r>
                  <w:r>
                    <w:rPr>
                      <w:rFonts w:hint="eastAsia"/>
                      <w:vertAlign w:val="subscript"/>
                    </w:rPr>
                    <w:t>10</w:t>
                  </w: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132</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397</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120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331</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PM</w:t>
                  </w:r>
                  <w:r>
                    <w:rPr>
                      <w:rFonts w:hint="eastAsia"/>
                      <w:vertAlign w:val="subscript"/>
                    </w:rPr>
                    <w:t>2.5</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42</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30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83</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138</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年平均和</w:t>
            </w:r>
            <w:r>
              <w:rPr>
                <w:rFonts w:hint="eastAsia"/>
                <w:lang w:val="en-US" w:eastAsia="zh-CN"/>
              </w:rPr>
              <w:t>24h平均第95百分位数浓</w:t>
            </w:r>
            <w:r>
              <w:rPr>
                <w:rFonts w:hint="default"/>
                <w:lang w:val="en-US" w:eastAsia="zh-CN"/>
              </w:rPr>
              <w:t>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地表水环境》（HJ2.3-2018）要求，本项目无需开展地表水环境现状调查</w:t>
            </w:r>
            <w:r>
              <w:rPr>
                <w:rFonts w:hint="eastAsia"/>
                <w:lang w:val="en-US" w:eastAsia="zh-CN"/>
              </w:rPr>
              <w:t>。</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4.</w:t>
            </w:r>
            <w:r>
              <w:rPr>
                <w:rFonts w:hint="default"/>
              </w:rPr>
              <w:t>声环境质量现状</w:t>
            </w:r>
          </w:p>
          <w:p>
            <w:pPr>
              <w:pStyle w:val="48"/>
              <w:keepNext w:val="0"/>
              <w:keepLines w:val="0"/>
              <w:suppressLineNumbers w:val="0"/>
              <w:bidi w:val="0"/>
              <w:spacing w:before="0" w:beforeAutospacing="0" w:after="0" w:afterAutospacing="0"/>
              <w:ind w:left="0" w:right="0"/>
              <w:rPr>
                <w:rFonts w:hint="default"/>
              </w:rPr>
            </w:pPr>
            <w:r>
              <w:rPr>
                <w:rFonts w:hint="default"/>
              </w:rPr>
              <w:t>根据《建设项目环境影响报告表编制技术指南（污染影响类）（试行）》，</w:t>
            </w:r>
            <w:r>
              <w:rPr>
                <w:rFonts w:hint="eastAsia"/>
                <w:lang w:val="en-US" w:eastAsia="zh-CN"/>
              </w:rPr>
              <w:t>本项目探矿区</w:t>
            </w:r>
            <w:r>
              <w:rPr>
                <w:rFonts w:hint="default"/>
              </w:rPr>
              <w:t>外周边50米范围内不存在声环境保护目标的建设项目，不需要监测声环境质量现状并评价达标情况。</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default" w:ascii="Times New Roman" w:hAnsi="Times New Roman" w:cs="Times New Roman"/>
                <w:sz w:val="24"/>
                <w:highlight w:val="none"/>
                <w:lang w:val="en-US" w:eastAsia="zh-CN"/>
              </w:rPr>
              <w:t>Ⅳ</w:t>
            </w:r>
            <w:r>
              <w:rPr>
                <w:rFonts w:hint="eastAsia" w:cs="Times New Roman"/>
                <w:sz w:val="24"/>
                <w:highlight w:val="none"/>
                <w:lang w:val="en-US" w:eastAsia="zh-CN"/>
              </w:rPr>
              <w:t>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6.土壤环境质量现状</w:t>
            </w:r>
          </w:p>
          <w:p>
            <w:pPr>
              <w:pStyle w:val="48"/>
              <w:keepNext w:val="0"/>
              <w:keepLines w:val="0"/>
              <w:suppressLineNumbers w:val="0"/>
              <w:bidi w:val="0"/>
              <w:spacing w:before="0" w:beforeAutospacing="0" w:after="0" w:afterAutospacing="0"/>
              <w:ind w:left="0" w:right="0"/>
              <w:rPr>
                <w:rFonts w:hint="default"/>
                <w:vertAlign w:val="superscript"/>
                <w:lang w:val="en-US" w:eastAsia="zh-CN"/>
              </w:rPr>
            </w:pPr>
            <w:r>
              <w:rPr>
                <w:rFonts w:hint="default"/>
                <w:lang w:eastAsia="zh-CN"/>
              </w:rPr>
              <w:t>根据《环境影响评价技术导则 土壤环境》（HJ964-2018），</w:t>
            </w:r>
            <w:r>
              <w:rPr>
                <w:rFonts w:hint="default"/>
                <w:lang w:val="en-US" w:eastAsia="zh-CN"/>
              </w:rPr>
              <w:t>本项目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default" w:ascii="Times New Roman" w:hAnsi="Times New Roman" w:cs="Times New Roman"/>
                <w:lang w:eastAsia="zh-CN"/>
              </w:rPr>
              <w:t>Ⅳ类项目，可不开展土壤</w:t>
            </w:r>
            <w:r>
              <w:rPr>
                <w:rFonts w:hint="default" w:ascii="Times New Roman" w:hAnsi="Times New Roman" w:cs="Times New Roman"/>
                <w:lang w:val="en-US" w:eastAsia="zh-CN"/>
              </w:rPr>
              <w:t>现状调查</w:t>
            </w:r>
            <w:r>
              <w:rPr>
                <w:rFonts w:hint="default" w:ascii="Times New Roman" w:hAnsi="Times New Roman" w:cs="Times New Roman"/>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bCs/>
                <w:szCs w:val="21"/>
              </w:rPr>
              <w:t>与项目有关的原有环境污染和生态破坏问题</w:t>
            </w:r>
          </w:p>
        </w:tc>
        <w:tc>
          <w:tcPr>
            <w:tcW w:w="8368" w:type="dxa"/>
            <w:noWrap w:val="0"/>
            <w:vAlign w:val="center"/>
          </w:tcPr>
          <w:p>
            <w:pPr>
              <w:keepNext w:val="0"/>
              <w:keepLines w:val="0"/>
              <w:suppressLineNumbers w:val="0"/>
              <w:adjustRightInd w:val="0"/>
              <w:snapToGrid w:val="0"/>
              <w:spacing w:before="0" w:beforeAutospacing="0" w:after="0" w:afterAutospacing="0"/>
              <w:ind w:left="0" w:right="0" w:firstLine="480" w:firstLineChars="200"/>
              <w:jc w:val="center"/>
              <w:rPr>
                <w:rFonts w:hint="eastAsia"/>
                <w:lang w:val="en-US" w:eastAsia="zh-CN"/>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生态环境保护目标</w:t>
            </w:r>
          </w:p>
        </w:tc>
        <w:tc>
          <w:tcPr>
            <w:tcW w:w="8368" w:type="dxa"/>
            <w:noWrap w:val="0"/>
            <w:vAlign w:val="center"/>
          </w:tcPr>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lang w:val="en-US" w:eastAsia="zh-CN"/>
              </w:rPr>
            </w:pPr>
            <w:r>
              <w:rPr>
                <w:rFonts w:hint="eastAsia"/>
                <w:lang w:val="en-US" w:eastAsia="zh-CN"/>
              </w:rPr>
              <w:t>勘探</w:t>
            </w:r>
            <w:r>
              <w:rPr>
                <w:rFonts w:hint="eastAsia"/>
              </w:rPr>
              <w:t>区</w:t>
            </w:r>
            <w:r>
              <w:rPr>
                <w:rFonts w:hint="eastAsia"/>
                <w:lang w:val="en-US" w:eastAsia="zh-CN"/>
              </w:rPr>
              <w:t>位于新疆维吾尔自治区巴音郭楞蒙古自治州和硕县城东北27°方向，直线距离47千米处</w:t>
            </w:r>
            <w:r>
              <w:rPr>
                <w:rFonts w:hint="eastAsia" w:ascii="Times New Roman" w:hAnsi="Times New Roman" w:eastAsia="宋体" w:cs="Times New Roman"/>
                <w:sz w:val="24"/>
                <w:highlight w:val="none"/>
                <w:lang w:val="zh-CN" w:eastAsia="zh-CN"/>
              </w:rPr>
              <w:t>。</w:t>
            </w:r>
            <w:r>
              <w:rPr>
                <w:rFonts w:hint="eastAsia" w:ascii="Times New Roman" w:hAnsi="Times New Roman" w:eastAsia="宋体" w:cs="Times New Roman"/>
                <w:sz w:val="24"/>
                <w:highlight w:val="none"/>
                <w:lang w:val="en-US" w:eastAsia="zh-CN"/>
              </w:rPr>
              <w:t>根据《环境影响评价技术导则 生态影响》（HJ19-2022）</w:t>
            </w:r>
            <w:r>
              <w:rPr>
                <w:rFonts w:hint="eastAsia" w:cs="Times New Roman"/>
                <w:sz w:val="24"/>
                <w:highlight w:val="none"/>
                <w:lang w:val="en-US" w:eastAsia="zh-CN"/>
              </w:rPr>
              <w:t>第6章评价等级及评价范围的判定规则，本项目不在该章节a）、b）、c）、d）、e）、f）</w:t>
            </w:r>
            <w:r>
              <w:rPr>
                <w:rFonts w:hint="default" w:ascii="宋体" w:hAnsi="宋体" w:eastAsia="宋体" w:cs="宋体"/>
                <w:sz w:val="24"/>
                <w:szCs w:val="24"/>
              </w:rPr>
              <w:t>款规定的</w:t>
            </w:r>
            <w:r>
              <w:rPr>
                <w:rFonts w:hint="eastAsia" w:ascii="宋体" w:hAnsi="宋体" w:eastAsia="宋体" w:cs="宋体"/>
                <w:sz w:val="24"/>
                <w:szCs w:val="24"/>
                <w:lang w:val="en-US" w:eastAsia="zh-CN"/>
              </w:rPr>
              <w:t>评价范畴内</w:t>
            </w:r>
            <w:r>
              <w:rPr>
                <w:rFonts w:hint="eastAsia" w:cs="Times New Roman"/>
                <w:sz w:val="24"/>
                <w:highlight w:val="none"/>
                <w:lang w:val="en-US" w:eastAsia="zh-CN"/>
              </w:rPr>
              <w:t>，故生态影响评价等级定为三级，</w:t>
            </w:r>
            <w:r>
              <w:rPr>
                <w:rFonts w:hint="eastAsia" w:ascii="Times New Roman" w:hAnsi="Times New Roman" w:eastAsia="宋体" w:cs="Times New Roman"/>
                <w:sz w:val="24"/>
                <w:highlight w:val="none"/>
                <w:lang w:val="en-US" w:eastAsia="zh-CN"/>
              </w:rPr>
              <w:t>评价范围为项目占地范围内，项目</w:t>
            </w:r>
            <w:r>
              <w:rPr>
                <w:rFonts w:hint="eastAsia" w:cs="Times New Roman"/>
                <w:sz w:val="24"/>
                <w:highlight w:val="none"/>
                <w:lang w:val="en-US" w:eastAsia="zh-CN"/>
              </w:rPr>
              <w:t>占地范围内及</w:t>
            </w:r>
            <w:r>
              <w:rPr>
                <w:rFonts w:hint="eastAsia" w:ascii="Times New Roman" w:hAnsi="Times New Roman" w:eastAsia="宋体" w:cs="Times New Roman"/>
                <w:sz w:val="24"/>
                <w:highlight w:val="none"/>
                <w:lang w:val="en-US" w:eastAsia="zh-CN"/>
              </w:rPr>
              <w:t>沿线不涉及自然保护区、风景名胜</w:t>
            </w:r>
            <w:r>
              <w:rPr>
                <w:rFonts w:hint="eastAsia" w:cs="Times New Roman"/>
                <w:sz w:val="24"/>
                <w:highlight w:val="none"/>
                <w:lang w:val="en-US" w:eastAsia="zh-CN"/>
              </w:rPr>
              <w:t>区、</w:t>
            </w:r>
            <w:r>
              <w:rPr>
                <w:rFonts w:hint="eastAsia" w:ascii="Times New Roman" w:hAnsi="Times New Roman" w:eastAsia="宋体" w:cs="Times New Roman"/>
                <w:sz w:val="24"/>
                <w:highlight w:val="none"/>
                <w:lang w:val="en-US" w:eastAsia="zh-CN"/>
              </w:rPr>
              <w:t>不占基本农田</w:t>
            </w:r>
            <w:r>
              <w:rPr>
                <w:rFonts w:hint="eastAsia" w:cs="Times New Roman"/>
                <w:sz w:val="24"/>
                <w:highlight w:val="none"/>
                <w:lang w:val="en-US" w:eastAsia="zh-CN"/>
              </w:rPr>
              <w:t>、不涉及生态环境保护目标。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kern w:val="0"/>
                <w:szCs w:val="21"/>
              </w:rPr>
            </w:pPr>
            <w:r>
              <w:rPr>
                <w:rFonts w:hint="eastAsia" w:ascii="宋体" w:hAnsi="宋体" w:eastAsia="宋体" w:cs="宋体"/>
                <w:kern w:val="0"/>
                <w:szCs w:val="21"/>
              </w:rPr>
              <w:t>评价标准</w:t>
            </w:r>
          </w:p>
        </w:tc>
        <w:tc>
          <w:tcPr>
            <w:tcW w:w="8368" w:type="dxa"/>
            <w:noWrap w:val="0"/>
            <w:vAlign w:val="center"/>
          </w:tcPr>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1.环境质量标准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（1）环境空气</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环境空气质量执行《环境空气质量标准》（GB3095-20</w:t>
            </w:r>
            <w:r>
              <w:rPr>
                <w:rFonts w:hint="eastAsia"/>
                <w:lang w:val="en-US" w:eastAsia="zh-CN"/>
              </w:rPr>
              <w:t>26</w:t>
            </w:r>
            <w:r>
              <w:rPr>
                <w:rFonts w:hint="default"/>
                <w:lang w:val="en-US" w:eastAsia="zh-CN"/>
              </w:rPr>
              <w:t>）中过渡阶段的二级标准。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（2）声环境</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该项目所在地声环境质量执行《声环境质量标准》（GB3096－2008）2类标准执行，即昼间≤60dB（A），夜间≤50dB（A）。</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default"/>
                <w:lang w:val="en-US" w:eastAsia="zh-CN"/>
              </w:rPr>
              <w:t>污染物排放标准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（1）大气污染物排放标准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6</w:t>
            </w:r>
            <w:r>
              <w:rPr>
                <w:rFonts w:hint="default"/>
                <w:lang w:val="en-US" w:eastAsia="zh-CN"/>
              </w:rPr>
              <w:t xml:space="preserve">    施工期无组织废气执行标准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1"/>
              <w:gridCol w:w="1900"/>
              <w:gridCol w:w="3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2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1mg/m</w:t>
                  </w:r>
                  <w:r>
                    <w:rPr>
                      <w:rFonts w:hint="default"/>
                      <w:vertAlign w:val="superscript"/>
                      <w:lang w:val="en-US" w:eastAsia="zh-CN"/>
                    </w:rPr>
                    <w:t>3</w:t>
                  </w:r>
                </w:p>
              </w:tc>
              <w:tc>
                <w:tcPr>
                  <w:tcW w:w="2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《大气污染物综合排放标准》（GB16297-1996）中表2</w:t>
                  </w: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勘探期：勘探过程中产生的废气执行《大气污染物综合排放标准》（GB 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337"/>
              <w:gridCol w:w="1826"/>
              <w:gridCol w:w="1378"/>
              <w:gridCol w:w="2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工序</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84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单位</w:t>
                  </w:r>
                </w:p>
              </w:tc>
              <w:tc>
                <w:tcPr>
                  <w:tcW w:w="167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勘探</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84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mg/m</w:t>
                  </w:r>
                  <w:r>
                    <w:rPr>
                      <w:rFonts w:hint="default"/>
                      <w:vertAlign w:val="superscript"/>
                      <w:lang w:val="en-US" w:eastAsia="zh-CN"/>
                    </w:rPr>
                    <w:t>3</w:t>
                  </w:r>
                </w:p>
              </w:tc>
              <w:tc>
                <w:tcPr>
                  <w:tcW w:w="167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非道路移动机械烟气</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CO</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3.5</w:t>
                  </w:r>
                </w:p>
              </w:tc>
              <w:tc>
                <w:tcPr>
                  <w:tcW w:w="846"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g/kWh</w:t>
                  </w:r>
                </w:p>
              </w:tc>
              <w:tc>
                <w:tcPr>
                  <w:tcW w:w="1679"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HC</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NO</w:t>
                  </w:r>
                  <w:r>
                    <w:rPr>
                      <w:rFonts w:hint="eastAsia"/>
                      <w:vertAlign w:val="subscript"/>
                    </w:rPr>
                    <w:t>X</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HC+NO</w:t>
                  </w:r>
                  <w:r>
                    <w:rPr>
                      <w:rFonts w:hint="eastAsia"/>
                      <w:vertAlign w:val="subscript"/>
                    </w:rPr>
                    <w:t>X</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6.4</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PM</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0.20</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（2）废水排放标准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生活污水排入一体化污水处理设施后，其出水标准执行《农村生活污水处理排放标准》（DB654275-2019）表2中A级标准。</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表3-8    生活污水污染物排放限值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2601"/>
              <w:gridCol w:w="1628"/>
              <w:gridCol w:w="1591"/>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序号</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污染物</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A级</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B级</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pH值</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化学需氧量，mg/L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180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悬浮物，mg/L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粪大肠菌群，MPN/L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10000</w:t>
                  </w:r>
                </w:p>
              </w:tc>
              <w:tc>
                <w:tcPr>
                  <w:tcW w:w="1884" w:type="pct"/>
                  <w:gridSpan w:val="2"/>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蛔虫卵个数，个/L</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噪声排放标准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施工期和勘探期噪声排放限值执行《建筑施工噪声排放标准》（GB12523-20</w:t>
            </w:r>
            <w:r>
              <w:rPr>
                <w:rFonts w:hint="eastAsia"/>
                <w:lang w:val="en-US" w:eastAsia="zh-CN"/>
              </w:rPr>
              <w:t>25</w:t>
            </w:r>
            <w:r>
              <w:rPr>
                <w:rFonts w:hint="default"/>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（4）固体废弃物</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本项目产生的一般固废执行《中华人民共和国固体废物污染环境防治法》（2020年9月1日起施行）、《一般工业固体废物贮存和填埋污染控制标准》（GB18599-2020）中相关标准</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45"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rPr>
            </w:pPr>
            <w:r>
              <w:rPr>
                <w:rFonts w:hint="eastAsia" w:ascii="宋体" w:hAnsi="宋体" w:cs="宋体"/>
                <w:kern w:val="0"/>
                <w:szCs w:val="21"/>
              </w:rPr>
              <w:t>其他</w:t>
            </w:r>
          </w:p>
        </w:tc>
        <w:tc>
          <w:tcPr>
            <w:tcW w:w="8368" w:type="dxa"/>
            <w:noWrap w:val="0"/>
            <w:vAlign w:val="center"/>
          </w:tcPr>
          <w:p>
            <w:pPr>
              <w:pStyle w:val="48"/>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2"/>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5"/>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85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bookmarkStart w:id="3" w:name="_Hlk49796138"/>
            <w:r>
              <w:rPr>
                <w:rFonts w:hint="eastAsia" w:cs="宋体"/>
                <w:bCs/>
                <w:spacing w:val="10"/>
                <w:kern w:val="2"/>
                <w:sz w:val="21"/>
                <w:szCs w:val="21"/>
              </w:rPr>
              <w:t>施工期生态环境影响分析</w:t>
            </w:r>
            <w:bookmarkEnd w:id="3"/>
          </w:p>
        </w:tc>
        <w:tc>
          <w:tcPr>
            <w:tcW w:w="8522" w:type="dxa"/>
            <w:noWrap w:val="0"/>
            <w:vAlign w:val="top"/>
          </w:tcPr>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本项目为新建项目，施工期</w:t>
            </w:r>
            <w:r>
              <w:rPr>
                <w:rFonts w:hint="default"/>
              </w:rPr>
              <w:t>主要活动</w:t>
            </w:r>
            <w:r>
              <w:rPr>
                <w:rFonts w:hint="eastAsia"/>
                <w:lang w:val="en-US" w:eastAsia="zh-CN"/>
              </w:rPr>
              <w:t>为临时营地的搭建</w:t>
            </w:r>
            <w:r>
              <w:rPr>
                <w:rFonts w:hint="default"/>
              </w:rPr>
              <w:t>，</w:t>
            </w:r>
            <w:r>
              <w:rPr>
                <w:rFonts w:hint="eastAsia"/>
                <w:lang w:eastAsia="zh-CN"/>
              </w:rPr>
              <w:t>在施工过程中会有</w:t>
            </w:r>
            <w:r>
              <w:rPr>
                <w:rFonts w:hint="default"/>
              </w:rPr>
              <w:t>施工废气、施工扬尘、施工噪声</w:t>
            </w:r>
            <w:r>
              <w:rPr>
                <w:rFonts w:hint="eastAsia"/>
                <w:lang w:eastAsia="zh-CN"/>
              </w:rPr>
              <w:t>、</w:t>
            </w:r>
            <w:r>
              <w:rPr>
                <w:rFonts w:hint="eastAsia"/>
                <w:lang w:val="en-US" w:eastAsia="zh-CN"/>
              </w:rPr>
              <w:t>开挖土石方</w:t>
            </w:r>
            <w:r>
              <w:rPr>
                <w:rFonts w:hint="default"/>
              </w:rPr>
              <w:t>等产生</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1.1</w:t>
            </w:r>
            <w:r>
              <w:rPr>
                <w:rFonts w:hint="eastAsia"/>
                <w:highlight w:val="none"/>
                <w:lang w:val="en-US" w:eastAsia="zh-CN"/>
              </w:rPr>
              <w:t>占地影响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项目施工期建设主要为临时生活营地的修筑，占地面积共计100m</w:t>
            </w:r>
            <w:r>
              <w:rPr>
                <w:rFonts w:hint="eastAsia"/>
                <w:vertAlign w:val="superscript"/>
                <w:lang w:val="en-US" w:eastAsia="zh-CN"/>
              </w:rPr>
              <w:t>2</w:t>
            </w:r>
            <w:r>
              <w:rPr>
                <w:rFonts w:hint="eastAsia"/>
                <w:lang w:val="en-US" w:eastAsia="zh-CN"/>
              </w:rPr>
              <w:t>，为临时占地。临时占地会改变土地原有使用功能，造成资源浪费，临时构筑物的压占会造成剥离后的表层土壤过于紧实，降低土壤的通透性和渗水性，对土壤环境、动植物以及区域景观生态产生不利的影响。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1.2土壤环境的影响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工程施工过程中的土方开挖、回填、机械碾压对土壤的理化性质和土壤肥力会产生一定不利影响，不会彻底改变土地利用结构和功能，对区域生态系统的影响有限。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1.3对植物的影响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w:t>
            </w:r>
            <w:r>
              <w:rPr>
                <w:rFonts w:hint="eastAsia"/>
                <w:color w:val="auto"/>
                <w:highlight w:val="none"/>
                <w:lang w:val="en-US" w:eastAsia="zh-CN"/>
              </w:rPr>
              <w:t>土地利用类型为低覆盖度草地，中覆盖度草地和裸岩石砾地</w:t>
            </w:r>
            <w:r>
              <w:rPr>
                <w:rFonts w:hint="default"/>
                <w:color w:val="auto"/>
                <w:highlight w:val="none"/>
                <w:lang w:val="en-US" w:eastAsia="zh-CN"/>
              </w:rPr>
              <w:t>。</w:t>
            </w:r>
            <w:r>
              <w:rPr>
                <w:rFonts w:hint="eastAsia"/>
                <w:highlight w:val="none"/>
                <w:lang w:val="en-US" w:eastAsia="zh-CN"/>
              </w:rPr>
              <w:t>项目区</w:t>
            </w:r>
            <w:r>
              <w:rPr>
                <w:rFonts w:hint="default"/>
                <w:highlight w:val="none"/>
                <w:lang w:val="en-US" w:eastAsia="zh-CN"/>
              </w:rPr>
              <w:t>主要植物为</w:t>
            </w:r>
            <w:r>
              <w:rPr>
                <w:rFonts w:hint="eastAsia"/>
                <w:highlight w:val="none"/>
                <w:lang w:val="en-US" w:eastAsia="zh-CN"/>
              </w:rPr>
              <w:t>沙拐枣、骆驼刺、白皮锦鸡儿和针茅</w:t>
            </w:r>
            <w:r>
              <w:rPr>
                <w:rFonts w:hint="default"/>
                <w:lang w:val="en-US" w:eastAsia="zh-CN"/>
              </w:rPr>
              <w:t>。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1.4对动物的影响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矿区生物量降低，分布、数量、生物多样性发生变化。施工时尽量避让野生动物，不追逐，不惊吓</w:t>
            </w:r>
            <w:r>
              <w:rPr>
                <w:rFonts w:hint="default"/>
                <w:lang w:val="en-US" w:eastAsia="zh-CN"/>
              </w:rPr>
              <w:t>。</w:t>
            </w:r>
          </w:p>
          <w:p>
            <w:pPr>
              <w:pStyle w:val="50"/>
              <w:keepNext w:val="0"/>
              <w:keepLines w:val="0"/>
              <w:suppressLineNumbers w:val="0"/>
              <w:bidi w:val="0"/>
              <w:spacing w:before="0" w:beforeAutospacing="0" w:after="0" w:afterAutospacing="0"/>
              <w:ind w:left="0" w:right="0"/>
              <w:rPr>
                <w:rFonts w:hint="default"/>
              </w:rPr>
            </w:pPr>
            <w:r>
              <w:rPr>
                <w:rFonts w:hint="default"/>
              </w:rPr>
              <w:t>1.</w:t>
            </w:r>
            <w:r>
              <w:rPr>
                <w:rFonts w:hint="eastAsia"/>
                <w:lang w:val="en-US" w:eastAsia="zh-CN"/>
              </w:rPr>
              <w:t>5</w:t>
            </w:r>
            <w:r>
              <w:rPr>
                <w:rFonts w:hint="default"/>
                <w:lang w:val="en-US" w:eastAsia="zh-CN"/>
              </w:rPr>
              <w:t>对</w:t>
            </w:r>
            <w:r>
              <w:rPr>
                <w:rFonts w:hint="default"/>
              </w:rPr>
              <w:t>区域景观的影响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由于项目施工开挖等活动，会造成地表植被不同程度的破坏，在短期内成为与原有生态景观不协调的</w:t>
            </w:r>
            <w:r>
              <w:rPr>
                <w:rFonts w:hint="eastAsia"/>
                <w:lang w:val="en-US" w:eastAsia="zh-CN"/>
              </w:rPr>
              <w:t>“</w:t>
            </w:r>
            <w:r>
              <w:rPr>
                <w:rFonts w:hint="default"/>
                <w:lang w:val="en-US" w:eastAsia="zh-CN"/>
              </w:rPr>
              <w:t>裸地</w:t>
            </w:r>
            <w:r>
              <w:rPr>
                <w:rFonts w:hint="eastAsia"/>
                <w:lang w:val="en-US" w:eastAsia="zh-CN"/>
              </w:rPr>
              <w:t>”</w:t>
            </w:r>
            <w:r>
              <w:rPr>
                <w:rFonts w:hint="default"/>
                <w:lang w:val="en-US" w:eastAsia="zh-CN"/>
              </w:rPr>
              <w:t>或</w:t>
            </w:r>
            <w:r>
              <w:rPr>
                <w:rFonts w:hint="eastAsia"/>
                <w:lang w:val="en-US" w:eastAsia="zh-CN"/>
              </w:rPr>
              <w:t>“</w:t>
            </w:r>
            <w:r>
              <w:rPr>
                <w:rFonts w:hint="default"/>
                <w:lang w:val="en-US" w:eastAsia="zh-CN"/>
              </w:rPr>
              <w:t>疮疤</w:t>
            </w:r>
            <w:r>
              <w:rPr>
                <w:rFonts w:hint="eastAsia"/>
                <w:lang w:val="en-US" w:eastAsia="zh-CN"/>
              </w:rPr>
              <w:t>”</w:t>
            </w:r>
            <w:r>
              <w:rPr>
                <w:rFonts w:hint="default"/>
                <w:lang w:val="en-US" w:eastAsia="zh-CN"/>
              </w:rPr>
              <w:t>斑块，另外施工现场的暴露、建筑垃圾的堆存也影响区域景观，对整体生态景观形成不和谐的视觉效果，造成较为明显的不利影响</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1.6对区域沙化土地的影响分析</w:t>
            </w:r>
          </w:p>
          <w:p>
            <w:pPr>
              <w:pStyle w:val="48"/>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项目区属于非沙化土地，施工过程中将会破坏占地范围内的土壤表层稳定结皮和地表荒漠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1.7对水土流失的影响分析</w:t>
            </w:r>
          </w:p>
          <w:p>
            <w:pPr>
              <w:pStyle w:val="65"/>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区水土流失情况为微度和轻度，水土流失类型包括水力侵蚀，风力侵蚀和冻融侵蚀。平整场地时将原有的表土结构完全破坏，使得具有肥力和保水保肥能力的表层土壤被剥离。搭建临时设施时，材料堆放、人员及机械的往来走动，进一步加剧了土壤的紧实度，给后续植被的扎根、生长带来了极大困难，使地表失去植被的有效保护，进而加剧水土流失。</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2.大气污染物影响分析</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（1）车辆行驶</w:t>
            </w:r>
            <w:r>
              <w:rPr>
                <w:rFonts w:hint="eastAsia"/>
              </w:rPr>
              <w:t>扬尘</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在施工过程中，车辆行驶产生的扬尘量一般占施工扬尘总量的60%以上。车辆在行驶过程中产生的扬尘量，可按下列经验公式计算：</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drawing>
                <wp:anchor distT="0" distB="0" distL="114300" distR="114300" simplePos="0" relativeHeight="251660288" behindDoc="1" locked="0" layoutInCell="1" allowOverlap="1">
                  <wp:simplePos x="0" y="0"/>
                  <wp:positionH relativeFrom="column">
                    <wp:posOffset>1379855</wp:posOffset>
                  </wp:positionH>
                  <wp:positionV relativeFrom="paragraph">
                    <wp:posOffset>8255</wp:posOffset>
                  </wp:positionV>
                  <wp:extent cx="2246630" cy="448310"/>
                  <wp:effectExtent l="0" t="0" r="1270" b="0"/>
                  <wp:wrapTight wrapText="bothSides">
                    <wp:wrapPolygon>
                      <wp:start x="0" y="0"/>
                      <wp:lineTo x="0" y="20407"/>
                      <wp:lineTo x="21429" y="20407"/>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8"/>
                          <a:stretch>
                            <a:fillRect/>
                          </a:stretch>
                        </pic:blipFill>
                        <pic:spPr>
                          <a:xfrm>
                            <a:off x="0" y="0"/>
                            <a:ext cx="2246630" cy="448310"/>
                          </a:xfrm>
                          <a:prstGeom prst="rect">
                            <a:avLst/>
                          </a:prstGeom>
                          <a:noFill/>
                          <a:ln>
                            <a:noFill/>
                          </a:ln>
                        </pic:spPr>
                      </pic:pic>
                    </a:graphicData>
                  </a:graphic>
                </wp:anchor>
              </w:drawing>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式中：Q—汽车行驶的扬尘，kg/km·辆；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V—汽车速度，km/hr；</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W—汽车载重量，t；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P—道路表面粉尘量，kg/m</w:t>
            </w:r>
            <w:r>
              <w:rPr>
                <w:rFonts w:hint="eastAsia"/>
                <w:vertAlign w:val="superscript"/>
                <w:lang w:val="en-US" w:eastAsia="zh-CN"/>
              </w:rPr>
              <w:t>2</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可见，在同样的路面条件下，车速越快，扬尘量越大；在同样的车速情况下，路面越脏，扬尘量越大。因此，限制车辆行驶速度以及保持路面的清洁是减少汽车扬尘的有效手段。</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（2）施工机械尾气</w:t>
            </w:r>
          </w:p>
          <w:p>
            <w:pPr>
              <w:pStyle w:val="48"/>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施工机械和运输车辆排放的尾气中含有一氧化碳</w:t>
            </w:r>
            <w:r>
              <w:rPr>
                <w:rFonts w:hint="eastAsia"/>
                <w:lang w:val="en-US" w:eastAsia="zh-CN"/>
              </w:rPr>
              <w:t>（</w:t>
            </w:r>
            <w:r>
              <w:rPr>
                <w:rFonts w:hint="default"/>
                <w:lang w:val="en-US" w:eastAsia="zh-CN"/>
              </w:rPr>
              <w:t>CO</w:t>
            </w:r>
            <w:r>
              <w:rPr>
                <w:rFonts w:hint="eastAsia"/>
                <w:lang w:val="en-US" w:eastAsia="zh-CN"/>
              </w:rPr>
              <w:t>）</w:t>
            </w:r>
            <w:r>
              <w:rPr>
                <w:rFonts w:hint="default"/>
                <w:lang w:val="en-US" w:eastAsia="zh-CN"/>
              </w:rPr>
              <w:t>、氮氧化物</w:t>
            </w:r>
            <w:r>
              <w:rPr>
                <w:rFonts w:hint="eastAsia"/>
                <w:lang w:val="en-US" w:eastAsia="zh-CN"/>
              </w:rPr>
              <w:t>（</w:t>
            </w:r>
            <w:r>
              <w:rPr>
                <w:rFonts w:hint="default"/>
                <w:lang w:val="en-US" w:eastAsia="zh-CN"/>
              </w:rPr>
              <w:t>主要以NO和NO</w:t>
            </w:r>
            <w:r>
              <w:rPr>
                <w:rFonts w:hint="default"/>
                <w:vertAlign w:val="subscript"/>
                <w:lang w:val="en-US" w:eastAsia="zh-CN"/>
              </w:rPr>
              <w:t>2</w:t>
            </w:r>
            <w:r>
              <w:rPr>
                <w:rFonts w:hint="default"/>
                <w:lang w:val="en-US" w:eastAsia="zh-CN"/>
              </w:rPr>
              <w:t>形式存在</w:t>
            </w:r>
            <w:r>
              <w:rPr>
                <w:rFonts w:hint="eastAsia"/>
                <w:lang w:val="en-US" w:eastAsia="zh-CN"/>
              </w:rPr>
              <w:t>）</w:t>
            </w:r>
            <w:r>
              <w:rPr>
                <w:rFonts w:hint="default"/>
                <w:lang w:val="en-US" w:eastAsia="zh-CN"/>
              </w:rPr>
              <w:t>和总烃</w:t>
            </w:r>
            <w:r>
              <w:rPr>
                <w:rFonts w:hint="eastAsia"/>
                <w:lang w:val="en-US" w:eastAsia="zh-CN"/>
              </w:rPr>
              <w:t>（</w:t>
            </w:r>
            <w:r>
              <w:rPr>
                <w:rFonts w:hint="default"/>
                <w:lang w:val="en-US" w:eastAsia="zh-CN"/>
              </w:rPr>
              <w:t>THC</w:t>
            </w:r>
            <w:r>
              <w:rPr>
                <w:rFonts w:hint="eastAsia"/>
                <w:lang w:val="en-US" w:eastAsia="zh-CN"/>
              </w:rPr>
              <w:t>）</w:t>
            </w:r>
            <w:r>
              <w:rPr>
                <w:rFonts w:hint="default"/>
                <w:lang w:val="en-US" w:eastAsia="zh-CN"/>
              </w:rPr>
              <w:t>等有毒有害物质。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eastAsia" w:ascii="Times New Roman" w:hAnsi="Times New Roman" w:eastAsia="宋体" w:cs="Times New Roman"/>
                <w:color w:val="000000"/>
                <w:kern w:val="0"/>
                <w:sz w:val="24"/>
                <w:szCs w:val="24"/>
                <w:lang w:val="en-US" w:eastAsia="zh-CN"/>
              </w:rPr>
              <w:t>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pStyle w:val="50"/>
              <w:keepNext w:val="0"/>
              <w:keepLines w:val="0"/>
              <w:suppressLineNumbers w:val="0"/>
              <w:bidi w:val="0"/>
              <w:spacing w:before="0" w:beforeAutospacing="0" w:after="0" w:afterAutospacing="0"/>
              <w:ind w:left="0" w:right="0"/>
              <w:rPr>
                <w:rFonts w:hint="default"/>
              </w:rPr>
            </w:pPr>
            <w:r>
              <w:rPr>
                <w:rFonts w:hint="eastAsia"/>
                <w:highlight w:val="none"/>
                <w:lang w:val="en-US" w:eastAsia="zh-CN"/>
              </w:rPr>
              <w:t>3.</w:t>
            </w:r>
            <w:r>
              <w:rPr>
                <w:rFonts w:hint="eastAsia"/>
                <w:highlight w:val="none"/>
              </w:rPr>
              <w:t>废水</w:t>
            </w:r>
            <w:r>
              <w:rPr>
                <w:rFonts w:hint="default"/>
                <w:highlight w:val="none"/>
              </w:rPr>
              <w:t>污染物影</w:t>
            </w:r>
            <w:r>
              <w:rPr>
                <w:rFonts w:hint="default"/>
              </w:rPr>
              <w:t>响分析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本项目施工期施工废水沉淀后回用，不外排。由于本项目施工时间短，未涉及大规模用水环节，因此产生的生活污水排入一体化污水处理设施处理达标后，用于洒水绿化，不外排</w:t>
            </w:r>
            <w:r>
              <w:rPr>
                <w:rFonts w:hint="eastAsia"/>
                <w:shd w:val="clear" w:color="auto" w:fill="auto"/>
                <w:lang w:val="en-US" w:eastAsia="zh-CN"/>
              </w:rPr>
              <w:t>，</w:t>
            </w:r>
            <w:r>
              <w:rPr>
                <w:rFonts w:hint="eastAsia"/>
                <w:lang w:val="en-US" w:eastAsia="zh-CN"/>
              </w:rPr>
              <w:t>不会对周边水环境造成影响。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施工期</w:t>
            </w:r>
            <w:r>
              <w:rPr>
                <w:rFonts w:hint="eastAsia"/>
              </w:rPr>
              <w:t>的噪声</w:t>
            </w:r>
            <w:r>
              <w:rPr>
                <w:rFonts w:hint="eastAsia"/>
                <w:lang w:val="en-US" w:eastAsia="zh-CN"/>
              </w:rPr>
              <w:t>主要</w:t>
            </w:r>
            <w:r>
              <w:rPr>
                <w:rFonts w:hint="eastAsia"/>
              </w:rPr>
              <w:t>来自</w:t>
            </w:r>
            <w:r>
              <w:rPr>
                <w:rFonts w:hint="eastAsia"/>
                <w:lang w:val="en-US" w:eastAsia="zh-CN"/>
              </w:rPr>
              <w:t>生活营地搭建</w:t>
            </w:r>
            <w:r>
              <w:rPr>
                <w:rFonts w:hint="eastAsia"/>
              </w:rPr>
              <w:t>，噪声源强一般为</w:t>
            </w:r>
            <w:r>
              <w:rPr>
                <w:rFonts w:hint="eastAsia"/>
                <w:lang w:val="en-US" w:eastAsia="zh-CN"/>
              </w:rPr>
              <w:t>80</w:t>
            </w:r>
            <w:r>
              <w:rPr>
                <w:rFonts w:hint="eastAsia"/>
              </w:rPr>
              <w:t>~</w:t>
            </w:r>
            <w:r>
              <w:rPr>
                <w:rFonts w:hint="eastAsia"/>
                <w:lang w:val="en-US" w:eastAsia="zh-CN"/>
              </w:rPr>
              <w:t>83</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rPr>
              <w:t>施工噪声预测</w:t>
            </w:r>
          </w:p>
          <w:p>
            <w:pPr>
              <w:pStyle w:val="48"/>
              <w:keepNext w:val="0"/>
              <w:keepLines w:val="0"/>
              <w:suppressLineNumbers w:val="0"/>
              <w:bidi w:val="0"/>
              <w:spacing w:before="0" w:beforeAutospacing="0" w:after="0" w:afterAutospacing="0"/>
              <w:ind w:left="0" w:right="0"/>
              <w:rPr>
                <w:rFonts w:hint="default"/>
              </w:rPr>
            </w:pPr>
            <w:r>
              <w:rPr>
                <w:rFonts w:hint="eastAsia"/>
              </w:rPr>
              <w:t>施工噪声可近似视为点声源处理，其衰减模式如下：</w:t>
            </w:r>
          </w:p>
          <w:p>
            <w:pPr>
              <w:pStyle w:val="48"/>
              <w:keepNext w:val="0"/>
              <w:keepLines w:val="0"/>
              <w:suppressLineNumbers w:val="0"/>
              <w:bidi w:val="0"/>
              <w:spacing w:before="0" w:beforeAutospacing="0" w:after="0" w:afterAutospacing="0"/>
              <w:ind w:left="0" w:right="0"/>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eastAsia" w:eastAsia="宋体"/>
                <w:lang w:eastAsia="zh-CN"/>
              </w:rPr>
            </w:pPr>
            <w:r>
              <w:rPr>
                <w:rFonts w:hint="eastAsia"/>
              </w:rPr>
              <w:t>ro——Lpo噪声的测点距离（1m），m</w:t>
            </w:r>
            <w:r>
              <w:rPr>
                <w:rFonts w:hint="eastAsia"/>
                <w:lang w:eastAsia="zh-CN"/>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施工期主要噪声源主要为</w:t>
            </w:r>
            <w:r>
              <w:rPr>
                <w:rFonts w:hint="eastAsia"/>
                <w:lang w:val="en-US" w:eastAsia="zh-CN"/>
              </w:rPr>
              <w:t>挖掘机、推土机等</w:t>
            </w:r>
            <w:r>
              <w:rPr>
                <w:rFonts w:hint="eastAsia"/>
              </w:rPr>
              <w:t>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rPr>
              <w:t>施工噪声预测结果及分析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预测结果</w:t>
            </w:r>
            <w:r>
              <w:rPr>
                <w:rFonts w:hint="eastAsia"/>
                <w:lang w:eastAsia="zh-CN"/>
              </w:rPr>
              <w:t>：</w:t>
            </w:r>
            <w:r>
              <w:rPr>
                <w:rFonts w:hint="eastAsia"/>
              </w:rPr>
              <w:t>运用上式对</w:t>
            </w:r>
            <w:r>
              <w:rPr>
                <w:rFonts w:hint="eastAsia"/>
                <w:lang w:val="en-US" w:eastAsia="zh-CN"/>
              </w:rPr>
              <w:t>施工过程中</w:t>
            </w:r>
            <w:r>
              <w:rPr>
                <w:rFonts w:hint="eastAsia"/>
              </w:rPr>
              <w:t>施工机械噪声的环境影响进行预测计算，其结果如</w:t>
            </w:r>
            <w:r>
              <w:rPr>
                <w:rFonts w:hint="eastAsia"/>
                <w:lang w:val="en-US" w:eastAsia="zh-CN"/>
              </w:rPr>
              <w:t>下</w:t>
            </w:r>
            <w:r>
              <w:rPr>
                <w:rFonts w:hint="eastAsia"/>
              </w:rPr>
              <w:t>表所示。</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1</w:t>
            </w:r>
            <w:r>
              <w:rPr>
                <w:rFonts w:hint="default"/>
              </w:rPr>
              <w:t xml:space="preserve"> </w:t>
            </w:r>
            <w:r>
              <w:rPr>
                <w:rFonts w:hint="eastAsia"/>
                <w:lang w:val="en-US" w:eastAsia="zh-CN"/>
              </w:rPr>
              <w:t xml:space="preserve"> </w:t>
            </w:r>
            <w:r>
              <w:rPr>
                <w:rFonts w:hint="default"/>
              </w:rPr>
              <w:t xml:space="preserve">  项目主要</w:t>
            </w:r>
            <w:r>
              <w:rPr>
                <w:rFonts w:hint="eastAsia"/>
              </w:rPr>
              <w:t>施工机械在不同距离处的噪声预测值</w:t>
            </w:r>
          </w:p>
          <w:tbl>
            <w:tblPr>
              <w:tblStyle w:val="2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57" w:type="dxa"/>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7039" w:type="dxa"/>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57"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推土机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8</w:t>
                  </w:r>
                  <w:r>
                    <w:rPr>
                      <w:rFonts w:hint="eastAsia"/>
                      <w:lang w:val="en-US" w:eastAsia="zh-CN"/>
                    </w:rPr>
                    <w:t>3</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77.0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71.0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63.0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61.4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57.0</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53.5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51.0</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47.4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挖掘机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81</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75.0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69.0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61.0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59.4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55.0</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51.5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49.0</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45.4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运输车辆</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80</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74.0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68.0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58.4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54.0</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50.5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48.0</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44.4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41.9</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rPr>
              <w:t>本项目夜间不开展施工作业。单台施工机械在</w:t>
            </w:r>
            <w:r>
              <w:rPr>
                <w:rFonts w:hint="eastAsia"/>
                <w:lang w:val="en-US" w:eastAsia="zh-CN"/>
              </w:rPr>
              <w:t>50</w:t>
            </w:r>
            <w:r>
              <w:rPr>
                <w:rFonts w:hint="default"/>
              </w:rPr>
              <w:t>米范围外的噪声值均符合《</w:t>
            </w:r>
            <w:r>
              <w:rPr>
                <w:rFonts w:hint="eastAsia"/>
                <w:lang w:eastAsia="zh-CN"/>
              </w:rPr>
              <w:t>建筑施工噪声排放标准</w:t>
            </w:r>
            <w:r>
              <w:rPr>
                <w:rFonts w:hint="default"/>
              </w:rPr>
              <w:t>》（GB12523－2025）</w:t>
            </w:r>
            <w:r>
              <w:rPr>
                <w:rFonts w:hint="default"/>
                <w:lang w:val="en-US" w:eastAsia="zh-CN"/>
              </w:rPr>
              <w:t>中施工噪声要求</w:t>
            </w:r>
            <w:r>
              <w:rPr>
                <w:rFonts w:hint="eastAsia"/>
                <w:lang w:val="en-US" w:eastAsia="zh-CN"/>
              </w:rPr>
              <w:t>，昼间限值为70dB(A)</w:t>
            </w:r>
            <w:r>
              <w:rPr>
                <w:rFonts w:hint="default"/>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5.固体废物影响分析</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根据工程分析，项目土石方仅产生于生活营地场地平整，开挖土石方临时堆存并采用防尘彩布全覆盖苫盖；施工结束后全部土石方就地回填、场地整平，实现土石方内部平衡、无弃土外运，可有效防控水土流失，土石方工程对周边环境影响较小。</w:t>
            </w:r>
          </w:p>
          <w:p>
            <w:pPr>
              <w:pStyle w:val="48"/>
              <w:keepNext w:val="0"/>
              <w:keepLines w:val="0"/>
              <w:suppressLineNumbers w:val="0"/>
              <w:bidi w:val="0"/>
              <w:spacing w:before="0" w:beforeAutospacing="0" w:after="0" w:afterAutospacing="0"/>
              <w:ind w:left="0" w:right="0"/>
              <w:rPr>
                <w:rFonts w:hint="default"/>
              </w:rPr>
            </w:pPr>
            <w:r>
              <w:rPr>
                <w:rFonts w:hint="default"/>
              </w:rPr>
              <w:t>（</w:t>
            </w:r>
            <w:r>
              <w:rPr>
                <w:rFonts w:hint="eastAsia"/>
                <w:lang w:val="en-US" w:eastAsia="zh-CN"/>
              </w:rPr>
              <w:t>2</w:t>
            </w:r>
            <w:r>
              <w:rPr>
                <w:rFonts w:hint="default"/>
              </w:rPr>
              <w:t>）生活垃圾</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highlight w:val="none"/>
              </w:rPr>
            </w:pPr>
            <w:r>
              <w:rPr>
                <w:rFonts w:hint="default"/>
              </w:rPr>
              <w:t>施工场地内生活垃圾主要包括废弃的各种生活用品以及饮食垃圾等，施工期间，每人每天产生生活垃圾以0.5kg计算，施工人员按照</w:t>
            </w:r>
            <w:r>
              <w:rPr>
                <w:rFonts w:hint="eastAsia"/>
                <w:lang w:val="en-US" w:eastAsia="zh-CN"/>
              </w:rPr>
              <w:t>5</w:t>
            </w:r>
            <w:r>
              <w:rPr>
                <w:rFonts w:hint="default"/>
              </w:rPr>
              <w:t>人</w:t>
            </w:r>
            <w:r>
              <w:rPr>
                <w:rFonts w:hint="eastAsia"/>
                <w:lang w:eastAsia="zh-CN"/>
              </w:rPr>
              <w:t>计算</w:t>
            </w:r>
            <w:r>
              <w:rPr>
                <w:rFonts w:hint="default"/>
              </w:rPr>
              <w:t>，</w:t>
            </w:r>
            <w:r>
              <w:rPr>
                <w:rFonts w:hint="eastAsia"/>
                <w:lang w:val="en-US" w:eastAsia="zh-CN"/>
              </w:rPr>
              <w:t>施工期约5</w:t>
            </w:r>
            <w:r>
              <w:rPr>
                <w:rFonts w:hint="eastAsia"/>
                <w:highlight w:val="none"/>
                <w:lang w:val="en-US" w:eastAsia="zh-CN"/>
              </w:rPr>
              <w:t>d，则</w:t>
            </w:r>
            <w:r>
              <w:rPr>
                <w:rFonts w:hint="default"/>
                <w:highlight w:val="none"/>
              </w:rPr>
              <w:t>生活垃圾产生量为</w:t>
            </w:r>
            <w:r>
              <w:rPr>
                <w:rFonts w:hint="eastAsia"/>
                <w:highlight w:val="none"/>
                <w:lang w:val="en-US" w:eastAsia="zh-CN"/>
              </w:rPr>
              <w:t>0.0125</w:t>
            </w:r>
            <w:r>
              <w:rPr>
                <w:rFonts w:hint="default"/>
                <w:highlight w:val="none"/>
              </w:rPr>
              <w:t>t。</w:t>
            </w:r>
          </w:p>
          <w:p>
            <w:pPr>
              <w:pStyle w:val="48"/>
              <w:keepNext w:val="0"/>
              <w:keepLines w:val="0"/>
              <w:suppressLineNumbers w:val="0"/>
              <w:bidi w:val="0"/>
              <w:spacing w:before="0" w:beforeAutospacing="0" w:after="0" w:afterAutospacing="0"/>
              <w:ind w:left="0" w:right="0"/>
              <w:rPr>
                <w:rFonts w:hint="default"/>
                <w:shd w:val="clear" w:color="auto" w:fill="auto"/>
                <w:lang w:val="en-US" w:eastAsia="zh-CN"/>
              </w:rPr>
            </w:pPr>
            <w:r>
              <w:rPr>
                <w:rFonts w:hint="default"/>
              </w:rPr>
              <w:t>这些垃圾若处理不当，随意堆放，其中有机质会腐烂变质，发出恶臭，成为蚊蝇的</w:t>
            </w:r>
            <w:r>
              <w:rPr>
                <w:rFonts w:hint="default"/>
                <w:lang w:eastAsia="zh-CN"/>
              </w:rPr>
              <w:t>滋生地</w:t>
            </w:r>
            <w:r>
              <w:rPr>
                <w:rFonts w:hint="default"/>
              </w:rPr>
              <w:t>，传播疾病，对生活区的卫生状况危害严重。此外垃圾中的有害物质还可能渗入地下，污染环境。</w:t>
            </w:r>
            <w:r>
              <w:rPr>
                <w:rFonts w:hint="default"/>
                <w:lang w:val="en-US" w:eastAsia="zh-CN"/>
              </w:rPr>
              <w:t>施工营地内设置一定数量的垃圾桶，用于临时存放生活垃圾，</w:t>
            </w:r>
            <w:r>
              <w:rPr>
                <w:rFonts w:hint="default"/>
                <w:shd w:val="clear" w:color="auto" w:fill="auto"/>
                <w:lang w:val="en-US" w:eastAsia="zh-CN"/>
              </w:rPr>
              <w:t>最终统一收集后</w:t>
            </w:r>
            <w:r>
              <w:rPr>
                <w:rFonts w:hint="eastAsia"/>
                <w:shd w:val="clear" w:color="auto" w:fill="auto"/>
                <w:lang w:val="en-US" w:eastAsia="zh-CN"/>
              </w:rPr>
              <w:t>送至和硕县垃圾填埋场。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8522" w:type="dxa"/>
            <w:noWrap w:val="0"/>
            <w:vAlign w:val="top"/>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1.1占地影响</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20" w:lineRule="exact"/>
              <w:ind w:left="0" w:right="0"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勘探场地和临时堆场，均为临时占地。勘探场地和临时堆场会占用一定面积，改变土地原有使用功能，造成资源浪费，勘探机械的压占会造成剥离后的表层土壤过于紧实，降低土壤的通透性和渗水性，对土壤环境、动植物以及区域景观生态产生不利的影响</w:t>
            </w:r>
            <w:r>
              <w:rPr>
                <w:rFonts w:hint="eastAsia" w:cs="宋体"/>
                <w:kern w:val="0"/>
                <w:sz w:val="24"/>
                <w:szCs w:val="24"/>
                <w:lang w:val="en-US" w:eastAsia="zh-CN" w:bidi="ar-SA"/>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1.2土壤环境的影响</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（1）</w:t>
            </w:r>
            <w:r>
              <w:rPr>
                <w:rFonts w:hint="eastAsia"/>
              </w:rPr>
              <w:t>槽探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本次勘探槽探总工作量</w:t>
            </w:r>
            <w:r>
              <w:rPr>
                <w:rFonts w:hint="eastAsia"/>
                <w:lang w:val="en-US" w:eastAsia="zh-CN"/>
              </w:rPr>
              <w:t>为200</w:t>
            </w:r>
            <w:r>
              <w:rPr>
                <w:rFonts w:hint="eastAsia"/>
              </w:rPr>
              <w:t>m</w:t>
            </w:r>
            <w:r>
              <w:rPr>
                <w:rFonts w:hint="eastAsia"/>
                <w:vertAlign w:val="superscript"/>
                <w:lang w:val="en-US" w:eastAsia="zh-CN"/>
              </w:rPr>
              <w:t>3</w:t>
            </w:r>
            <w:r>
              <w:rPr>
                <w:rFonts w:hint="eastAsia"/>
                <w:lang w:eastAsia="zh-CN"/>
              </w:rPr>
              <w:t>，</w:t>
            </w:r>
            <w:r>
              <w:rPr>
                <w:rFonts w:hint="eastAsia"/>
                <w:lang w:val="en-US" w:eastAsia="zh-CN"/>
              </w:rPr>
              <w:t>占地面积为80</w:t>
            </w:r>
            <w:r>
              <w:rPr>
                <w:rFonts w:hint="eastAsia"/>
              </w:rPr>
              <w:t>m</w:t>
            </w:r>
            <w:r>
              <w:rPr>
                <w:rFonts w:hint="eastAsia"/>
                <w:vertAlign w:val="superscript"/>
                <w:lang w:val="en-US" w:eastAsia="zh-CN"/>
              </w:rPr>
              <w:t>2</w:t>
            </w:r>
            <w:r>
              <w:rPr>
                <w:rFonts w:hint="eastAsia"/>
                <w:lang w:val="en-US" w:eastAsia="zh-CN"/>
              </w:rPr>
              <w:t>。探槽开挖时，必然会对原有土壤结构形成扰动，其结果会使土壤原有的土层发生紊乱，团粒结构破坏，从而导致土壤环境恶化，进而影响地上植被的生长</w:t>
            </w:r>
            <w:r>
              <w:rPr>
                <w:rFonts w:hint="eastAsia"/>
              </w:rPr>
              <w:t>。</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2</w:t>
            </w:r>
            <w:r>
              <w:rPr>
                <w:rFonts w:hint="eastAsia" w:ascii="Times New Roman" w:hAnsi="Times New Roman" w:eastAsia="宋体" w:cs="宋体"/>
                <w:kern w:val="0"/>
                <w:sz w:val="24"/>
                <w:szCs w:val="24"/>
                <w:lang w:val="en-US" w:eastAsia="zh-CN" w:bidi="ar-SA"/>
              </w:rPr>
              <w:t>）</w:t>
            </w:r>
            <w:r>
              <w:rPr>
                <w:rFonts w:hint="eastAsia"/>
                <w:lang w:val="en-US" w:eastAsia="zh-CN"/>
              </w:rPr>
              <w:t>钻</w:t>
            </w:r>
            <w:r>
              <w:rPr>
                <w:rFonts w:hint="eastAsia"/>
              </w:rPr>
              <w:t>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lang w:val="en-US" w:eastAsia="zh-CN"/>
              </w:rPr>
              <w:t>本项目钻探工程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3</w:t>
            </w:r>
            <w:r>
              <w:rPr>
                <w:rFonts w:hint="eastAsia" w:ascii="Times New Roman" w:hAnsi="Times New Roman" w:eastAsia="宋体" w:cs="宋体"/>
                <w:kern w:val="0"/>
                <w:sz w:val="24"/>
                <w:szCs w:val="24"/>
                <w:lang w:val="en-US" w:eastAsia="zh-CN" w:bidi="ar-SA"/>
              </w:rPr>
              <w:t>）</w:t>
            </w:r>
            <w:r>
              <w:rPr>
                <w:rFonts w:hint="eastAsia"/>
                <w:lang w:eastAsia="zh-CN"/>
              </w:rPr>
              <w:t>临时</w:t>
            </w:r>
            <w:r>
              <w:rPr>
                <w:rFonts w:hint="eastAsia"/>
                <w:lang w:val="en-US" w:eastAsia="zh-CN"/>
              </w:rPr>
              <w:t>堆场</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本次探矿勘探不设置固定堆渣场</w:t>
            </w:r>
            <w:r>
              <w:rPr>
                <w:rFonts w:hint="default"/>
              </w:rPr>
              <w:t>，</w:t>
            </w:r>
            <w:r>
              <w:rPr>
                <w:rFonts w:hint="eastAsia"/>
              </w:rPr>
              <w:t>堆渣均布置在</w:t>
            </w:r>
            <w:r>
              <w:rPr>
                <w:rFonts w:hint="eastAsia"/>
                <w:lang w:val="en-US" w:eastAsia="zh-CN"/>
              </w:rPr>
              <w:t>探坑区</w:t>
            </w:r>
            <w:r>
              <w:rPr>
                <w:rFonts w:hint="eastAsia"/>
              </w:rPr>
              <w:t>一侧空地上</w:t>
            </w:r>
            <w:r>
              <w:rPr>
                <w:rFonts w:hint="eastAsia"/>
                <w:lang w:eastAsia="zh-CN"/>
              </w:rPr>
              <w:t>，</w:t>
            </w:r>
            <w:r>
              <w:rPr>
                <w:rFonts w:hint="eastAsia"/>
                <w:lang w:val="en-US" w:eastAsia="zh-CN"/>
              </w:rPr>
              <w:t>占地约500m</w:t>
            </w:r>
            <w:r>
              <w:rPr>
                <w:rFonts w:hint="eastAsia"/>
                <w:vertAlign w:val="superscript"/>
                <w:lang w:val="en-US" w:eastAsia="zh-CN"/>
              </w:rPr>
              <w:t>2</w:t>
            </w:r>
            <w:r>
              <w:rPr>
                <w:rFonts w:hint="eastAsia"/>
              </w:rPr>
              <w:t>。</w:t>
            </w:r>
            <w:r>
              <w:rPr>
                <w:rFonts w:hint="eastAsia"/>
                <w:lang w:val="en-US" w:eastAsia="zh-CN"/>
              </w:rPr>
              <w:t>勘探期</w:t>
            </w:r>
            <w:r>
              <w:rPr>
                <w:rFonts w:hint="eastAsia"/>
              </w:rPr>
              <w:t>内</w:t>
            </w:r>
            <w:r>
              <w:rPr>
                <w:rFonts w:hint="eastAsia"/>
                <w:lang w:val="en-US" w:eastAsia="zh-CN"/>
              </w:rPr>
              <w:t>堆土</w:t>
            </w:r>
            <w:r>
              <w:rPr>
                <w:rFonts w:hint="eastAsia"/>
              </w:rPr>
              <w:t>的压占会造成土壤过于紧实，降低土壤的通透性和渗水性，对后期植物的生长会造成不良影响。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1.3动植物的影响</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w:t>
            </w:r>
            <w:r>
              <w:rPr>
                <w:rFonts w:hint="eastAsia"/>
                <w:lang w:val="en-US" w:eastAsia="zh-CN"/>
              </w:rPr>
              <w:t>项目区</w:t>
            </w:r>
            <w:r>
              <w:rPr>
                <w:rFonts w:hint="default"/>
                <w:lang w:val="en-US" w:eastAsia="zh-CN"/>
              </w:rPr>
              <w:t>主要植物为</w:t>
            </w:r>
            <w:r>
              <w:rPr>
                <w:rFonts w:hint="eastAsia"/>
                <w:lang w:val="en-US" w:eastAsia="zh-CN"/>
              </w:rPr>
              <w:t>沙拐枣、骆驼刺、白皮锦鸡儿和针茅</w:t>
            </w:r>
            <w:r>
              <w:rPr>
                <w:rFonts w:hint="default"/>
                <w:lang w:val="en-US" w:eastAsia="zh-CN"/>
              </w:rPr>
              <w:t>，</w:t>
            </w:r>
            <w:r>
              <w:rPr>
                <w:rFonts w:hint="eastAsia"/>
                <w:lang w:val="en-US" w:eastAsia="zh-CN"/>
              </w:rPr>
              <w:t>项目区</w:t>
            </w:r>
            <w:r>
              <w:rPr>
                <w:rFonts w:hint="default"/>
                <w:lang w:val="en-US" w:eastAsia="zh-CN"/>
              </w:rPr>
              <w:t>植被</w:t>
            </w:r>
            <w:r>
              <w:rPr>
                <w:rFonts w:hint="eastAsia"/>
                <w:lang w:val="en-US" w:eastAsia="zh-CN"/>
              </w:rPr>
              <w:t>大部分较为稀疏</w:t>
            </w:r>
            <w:r>
              <w:rPr>
                <w:rFonts w:hint="default"/>
                <w:lang w:val="en-US" w:eastAsia="zh-CN"/>
              </w:rPr>
              <w:t>。勘探过程中的车辆行驶、设备安装等活动会直接碾压、铲除植被，导致植被数量进一步减少。</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区域内各种野生动物经过长期的适应已形成较稳定的取食、饮水、栖息活动范围和分布，勘探过程中的槽探和地面建设占地将使原有的野生动物的分布、栖息活动范围受到压缩。</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lang w:val="en-US" w:eastAsia="zh-CN"/>
              </w:rPr>
              <w:t>从生物损失量分析：</w:t>
            </w:r>
            <w:r>
              <w:rPr>
                <w:rFonts w:hint="eastAsia"/>
                <w:lang w:val="en-US" w:eastAsia="zh-CN"/>
              </w:rPr>
              <w:t>从区域生态现状来看，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施工期和勘探期临时占地总面积为790m</w:t>
            </w:r>
            <w:r>
              <w:rPr>
                <w:rFonts w:hint="eastAsia"/>
                <w:vertAlign w:val="superscript"/>
                <w:lang w:val="en-US" w:eastAsia="zh-CN"/>
              </w:rPr>
              <w:t>2</w:t>
            </w:r>
            <w:r>
              <w:rPr>
                <w:rFonts w:hint="eastAsia"/>
                <w:lang w:val="en-US" w:eastAsia="zh-CN"/>
              </w:rPr>
              <w:t>）进行计算，本项目勘探过程中，因场地平整、土方开挖及物料堆放等作业，需临时占用部分地表区域，造成生物量损失，生物损失量合计约0.031t。在勘探结束后，利用之前收集的表土对临时占用的土地进行覆土。对勘探场地进行回填、进行迹地清理平整，区域生态将逐步恢复。</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过程中会改变野生动物的行为模式。许多动物对环境变化极为敏感，施工区域周边原本活动的野生动物，会因勘探作业产生的震动和噪声，而选择主动避开该区域。</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1.4</w:t>
            </w:r>
            <w:r>
              <w:rPr>
                <w:rFonts w:hint="default"/>
              </w:rPr>
              <w:t>自然景观影响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Style w:val="51"/>
                <w:rFonts w:hint="eastAsia"/>
                <w:b/>
                <w:lang w:val="en-US" w:eastAsia="zh-CN"/>
              </w:rPr>
              <w:t>1.5土地沙化的影响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；钻探、槽探等勘查活动产生大量堆土，在风力作用下，细小颗粒被吹扬，增加空气中沙尘含量，同时周边土壤被侵蚀，导致土地沙化范围扩大。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1.6水土流失的影响</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项目勘查</w:t>
            </w:r>
            <w:r>
              <w:rPr>
                <w:rFonts w:hint="eastAsia"/>
              </w:rPr>
              <w:t>过程中，</w:t>
            </w:r>
            <w:r>
              <w:rPr>
                <w:rFonts w:hint="eastAsia"/>
                <w:lang w:eastAsia="zh-CN"/>
              </w:rPr>
              <w:t>钻探、</w:t>
            </w:r>
            <w:r>
              <w:rPr>
                <w:rFonts w:hint="eastAsia"/>
                <w:lang w:val="en-US" w:eastAsia="zh-CN"/>
              </w:rPr>
              <w:t>槽</w:t>
            </w:r>
            <w:r>
              <w:rPr>
                <w:rFonts w:hint="eastAsia"/>
                <w:lang w:eastAsia="zh-CN"/>
              </w:rPr>
              <w:t>探等勘查作业会产生大量的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造成局部地形高差增大，坡面变陡，增加了坡面径流的流速和冲刷力，使土壤侵蚀加剧。大量施工人员的活动，会对周边地表植被造成践踏破坏，降低覆盖度，使地表失去植被的有效保护，进而加剧水土流失。</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0"/>
              <w:keepNext w:val="0"/>
              <w:keepLines w:val="0"/>
              <w:suppressLineNumbers w:val="0"/>
              <w:bidi w:val="0"/>
              <w:spacing w:before="0" w:beforeAutospacing="0" w:after="0" w:afterAutospacing="0"/>
              <w:ind w:left="0" w:right="0"/>
              <w:rPr>
                <w:rFonts w:hint="eastAsia"/>
              </w:rPr>
            </w:pPr>
            <w:r>
              <w:rPr>
                <w:rFonts w:hint="eastAsia"/>
                <w:lang w:val="en-US" w:eastAsia="zh-CN"/>
              </w:rPr>
              <w:t>2.1勘探过程中产生的</w:t>
            </w:r>
            <w:r>
              <w:rPr>
                <w:rFonts w:hint="eastAsia"/>
              </w:rPr>
              <w:t>扬尘</w:t>
            </w:r>
          </w:p>
          <w:p>
            <w:pPr>
              <w:pStyle w:val="48"/>
              <w:keepNext w:val="0"/>
              <w:keepLines w:val="0"/>
              <w:suppressLineNumbers w:val="0"/>
              <w:bidi w:val="0"/>
              <w:spacing w:before="0" w:beforeAutospacing="0" w:after="0" w:afterAutospacing="0"/>
              <w:ind w:left="0" w:right="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载重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2.2燃油废气</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工作区</w:t>
            </w:r>
            <w:r>
              <w:rPr>
                <w:rFonts w:hint="eastAsia"/>
              </w:rPr>
              <w:t>的燃油设备主要是</w:t>
            </w:r>
            <w:r>
              <w:rPr>
                <w:rFonts w:hint="eastAsia"/>
                <w:lang w:val="en-US" w:eastAsia="zh-CN"/>
              </w:rPr>
              <w:t>勘探</w:t>
            </w:r>
            <w:r>
              <w:rPr>
                <w:rFonts w:hint="eastAsia"/>
              </w:rPr>
              <w:t>机械和运输车辆，其排放的尾气在</w:t>
            </w:r>
            <w:r>
              <w:rPr>
                <w:rFonts w:hint="eastAsia"/>
                <w:lang w:val="en-US" w:eastAsia="zh-CN"/>
              </w:rPr>
              <w:t>勘探</w:t>
            </w:r>
            <w:r>
              <w:rPr>
                <w:rFonts w:hint="eastAsia"/>
              </w:rPr>
              <w:t>期间对</w:t>
            </w:r>
            <w:r>
              <w:rPr>
                <w:rFonts w:hint="eastAsia"/>
                <w:lang w:val="en-US" w:eastAsia="zh-CN"/>
              </w:rPr>
              <w:t>勘探</w:t>
            </w:r>
            <w:r>
              <w:rPr>
                <w:rFonts w:hint="eastAsia"/>
              </w:rPr>
              <w:t>作业点和交通道路附近大气环境造成污染。</w:t>
            </w:r>
          </w:p>
          <w:p>
            <w:pPr>
              <w:pStyle w:val="48"/>
              <w:keepNext w:val="0"/>
              <w:keepLines w:val="0"/>
              <w:suppressLineNumbers w:val="0"/>
              <w:bidi w:val="0"/>
              <w:spacing w:before="0" w:beforeAutospacing="0" w:after="0" w:afterAutospacing="0"/>
              <w:ind w:left="0" w:right="0"/>
              <w:rPr>
                <w:rFonts w:hint="eastAsia"/>
              </w:rPr>
            </w:pPr>
            <w:r>
              <w:rPr>
                <w:rFonts w:hint="eastAsia"/>
              </w:rPr>
              <w:t>运输车辆的废气是沿交通路线沿程排放，</w:t>
            </w:r>
            <w:r>
              <w:rPr>
                <w:rFonts w:hint="eastAsia"/>
                <w:lang w:val="en-US" w:eastAsia="zh-CN"/>
              </w:rPr>
              <w:t>勘探</w:t>
            </w:r>
            <w:r>
              <w:rPr>
                <w:rFonts w:hint="eastAsia"/>
              </w:rPr>
              <w:t>机械的废气基本是以点源形成排放，工程</w:t>
            </w:r>
            <w:r>
              <w:rPr>
                <w:rFonts w:hint="eastAsia"/>
                <w:lang w:val="en-US" w:eastAsia="zh-CN"/>
              </w:rPr>
              <w:t>勘探</w:t>
            </w:r>
            <w:r>
              <w:rPr>
                <w:rFonts w:hint="eastAsia"/>
              </w:rPr>
              <w:t>区地形开阔</w:t>
            </w:r>
            <w:r>
              <w:rPr>
                <w:rFonts w:hint="eastAsia"/>
                <w:lang w:eastAsia="zh-CN"/>
              </w:rPr>
              <w:t>，</w:t>
            </w:r>
            <w:r>
              <w:rPr>
                <w:rFonts w:hint="eastAsia"/>
              </w:rPr>
              <w:t>空气流通性好</w:t>
            </w:r>
            <w:r>
              <w:rPr>
                <w:rFonts w:hint="eastAsia"/>
                <w:lang w:eastAsia="zh-CN"/>
              </w:rPr>
              <w:t>，</w:t>
            </w:r>
            <w:r>
              <w:rPr>
                <w:rFonts w:hint="eastAsia"/>
              </w:rPr>
              <w:t>排放废气中的各项污染物能够很快扩散，不会引起局部大气环境质量的恶化。加之废气排放的不连续性和工程施工期有限，排放的废气对区域的环境空气质量影响较小。</w:t>
            </w:r>
          </w:p>
          <w:p>
            <w:pPr>
              <w:pStyle w:val="48"/>
              <w:keepNext w:val="0"/>
              <w:keepLines w:val="0"/>
              <w:suppressLineNumbers w:val="0"/>
              <w:bidi w:val="0"/>
              <w:spacing w:before="0" w:beforeAutospacing="0" w:after="0" w:afterAutospacing="0"/>
              <w:ind w:left="0" w:right="0"/>
              <w:rPr>
                <w:rFonts w:hint="default"/>
              </w:rPr>
            </w:pPr>
            <w:r>
              <w:rPr>
                <w:rFonts w:hint="eastAsia"/>
              </w:rPr>
              <w:t>探矿期间将在营地内布置柴油发电机供生活用电。钻机及泥浆泵动力均来自柴油机，发电机及动力机工作期间油料燃烧将排放少量的尾气。</w:t>
            </w:r>
            <w:r>
              <w:rPr>
                <w:rFonts w:hint="eastAsia"/>
                <w:lang w:val="en-US" w:eastAsia="zh-CN"/>
              </w:rPr>
              <w:t>勘探</w:t>
            </w:r>
            <w:r>
              <w:rPr>
                <w:rFonts w:hint="default"/>
              </w:rPr>
              <w:t>机械设备燃烧燃油过程中将产生CO、NOx、SO</w:t>
            </w:r>
            <w:r>
              <w:rPr>
                <w:rFonts w:hint="default"/>
                <w:vertAlign w:val="subscript"/>
              </w:rPr>
              <w:t>2</w:t>
            </w:r>
            <w:r>
              <w:rPr>
                <w:rFonts w:hint="default"/>
              </w:rPr>
              <w:t>、碳氢化合物污染物。</w:t>
            </w:r>
          </w:p>
          <w:p>
            <w:pPr>
              <w:pStyle w:val="48"/>
              <w:keepNext w:val="0"/>
              <w:keepLines w:val="0"/>
              <w:suppressLineNumbers w:val="0"/>
              <w:bidi w:val="0"/>
              <w:spacing w:before="0" w:beforeAutospacing="0" w:after="0" w:afterAutospacing="0"/>
              <w:ind w:left="0" w:right="0"/>
              <w:rPr>
                <w:rFonts w:hint="eastAsia"/>
              </w:rPr>
            </w:pPr>
            <w:r>
              <w:rPr>
                <w:rFonts w:hint="eastAsia"/>
              </w:rPr>
              <w:t>探矿期内使用柴油量约</w:t>
            </w:r>
            <w:r>
              <w:rPr>
                <w:rFonts w:hint="eastAsia"/>
                <w:highlight w:val="none"/>
                <w:lang w:val="en-US" w:eastAsia="zh-CN"/>
              </w:rPr>
              <w:t>2.5</w:t>
            </w:r>
            <w:r>
              <w:rPr>
                <w:rFonts w:hint="eastAsia"/>
                <w:highlight w:val="none"/>
              </w:rPr>
              <w:t>t</w:t>
            </w:r>
            <w:r>
              <w:rPr>
                <w:rFonts w:hint="eastAsia"/>
              </w:rPr>
              <w:t>，</w:t>
            </w:r>
            <w:r>
              <w:rPr>
                <w:rFonts w:hint="eastAsia"/>
                <w:lang w:val="en-US" w:eastAsia="zh-CN"/>
              </w:rPr>
              <w:t>参照同类项目，</w:t>
            </w:r>
            <w:r>
              <w:rPr>
                <w:rFonts w:hint="default"/>
              </w:rPr>
              <w:t>柴油燃烧排放有害气体量详见</w:t>
            </w:r>
            <w:r>
              <w:rPr>
                <w:rFonts w:hint="eastAsia"/>
                <w:lang w:val="en-US" w:eastAsia="zh-CN"/>
              </w:rPr>
              <w:t>下</w:t>
            </w:r>
            <w:r>
              <w:rPr>
                <w:rFonts w:hint="eastAsia"/>
              </w:rPr>
              <w:t>表</w:t>
            </w:r>
            <w:r>
              <w:rPr>
                <w:rFonts w:hint="default"/>
              </w:rPr>
              <w:t>。</w:t>
            </w:r>
          </w:p>
          <w:p>
            <w:pPr>
              <w:pStyle w:val="52"/>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 xml:space="preserve">4-2    </w:t>
            </w:r>
            <w:r>
              <w:rPr>
                <w:rFonts w:hint="eastAsia"/>
              </w:rPr>
              <w:t>柴油排放的有害物质表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1495"/>
              <w:gridCol w:w="1631"/>
              <w:gridCol w:w="1344"/>
              <w:gridCol w:w="1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有害物质</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SO</w:t>
                  </w:r>
                  <w:r>
                    <w:rPr>
                      <w:rFonts w:hint="default"/>
                      <w:vertAlign w:val="subscript"/>
                    </w:rPr>
                    <w:t>2</w:t>
                  </w:r>
                </w:p>
              </w:tc>
              <w:tc>
                <w:tcPr>
                  <w:tcW w:w="983"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CO</w:t>
                  </w:r>
                </w:p>
              </w:tc>
              <w:tc>
                <w:tcPr>
                  <w:tcW w:w="810"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default"/>
                    </w:rPr>
                    <w:t>NO</w:t>
                  </w:r>
                  <w:r>
                    <w:rPr>
                      <w:rFonts w:hint="eastAsia"/>
                      <w:vertAlign w:val="subscript"/>
                      <w:lang w:val="en-US" w:eastAsia="zh-CN"/>
                    </w:rPr>
                    <w:t>X</w:t>
                  </w:r>
                </w:p>
              </w:tc>
              <w:tc>
                <w:tcPr>
                  <w:tcW w:w="1156"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排放量（kg</w:t>
                  </w:r>
                  <w:r>
                    <w:rPr>
                      <w:rFonts w:hint="eastAsia"/>
                    </w:rPr>
                    <w:t>/t</w:t>
                  </w:r>
                  <w:r>
                    <w:rPr>
                      <w:rFonts w:hint="default"/>
                    </w:rPr>
                    <w:t>）</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3.522</w:t>
                  </w:r>
                </w:p>
              </w:tc>
              <w:tc>
                <w:tcPr>
                  <w:tcW w:w="983"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29.349</w:t>
                  </w:r>
                </w:p>
              </w:tc>
              <w:tc>
                <w:tcPr>
                  <w:tcW w:w="810"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48.263</w:t>
                  </w:r>
                </w:p>
              </w:tc>
              <w:tc>
                <w:tcPr>
                  <w:tcW w:w="1156"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探矿期内</w:t>
                  </w:r>
                  <w:r>
                    <w:rPr>
                      <w:rFonts w:hint="default"/>
                    </w:rPr>
                    <w:t>（kg）</w:t>
                  </w:r>
                </w:p>
              </w:tc>
              <w:tc>
                <w:tcPr>
                  <w:tcW w:w="1495"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8.805</w:t>
                  </w:r>
                </w:p>
              </w:tc>
              <w:tc>
                <w:tcPr>
                  <w:tcW w:w="1631"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73.3725</w:t>
                  </w:r>
                </w:p>
              </w:tc>
              <w:tc>
                <w:tcPr>
                  <w:tcW w:w="1344"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120.6575</w:t>
                  </w:r>
                </w:p>
              </w:tc>
              <w:tc>
                <w:tcPr>
                  <w:tcW w:w="1918"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12.065</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3.废水环境影响分析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（1）生活污水</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i w:val="0"/>
                <w:iCs w:val="0"/>
                <w:highlight w:val="none"/>
                <w:shd w:val="clear" w:color="auto" w:fill="auto"/>
                <w:lang w:val="en-US" w:eastAsia="zh-CN"/>
              </w:rPr>
            </w:pPr>
            <w:r>
              <w:rPr>
                <w:rFonts w:hint="eastAsia"/>
                <w:highlight w:val="none"/>
              </w:rPr>
              <w:t>本次探矿野外作业人员约</w:t>
            </w:r>
            <w:r>
              <w:rPr>
                <w:rFonts w:hint="eastAsia"/>
                <w:highlight w:val="none"/>
                <w:lang w:val="en-US" w:eastAsia="zh-CN"/>
              </w:rPr>
              <w:t>5</w:t>
            </w:r>
            <w:r>
              <w:rPr>
                <w:rFonts w:hint="eastAsia"/>
                <w:highlight w:val="none"/>
              </w:rPr>
              <w:t>人。勘探人员日常洗漱</w:t>
            </w:r>
            <w:r>
              <w:rPr>
                <w:rFonts w:hint="eastAsia"/>
                <w:highlight w:val="none"/>
                <w:lang w:val="en-US" w:eastAsia="zh-CN"/>
              </w:rPr>
              <w:t>和</w:t>
            </w:r>
            <w:r>
              <w:rPr>
                <w:rFonts w:hint="eastAsia"/>
                <w:highlight w:val="none"/>
              </w:rPr>
              <w:t>生活所产生的污水间断排放，主要含COD、BOD</w:t>
            </w:r>
            <w:r>
              <w:rPr>
                <w:rFonts w:hint="eastAsia"/>
                <w:highlight w:val="none"/>
                <w:vertAlign w:val="subscript"/>
              </w:rPr>
              <w:t>5</w:t>
            </w:r>
            <w:r>
              <w:rPr>
                <w:rFonts w:hint="eastAsia"/>
                <w:highlight w:val="none"/>
              </w:rPr>
              <w:t>、SS等污染物</w:t>
            </w:r>
            <w:r>
              <w:rPr>
                <w:rFonts w:hint="eastAsia"/>
                <w:highlight w:val="none"/>
                <w:lang w:eastAsia="zh-CN"/>
              </w:rPr>
              <w:t>，</w:t>
            </w:r>
            <w:r>
              <w:rPr>
                <w:rFonts w:hint="eastAsia"/>
                <w:lang w:val="en-US" w:eastAsia="zh-CN"/>
              </w:rPr>
              <w:t>勘探期为40d，则本项目勘探期</w:t>
            </w:r>
            <w:r>
              <w:rPr>
                <w:rFonts w:hint="eastAsia"/>
                <w:highlight w:val="none"/>
              </w:rPr>
              <w:t>生活污水</w:t>
            </w:r>
            <w:r>
              <w:rPr>
                <w:rFonts w:hint="eastAsia"/>
                <w:highlight w:val="none"/>
                <w:lang w:val="en-US" w:eastAsia="zh-CN"/>
              </w:rPr>
              <w:t>排放量为4.8</w:t>
            </w:r>
            <w:r>
              <w:rPr>
                <w:rFonts w:hint="eastAsia"/>
                <w:highlight w:val="none"/>
              </w:rPr>
              <w:t>m</w:t>
            </w:r>
            <w:r>
              <w:rPr>
                <w:rFonts w:hint="eastAsia"/>
                <w:highlight w:val="none"/>
                <w:vertAlign w:val="superscript"/>
              </w:rPr>
              <w:t>3</w:t>
            </w:r>
            <w:r>
              <w:rPr>
                <w:rFonts w:hint="eastAsia"/>
                <w:highlight w:val="none"/>
              </w:rPr>
              <w:t>。生活污水包括粪便污水</w:t>
            </w:r>
            <w:r>
              <w:rPr>
                <w:rFonts w:hint="eastAsia"/>
                <w:highlight w:val="none"/>
                <w:lang w:val="en-US" w:eastAsia="zh-CN"/>
              </w:rPr>
              <w:t>和洗漱用水</w:t>
            </w:r>
            <w:r>
              <w:rPr>
                <w:rFonts w:hint="eastAsia"/>
                <w:highlight w:val="none"/>
              </w:rPr>
              <w:t>等，类比一般生活污水污染物产生浓度，主要污染物中COD、BOD</w:t>
            </w:r>
            <w:r>
              <w:rPr>
                <w:rFonts w:hint="eastAsia"/>
                <w:highlight w:val="none"/>
                <w:vertAlign w:val="subscript"/>
                <w:lang w:val="en-US" w:eastAsia="zh-CN"/>
              </w:rPr>
              <w:t>5</w:t>
            </w:r>
            <w:r>
              <w:rPr>
                <w:rFonts w:hint="eastAsia"/>
                <w:highlight w:val="none"/>
              </w:rPr>
              <w:t>、SS、NH</w:t>
            </w:r>
            <w:r>
              <w:rPr>
                <w:rFonts w:hint="eastAsia"/>
                <w:highlight w:val="none"/>
                <w:vertAlign w:val="subscript"/>
                <w:lang w:val="en-US" w:eastAsia="zh-CN"/>
              </w:rPr>
              <w:t>4</w:t>
            </w:r>
            <w:r>
              <w:rPr>
                <w:rFonts w:hint="eastAsia"/>
                <w:highlight w:val="none"/>
              </w:rPr>
              <w:t>-N、动植物油的排放浓度分别为</w:t>
            </w:r>
            <w:r>
              <w:rPr>
                <w:rFonts w:hint="eastAsia"/>
                <w:highlight w:val="none"/>
                <w:lang w:eastAsia="zh-CN"/>
              </w:rPr>
              <w:t>：</w:t>
            </w:r>
            <w:r>
              <w:rPr>
                <w:rFonts w:hint="eastAsia"/>
                <w:highlight w:val="none"/>
              </w:rPr>
              <w:t>320mg/</w:t>
            </w:r>
            <w:r>
              <w:rPr>
                <w:rFonts w:hint="eastAsia"/>
                <w:highlight w:val="none"/>
                <w:lang w:val="en-US" w:eastAsia="zh-CN"/>
              </w:rPr>
              <w:t>L</w:t>
            </w:r>
            <w:r>
              <w:rPr>
                <w:rFonts w:hint="eastAsia"/>
                <w:highlight w:val="none"/>
                <w:lang w:eastAsia="zh-CN"/>
              </w:rPr>
              <w:t>、</w:t>
            </w:r>
            <w:r>
              <w:rPr>
                <w:rFonts w:hint="eastAsia"/>
                <w:highlight w:val="none"/>
              </w:rPr>
              <w:t>200mg/</w:t>
            </w:r>
            <w:r>
              <w:rPr>
                <w:rFonts w:hint="eastAsia"/>
                <w:highlight w:val="none"/>
                <w:lang w:val="en-US" w:eastAsia="zh-CN"/>
              </w:rPr>
              <w:t>L</w:t>
            </w:r>
            <w:r>
              <w:rPr>
                <w:rFonts w:hint="eastAsia"/>
                <w:highlight w:val="none"/>
              </w:rPr>
              <w:t>、360mg/</w:t>
            </w:r>
            <w:r>
              <w:rPr>
                <w:rFonts w:hint="eastAsia"/>
                <w:highlight w:val="none"/>
                <w:lang w:val="en-US" w:eastAsia="zh-CN"/>
              </w:rPr>
              <w:t>L</w:t>
            </w:r>
            <w:r>
              <w:rPr>
                <w:rFonts w:hint="eastAsia"/>
                <w:highlight w:val="none"/>
              </w:rPr>
              <w:t>、25mg/</w:t>
            </w:r>
            <w:r>
              <w:rPr>
                <w:rFonts w:hint="eastAsia"/>
                <w:highlight w:val="none"/>
                <w:lang w:val="en-US" w:eastAsia="zh-CN"/>
              </w:rPr>
              <w:t>L</w:t>
            </w:r>
            <w:r>
              <w:rPr>
                <w:rFonts w:hint="eastAsia"/>
                <w:highlight w:val="none"/>
              </w:rPr>
              <w:t>、30mg/</w:t>
            </w:r>
            <w:r>
              <w:rPr>
                <w:rFonts w:hint="eastAsia"/>
                <w:highlight w:val="none"/>
                <w:lang w:val="en-US" w:eastAsia="zh-CN"/>
              </w:rPr>
              <w:t>L</w:t>
            </w:r>
            <w:r>
              <w:rPr>
                <w:rFonts w:hint="eastAsia"/>
                <w:i w:val="0"/>
                <w:iCs w:val="0"/>
                <w:highlight w:val="none"/>
              </w:rPr>
              <w:t>。</w:t>
            </w:r>
            <w:r>
              <w:rPr>
                <w:rFonts w:hint="eastAsia"/>
                <w:i w:val="0"/>
                <w:iCs w:val="0"/>
                <w:highlight w:val="none"/>
                <w:shd w:val="clear" w:color="auto" w:fill="auto"/>
                <w:lang w:val="en-US" w:eastAsia="zh-CN"/>
              </w:rPr>
              <w:t>生活污水排入</w:t>
            </w:r>
            <w:r>
              <w:rPr>
                <w:rFonts w:hint="eastAsia"/>
                <w:lang w:val="en-US" w:eastAsia="zh-CN"/>
              </w:rPr>
              <w:t>一体化污水处理设施</w:t>
            </w:r>
            <w:r>
              <w:rPr>
                <w:rFonts w:hint="eastAsia"/>
                <w:i w:val="0"/>
                <w:iCs w:val="0"/>
                <w:highlight w:val="none"/>
                <w:shd w:val="clear" w:color="auto" w:fill="auto"/>
                <w:lang w:val="en-US" w:eastAsia="zh-CN"/>
              </w:rPr>
              <w:t>处理达标后，其出水标准可达到《农村生活污水处理排放标准》（DB654275-2019）表2中A级标准，用于洒水绿化，不外排，不与地表水体发生水力联系，对周围环境影</w:t>
            </w:r>
            <w:r>
              <w:rPr>
                <w:rFonts w:hint="eastAsia" w:ascii="Times New Roman" w:hAnsi="Times New Roman" w:eastAsia="宋体" w:cs="宋体"/>
                <w:i w:val="0"/>
                <w:iCs w:val="0"/>
                <w:highlight w:val="none"/>
                <w:shd w:val="clear" w:color="auto" w:fill="auto"/>
                <w:lang w:val="en-US" w:eastAsia="zh-CN"/>
              </w:rPr>
              <w:t>响较小。</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2）钻井设备冲洗水</w:t>
            </w:r>
          </w:p>
          <w:p>
            <w:pPr>
              <w:pStyle w:val="65"/>
              <w:keepNext w:val="0"/>
              <w:keepLines w:val="0"/>
              <w:suppressLineNumbers w:val="0"/>
              <w:bidi w:val="0"/>
              <w:spacing w:before="0" w:beforeAutospacing="0" w:after="0" w:afterAutospacing="0"/>
              <w:ind w:left="0" w:right="0"/>
              <w:rPr>
                <w:rFonts w:hint="default"/>
              </w:rPr>
            </w:pPr>
            <w:r>
              <w:rPr>
                <w:rFonts w:hint="eastAsia"/>
                <w:lang w:val="en-US" w:eastAsia="zh-CN"/>
              </w:rPr>
              <w:t>项目钻探过程中使用的钻井设备需清洗，勘探期产生的清洗废水经防渗沉淀池处理后用于洒水降尘，探矿期结束后自然蒸发，不外排。</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（3）泥浆废水</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泥浆废水经移动式防渗沉淀池处理后回用于钻孔泥浆配制，循环使用。勘查期结束后，沉淀池上清液用于洒水降尘，沉淀池内泥浆固化后拉运至一般固废处置单位统一处理。</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勘探</w:t>
            </w:r>
            <w:r>
              <w:rPr>
                <w:rFonts w:hint="eastAsia"/>
              </w:rPr>
              <w:t>期的噪声来自施工作业噪声、机械噪声和施工车辆噪声，噪声源强一般为</w:t>
            </w:r>
            <w:r>
              <w:rPr>
                <w:rFonts w:hint="eastAsia"/>
                <w:lang w:val="en-US" w:eastAsia="zh-CN"/>
              </w:rPr>
              <w:t>72</w:t>
            </w:r>
            <w:r>
              <w:rPr>
                <w:rFonts w:hint="eastAsia"/>
              </w:rPr>
              <w:t>~</w:t>
            </w:r>
            <w:r>
              <w:rPr>
                <w:rFonts w:hint="eastAsia"/>
                <w:lang w:val="en-US" w:eastAsia="zh-CN"/>
              </w:rPr>
              <w:t>87</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期施工噪声预测</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期施工噪声可近似视为点声源处理，其衰减模式如下：</w:t>
            </w:r>
          </w:p>
          <w:p>
            <w:pPr>
              <w:pStyle w:val="48"/>
              <w:keepNext w:val="0"/>
              <w:keepLines w:val="0"/>
              <w:suppressLineNumbers w:val="0"/>
              <w:wordWrap/>
              <w:bidi w:val="0"/>
              <w:spacing w:before="0" w:beforeAutospacing="0" w:after="0" w:afterAutospacing="0"/>
              <w:ind w:left="0" w:right="0"/>
              <w:jc w:val="center"/>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ro——Lpo噪声的测点距离（1m），m；</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期主要噪声源主要为施工机械产生的噪声。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①预测结果</w:t>
            </w:r>
          </w:p>
          <w:p>
            <w:pPr>
              <w:pStyle w:val="48"/>
              <w:keepNext w:val="0"/>
              <w:keepLines w:val="0"/>
              <w:suppressLineNumbers w:val="0"/>
              <w:bidi w:val="0"/>
              <w:spacing w:before="0" w:beforeAutospacing="0" w:after="0" w:afterAutospacing="0"/>
              <w:ind w:left="0" w:right="0"/>
              <w:rPr>
                <w:rFonts w:hint="default"/>
              </w:rPr>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4-3</w:t>
            </w:r>
            <w:r>
              <w:rPr>
                <w:rFonts w:hint="eastAsia"/>
              </w:rPr>
              <w:t>所示。</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3</w:t>
            </w:r>
            <w:r>
              <w:rPr>
                <w:rFonts w:hint="default"/>
              </w:rPr>
              <w:t xml:space="preserve">  </w:t>
            </w:r>
            <w:r>
              <w:rPr>
                <w:rFonts w:hint="eastAsia"/>
                <w:lang w:val="en-US" w:eastAsia="zh-CN"/>
              </w:rPr>
              <w:t xml:space="preserve"> </w:t>
            </w:r>
            <w:r>
              <w:rPr>
                <w:rFonts w:hint="default"/>
              </w:rPr>
              <w:t xml:space="preserve"> 项目主要</w:t>
            </w:r>
            <w:r>
              <w:rPr>
                <w:rFonts w:hint="eastAsia"/>
              </w:rPr>
              <w:t>机械在不同距离处的噪声预测值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498"/>
              <w:gridCol w:w="609"/>
              <w:gridCol w:w="609"/>
              <w:gridCol w:w="611"/>
              <w:gridCol w:w="611"/>
              <w:gridCol w:w="717"/>
              <w:gridCol w:w="717"/>
              <w:gridCol w:w="717"/>
              <w:gridCol w:w="717"/>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052" w:type="pct"/>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3947" w:type="pct"/>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52"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全液压岩心钻机</w:t>
                  </w:r>
                </w:p>
              </w:tc>
              <w:tc>
                <w:tcPr>
                  <w:tcW w:w="3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85</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79.0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73.0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65.0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63.4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59.0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55.5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53.0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49.4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default"/>
                    </w:rPr>
                    <w:t>运输车辆</w:t>
                  </w:r>
                </w:p>
              </w:tc>
              <w:tc>
                <w:tcPr>
                  <w:tcW w:w="3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80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74.0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68.0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58.4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54.0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50.5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48.0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44.4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岩芯切割机</w:t>
                  </w:r>
                </w:p>
              </w:tc>
              <w:tc>
                <w:tcPr>
                  <w:tcW w:w="498"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81</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75.0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69.0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61.0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59.4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55.0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51.5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49.0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45.4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柴油发电机</w:t>
                  </w:r>
                </w:p>
              </w:tc>
              <w:tc>
                <w:tcPr>
                  <w:tcW w:w="498"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72</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66.0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52.0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50.4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46.0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42.5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40.0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36.4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刻槽取样机</w:t>
                  </w:r>
                </w:p>
              </w:tc>
              <w:tc>
                <w:tcPr>
                  <w:tcW w:w="498"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87</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81.0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75.0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67.0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65.4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61.0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57.5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55.0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51.4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lang w:val="en-US"/>
                    </w:rPr>
                  </w:pPr>
                  <w:r>
                    <w:rPr>
                      <w:rFonts w:hint="eastAsia"/>
                      <w:lang w:val="en-US" w:eastAsia="zh-CN"/>
                    </w:rPr>
                    <w:t>48.9</w:t>
                  </w:r>
                </w:p>
              </w:tc>
            </w:tr>
          </w:tbl>
          <w:p>
            <w:pPr>
              <w:pStyle w:val="48"/>
              <w:keepNext w:val="0"/>
              <w:keepLines w:val="0"/>
              <w:suppressLineNumbers w:val="0"/>
              <w:bidi w:val="0"/>
              <w:spacing w:before="0" w:beforeAutospacing="0" w:after="0" w:afterAutospacing="0"/>
              <w:ind w:left="0" w:right="0"/>
              <w:rPr>
                <w:rFonts w:hint="default"/>
              </w:rPr>
            </w:pPr>
            <w:r>
              <w:rPr>
                <w:rFonts w:hint="default"/>
              </w:rPr>
              <w:t>本项目夜间不开展施工作业。单台施工机械在50米范围外的噪声值均符合《</w:t>
            </w:r>
            <w:r>
              <w:rPr>
                <w:rFonts w:hint="eastAsia"/>
                <w:lang w:eastAsia="zh-CN"/>
              </w:rPr>
              <w:t>建筑施工噪声排放标准</w:t>
            </w:r>
            <w:r>
              <w:rPr>
                <w:rFonts w:hint="default"/>
              </w:rPr>
              <w:t>》（GB12523－2025）</w:t>
            </w:r>
            <w:r>
              <w:rPr>
                <w:rFonts w:hint="default"/>
                <w:lang w:val="en-US" w:eastAsia="zh-CN"/>
              </w:rPr>
              <w:t>中施工噪声要求，昼间限值为70dB(A)</w:t>
            </w:r>
            <w:r>
              <w:rPr>
                <w:rFonts w:hint="default"/>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r>
              <w:rPr>
                <w:rFonts w:hint="default"/>
              </w:rPr>
              <w:t>固体废物</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本项目固体废物主要为</w:t>
            </w:r>
            <w:r>
              <w:rPr>
                <w:rFonts w:hint="eastAsia"/>
                <w:lang w:eastAsia="zh-CN"/>
              </w:rPr>
              <w:t>槽探开挖</w:t>
            </w:r>
            <w:r>
              <w:rPr>
                <w:rFonts w:hint="eastAsia"/>
              </w:rPr>
              <w:t>及钻探产生的临时土石方、</w:t>
            </w:r>
            <w:r>
              <w:rPr>
                <w:rFonts w:hint="eastAsia"/>
                <w:lang w:val="en-US" w:eastAsia="zh-CN"/>
              </w:rPr>
              <w:t>钻井泥浆、</w:t>
            </w:r>
            <w:r>
              <w:rPr>
                <w:rFonts w:hint="eastAsia"/>
              </w:rPr>
              <w:t>员工的生活垃圾等。</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工程分析，本项目勘探期土石方主要由槽探开挖产生。开挖过程中同步采集勘探样品并外运留存，开挖土方临时堆置于探槽一侧，采用彩布条苫盖防护。勘探工作结束后，取样剩余土石方全部原位回填并平整场地，现场无弃土产生，可有效防治水土流失，对周边环境影响较小</w:t>
            </w:r>
          </w:p>
          <w:p>
            <w:pPr>
              <w:pStyle w:val="48"/>
              <w:keepNext w:val="0"/>
              <w:keepLines w:val="0"/>
              <w:suppressLineNumbers w:val="0"/>
              <w:bidi w:val="0"/>
              <w:spacing w:before="0" w:beforeAutospacing="0" w:after="0" w:afterAutospacing="0"/>
              <w:ind w:left="0" w:right="0"/>
              <w:rPr>
                <w:rFonts w:hint="eastAsia"/>
              </w:rPr>
            </w:pPr>
            <w:r>
              <w:rPr>
                <w:rFonts w:hint="eastAsia"/>
              </w:rPr>
              <w:t>（2）生活垃圾</w:t>
            </w:r>
          </w:p>
          <w:p>
            <w:pPr>
              <w:pStyle w:val="48"/>
              <w:keepNext w:val="0"/>
              <w:keepLines w:val="0"/>
              <w:suppressLineNumbers w:val="0"/>
              <w:bidi w:val="0"/>
              <w:spacing w:before="0" w:beforeAutospacing="0" w:after="0" w:afterAutospacing="0"/>
              <w:ind w:left="0" w:right="0"/>
              <w:rPr>
                <w:rFonts w:hint="eastAsia" w:eastAsia="宋体"/>
                <w:shd w:val="clear" w:color="auto" w:fill="auto"/>
                <w:lang w:eastAsia="zh-CN"/>
              </w:rPr>
            </w:pPr>
            <w:r>
              <w:rPr>
                <w:rFonts w:hint="eastAsia"/>
              </w:rPr>
              <w:t>来自勘探人员日常生活，以纸张、塑料瓶为主，属一般固废。本项目野外探矿作业人员约</w:t>
            </w:r>
            <w:r>
              <w:rPr>
                <w:rFonts w:hint="eastAsia"/>
                <w:lang w:val="en-US" w:eastAsia="zh-CN"/>
              </w:rPr>
              <w:t>5</w:t>
            </w:r>
            <w:r>
              <w:rPr>
                <w:rFonts w:hint="eastAsia"/>
              </w:rPr>
              <w:t>人，</w:t>
            </w:r>
            <w:r>
              <w:rPr>
                <w:rFonts w:hint="eastAsia"/>
                <w:lang w:val="en-US" w:eastAsia="zh-CN"/>
              </w:rPr>
              <w:t>勘探期为40</w:t>
            </w:r>
            <w:r>
              <w:rPr>
                <w:rFonts w:hint="eastAsia"/>
                <w:highlight w:val="none"/>
                <w:lang w:val="en-US" w:eastAsia="zh-CN"/>
              </w:rPr>
              <w:t>d</w:t>
            </w:r>
            <w:r>
              <w:rPr>
                <w:rFonts w:hint="eastAsia"/>
                <w:highlight w:val="none"/>
              </w:rPr>
              <w:t>。</w:t>
            </w:r>
            <w:r>
              <w:rPr>
                <w:rFonts w:hint="eastAsia"/>
              </w:rPr>
              <w:t>按每人每天产生0.5kg生活垃圾计算，则生活垃圾产生量为</w:t>
            </w:r>
            <w:r>
              <w:rPr>
                <w:rFonts w:hint="eastAsia"/>
                <w:lang w:val="en-US" w:eastAsia="zh-CN"/>
              </w:rPr>
              <w:t>0.1</w:t>
            </w:r>
            <w:r>
              <w:rPr>
                <w:rFonts w:hint="eastAsia"/>
              </w:rPr>
              <w:t>t</w:t>
            </w:r>
            <w:r>
              <w:rPr>
                <w:rFonts w:hint="eastAsia"/>
                <w:lang w:eastAsia="zh-CN"/>
              </w:rPr>
              <w:t>，施工营地内设置一定数量的垃圾桶，用于临时存放生活垃圾，</w:t>
            </w:r>
            <w:r>
              <w:rPr>
                <w:rFonts w:hint="eastAsia"/>
                <w:shd w:val="clear" w:color="auto" w:fill="auto"/>
                <w:lang w:eastAsia="zh-CN"/>
              </w:rPr>
              <w:t>最终统一收集后</w:t>
            </w:r>
            <w:r>
              <w:rPr>
                <w:rFonts w:hint="eastAsia"/>
                <w:shd w:val="clear" w:color="auto" w:fill="auto"/>
                <w:lang w:val="en-US" w:eastAsia="zh-CN"/>
              </w:rPr>
              <w:t>送至和硕县垃圾填埋场</w:t>
            </w:r>
            <w:r>
              <w:rPr>
                <w:rFonts w:hint="eastAsia"/>
                <w:shd w:val="clear" w:color="auto" w:fill="auto"/>
                <w:lang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钻探岩屑</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highlight w:val="none"/>
                <w:lang w:val="en-US" w:eastAsia="zh-CN"/>
              </w:rPr>
              <w:t>本项目槽探总工作量200m</w:t>
            </w:r>
            <w:r>
              <w:rPr>
                <w:rFonts w:hint="eastAsia"/>
                <w:highlight w:val="none"/>
                <w:vertAlign w:val="superscript"/>
                <w:lang w:val="en-US" w:eastAsia="zh-CN"/>
              </w:rPr>
              <w:t>3</w:t>
            </w:r>
            <w:r>
              <w:rPr>
                <w:rFonts w:hint="eastAsia"/>
                <w:highlight w:val="none"/>
                <w:lang w:val="en-US" w:eastAsia="zh-CN"/>
              </w:rPr>
              <w:t>，钻探总工作量为1800m，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55mm岩心管）：</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钻探石方产生量参考经验公式：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V</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2</w:t>
            </w:r>
            <w:r>
              <w:rPr>
                <w:rFonts w:hint="eastAsia"/>
                <w:lang w:val="en-US" w:eastAsia="zh-CN"/>
              </w:rPr>
              <w:t>——岩心体积，m</w:t>
            </w:r>
            <w:r>
              <w:rPr>
                <w:rFonts w:hint="eastAsia"/>
                <w:vertAlign w:val="superscript"/>
                <w:lang w:val="en-US" w:eastAsia="zh-CN"/>
              </w:rPr>
              <w:t>3</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r——钻井半径，m；</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h——钻孔深度，1800m；</w:t>
            </w:r>
          </w:p>
          <w:p>
            <w:pPr>
              <w:pStyle w:val="48"/>
              <w:keepNext w:val="0"/>
              <w:keepLines w:val="0"/>
              <w:suppressLineNumbers w:val="0"/>
              <w:bidi w:val="0"/>
              <w:spacing w:before="0" w:beforeAutospacing="0" w:after="0" w:afterAutospacing="0"/>
              <w:ind w:left="0" w:right="0"/>
              <w:rPr>
                <w:rFonts w:hint="default"/>
                <w:vertAlign w:val="baseline"/>
                <w:lang w:val="en-US" w:eastAsia="zh-CN"/>
              </w:rPr>
            </w:pPr>
            <w:r>
              <w:rPr>
                <w:rFonts w:hint="eastAsia"/>
                <w:lang w:val="en-US" w:eastAsia="zh-CN"/>
              </w:rPr>
              <w:t>经计算，钻孔产生的土石方量为7.95m</w:t>
            </w:r>
            <w:r>
              <w:rPr>
                <w:rFonts w:hint="eastAsia"/>
                <w:vertAlign w:val="superscript"/>
                <w:lang w:val="en-US" w:eastAsia="zh-CN"/>
              </w:rPr>
              <w:t>3</w:t>
            </w:r>
            <w:r>
              <w:rPr>
                <w:rFonts w:hint="eastAsia"/>
                <w:lang w:val="en-US" w:eastAsia="zh-CN"/>
              </w:rPr>
              <w:t>，岩心产生量为4.27m</w:t>
            </w:r>
            <w:r>
              <w:rPr>
                <w:rFonts w:hint="eastAsia"/>
                <w:vertAlign w:val="superscript"/>
                <w:lang w:val="en-US" w:eastAsia="zh-CN"/>
              </w:rPr>
              <w:t>3</w:t>
            </w:r>
            <w:r>
              <w:rPr>
                <w:rFonts w:hint="eastAsia"/>
                <w:lang w:val="en-US" w:eastAsia="zh-CN"/>
              </w:rPr>
              <w:t>，则岩屑产生量为3.68m</w:t>
            </w:r>
            <w:r>
              <w:rPr>
                <w:rFonts w:hint="eastAsia"/>
                <w:vertAlign w:val="superscript"/>
                <w:lang w:val="en-US" w:eastAsia="zh-CN"/>
              </w:rPr>
              <w:t>3</w:t>
            </w:r>
            <w:r>
              <w:rPr>
                <w:rFonts w:hint="eastAsia"/>
                <w:vertAlign w:val="baseline"/>
                <w:lang w:val="en-US" w:eastAsia="zh-CN"/>
              </w:rPr>
              <w:t>。</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采集的钻井岩心由地质勘探队统一收集，最终交至单位统一保管，不能随意丢弃；岩屑就地回填至钻井内。</w:t>
            </w:r>
          </w:p>
          <w:p>
            <w:pPr>
              <w:pStyle w:val="4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w:t>
            </w:r>
            <w:r>
              <w:rPr>
                <w:rFonts w:hint="eastAsia"/>
              </w:rPr>
              <w:t>泥浆</w:t>
            </w:r>
            <w:r>
              <w:rPr>
                <w:rFonts w:hint="eastAsia"/>
                <w:lang w:val="en-US" w:eastAsia="zh-CN"/>
              </w:rPr>
              <w:t>和沉淀池沉渣</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勘探期产生固体泥浆废物约为0.6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可循环使用，钻探工程结束后利用自然条件，让泥浆中的水分通过蒸发作用逐渐散失，从而使泥浆实现固化，固化后拉运至一般固废处置单位统一处理。</w:t>
            </w:r>
          </w:p>
          <w:p>
            <w:pPr>
              <w:pStyle w:val="65"/>
              <w:keepNext w:val="0"/>
              <w:keepLines w:val="0"/>
              <w:suppressLineNumbers w:val="0"/>
              <w:bidi w:val="0"/>
              <w:spacing w:before="0" w:beforeAutospacing="0" w:after="0" w:afterAutospacing="0"/>
              <w:ind w:left="0" w:right="0"/>
              <w:rPr>
                <w:rFonts w:hint="default" w:ascii="Times New Roman" w:hAnsi="Times New Roman" w:eastAsia="宋体" w:cs="宋体"/>
                <w:lang w:val="en-US" w:eastAsia="zh-CN"/>
              </w:rPr>
            </w:pPr>
            <w:r>
              <w:rPr>
                <w:rFonts w:hint="eastAsia"/>
                <w:lang w:val="en-US" w:eastAsia="zh-CN"/>
              </w:rPr>
              <w:t>沉淀池沉渣在勘探结束后固化填埋，减少了运输过程中的环境风险和对沿途生态环境的影响。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03" w:hRule="atLeast"/>
          <w:jc w:val="center"/>
        </w:trPr>
        <w:tc>
          <w:tcPr>
            <w:tcW w:w="720" w:type="dxa"/>
            <w:noWrap w:val="0"/>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kern w:val="2"/>
                <w:sz w:val="21"/>
                <w:szCs w:val="21"/>
              </w:rPr>
              <w:t>选址选线环境合理性分析</w:t>
            </w:r>
          </w:p>
        </w:tc>
        <w:tc>
          <w:tcPr>
            <w:tcW w:w="8522" w:type="dxa"/>
            <w:noWrap w:val="0"/>
            <w:vAlign w:val="top"/>
          </w:tcPr>
          <w:p>
            <w:pPr>
              <w:pStyle w:val="48"/>
              <w:keepNext w:val="0"/>
              <w:keepLines w:val="0"/>
              <w:suppressLineNumbers w:val="0"/>
              <w:bidi w:val="0"/>
              <w:spacing w:before="0" w:beforeAutospacing="0" w:after="0" w:afterAutospacing="0"/>
              <w:ind w:left="0" w:right="0"/>
              <w:rPr>
                <w:rFonts w:hint="eastAsia"/>
                <w:lang w:val="en-US" w:eastAsia="zh-CN"/>
              </w:rPr>
            </w:pPr>
            <w:r>
              <w:rPr>
                <w:rFonts w:hint="default" w:ascii="Times New Roman" w:hAnsi="Times New Roman" w:cs="Times New Roman"/>
                <w:highlight w:val="none"/>
                <w:lang w:val="en-US" w:eastAsia="zh-CN"/>
              </w:rPr>
              <w:t>项目位于</w:t>
            </w:r>
            <w:r>
              <w:rPr>
                <w:rFonts w:hint="eastAsia" w:cs="Times New Roman"/>
                <w:highlight w:val="none"/>
                <w:lang w:val="en-US" w:eastAsia="zh-CN"/>
              </w:rPr>
              <w:t>新疆维吾尔自治区巴音郭楞蒙古自治州和硕县城东北27°方向，直线距离47千米处</w:t>
            </w:r>
            <w:r>
              <w:rPr>
                <w:rFonts w:hint="default" w:ascii="Times New Roman" w:hAnsi="Times New Roman" w:cs="Times New Roman"/>
                <w:highlight w:val="none"/>
                <w:lang w:val="en-US" w:eastAsia="zh-CN"/>
              </w:rPr>
              <w:t>，中心点坐标：E：87°9′1.994″，N：42°41′12.898″，工作区面积</w:t>
            </w:r>
            <w:r>
              <w:rPr>
                <w:rFonts w:hint="eastAsia" w:cs="Times New Roman"/>
                <w:highlight w:val="none"/>
                <w:lang w:val="en-US" w:eastAsia="zh-CN"/>
              </w:rPr>
              <w:t>15.8052平方公里</w:t>
            </w:r>
            <w:r>
              <w:rPr>
                <w:rFonts w:hint="default" w:ascii="Times New Roman" w:hAnsi="Times New Roman" w:cs="Times New Roman"/>
                <w:highlight w:val="none"/>
                <w:lang w:val="en-US" w:eastAsia="zh-CN"/>
              </w:rPr>
              <w:t>。行政区划隶属</w:t>
            </w:r>
            <w:r>
              <w:rPr>
                <w:rFonts w:hint="eastAsia" w:cs="Times New Roman"/>
                <w:highlight w:val="none"/>
                <w:lang w:val="en-US" w:eastAsia="zh-CN"/>
              </w:rPr>
              <w:t>和硕县</w:t>
            </w:r>
            <w:r>
              <w:rPr>
                <w:rFonts w:hint="default" w:ascii="Times New Roman" w:hAnsi="Times New Roman" w:cs="Times New Roman"/>
                <w:highlight w:val="none"/>
                <w:lang w:val="en-US" w:eastAsia="zh-CN"/>
              </w:rPr>
              <w:t>管辖</w:t>
            </w:r>
            <w:r>
              <w:rPr>
                <w:rFonts w:hint="eastAsia" w:cs="Times New Roman"/>
                <w:highlight w:val="none"/>
                <w:lang w:val="en-US" w:eastAsia="zh-CN"/>
              </w:rPr>
              <w:t>。</w:t>
            </w:r>
            <w:r>
              <w:rPr>
                <w:rFonts w:hint="default"/>
              </w:rPr>
              <w:t>根据</w:t>
            </w:r>
            <w:r>
              <w:rPr>
                <w:rFonts w:hint="eastAsia"/>
                <w:lang w:eastAsia="zh-CN"/>
              </w:rPr>
              <w:t>《产业结构调整指导目录（2024年本）》</w:t>
            </w:r>
            <w:r>
              <w:rPr>
                <w:rFonts w:hint="default"/>
              </w:rPr>
              <w:t>，</w:t>
            </w:r>
            <w:r>
              <w:rPr>
                <w:rFonts w:hint="default"/>
                <w:lang w:val="en-US" w:eastAsia="zh-CN"/>
              </w:rPr>
              <w:t>项目属于</w:t>
            </w:r>
            <w:r>
              <w:rPr>
                <w:rFonts w:hint="eastAsia"/>
                <w:lang w:val="en-US" w:eastAsia="zh-CN"/>
              </w:rPr>
              <w:t>矿产资源开发项目，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w:t>
            </w:r>
            <w:r>
              <w:rPr>
                <w:rFonts w:hint="eastAsia"/>
                <w:highlight w:val="none"/>
                <w:lang w:val="en-US" w:eastAsia="zh-CN"/>
              </w:rPr>
              <w:t>，</w:t>
            </w:r>
            <w:r>
              <w:rPr>
                <w:rFonts w:hint="eastAsia"/>
                <w:lang w:val="en-US" w:eastAsia="zh-CN"/>
              </w:rPr>
              <w:t>所以本项目</w:t>
            </w:r>
            <w:r>
              <w:rPr>
                <w:rFonts w:hint="default"/>
                <w:lang w:val="en-US" w:eastAsia="zh-CN"/>
              </w:rPr>
              <w:t>符合产业政策和环境准入要求。</w:t>
            </w:r>
          </w:p>
          <w:p>
            <w:pPr>
              <w:pStyle w:val="48"/>
              <w:keepNext w:val="0"/>
              <w:keepLines w:val="0"/>
              <w:suppressLineNumbers w:val="0"/>
              <w:bidi w:val="0"/>
              <w:spacing w:before="0" w:beforeAutospacing="0" w:after="0" w:afterAutospacing="0"/>
              <w:ind w:left="0" w:right="0"/>
              <w:rPr>
                <w:rFonts w:hint="default"/>
              </w:rPr>
            </w:pPr>
            <w:r>
              <w:rPr>
                <w:rFonts w:hint="default"/>
              </w:rPr>
              <w:t>根据《新疆维吾尔自治区重点行业生态环境准入条件（2024年）》</w:t>
            </w:r>
            <w:r>
              <w:rPr>
                <w:rFonts w:hint="default"/>
                <w:lang w:eastAsia="zh-CN"/>
              </w:rPr>
              <w:t>：禁止在自然保护区、世界自然遗产地、风景名胜区、森林公园、地质公园、重要湿地、饮用水水源保护区等重点保护区域内及其它法律法规禁止的区域进行污染环境的任何开发活动。</w:t>
            </w: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项目勘探以铜铅矿为主攻矿种，</w:t>
            </w:r>
            <w:r>
              <w:rPr>
                <w:rFonts w:hint="eastAsia"/>
                <w:color w:val="auto"/>
                <w:lang w:val="en-US" w:eastAsia="zh-CN"/>
              </w:rPr>
              <w:t>不属于限制和禁止开采矿种</w:t>
            </w:r>
            <w:r>
              <w:rPr>
                <w:rFonts w:hint="eastAsia"/>
                <w:lang w:val="en-US" w:eastAsia="zh-CN"/>
              </w:rPr>
              <w:t>，符合《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highlight w:val="none"/>
                <w:lang w:val="en-US" w:eastAsia="zh-CN"/>
              </w:rPr>
              <w:t>项目开发过程中</w:t>
            </w:r>
            <w:r>
              <w:rPr>
                <w:rFonts w:hint="eastAsia"/>
                <w:highlight w:val="none"/>
                <w:lang w:val="en-US" w:eastAsia="zh-CN"/>
              </w:rPr>
              <w:t>需</w:t>
            </w:r>
            <w:r>
              <w:rPr>
                <w:rFonts w:hint="default"/>
                <w:highlight w:val="none"/>
                <w:lang w:val="en-US" w:eastAsia="zh-CN"/>
              </w:rPr>
              <w:t>加强水土保持工作，控制人为活动造成新的水土流失。勘探区降雨量较低，基本无法形成无组织的径流</w:t>
            </w:r>
            <w:r>
              <w:rPr>
                <w:rFonts w:hint="eastAsia"/>
                <w:highlight w:val="none"/>
                <w:lang w:val="en-US" w:eastAsia="zh-CN"/>
              </w:rPr>
              <w:t>，</w:t>
            </w:r>
            <w:r>
              <w:rPr>
                <w:rFonts w:hint="default"/>
                <w:highlight w:val="none"/>
                <w:lang w:val="en-US" w:eastAsia="zh-CN"/>
              </w:rPr>
              <w:t>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8"/>
              <w:keepNext w:val="0"/>
              <w:keepLines w:val="0"/>
              <w:suppressLineNumbers w:val="0"/>
              <w:bidi w:val="0"/>
              <w:spacing w:before="0" w:beforeAutospacing="0" w:after="0" w:afterAutospacing="0"/>
              <w:ind w:left="0" w:right="0"/>
              <w:rPr>
                <w:rFonts w:hint="default"/>
                <w:lang w:eastAsia="zh-CN"/>
              </w:rPr>
            </w:pPr>
            <w:r>
              <w:rPr>
                <w:rFonts w:hint="default"/>
                <w:lang w:eastAsia="zh-CN"/>
              </w:rPr>
              <w:t>因此，本项目选址合理。</w:t>
            </w: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bl>
    <w:p>
      <w:pPr>
        <w:pStyle w:val="22"/>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5"/>
        <w:tblW w:w="84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7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5"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Cs w:val="21"/>
              </w:rPr>
            </w:pPr>
            <w:r>
              <w:rPr>
                <w:rFonts w:hint="default" w:ascii="Times New Roman" w:hAnsi="Times New Roman" w:cs="Times New Roman"/>
                <w:bCs/>
                <w:spacing w:val="10"/>
                <w:szCs w:val="21"/>
              </w:rPr>
              <w:t>施工期生态环境保护措施</w:t>
            </w:r>
          </w:p>
        </w:tc>
        <w:tc>
          <w:tcPr>
            <w:tcW w:w="7780" w:type="dxa"/>
            <w:noWrap w:val="0"/>
            <w:vAlign w:val="center"/>
          </w:tcPr>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r>
              <w:rPr>
                <w:rFonts w:hint="default"/>
              </w:rPr>
              <w:t>施工期</w:t>
            </w:r>
            <w:r>
              <w:rPr>
                <w:rFonts w:hint="default"/>
                <w:lang w:val="en-US" w:eastAsia="zh-CN"/>
              </w:rPr>
              <w:t>生态</w:t>
            </w:r>
            <w:r>
              <w:rPr>
                <w:rFonts w:hint="default"/>
              </w:rPr>
              <w:t>环境</w:t>
            </w:r>
            <w:r>
              <w:rPr>
                <w:rFonts w:hint="default"/>
                <w:lang w:val="en-US" w:eastAsia="zh-CN"/>
              </w:rPr>
              <w:t>保护措施</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1.1对地表扰动的生态保护措施</w:t>
            </w:r>
          </w:p>
          <w:p>
            <w:pPr>
              <w:pStyle w:val="48"/>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施工期结束后及时拆除临时施工营地，</w:t>
            </w:r>
            <w:r>
              <w:rPr>
                <w:rFonts w:hint="default" w:ascii="Times New Roman" w:hAnsi="Times New Roman" w:cs="Times New Roman"/>
                <w:b w:val="0"/>
                <w:bCs w:val="0"/>
                <w:color w:val="auto"/>
                <w:lang w:val="en-US" w:eastAsia="zh-CN"/>
              </w:rPr>
              <w:t>将帐篷进行收纳和保存，不可随意丢弃。</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（2）</w:t>
            </w:r>
            <w:r>
              <w:rPr>
                <w:rFonts w:hint="default" w:ascii="Times New Roman" w:hAnsi="Times New Roman" w:cs="Times New Roman"/>
                <w:lang w:val="en-US" w:eastAsia="zh-CN"/>
              </w:rPr>
              <w:t>在施工前应预先剥离表土，单独堆放并使用</w:t>
            </w:r>
            <w:r>
              <w:rPr>
                <w:rFonts w:hint="eastAsia" w:cs="Times New Roman"/>
                <w:lang w:val="en-US" w:eastAsia="zh-CN"/>
              </w:rPr>
              <w:t>彩布条</w:t>
            </w:r>
            <w:r>
              <w:rPr>
                <w:rFonts w:hint="default" w:ascii="Times New Roman" w:hAnsi="Times New Roman" w:cs="Times New Roman"/>
                <w:lang w:val="en-US" w:eastAsia="zh-CN"/>
              </w:rPr>
              <w:t>苫盖。表土剥离厚度约0.3m，尽量使用小型挖掘机械或人工作业，减少对周围环境的扰动。</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（3）</w:t>
            </w:r>
            <w:r>
              <w:rPr>
                <w:rFonts w:hint="default" w:ascii="Times New Roman" w:hAnsi="Times New Roman" w:cs="Times New Roman"/>
              </w:rPr>
              <w:t>施工结束后，及时拆除、清理临时生产设施，各类施工迹地、料场应进行清理，平整场地，使扰动过的地表与周围的景观相协调。</w:t>
            </w:r>
            <w:r>
              <w:rPr>
                <w:rFonts w:hint="default" w:ascii="Times New Roman" w:hAnsi="Times New Roman" w:cs="Times New Roman"/>
                <w:lang w:val="en-US" w:eastAsia="zh-CN"/>
              </w:rPr>
              <w:t>在土方回填施工过程中，应采取以下环境保护措施。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①合理划定回填区域范围，确保不超过规定范围。</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②制定详细表土回用计划，明确回用时间、地点、方式及用量，确保在探矿结束后及时开展。</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b w:val="0"/>
                <w:kern w:val="0"/>
                <w:sz w:val="24"/>
                <w:szCs w:val="24"/>
                <w:lang w:val="en-US" w:eastAsia="zh-CN" w:bidi="ar-SA"/>
              </w:rPr>
            </w:pPr>
            <w:r>
              <w:rPr>
                <w:rFonts w:hint="default" w:ascii="Times New Roman" w:hAnsi="Times New Roman" w:eastAsia="宋体" w:cs="Times New Roman"/>
                <w:b w:val="0"/>
                <w:kern w:val="0"/>
                <w:sz w:val="24"/>
                <w:szCs w:val="24"/>
                <w:lang w:val="en-US" w:eastAsia="zh-CN" w:bidi="ar-SA"/>
              </w:rPr>
              <w:t>③回用过程中，遵循“先剥离、后回用”原则，按照原土壤层次顺序回填。采用机械与人工相结合的方式，确保回填均匀，平整周边地形，使其与周边地形地貌相协调，最终使其自然恢复。</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1.2对野生动植物的保护措施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（1）优化选择施工道路的选址</w:t>
            </w:r>
            <w:r>
              <w:rPr>
                <w:rFonts w:hint="default" w:ascii="Times New Roman" w:hAnsi="Times New Roman" w:cs="Times New Roman"/>
              </w:rPr>
              <w:t>，严格限定施工作业带范围，严格行车路线，运输车辆不得随意驶离道路或施工便道。优化施工组织，尽量减少施工过程中动用的土石方数量，减少植被破坏量。</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cs="Times New Roman"/>
                <w:lang w:val="en-US" w:eastAsia="zh-CN"/>
              </w:rPr>
              <w:t>在施工道路设置</w:t>
            </w:r>
            <w:r>
              <w:rPr>
                <w:rFonts w:hint="eastAsia" w:cs="Times New Roman"/>
                <w:lang w:val="en-US" w:eastAsia="zh-CN"/>
              </w:rPr>
              <w:t>“</w:t>
            </w:r>
            <w:r>
              <w:rPr>
                <w:rFonts w:hint="default" w:ascii="Times New Roman" w:hAnsi="Times New Roman" w:cs="Times New Roman"/>
                <w:lang w:val="en-US" w:eastAsia="zh-CN"/>
              </w:rPr>
              <w:t>保护生态环境、保护野生动物</w:t>
            </w:r>
            <w:r>
              <w:rPr>
                <w:rFonts w:hint="eastAsia" w:cs="Times New Roman"/>
                <w:lang w:val="en-US" w:eastAsia="zh-CN"/>
              </w:rPr>
              <w:t>”</w:t>
            </w:r>
            <w:r>
              <w:rPr>
                <w:rFonts w:hint="default" w:ascii="Times New Roman" w:hAnsi="Times New Roman" w:cs="Times New Roman"/>
                <w:lang w:val="en-US" w:eastAsia="zh-CN"/>
              </w:rPr>
              <w:t>等警示牌，加强对施工人员进行宣传教育，强化保护野生动物的观念，不得捕猎。车辆行驶过程中不得鸣笛惊吓野生动物。</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施工时，避免大型挖掘设备，尽量使用小型挖掘机械或人工作业，尽量缩短工期，减少因施工造成对</w:t>
            </w:r>
            <w:r>
              <w:rPr>
                <w:rFonts w:hint="default" w:ascii="Times New Roman" w:hAnsi="Times New Roman" w:cs="Times New Roman"/>
                <w:lang w:val="en-US" w:eastAsia="zh-CN"/>
              </w:rPr>
              <w:t>动植物</w:t>
            </w:r>
            <w:r>
              <w:rPr>
                <w:rFonts w:hint="default" w:ascii="Times New Roman" w:hAnsi="Times New Roman" w:cs="Times New Roman"/>
              </w:rPr>
              <w:t>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1.3</w:t>
            </w:r>
            <w:r>
              <w:rPr>
                <w:rFonts w:hint="default"/>
              </w:rPr>
              <w:t>施工期</w:t>
            </w:r>
            <w:r>
              <w:rPr>
                <w:rFonts w:hint="default"/>
                <w:lang w:val="en-US" w:eastAsia="zh-CN"/>
              </w:rPr>
              <w:t>防沙治沙措施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项目施工时间短，范围小，对区域土地沙化影响较小。采取以下防沙治沙措施：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①施工结束后对场地进行平整和清理，尽量利用施工时产生的表层土对临时占地进行覆盖。</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②合理规划机械行驶路线，避免不必要的重复碾压。</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③严禁在大风大雨天气施工。</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1.4施工期水土保持措施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项目施工过程中，各类工程活动如平整场地、搭建临时设施等会造成水土流失。采取以下水土保持措施：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①做好施工规划工作，合理布设施工场地，减少占用土地；</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②控制人为活动，加强施工监理，防止施工人员及施工机械超范围的活动；动土作业应尽量避免大风天和雨天开展，以免造成大量水土流失。</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eastAsia="zh-CN"/>
              </w:rPr>
            </w:pPr>
            <w:r>
              <w:rPr>
                <w:rFonts w:hint="default" w:ascii="Times New Roman" w:hAnsi="Times New Roman" w:cs="Times New Roman"/>
                <w:lang w:val="en-US" w:eastAsia="zh-CN"/>
              </w:rPr>
              <w:t>③结束后要对施工迹地进行清理平整与植被恢复工作，尽可能减少对树木与植被的破坏。</w:t>
            </w:r>
          </w:p>
          <w:p>
            <w:pPr>
              <w:pStyle w:val="50"/>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施工期大气环境</w:t>
            </w:r>
            <w:r>
              <w:rPr>
                <w:rFonts w:hint="default" w:ascii="Times New Roman" w:hAnsi="Times New Roman" w:cs="Times New Roman"/>
                <w:lang w:val="en-US" w:eastAsia="zh-CN"/>
              </w:rPr>
              <w:t>保护措施</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rPr>
              <w:t>运输车辆应谨防运输车辆装载过满，并尽可能采取遮盖、密闭措施，苫布边缘至少要遮住槽帮上沿以下15cm，减少其沿途遗洒，及时清扫散落在路面的泥土和灰尘定时洒水压尘，减少运输过程中的扬尘，防止因速度过快导致的汽车扬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（2）施工工地道路积尘清理措施，定期对场区洒水，保持下垫面和空气湿润，减少起尘量，洒水频率视天气情况调整，原则上施工期每天进行4次洒水降尘。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（3）施工期间场地平整过程中，对暂时开挖的土方进行防护，使用防雨、防尘的苫</w:t>
            </w:r>
            <w:r>
              <w:rPr>
                <w:rFonts w:hint="default" w:ascii="Times New Roman" w:hAnsi="Times New Roman" w:cs="Times New Roman"/>
                <w:lang w:val="en-US" w:eastAsia="zh-CN"/>
              </w:rPr>
              <w:t>布</w:t>
            </w:r>
            <w:r>
              <w:rPr>
                <w:rFonts w:hint="default" w:ascii="Times New Roman" w:hAnsi="Times New Roman" w:cs="Times New Roman"/>
              </w:rPr>
              <w:t>遮挡，减少风力起尘。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（4）对施工人员进行环保方面的教育，提高设备原料利用率，不用设备时及时关闭，减少废气排放；在装卸进程中，禁止野蛮作业，减少作业扬尘，并为施工人员配备防尘口罩等防尘用品。</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color w:val="000000"/>
                <w:szCs w:val="24"/>
                <w:highlight w:val="none"/>
              </w:rPr>
            </w:pPr>
            <w:r>
              <w:rPr>
                <w:rFonts w:hint="default" w:ascii="Times New Roman" w:hAnsi="Times New Roman" w:cs="Times New Roman"/>
              </w:rPr>
              <w:t>（5）尽量选用低能耗、低污染排放的施工机械、车辆，加强对本项目施工期所使用的机械设备的维护及保养，尽量减少因机械、车辆状况不佳造成的空气污染，降低尾气中有害成分的浓度。</w:t>
            </w:r>
          </w:p>
          <w:p>
            <w:pPr>
              <w:pStyle w:val="50"/>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施工期水环境</w:t>
            </w:r>
            <w:r>
              <w:rPr>
                <w:rFonts w:hint="default" w:ascii="Times New Roman" w:hAnsi="Times New Roman" w:cs="Times New Roman"/>
                <w:lang w:val="en-US" w:eastAsia="zh-CN"/>
              </w:rPr>
              <w:t>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本项目施工期较短，施工废水沉淀后回用，不外排。生活污水排入一体化污水处理设施处理达标后，其出水标准可达到《农村生活污水处理排放标准》（DB654275-2019）表2中</w:t>
            </w:r>
            <w:r>
              <w:rPr>
                <w:rFonts w:hint="eastAsia" w:cs="Times New Roman"/>
                <w:color w:val="auto"/>
                <w:lang w:val="en-US" w:eastAsia="zh-CN"/>
              </w:rPr>
              <w:t>A</w:t>
            </w:r>
            <w:r>
              <w:rPr>
                <w:rFonts w:hint="default" w:ascii="Times New Roman" w:hAnsi="Times New Roman" w:cs="Times New Roman"/>
                <w:color w:val="auto"/>
                <w:lang w:val="en-US" w:eastAsia="zh-CN"/>
              </w:rPr>
              <w:t>级标准，用于洒水绿化，不外排，对环境影响不大。</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施工期噪声环境</w:t>
            </w:r>
            <w:r>
              <w:rPr>
                <w:rFonts w:hint="default" w:ascii="Times New Roman" w:hAnsi="Times New Roman" w:cs="Times New Roman"/>
                <w:lang w:val="en-US" w:eastAsia="zh-CN"/>
              </w:rPr>
              <w:t>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本项目</w:t>
            </w:r>
            <w:r>
              <w:rPr>
                <w:rFonts w:hint="default" w:ascii="Times New Roman" w:hAnsi="Times New Roman" w:cs="Times New Roman"/>
                <w:lang w:val="en-US" w:eastAsia="zh-CN"/>
              </w:rPr>
              <w:t>施工期</w:t>
            </w:r>
            <w:r>
              <w:rPr>
                <w:rFonts w:hint="default" w:ascii="Times New Roman" w:hAnsi="Times New Roman" w:cs="Times New Roman"/>
              </w:rPr>
              <w:t>噪声的来源包括运输车辆</w:t>
            </w:r>
            <w:r>
              <w:rPr>
                <w:rFonts w:hint="default" w:ascii="Times New Roman" w:hAnsi="Times New Roman" w:cs="Times New Roman"/>
                <w:lang w:eastAsia="zh-CN"/>
              </w:rPr>
              <w:t>、</w:t>
            </w:r>
            <w:r>
              <w:rPr>
                <w:rFonts w:hint="default" w:ascii="Times New Roman" w:hAnsi="Times New Roman" w:cs="Times New Roman"/>
              </w:rPr>
              <w:t>挖机</w:t>
            </w:r>
            <w:r>
              <w:rPr>
                <w:rFonts w:hint="default" w:ascii="Times New Roman" w:hAnsi="Times New Roman" w:cs="Times New Roman"/>
                <w:lang w:val="en-US" w:eastAsia="zh-CN"/>
              </w:rPr>
              <w:t>等</w:t>
            </w:r>
            <w:r>
              <w:rPr>
                <w:rFonts w:hint="default" w:ascii="Times New Roman" w:hAnsi="Times New Roman" w:cs="Times New Roman"/>
              </w:rPr>
              <w:t>产生的噪声，</w:t>
            </w:r>
            <w:r>
              <w:rPr>
                <w:rFonts w:hint="default" w:ascii="Times New Roman" w:hAnsi="Times New Roman" w:cs="Times New Roman"/>
                <w:lang w:val="en-US" w:eastAsia="zh-CN"/>
              </w:rPr>
              <w:t>项目周边50m范围内无环境敏感目标，对环境影响较小</w:t>
            </w:r>
            <w:r>
              <w:rPr>
                <w:rFonts w:hint="default" w:ascii="Times New Roman" w:hAnsi="Times New Roman" w:cs="Times New Roman"/>
              </w:rPr>
              <w:t>。控制措施</w:t>
            </w:r>
            <w:r>
              <w:rPr>
                <w:rFonts w:hint="default" w:ascii="Times New Roman" w:hAnsi="Times New Roman" w:cs="Times New Roman"/>
                <w:lang w:val="en-US" w:eastAsia="zh-CN"/>
              </w:rPr>
              <w:t>如下</w:t>
            </w:r>
            <w:r>
              <w:rPr>
                <w:rFonts w:hint="default" w:ascii="Times New Roman" w:hAnsi="Times New Roman" w:cs="Times New Roman"/>
                <w:lang w:eastAsia="zh-CN"/>
              </w:rPr>
              <w:t>：</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①从声源上控制：</w:t>
            </w:r>
            <w:r>
              <w:rPr>
                <w:rFonts w:hint="eastAsia" w:cs="Times New Roman"/>
                <w:lang w:eastAsia="zh-CN"/>
              </w:rPr>
              <w:t>使用</w:t>
            </w:r>
            <w:r>
              <w:rPr>
                <w:rFonts w:hint="default" w:ascii="Times New Roman" w:hAnsi="Times New Roman" w:cs="Times New Roman"/>
              </w:rPr>
              <w:t>低噪声机械设备</w:t>
            </w:r>
            <w:r>
              <w:rPr>
                <w:rFonts w:hint="default" w:ascii="Times New Roman" w:hAnsi="Times New Roman" w:cs="Times New Roman"/>
                <w:lang w:eastAsia="zh-CN"/>
              </w:rPr>
              <w:t>，</w:t>
            </w:r>
            <w:r>
              <w:rPr>
                <w:rFonts w:hint="default" w:ascii="Times New Roman" w:hAnsi="Times New Roman" w:cs="Times New Roman"/>
              </w:rPr>
              <w:t>严格按操作规范使用各类机械。</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②合理安排施工时间：首先制订施工计划时，应尽可能避免大量高噪声设备同时施工。</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③合理布置施工现场</w:t>
            </w:r>
            <w:r>
              <w:rPr>
                <w:rFonts w:hint="default" w:ascii="Times New Roman" w:hAnsi="Times New Roman" w:cs="Times New Roman"/>
                <w:lang w:eastAsia="zh-CN"/>
              </w:rPr>
              <w:t>：</w:t>
            </w:r>
            <w:r>
              <w:rPr>
                <w:rFonts w:hint="default" w:ascii="Times New Roman" w:hAnsi="Times New Roman" w:cs="Times New Roman"/>
              </w:rPr>
              <w:t>施工现场应合理布局，将施工中的固定噪声源相对集中摆放，闲置不用的设备立即关闭，降低施工噪声对周边声环境的影响。</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④车辆出入施工现场时应低速、禁鸣。</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5.</w:t>
            </w:r>
            <w:r>
              <w:rPr>
                <w:rFonts w:hint="default" w:ascii="Times New Roman" w:hAnsi="Times New Roman" w:cs="Times New Roman"/>
              </w:rPr>
              <w:t>施工期固废</w:t>
            </w:r>
            <w:r>
              <w:rPr>
                <w:rFonts w:hint="default" w:ascii="Times New Roman" w:hAnsi="Times New Roman" w:cs="Times New Roman"/>
                <w:lang w:val="en-US" w:eastAsia="zh-CN"/>
              </w:rPr>
              <w:t>环境保护措施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shd w:val="clear" w:color="auto" w:fill="auto"/>
                <w:lang w:val="en-US" w:eastAsia="zh-CN"/>
              </w:rPr>
            </w:pPr>
            <w:r>
              <w:rPr>
                <w:rFonts w:hint="default" w:ascii="Times New Roman" w:hAnsi="Times New Roman" w:cs="Times New Roman"/>
              </w:rPr>
              <w:t>施工期固体废物来自施工过程中</w:t>
            </w:r>
            <w:r>
              <w:rPr>
                <w:rFonts w:hint="default" w:ascii="Times New Roman" w:hAnsi="Times New Roman" w:cs="Times New Roman"/>
                <w:lang w:val="en-US" w:eastAsia="zh-CN"/>
              </w:rPr>
              <w:t>土地平整所开挖</w:t>
            </w:r>
            <w:r>
              <w:rPr>
                <w:rFonts w:hint="default" w:ascii="Times New Roman" w:hAnsi="Times New Roman" w:cs="Times New Roman"/>
              </w:rPr>
              <w:t>的</w:t>
            </w:r>
            <w:r>
              <w:rPr>
                <w:rFonts w:hint="default" w:ascii="Times New Roman" w:hAnsi="Times New Roman" w:cs="Times New Roman"/>
                <w:lang w:val="en-US" w:eastAsia="zh-CN"/>
              </w:rPr>
              <w:t>土石方，全部堆放在临时堆场内，待项目勘探期结束后，全部回填，恢复原有地貌</w:t>
            </w:r>
            <w:r>
              <w:rPr>
                <w:rFonts w:hint="default" w:ascii="Times New Roman" w:hAnsi="Times New Roman" w:cs="Times New Roman"/>
              </w:rPr>
              <w:t>。</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土方回填施工技术要点：</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lang w:val="en-US" w:eastAsia="zh-CN"/>
              </w:rPr>
              <w:t>土方回填施工的前提是进行土方的挖掘。在挖掘土方时，应根据工程要求确定挖土的深度和宽度。挖掘土方时应遵循顺畅、逐层递减的原则，以确保挖掘过程中的稳定与安全。</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（2）</w:t>
            </w:r>
            <w:r>
              <w:rPr>
                <w:rFonts w:hint="default" w:ascii="Times New Roman" w:hAnsi="Times New Roman" w:cs="Times New Roman"/>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shd w:val="clear" w:fill="auto"/>
                <w:lang w:val="en-US" w:eastAsia="zh-CN" w:bidi="ar-SA"/>
              </w:rPr>
              <w:t>（3）</w:t>
            </w:r>
            <w:r>
              <w:rPr>
                <w:rFonts w:hint="default" w:ascii="Times New Roman" w:hAnsi="Times New Roman" w:cs="Times New Roman"/>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（4）土方回填施工完成后，选择合适的压实机械、压实层数和压实次数，控制压实厚度和速度，提高土方的密实性和稳定性，减少土方的沉降和变形。</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shd w:val="clear" w:color="auto" w:fill="auto"/>
                <w:lang w:val="en-US" w:eastAsia="zh-CN"/>
              </w:rPr>
            </w:pPr>
            <w:r>
              <w:rPr>
                <w:rFonts w:hint="eastAsia" w:cs="Times New Roman"/>
                <w:lang w:val="en-US" w:eastAsia="zh-CN"/>
              </w:rPr>
              <w:t>生活</w:t>
            </w:r>
            <w:r>
              <w:rPr>
                <w:rFonts w:hint="default" w:ascii="Times New Roman" w:hAnsi="Times New Roman" w:cs="Times New Roman"/>
                <w:lang w:val="en-US" w:eastAsia="zh-CN"/>
              </w:rPr>
              <w:t>营地内设置一定数量的垃圾桶，用于临时存放生活垃圾，</w:t>
            </w:r>
            <w:r>
              <w:rPr>
                <w:rFonts w:hint="default" w:ascii="Times New Roman" w:hAnsi="Times New Roman" w:cs="Times New Roman"/>
                <w:shd w:val="clear" w:color="auto" w:fill="auto"/>
                <w:lang w:val="en-US" w:eastAsia="zh-CN"/>
              </w:rPr>
              <w:t>最终统一收集后送至</w:t>
            </w:r>
            <w:r>
              <w:rPr>
                <w:rFonts w:hint="eastAsia" w:cs="Times New Roman"/>
                <w:shd w:val="clear" w:color="auto" w:fill="auto"/>
                <w:lang w:val="en-US" w:eastAsia="zh-CN"/>
              </w:rPr>
              <w:t>和硕县</w:t>
            </w:r>
            <w:r>
              <w:rPr>
                <w:rFonts w:hint="default" w:ascii="Times New Roman" w:hAnsi="Times New Roman" w:cs="Times New Roman"/>
                <w:shd w:val="clear" w:color="auto" w:fill="auto"/>
                <w:lang w:val="en-US" w:eastAsia="zh-CN"/>
              </w:rPr>
              <w:t>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pacing w:val="10"/>
                <w:szCs w:val="21"/>
                <w:lang w:eastAsia="zh-CN"/>
              </w:rPr>
              <w:t>勘探期</w:t>
            </w:r>
            <w:r>
              <w:rPr>
                <w:rFonts w:hint="default" w:ascii="Times New Roman" w:hAnsi="Times New Roman" w:cs="Times New Roman"/>
                <w:bCs/>
                <w:spacing w:val="10"/>
                <w:szCs w:val="21"/>
              </w:rPr>
              <w:t>生态环境保护措施</w:t>
            </w:r>
          </w:p>
        </w:tc>
        <w:tc>
          <w:tcPr>
            <w:tcW w:w="7780" w:type="dxa"/>
            <w:noWrap w:val="0"/>
            <w:vAlign w:val="center"/>
          </w:tcPr>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eastAsia="宋体" w:cs="Times New Roman"/>
                <w:b/>
                <w:bCs/>
                <w:kern w:val="2"/>
                <w:szCs w:val="24"/>
                <w:lang w:val="en-US" w:eastAsia="zh-CN" w:bidi="ar-SA"/>
              </w:rPr>
              <w:t>1</w:t>
            </w:r>
            <w:r>
              <w:rPr>
                <w:rFonts w:hint="default" w:ascii="Times New Roman" w:hAnsi="Times New Roman" w:cs="Times New Roman"/>
                <w:lang w:val="en-US" w:eastAsia="zh-CN"/>
              </w:rPr>
              <w:t>.生态环境影响保护措施</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1.1</w:t>
            </w:r>
            <w:r>
              <w:rPr>
                <w:rFonts w:hint="default" w:ascii="Times New Roman" w:hAnsi="Times New Roman" w:cs="Times New Roman"/>
                <w:lang w:eastAsia="zh-CN"/>
              </w:rPr>
              <w:t>陆生生物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eastAsia="zh-CN"/>
              </w:rPr>
              <w:t>）植物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工作区地质活动</w:t>
            </w:r>
            <w:r>
              <w:rPr>
                <w:rFonts w:hint="default" w:ascii="Times New Roman" w:hAnsi="Times New Roman" w:cs="Times New Roman"/>
                <w:lang w:val="en-US" w:eastAsia="zh-CN"/>
              </w:rPr>
              <w:t>主要为</w:t>
            </w:r>
            <w:r>
              <w:rPr>
                <w:rFonts w:hint="default" w:ascii="Times New Roman" w:hAnsi="Times New Roman" w:cs="Times New Roman"/>
                <w:lang w:eastAsia="zh-CN"/>
              </w:rPr>
              <w:t>槽探和钻探，</w:t>
            </w:r>
            <w:r>
              <w:rPr>
                <w:rFonts w:hint="default" w:ascii="Times New Roman" w:hAnsi="Times New Roman" w:cs="Times New Roman"/>
                <w:lang w:val="en-US" w:eastAsia="zh-CN"/>
              </w:rPr>
              <w:t>运营</w:t>
            </w:r>
            <w:r>
              <w:rPr>
                <w:rFonts w:hint="default" w:ascii="Times New Roman" w:hAnsi="Times New Roman" w:cs="Times New Roman"/>
                <w:lang w:eastAsia="zh-CN"/>
              </w:rPr>
              <w:t>过程中会对原有土地造成一定程度破坏。本次工程施工场地的布置将临时改变占地区土地利用状况，同样对一些植被造成损坏。</w:t>
            </w:r>
            <w:r>
              <w:rPr>
                <w:rFonts w:hint="default" w:ascii="Times New Roman" w:hAnsi="Times New Roman" w:cs="Times New Roman"/>
              </w:rPr>
              <w:t>根据现场调查了解，矿区内自然植物类型单一，种类、数量均较少。评价区内未发现国家重点保护野生植物。由于</w:t>
            </w:r>
            <w:r>
              <w:rPr>
                <w:rFonts w:hint="default" w:ascii="Times New Roman" w:hAnsi="Times New Roman" w:cs="Times New Roman"/>
                <w:lang w:val="en-US" w:eastAsia="zh-CN"/>
              </w:rPr>
              <w:t>探矿工程施工</w:t>
            </w:r>
            <w:r>
              <w:rPr>
                <w:rFonts w:hint="default" w:ascii="Times New Roman" w:hAnsi="Times New Roman" w:cs="Times New Roman"/>
              </w:rPr>
              <w:t>，破坏了原有的植被和地貌景观，不可避免地要对地表植被造成破坏。</w:t>
            </w:r>
            <w:r>
              <w:rPr>
                <w:rFonts w:hint="default" w:ascii="Times New Roman" w:hAnsi="Times New Roman" w:cs="Times New Roman"/>
                <w:lang w:val="en-US" w:eastAsia="zh-CN"/>
              </w:rPr>
              <w:t>勘探期间应采取以下措施：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w:t>
            </w:r>
            <w:r>
              <w:rPr>
                <w:rFonts w:hint="default" w:ascii="Times New Roman" w:hAnsi="Times New Roman" w:cs="Times New Roman"/>
              </w:rPr>
              <w:t>本评价要求建设单位</w:t>
            </w:r>
            <w:r>
              <w:rPr>
                <w:rFonts w:hint="default" w:ascii="Times New Roman" w:hAnsi="Times New Roman" w:cs="Times New Roman"/>
                <w:lang w:val="en-US" w:eastAsia="zh-CN"/>
              </w:rPr>
              <w:t>综合考虑地形、地质与植被分布，合理规划施工场地的布局，避免不必要的土地占用。优先选择植被覆盖度更低、生态敏感度相对较低的区域作为临时用地。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在</w:t>
            </w:r>
            <w:r>
              <w:rPr>
                <w:rFonts w:hint="default" w:ascii="Times New Roman" w:hAnsi="Times New Roman" w:cs="Times New Roman"/>
                <w:lang w:val="en-US" w:eastAsia="zh-CN"/>
              </w:rPr>
              <w:t>勘探结束后</w:t>
            </w:r>
            <w:r>
              <w:rPr>
                <w:rFonts w:hint="default" w:ascii="Times New Roman" w:hAnsi="Times New Roman" w:cs="Times New Roman"/>
              </w:rPr>
              <w:t>，</w:t>
            </w:r>
            <w:r>
              <w:rPr>
                <w:rFonts w:hint="default" w:ascii="Times New Roman" w:hAnsi="Times New Roman" w:cs="Times New Roman"/>
                <w:lang w:val="en-US" w:eastAsia="zh-CN"/>
              </w:rPr>
              <w:t>及时开展植被恢复工作，利用之前收集的表土对临时占用的土地进行覆土。</w:t>
            </w:r>
            <w:r>
              <w:rPr>
                <w:rFonts w:hint="default" w:ascii="Times New Roman" w:hAnsi="Times New Roman" w:cs="Times New Roman"/>
              </w:rPr>
              <w:t>对</w:t>
            </w:r>
            <w:r>
              <w:rPr>
                <w:rFonts w:hint="default" w:ascii="Times New Roman" w:hAnsi="Times New Roman" w:cs="Times New Roman"/>
                <w:lang w:val="en-US" w:eastAsia="zh-CN"/>
              </w:rPr>
              <w:t>勘探场地进行回填、</w:t>
            </w:r>
            <w:r>
              <w:rPr>
                <w:rFonts w:hint="default" w:ascii="Times New Roman" w:hAnsi="Times New Roman" w:cs="Times New Roman"/>
              </w:rPr>
              <w:t>进行迹地清理平整，项目营运过程中形成的裸露地表经过一段时间后可逐渐恢复原有的生态环境，区域内生态环境能够得到改善。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④</w:t>
            </w:r>
            <w:r>
              <w:rPr>
                <w:rFonts w:hint="default" w:ascii="Times New Roman" w:hAnsi="Times New Roman" w:cs="Times New Roman"/>
              </w:rPr>
              <w:t>勘探过程中应注意</w:t>
            </w:r>
            <w:r>
              <w:rPr>
                <w:rFonts w:hint="default" w:ascii="Times New Roman" w:hAnsi="Times New Roman" w:cs="Times New Roman"/>
                <w:lang w:eastAsia="zh-CN"/>
              </w:rPr>
              <w:t>避让</w:t>
            </w:r>
            <w:r>
              <w:rPr>
                <w:rFonts w:hint="default" w:ascii="Times New Roman" w:hAnsi="Times New Roman" w:cs="Times New Roman"/>
              </w:rPr>
              <w:t>保护植物，不因项目建设对其生境造成破坏影响。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w:t>
            </w:r>
            <w:r>
              <w:rPr>
                <w:rFonts w:hint="default" w:ascii="Times New Roman" w:hAnsi="Times New Roman" w:cs="Times New Roman"/>
                <w:lang w:val="en-US" w:eastAsia="zh-CN"/>
              </w:rPr>
              <w:t>陆生</w:t>
            </w:r>
            <w:r>
              <w:rPr>
                <w:rFonts w:hint="default" w:ascii="Times New Roman" w:hAnsi="Times New Roman" w:cs="Times New Roman"/>
                <w:lang w:eastAsia="zh-CN"/>
              </w:rPr>
              <w:t>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rPr>
            </w:pPr>
            <w:r>
              <w:rPr>
                <w:rFonts w:hint="default" w:ascii="Times New Roman" w:hAnsi="Times New Roman" w:cs="Times New Roman"/>
                <w:lang w:eastAsia="zh-CN"/>
              </w:rPr>
              <w:t>经现场踏勘和资料分析，本项目</w:t>
            </w:r>
            <w:r>
              <w:rPr>
                <w:rFonts w:hint="default" w:ascii="Times New Roman" w:hAnsi="Times New Roman" w:cs="Times New Roman"/>
                <w:lang w:val="en-US" w:eastAsia="zh-CN"/>
              </w:rPr>
              <w:t>可能涉及小型野生动物的栖息地</w:t>
            </w:r>
            <w:r>
              <w:rPr>
                <w:rFonts w:hint="default" w:ascii="Times New Roman" w:hAnsi="Times New Roman" w:cs="Times New Roman"/>
                <w:lang w:eastAsia="zh-CN"/>
              </w:rPr>
              <w:t>，</w:t>
            </w:r>
            <w:r>
              <w:rPr>
                <w:rFonts w:hint="default" w:ascii="Times New Roman" w:hAnsi="Times New Roman" w:cs="Times New Roman"/>
                <w:lang w:val="en-US" w:eastAsia="zh-CN"/>
              </w:rPr>
              <w:t>槽探开挖及施工</w:t>
            </w:r>
            <w:r>
              <w:rPr>
                <w:rFonts w:hint="default" w:ascii="Times New Roman" w:hAnsi="Times New Roman" w:cs="Times New Roman"/>
              </w:rPr>
              <w:t>作业</w:t>
            </w:r>
            <w:r>
              <w:rPr>
                <w:rFonts w:hint="default" w:ascii="Times New Roman" w:hAnsi="Times New Roman" w:cs="Times New Roman"/>
                <w:lang w:val="en-US" w:eastAsia="zh-CN"/>
              </w:rPr>
              <w:t>破坏地形地貌</w:t>
            </w:r>
            <w:r>
              <w:rPr>
                <w:rFonts w:hint="default" w:ascii="Times New Roman" w:hAnsi="Times New Roman" w:cs="Times New Roman"/>
              </w:rPr>
              <w:t>的同时，也破坏了原有生态环</w:t>
            </w:r>
            <w:r>
              <w:rPr>
                <w:rFonts w:hint="default" w:ascii="Times New Roman" w:hAnsi="Times New Roman" w:cs="Times New Roman"/>
                <w:lang w:eastAsia="zh-CN"/>
              </w:rPr>
              <w:t>境和</w:t>
            </w:r>
            <w:r>
              <w:rPr>
                <w:rFonts w:hint="default" w:ascii="Times New Roman" w:hAnsi="Times New Roman" w:cs="Times New Roman"/>
              </w:rPr>
              <w:t>小型野生动物的栖息环境，加上开采机械噪声及人员活动产生的影响，</w:t>
            </w:r>
            <w:r>
              <w:rPr>
                <w:rFonts w:hint="default" w:ascii="Times New Roman" w:hAnsi="Times New Roman" w:cs="Times New Roman"/>
                <w:lang w:val="en-US" w:eastAsia="zh-CN"/>
              </w:rPr>
              <w:t>会</w:t>
            </w:r>
            <w:r>
              <w:rPr>
                <w:rFonts w:hint="default" w:ascii="Times New Roman" w:hAnsi="Times New Roman" w:cs="Times New Roman"/>
              </w:rPr>
              <w:t>对周围动物的生活造成干扰，使它们的生活受到威胁而迁徙，远离开采地周围。</w:t>
            </w:r>
            <w:r>
              <w:rPr>
                <w:rFonts w:hint="default" w:ascii="Times New Roman" w:hAnsi="Times New Roman" w:cs="Times New Roman"/>
                <w:lang w:val="en-US" w:eastAsia="zh-CN"/>
              </w:rPr>
              <w:t>勘探期间应采取以下措施：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①勘探期间应</w:t>
            </w:r>
            <w:r>
              <w:rPr>
                <w:rFonts w:hint="default" w:ascii="Times New Roman" w:hAnsi="Times New Roman" w:cs="Times New Roman"/>
                <w:lang w:eastAsia="zh-CN"/>
              </w:rPr>
              <w:t>严格规划行驶道路，尽可能减少对野生动物的扰动，</w:t>
            </w:r>
            <w:r>
              <w:rPr>
                <w:rFonts w:hint="default" w:ascii="Times New Roman" w:hAnsi="Times New Roman" w:cs="Times New Roman"/>
                <w:lang w:val="en-US" w:eastAsia="zh-CN"/>
              </w:rPr>
              <w:t>尽量</w:t>
            </w:r>
            <w:r>
              <w:rPr>
                <w:rFonts w:hint="default" w:ascii="Times New Roman" w:hAnsi="Times New Roman" w:cs="Times New Roman"/>
                <w:lang w:eastAsia="zh-CN"/>
              </w:rPr>
              <w:t>使用当地已有道路、牧道、不开辟新路线。对确需碾压地段，</w:t>
            </w:r>
            <w:r>
              <w:rPr>
                <w:rFonts w:hint="default" w:ascii="Times New Roman" w:hAnsi="Times New Roman" w:cs="Times New Roman"/>
                <w:lang w:val="en-US" w:eastAsia="zh-CN"/>
              </w:rPr>
              <w:t>及时</w:t>
            </w:r>
            <w:r>
              <w:rPr>
                <w:rFonts w:hint="default" w:ascii="Times New Roman" w:hAnsi="Times New Roman" w:cs="Times New Roman"/>
                <w:lang w:eastAsia="zh-CN"/>
              </w:rPr>
              <w:t>进行</w:t>
            </w:r>
            <w:r>
              <w:rPr>
                <w:rFonts w:hint="default" w:ascii="Times New Roman" w:hAnsi="Times New Roman" w:cs="Times New Roman"/>
                <w:lang w:val="en-US" w:eastAsia="zh-CN"/>
              </w:rPr>
              <w:t>迹地</w:t>
            </w:r>
            <w:r>
              <w:rPr>
                <w:rFonts w:hint="default" w:ascii="Times New Roman" w:hAnsi="Times New Roman" w:cs="Times New Roman"/>
                <w:lang w:eastAsia="zh-CN"/>
              </w:rPr>
              <w:t>的恢复治理，行驶时避让野生动物，不追逐，不惊吓。</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根据调查，大部分野生动物都是夜间出没，因此</w:t>
            </w:r>
            <w:r>
              <w:rPr>
                <w:rFonts w:hint="default" w:ascii="Times New Roman" w:hAnsi="Times New Roman" w:cs="Times New Roman"/>
                <w:lang w:val="en-US" w:eastAsia="zh-CN"/>
              </w:rPr>
              <w:t>建设</w:t>
            </w:r>
            <w:r>
              <w:rPr>
                <w:rFonts w:hint="default" w:ascii="Times New Roman" w:hAnsi="Times New Roman" w:cs="Times New Roman"/>
              </w:rPr>
              <w:t>单位应该加强</w:t>
            </w:r>
            <w:r>
              <w:rPr>
                <w:rFonts w:hint="default" w:ascii="Times New Roman" w:hAnsi="Times New Roman" w:cs="Times New Roman"/>
                <w:lang w:val="en-US" w:eastAsia="zh-CN"/>
              </w:rPr>
              <w:t>开采</w:t>
            </w:r>
            <w:r>
              <w:rPr>
                <w:rFonts w:hint="default" w:ascii="Times New Roman" w:hAnsi="Times New Roman" w:cs="Times New Roman"/>
              </w:rPr>
              <w:t>管理，在</w:t>
            </w:r>
            <w:r>
              <w:rPr>
                <w:rFonts w:hint="default" w:ascii="Times New Roman" w:hAnsi="Times New Roman" w:cs="Times New Roman"/>
                <w:lang w:val="en-US" w:eastAsia="zh-CN"/>
              </w:rPr>
              <w:t>勘探</w:t>
            </w:r>
            <w:r>
              <w:rPr>
                <w:rFonts w:hint="default" w:ascii="Times New Roman" w:hAnsi="Times New Roman" w:cs="Times New Roman"/>
              </w:rPr>
              <w:t>过程中应尽量安排在白天，避免夜间</w:t>
            </w:r>
            <w:r>
              <w:rPr>
                <w:rFonts w:hint="default" w:ascii="Times New Roman" w:hAnsi="Times New Roman" w:cs="Times New Roman"/>
                <w:lang w:val="en-US" w:eastAsia="zh-CN"/>
              </w:rPr>
              <w:t>开采</w:t>
            </w:r>
            <w:r>
              <w:rPr>
                <w:rFonts w:hint="default" w:ascii="Times New Roman" w:hAnsi="Times New Roman" w:cs="Times New Roman"/>
              </w:rPr>
              <w:t>对野生动物的影响。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③加强员工对野生动物的保护意识，禁止捕捉野生动物，避免在野生动物的繁殖期、育幼期等敏感时期进行高强度作业，减少</w:t>
            </w:r>
            <w:r>
              <w:rPr>
                <w:rFonts w:hint="default" w:ascii="Times New Roman" w:hAnsi="Times New Roman" w:cs="Times New Roman"/>
              </w:rPr>
              <w:t>作业人员在矿区作业区以外活动区域</w:t>
            </w:r>
            <w:r>
              <w:rPr>
                <w:rFonts w:hint="default" w:ascii="Times New Roman" w:hAnsi="Times New Roman" w:cs="Times New Roman"/>
                <w:lang w:eastAsia="zh-CN"/>
              </w:rPr>
              <w:t>，</w:t>
            </w:r>
            <w:r>
              <w:rPr>
                <w:rFonts w:hint="default" w:ascii="Times New Roman" w:hAnsi="Times New Roman" w:cs="Times New Roman"/>
                <w:lang w:val="en-US" w:eastAsia="zh-CN"/>
              </w:rPr>
              <w:t>避免惊吓野生动物。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项目</w:t>
            </w:r>
            <w:r>
              <w:rPr>
                <w:rFonts w:hint="default" w:ascii="Times New Roman" w:hAnsi="Times New Roman" w:cs="Times New Roman"/>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1.2土壤环境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eastAsia" w:cs="Times New Roman"/>
                <w:lang w:val="en-US" w:eastAsia="zh-CN"/>
              </w:rPr>
              <w:t>和硕县</w:t>
            </w:r>
            <w:r>
              <w:rPr>
                <w:rFonts w:hint="default" w:ascii="Times New Roman" w:hAnsi="Times New Roman" w:cs="Times New Roman"/>
              </w:rPr>
              <w:t>地处欧亚大陆腹地，远离海洋，降水极少，气候干燥且多大风，属典型的暖温带极端大陆性干旱荒漠气候，全县土壤pH值多在8～9，有机质含量在1%以下，一般氮素含量在0.6～1ppm，速磷含量多在2.6～10ppm。总体评价为表层土壤有效微量元素的含量以硼、铁、铜元素较丰富，但普遍缺锌、缺锰。</w:t>
            </w:r>
            <w:r>
              <w:rPr>
                <w:rFonts w:hint="default" w:ascii="Times New Roman" w:hAnsi="Times New Roman" w:cs="Times New Roman"/>
                <w:lang w:eastAsia="zh-CN"/>
              </w:rPr>
              <w:t>工程施工过程中的土方开挖、回填、机械碾压对土壤的理化性质和土壤肥力会产生一定不利影响。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勘探期应严格控制施工区域，尽可能缩小施工范围，减少开挖量和生态破坏面积，从而减少开挖和恢复面积；优化土石方平衡，减少水土流失。加强机械、车辆行驶路线的管理，划定明确的作业范围和行驶路线，严禁越界施工和偏离施工便道进行无监管活动，减少</w:t>
            </w:r>
            <w:r>
              <w:rPr>
                <w:rFonts w:hint="default" w:ascii="Times New Roman" w:hAnsi="Times New Roman" w:cs="Times New Roman"/>
              </w:rPr>
              <w:t>作业人员在矿区作业区以外活动区域</w:t>
            </w:r>
            <w:r>
              <w:rPr>
                <w:rFonts w:hint="default" w:ascii="Times New Roman" w:hAnsi="Times New Roman" w:cs="Times New Roman"/>
                <w:lang w:val="en-US" w:eastAsia="zh-CN"/>
              </w:rPr>
              <w:t>。</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1.3自然</w:t>
            </w:r>
            <w:r>
              <w:rPr>
                <w:rFonts w:hint="default" w:ascii="Times New Roman" w:hAnsi="Times New Roman" w:cs="Times New Roman"/>
              </w:rPr>
              <w:t>景观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项目已制定具体的复垦方案，预留了复垦保障资金，采取边</w:t>
            </w:r>
            <w:r>
              <w:rPr>
                <w:rFonts w:hint="default" w:ascii="Times New Roman" w:hAnsi="Times New Roman" w:cs="Times New Roman"/>
                <w:lang w:val="en-US" w:eastAsia="zh-CN"/>
              </w:rPr>
              <w:t>开挖</w:t>
            </w:r>
            <w:r>
              <w:rPr>
                <w:rFonts w:hint="default" w:ascii="Times New Roman" w:hAnsi="Times New Roman" w:cs="Times New Roman"/>
              </w:rPr>
              <w:t>边恢复</w:t>
            </w:r>
            <w:r>
              <w:rPr>
                <w:rFonts w:hint="default" w:ascii="Times New Roman" w:hAnsi="Times New Roman" w:cs="Times New Roman"/>
                <w:lang w:val="en-US" w:eastAsia="zh-CN"/>
              </w:rPr>
              <w:t>开挖</w:t>
            </w:r>
            <w:r>
              <w:rPr>
                <w:rFonts w:hint="default" w:ascii="Times New Roman" w:hAnsi="Times New Roman" w:cs="Times New Roman"/>
              </w:rPr>
              <w:t>迹地的方法，</w:t>
            </w:r>
            <w:r>
              <w:rPr>
                <w:rFonts w:hint="default" w:ascii="Times New Roman" w:hAnsi="Times New Roman" w:cs="Times New Roman"/>
                <w:lang w:val="en-US" w:eastAsia="zh-CN"/>
              </w:rPr>
              <w:t>对施工迹地</w:t>
            </w:r>
            <w:r>
              <w:rPr>
                <w:rFonts w:hint="default" w:ascii="Times New Roman" w:hAnsi="Times New Roman" w:cs="Times New Roman"/>
              </w:rPr>
              <w:t>进行恢复，</w:t>
            </w:r>
            <w:r>
              <w:rPr>
                <w:rFonts w:hint="default" w:ascii="Times New Roman" w:hAnsi="Times New Roman" w:cs="Times New Roman"/>
                <w:lang w:val="en-US" w:eastAsia="zh-CN"/>
              </w:rPr>
              <w:t>确保项目区占地区域基本恢复到探矿前地貌。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①尽量避开雨季作业，探坑需要及时进行场地清理、回填并进行植被恢复。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③随着工程结束，探坑将逐步回填、平整，使其与周围地貌基本一致。</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1.4</w:t>
            </w:r>
            <w:r>
              <w:rPr>
                <w:rFonts w:hint="default" w:ascii="Times New Roman" w:hAnsi="Times New Roman" w:cs="Times New Roman"/>
              </w:rPr>
              <w:t>水土流失</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cs="Times New Roman"/>
              </w:rPr>
            </w:pPr>
            <w:r>
              <w:rPr>
                <w:rFonts w:hint="default" w:ascii="Times New Roman" w:hAnsi="Times New Roman" w:cs="Times New Roman"/>
                <w:lang w:val="en-US" w:eastAsia="zh-CN"/>
              </w:rPr>
              <w:t>本项目位于</w:t>
            </w:r>
            <w:r>
              <w:rPr>
                <w:rFonts w:hint="eastAsia" w:cs="Times New Roman"/>
                <w:lang w:val="en-US" w:eastAsia="zh-CN"/>
              </w:rPr>
              <w:t>新疆维吾尔自治区巴音郭楞蒙古自治州和硕县城东北27°方向，直线距离47千米处</w:t>
            </w:r>
            <w:r>
              <w:rPr>
                <w:rFonts w:hint="default" w:ascii="Times New Roman" w:hAnsi="Times New Roman" w:cs="Times New Roman"/>
                <w:lang w:val="en-US" w:eastAsia="zh-CN"/>
              </w:rPr>
              <w:t>，</w:t>
            </w:r>
            <w:r>
              <w:rPr>
                <w:rFonts w:hint="default" w:ascii="Times New Roman" w:hAnsi="Times New Roman" w:cs="Times New Roman"/>
                <w:lang w:eastAsia="zh-CN"/>
              </w:rPr>
              <w:t>勘探</w:t>
            </w:r>
            <w:r>
              <w:rPr>
                <w:rFonts w:hint="default" w:ascii="Times New Roman" w:hAnsi="Times New Roman" w:cs="Times New Roman"/>
              </w:rPr>
              <w:t>区降雨量较低，基本无法形成无组织的径流。故项目区的</w:t>
            </w:r>
            <w:r>
              <w:rPr>
                <w:rFonts w:hint="eastAsia"/>
                <w:lang w:val="en-US" w:eastAsia="zh-CN"/>
              </w:rPr>
              <w:t>水土流失类型包括水力侵蚀，风力侵蚀和冻融侵蚀。</w:t>
            </w:r>
            <w:r>
              <w:rPr>
                <w:rFonts w:hint="default" w:ascii="Times New Roman" w:hAnsi="Times New Roman" w:cs="Times New Roman"/>
                <w:lang w:eastAsia="zh-CN"/>
              </w:rPr>
              <w:t>勘探区</w:t>
            </w:r>
            <w:r>
              <w:rPr>
                <w:rFonts w:hint="default" w:ascii="Times New Roman" w:hAnsi="Times New Roman" w:cs="Times New Roman"/>
              </w:rPr>
              <w:t>采用了边</w:t>
            </w:r>
            <w:r>
              <w:rPr>
                <w:rFonts w:hint="default" w:ascii="Times New Roman" w:hAnsi="Times New Roman" w:cs="Times New Roman"/>
                <w:lang w:eastAsia="zh-CN"/>
              </w:rPr>
              <w:t>开挖</w:t>
            </w:r>
            <w:r>
              <w:rPr>
                <w:rFonts w:hint="default" w:ascii="Times New Roman" w:hAnsi="Times New Roman" w:cs="Times New Roman"/>
              </w:rPr>
              <w:t>、边回填、边复垦的</w:t>
            </w:r>
            <w:r>
              <w:rPr>
                <w:rFonts w:hint="default" w:ascii="Times New Roman" w:hAnsi="Times New Roman" w:cs="Times New Roman"/>
                <w:lang w:eastAsia="zh-CN"/>
              </w:rPr>
              <w:t>勘探</w:t>
            </w:r>
            <w:r>
              <w:rPr>
                <w:rFonts w:hint="default" w:ascii="Times New Roman" w:hAnsi="Times New Roman" w:cs="Times New Roman"/>
              </w:rPr>
              <w:t>方式，符合《新疆维吾尔自治区水土保持规划（2018</w:t>
            </w:r>
            <w:r>
              <w:rPr>
                <w:rFonts w:hint="eastAsia" w:cs="Times New Roman"/>
                <w:lang w:val="en-US" w:eastAsia="zh-CN"/>
              </w:rPr>
              <w:t>-</w:t>
            </w:r>
            <w:r>
              <w:rPr>
                <w:rFonts w:hint="default" w:ascii="Times New Roman" w:hAnsi="Times New Roman" w:cs="Times New Roman"/>
              </w:rPr>
              <w:t>2030年）》的相关要求。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本项目运营过程中由于</w:t>
            </w:r>
            <w:r>
              <w:rPr>
                <w:rFonts w:hint="default" w:ascii="Times New Roman" w:hAnsi="Times New Roman" w:cs="Times New Roman"/>
                <w:lang w:eastAsia="zh-CN"/>
              </w:rPr>
              <w:t>勘探</w:t>
            </w:r>
            <w:r>
              <w:rPr>
                <w:rFonts w:hint="default" w:ascii="Times New Roman" w:hAnsi="Times New Roman" w:cs="Times New Roman"/>
              </w:rPr>
              <w:t>活动破坏了地表植被，从而使路面、坡面土壤裸露，在风蚀和水蚀的作用下，不可避免地造成一定的水土流失。为减小水土流失的影响，评价要求企业采取以下措施：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①堆土表面采用</w:t>
            </w:r>
            <w:r>
              <w:rPr>
                <w:rFonts w:hint="eastAsia" w:cs="Times New Roman"/>
                <w:lang w:val="en-US" w:eastAsia="zh-CN"/>
              </w:rPr>
              <w:t>彩布条</w:t>
            </w:r>
            <w:r>
              <w:rPr>
                <w:rFonts w:hint="default" w:ascii="Times New Roman" w:hAnsi="Times New Roman" w:cs="Times New Roman"/>
                <w:lang w:val="en-US" w:eastAsia="zh-CN"/>
              </w:rPr>
              <w:t>苫盖，减少降雨和风力对弃渣的侵蚀。</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lang w:val="en-US" w:eastAsia="zh-CN"/>
              </w:rPr>
              <w:t>②</w:t>
            </w:r>
            <w:r>
              <w:rPr>
                <w:rFonts w:hint="default" w:ascii="Times New Roman" w:hAnsi="Times New Roman" w:cs="Times New Roman"/>
              </w:rPr>
              <w:t>加强管理，大风天气、雨季不得作业</w:t>
            </w:r>
            <w:r>
              <w:rPr>
                <w:rFonts w:hint="default" w:ascii="Times New Roman" w:hAnsi="Times New Roman" w:cs="Times New Roman"/>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③勘探完成</w:t>
            </w:r>
            <w:r>
              <w:rPr>
                <w:rFonts w:hint="default" w:ascii="Times New Roman" w:hAnsi="Times New Roman" w:cs="Times New Roman"/>
              </w:rPr>
              <w:t>后，将</w:t>
            </w:r>
            <w:r>
              <w:rPr>
                <w:rFonts w:hint="default" w:ascii="Times New Roman" w:hAnsi="Times New Roman" w:cs="Times New Roman"/>
                <w:lang w:eastAsia="zh-CN"/>
              </w:rPr>
              <w:t>勘探区</w:t>
            </w:r>
            <w:r>
              <w:rPr>
                <w:rFonts w:hint="default" w:ascii="Times New Roman" w:hAnsi="Times New Roman" w:cs="Times New Roman"/>
              </w:rPr>
              <w:t>土地进行复垦</w:t>
            </w:r>
            <w:r>
              <w:rPr>
                <w:rFonts w:hint="default" w:ascii="Times New Roman" w:hAnsi="Times New Roman" w:cs="Times New Roman"/>
                <w:lang w:eastAsia="zh-CN"/>
              </w:rPr>
              <w:t>，对探坑</w:t>
            </w:r>
            <w:r>
              <w:rPr>
                <w:rFonts w:hint="default" w:ascii="Times New Roman" w:hAnsi="Times New Roman" w:cs="Times New Roman"/>
              </w:rPr>
              <w:t>周边进行表层回填和迹地覆土恢复，及时对周围生态植被进行修复，增加区域防冲和固土能力，减小水土流失的影响。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本项目在采取以上相关的水土保持措施后，可使采区内水土得以有效保持，不会对生态环境造成较大的影响。</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1.5土地沙化</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矿山勘查时，各类机械设备的活动会破坏地表植被，使其失去植被的固沙作用，加快土地沙化进程；机械碾压使土壤结构遭到破坏，进一步削弱了土壤的抗风蚀能力；勘查活动产生的堆土，会增加空气中沙尘含量，同时周边土壤被侵蚀，导致土地沙化范围扩大。在勘查期采取以下防沙治沙措施：</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①在探槽附近设置临时堆场，堆土采用</w:t>
            </w:r>
            <w:r>
              <w:rPr>
                <w:rFonts w:hint="eastAsia" w:cs="Times New Roman"/>
                <w:lang w:val="en-US" w:eastAsia="zh-CN"/>
              </w:rPr>
              <w:t>彩布条</w:t>
            </w:r>
            <w:r>
              <w:rPr>
                <w:rFonts w:hint="default" w:ascii="Times New Roman" w:hAnsi="Times New Roman" w:cs="Times New Roman"/>
                <w:lang w:val="en-US" w:eastAsia="zh-CN"/>
              </w:rPr>
              <w:t>苫盖，减少风蚀。</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②在作业区域与周边植被之间设置隔离带，防止机械设备和人员误闯入造成植被破坏。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③合理规划作业范围，在勘查结束后及时开展植被恢复工作。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2.勘探完成时的生态环境保护及恢复措施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根据《矿山生态环境保护与恢复治理技术规范(试行)》(HJ651-2013)、《新疆维吾尔自治区绿色勘查工作指南（试行）》和《裸露坡面植被恢复技术规范》（GB/T38360-2019）可知，探矿完成时的保护措施及恢复如下。</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探矿活动结束后，应根据景观相似原则，对探矿活动造成的土壤、植被和地表景观破坏进行恢复。</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对于钻孔或坑井应予回填封闭，并恢复其原有生态功能。</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不再使用的</w:t>
            </w:r>
            <w:r>
              <w:rPr>
                <w:rFonts w:hint="eastAsia" w:cs="Times New Roman"/>
                <w:lang w:val="en-US" w:eastAsia="zh-CN"/>
              </w:rPr>
              <w:t>帐篷</w:t>
            </w:r>
            <w:r>
              <w:rPr>
                <w:rFonts w:hint="default" w:ascii="Times New Roman" w:hAnsi="Times New Roman" w:cs="Times New Roman"/>
                <w:lang w:val="en-US" w:eastAsia="zh-CN"/>
              </w:rPr>
              <w:t>、沉淀池等各项建筑和基础设施应按照以下要求全部拆除。</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①分类收集：将拆除产生的建筑垃圾、生活垃圾等分类收集。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②合规处置：建筑垃圾可回收部分送回收站，不可回收的运至指定消纳场；生活垃圾送至</w:t>
            </w:r>
            <w:r>
              <w:rPr>
                <w:rFonts w:hint="eastAsia" w:cs="Times New Roman"/>
                <w:lang w:val="en-US" w:eastAsia="zh-CN"/>
              </w:rPr>
              <w:t>和硕县</w:t>
            </w:r>
            <w:r>
              <w:rPr>
                <w:rFonts w:hint="default" w:ascii="Times New Roman" w:hAnsi="Times New Roman" w:cs="Times New Roman"/>
                <w:lang w:val="en-US" w:eastAsia="zh-CN"/>
              </w:rPr>
              <w:t>垃圾填埋场处理。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③拆除作业易产生扬尘，定期洒水降尘，干燥天气增加频次，保持地面湿润。</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专用运输道路应及时回填、平整并利用堆存的表土进行植被和景观恢复。</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施工结束后土地应及时平整恢复，定期检查已回填恢复的探槽，尽可能恢复植被原貌。</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勘探完成后，将勘探区土地进行复垦，对探坑周边进行表层回填和迹地覆土恢复，及时对周围生态植被进行修复，减小水土流失的影响。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3.大气环境保护措施</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3.1开挖扬尘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施工过程中扬尘污染对该点及周围环境产生一定的不利影响。为避免扬尘污染施工场地，拟提出以下防治措施：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（1）施工前制定控制工地扬尘方案，施工期间接受相关部门的监督检查，执行施工场地的相关规定，采取有效防尘措施。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（2）施工现场合理布局，对施工道路常洒水，对易扬尘物料加盖苫布。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（3）为进一步降低施工扬尘，要定期对路面和施工场地洒水，保持下垫面和空气湿润，减少起尘量，洒水频率视天气情况调整，原则上晴天每天不少于4次。</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（4）4级以上大风天气，不得进行土方回填、转运以及其他可能产生扬尘污染的施工，并对施工场地做好遮掩工作。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3.2</w:t>
            </w:r>
            <w:r>
              <w:rPr>
                <w:rFonts w:hint="default" w:ascii="Times New Roman" w:hAnsi="Times New Roman" w:cs="Times New Roman"/>
              </w:rPr>
              <w:t>燃油废气</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（1）使用合格的施工与运输车辆，保证汽车尾气达到国家规定的排放标准要求。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（2）选用工艺先进、技术含量高的作业机械。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（3）尽量避免施工机械同时运行，停止使用机械时尽可能怠速运转或熄火，避免猛踩油门增加燃油废气中有害物质的排放。</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4.</w:t>
            </w:r>
            <w:r>
              <w:rPr>
                <w:rFonts w:hint="default" w:ascii="Times New Roman" w:hAnsi="Times New Roman" w:cs="Times New Roman"/>
                <w:highlight w:val="none"/>
              </w:rPr>
              <w:t>水环境</w:t>
            </w:r>
            <w:r>
              <w:rPr>
                <w:rFonts w:hint="default" w:ascii="Times New Roman" w:hAnsi="Times New Roman" w:cs="Times New Roman"/>
                <w:highlight w:val="none"/>
                <w:lang w:val="en-US" w:eastAsia="zh-CN"/>
              </w:rPr>
              <w:t>保护</w:t>
            </w:r>
            <w:r>
              <w:rPr>
                <w:rFonts w:hint="default" w:ascii="Times New Roman" w:hAnsi="Times New Roman" w:cs="Times New Roman"/>
                <w:highlight w:val="none"/>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（1）生活污水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本次探矿野外作业人员约</w:t>
            </w:r>
            <w:r>
              <w:rPr>
                <w:rFonts w:hint="eastAsia" w:cs="Times New Roman"/>
                <w:lang w:val="en-US" w:eastAsia="zh-CN"/>
              </w:rPr>
              <w:t>5</w:t>
            </w:r>
            <w:r>
              <w:rPr>
                <w:rFonts w:hint="default" w:ascii="Times New Roman" w:hAnsi="Times New Roman" w:cs="Times New Roman"/>
              </w:rPr>
              <w:t>人。勘探人员日常洗漱</w:t>
            </w:r>
            <w:r>
              <w:rPr>
                <w:rFonts w:hint="default" w:ascii="Times New Roman" w:hAnsi="Times New Roman" w:cs="Times New Roman"/>
                <w:lang w:val="en-US" w:eastAsia="zh-CN"/>
              </w:rPr>
              <w:t>和</w:t>
            </w:r>
            <w:r>
              <w:rPr>
                <w:rFonts w:hint="default" w:ascii="Times New Roman" w:hAnsi="Times New Roman" w:cs="Times New Roman"/>
              </w:rPr>
              <w:t>生活所产生的污水，间断排放，主要含COD、BOD</w:t>
            </w:r>
            <w:r>
              <w:rPr>
                <w:rFonts w:hint="default" w:ascii="Times New Roman" w:hAnsi="Times New Roman" w:cs="Times New Roman"/>
                <w:vertAlign w:val="subscript"/>
              </w:rPr>
              <w:t>5</w:t>
            </w:r>
            <w:r>
              <w:rPr>
                <w:rFonts w:hint="default" w:ascii="Times New Roman" w:hAnsi="Times New Roman" w:cs="Times New Roman"/>
              </w:rPr>
              <w:t>、SS等污染物</w:t>
            </w:r>
            <w:r>
              <w:rPr>
                <w:rFonts w:hint="default" w:ascii="Times New Roman" w:hAnsi="Times New Roman" w:cs="Times New Roman"/>
                <w:lang w:eastAsia="zh-CN"/>
              </w:rPr>
              <w:t>，</w:t>
            </w:r>
            <w:r>
              <w:rPr>
                <w:rFonts w:hint="eastAsia" w:cs="Times New Roman"/>
                <w:lang w:val="en-US" w:eastAsia="zh-CN"/>
              </w:rPr>
              <w:t>勘探期工作天数为40d，则勘探期</w:t>
            </w:r>
            <w:r>
              <w:rPr>
                <w:rFonts w:hint="eastAsia"/>
              </w:rPr>
              <w:t>生活污水</w:t>
            </w:r>
            <w:r>
              <w:rPr>
                <w:rFonts w:hint="eastAsia"/>
                <w:lang w:val="en-US" w:eastAsia="zh-CN"/>
              </w:rPr>
              <w:t>排放量为4.8</w:t>
            </w:r>
            <w:r>
              <w:rPr>
                <w:rFonts w:hint="eastAsia"/>
              </w:rPr>
              <w:t>m</w:t>
            </w:r>
            <w:r>
              <w:rPr>
                <w:rFonts w:hint="eastAsia"/>
                <w:vertAlign w:val="superscript"/>
              </w:rPr>
              <w:t>3</w:t>
            </w:r>
            <w:r>
              <w:rPr>
                <w:rFonts w:hint="eastAsia"/>
              </w:rPr>
              <w:t>。</w:t>
            </w:r>
            <w:r>
              <w:rPr>
                <w:rFonts w:hint="default" w:ascii="Times New Roman" w:hAnsi="Times New Roman" w:cs="Times New Roman"/>
                <w:lang w:val="en-US" w:eastAsia="zh-CN"/>
              </w:rPr>
              <w:t>生活污水产生量较少</w:t>
            </w:r>
            <w:r>
              <w:rPr>
                <w:rFonts w:hint="default" w:ascii="Times New Roman" w:hAnsi="Times New Roman" w:cs="Times New Roman"/>
              </w:rPr>
              <w:t>。生活污水包括粪便污</w:t>
            </w:r>
            <w:r>
              <w:rPr>
                <w:rFonts w:hint="default" w:ascii="Times New Roman" w:hAnsi="Times New Roman" w:cs="Times New Roman"/>
                <w:lang w:val="en-US" w:eastAsia="zh-CN"/>
              </w:rPr>
              <w:t>水和洗漱污水</w:t>
            </w:r>
            <w:r>
              <w:rPr>
                <w:rFonts w:hint="default" w:ascii="Times New Roman" w:hAnsi="Times New Roman" w:cs="Times New Roman"/>
              </w:rPr>
              <w:t>等，类比一般生活污水污染物产生浓度，主要污染物COD、BOD</w:t>
            </w:r>
            <w:r>
              <w:rPr>
                <w:rFonts w:hint="eastAsia" w:cs="Times New Roman"/>
                <w:vertAlign w:val="subscript"/>
                <w:lang w:val="en-US" w:eastAsia="zh-CN"/>
              </w:rPr>
              <w:t>5</w:t>
            </w:r>
            <w:r>
              <w:rPr>
                <w:rFonts w:hint="default" w:ascii="Times New Roman" w:hAnsi="Times New Roman" w:cs="Times New Roman"/>
              </w:rPr>
              <w:t>、SS、NH</w:t>
            </w:r>
            <w:r>
              <w:rPr>
                <w:rFonts w:hint="eastAsia" w:cs="Times New Roman"/>
                <w:vertAlign w:val="subscript"/>
                <w:lang w:val="en-US" w:eastAsia="zh-CN"/>
              </w:rPr>
              <w:t>4</w:t>
            </w:r>
            <w:r>
              <w:rPr>
                <w:rFonts w:hint="default" w:ascii="Times New Roman" w:hAnsi="Times New Roman" w:cs="Times New Roman"/>
              </w:rPr>
              <w:t>-N、动植物油的排放浓度分别为</w:t>
            </w:r>
            <w:r>
              <w:rPr>
                <w:rFonts w:hint="default" w:ascii="Times New Roman" w:hAnsi="Times New Roman" w:cs="Times New Roman"/>
                <w:lang w:eastAsia="zh-CN"/>
              </w:rPr>
              <w:t>：</w:t>
            </w:r>
            <w:r>
              <w:rPr>
                <w:rFonts w:hint="default" w:ascii="Times New Roman" w:hAnsi="Times New Roman" w:cs="Times New Roman"/>
              </w:rPr>
              <w:t>320mg/</w:t>
            </w:r>
            <w:r>
              <w:rPr>
                <w:rFonts w:hint="eastAsia" w:cs="Times New Roman"/>
                <w:lang w:val="en-US" w:eastAsia="zh-CN"/>
              </w:rPr>
              <w:t>L</w:t>
            </w:r>
            <w:r>
              <w:rPr>
                <w:rFonts w:hint="default" w:ascii="Times New Roman" w:hAnsi="Times New Roman" w:cs="Times New Roman"/>
                <w:lang w:eastAsia="zh-CN"/>
              </w:rPr>
              <w:t>、</w:t>
            </w:r>
            <w:r>
              <w:rPr>
                <w:rFonts w:hint="default" w:ascii="Times New Roman" w:hAnsi="Times New Roman" w:cs="Times New Roman"/>
              </w:rPr>
              <w:t>200mg/</w:t>
            </w:r>
            <w:r>
              <w:rPr>
                <w:rFonts w:hint="eastAsia" w:cs="Times New Roman"/>
                <w:lang w:val="en-US" w:eastAsia="zh-CN"/>
              </w:rPr>
              <w:t>L</w:t>
            </w:r>
            <w:r>
              <w:rPr>
                <w:rFonts w:hint="default" w:ascii="Times New Roman" w:hAnsi="Times New Roman" w:cs="Times New Roman"/>
              </w:rPr>
              <w:t>、360mg/</w:t>
            </w:r>
            <w:r>
              <w:rPr>
                <w:rFonts w:hint="eastAsia" w:cs="Times New Roman"/>
                <w:lang w:val="en-US" w:eastAsia="zh-CN"/>
              </w:rPr>
              <w:t>L</w:t>
            </w:r>
            <w:r>
              <w:rPr>
                <w:rFonts w:hint="default" w:ascii="Times New Roman" w:hAnsi="Times New Roman" w:cs="Times New Roman"/>
              </w:rPr>
              <w:t>、25mg/</w:t>
            </w:r>
            <w:r>
              <w:rPr>
                <w:rFonts w:hint="eastAsia" w:cs="Times New Roman"/>
                <w:lang w:val="en-US" w:eastAsia="zh-CN"/>
              </w:rPr>
              <w:t>L</w:t>
            </w:r>
            <w:r>
              <w:rPr>
                <w:rFonts w:hint="default" w:ascii="Times New Roman" w:hAnsi="Times New Roman" w:cs="Times New Roman"/>
              </w:rPr>
              <w:t>、30mg</w:t>
            </w:r>
            <w:r>
              <w:rPr>
                <w:rFonts w:hint="eastAsia" w:cs="Times New Roman"/>
                <w:lang w:val="en-US" w:eastAsia="zh-CN"/>
              </w:rPr>
              <w:t>/L</w:t>
            </w:r>
            <w:r>
              <w:rPr>
                <w:rFonts w:hint="default" w:ascii="Times New Roman" w:hAnsi="Times New Roman" w:cs="Times New Roman"/>
              </w:rPr>
              <w:t>。</w:t>
            </w:r>
            <w:r>
              <w:rPr>
                <w:rFonts w:hint="default" w:ascii="Times New Roman" w:hAnsi="Times New Roman" w:cs="Times New Roman"/>
                <w:lang w:val="en-US" w:eastAsia="zh-CN"/>
              </w:rPr>
              <w:t>生活污水排入一体化污水处理设施处理达标后，其出水标准可达到《农村生活污水处理排放标准》（DB654275-2019）表2中</w:t>
            </w:r>
            <w:r>
              <w:rPr>
                <w:rFonts w:hint="eastAsia" w:cs="Times New Roman"/>
                <w:lang w:val="en-US" w:eastAsia="zh-CN"/>
              </w:rPr>
              <w:t>A</w:t>
            </w:r>
            <w:r>
              <w:rPr>
                <w:rFonts w:hint="default" w:ascii="Times New Roman" w:hAnsi="Times New Roman" w:cs="Times New Roman"/>
                <w:lang w:val="en-US" w:eastAsia="zh-CN"/>
              </w:rPr>
              <w:t>级标准，用于洒水绿化，不外排，不与地表水体发生水力联系，对周围环境影响较小。</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（2）钻井设备冲洗水</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项目钻探过程中使用的钻井设备需清洗，勘探期产生的清洗废水经防渗沉淀池</w:t>
            </w:r>
            <w:r>
              <w:rPr>
                <w:rFonts w:hint="eastAsia" w:cs="Times New Roman"/>
                <w:lang w:val="en-US" w:eastAsia="zh-CN"/>
              </w:rPr>
              <w:t>处理后用于洒水降尘</w:t>
            </w:r>
            <w:r>
              <w:rPr>
                <w:rFonts w:hint="default" w:ascii="Times New Roman" w:hAnsi="Times New Roman" w:cs="Times New Roman"/>
                <w:lang w:val="en-US" w:eastAsia="zh-CN"/>
              </w:rPr>
              <w:t>，探矿期结束后自然蒸发，不外排。</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（3）泥浆废水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泥浆废水经防渗沉淀池处理后回用于钻孔泥浆配制，循环使用，不外排。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5.声环境保护</w:t>
            </w:r>
            <w:r>
              <w:rPr>
                <w:rFonts w:hint="default" w:ascii="Times New Roman" w:hAnsi="Times New Roman" w:cs="Times New Roman"/>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为减少本项目施工期间噪声对周边环境的影响拟采取以下防治措施：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（1）合理安排施工时段：制定施工计划时，应尽可能避免大量噪声设备同时使用。应尽量安排在白天施工。</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（2）合理布局施工场地：避免在同一地点安排大量动力机械设备，以免局部声级过高。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（3）降低人为噪声影响：按操作规范操作机械设备过程中减少碰撞噪声，在装卸</w:t>
            </w:r>
            <w:r>
              <w:rPr>
                <w:rFonts w:hint="default" w:ascii="Times New Roman" w:hAnsi="Times New Roman" w:cs="Times New Roman"/>
                <w:lang w:val="en-US" w:eastAsia="zh-CN"/>
              </w:rPr>
              <w:t>过</w:t>
            </w:r>
            <w:r>
              <w:rPr>
                <w:rFonts w:hint="default" w:ascii="Times New Roman" w:hAnsi="Times New Roman" w:cs="Times New Roman"/>
              </w:rPr>
              <w:t>程中，禁止野蛮作业，减少作业噪声。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（4）管理措施：建设方应对施工单位提出明确的噪声环境要求，要求施工单位制定科学、合理的施工方案和严格的生产管理制度。</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（5）加强对设备的维护、养护，闲置设备应立即关闭。尽可能采用外加工材料，减少现场加工的工作量。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固体废物污染防治措施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（1）</w:t>
            </w:r>
            <w:r>
              <w:rPr>
                <w:rFonts w:hint="default" w:ascii="Times New Roman" w:hAnsi="Times New Roman" w:cs="Times New Roman"/>
                <w:lang w:val="en-US" w:eastAsia="zh-CN"/>
              </w:rPr>
              <w:t>开挖临时堆土</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根据工程分析，本项目勘探期土石方主要由槽探开挖产生。开挖过程中同步采集勘探样品并外运留存，开挖土方临时堆置于探槽一侧，采用</w:t>
            </w:r>
            <w:r>
              <w:rPr>
                <w:rFonts w:hint="eastAsia" w:cs="Times New Roman"/>
                <w:lang w:val="en-US" w:eastAsia="zh-CN"/>
              </w:rPr>
              <w:t>彩布条</w:t>
            </w:r>
            <w:r>
              <w:rPr>
                <w:rFonts w:hint="default" w:ascii="Times New Roman" w:hAnsi="Times New Roman" w:cs="Times New Roman"/>
              </w:rPr>
              <w:t>苫盖防护。勘探工作结束后，取样剩余土石方全部原位回填并平整场地，现场无弃土产生，可有效防治水土流失，对周边环境影响较小。</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（2）钻井泥浆、岩屑</w:t>
            </w:r>
            <w:r>
              <w:rPr>
                <w:rFonts w:hint="default" w:ascii="Times New Roman" w:hAnsi="Times New Roman" w:cs="Times New Roman"/>
                <w:lang w:val="en-US" w:eastAsia="zh-CN"/>
              </w:rPr>
              <w:t>、沉淀池沉渣</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w:t>
            </w:r>
            <w:r>
              <w:rPr>
                <w:rFonts w:hint="eastAsia"/>
                <w:lang w:val="en-US" w:eastAsia="zh-CN"/>
              </w:rPr>
              <w:t>目</w:t>
            </w:r>
            <w:r>
              <w:rPr>
                <w:rFonts w:hint="default"/>
                <w:lang w:val="en-US" w:eastAsia="zh-CN"/>
              </w:rPr>
              <w:t>使用的泥浆为水基钻井泥浆，以膨润土、辅料粘土作为基础配浆材料，加入各种有机和无机材料形成的多种成分和相态共存的悬浮液。本项目采用的泥浆材料及处理剂具备无毒无害、可自然降解性能，不含易燃、易爆、有毒物质</w:t>
            </w:r>
            <w:r>
              <w:rPr>
                <w:rFonts w:hint="eastAsia"/>
                <w:lang w:val="en-US" w:eastAsia="zh-CN"/>
              </w:rPr>
              <w:t>，可</w:t>
            </w:r>
            <w:r>
              <w:rPr>
                <w:rFonts w:hint="default"/>
                <w:lang w:val="en-US" w:eastAsia="zh-CN"/>
              </w:rPr>
              <w:t>循环使用，固化后</w:t>
            </w:r>
            <w:r>
              <w:rPr>
                <w:rFonts w:hint="eastAsia"/>
                <w:lang w:val="en-US" w:eastAsia="zh-CN"/>
              </w:rPr>
              <w:t>拉运至一般固废处置单位统一处理</w:t>
            </w:r>
            <w:r>
              <w:rPr>
                <w:rFonts w:hint="default"/>
                <w:lang w:val="en-US" w:eastAsia="zh-CN"/>
              </w:rPr>
              <w:t>。岩屑用于回填</w:t>
            </w:r>
            <w:r>
              <w:rPr>
                <w:rFonts w:hint="eastAsia"/>
                <w:lang w:val="en-US" w:eastAsia="zh-CN"/>
              </w:rPr>
              <w:t>，</w:t>
            </w:r>
            <w:r>
              <w:rPr>
                <w:rFonts w:hint="default"/>
                <w:lang w:val="en-US" w:eastAsia="zh-CN"/>
              </w:rPr>
              <w:t>沉淀池沉渣采取就地掩埋的方式进行处理</w:t>
            </w:r>
            <w:r>
              <w:rPr>
                <w:rFonts w:hint="eastAsia"/>
                <w:lang w:val="en-US" w:eastAsia="zh-CN"/>
              </w:rPr>
              <w:t>，</w:t>
            </w:r>
            <w:r>
              <w:rPr>
                <w:rFonts w:hint="default"/>
                <w:lang w:val="en-US" w:eastAsia="zh-CN"/>
              </w:rPr>
              <w:t>废弃泥浆</w:t>
            </w:r>
            <w:r>
              <w:rPr>
                <w:rFonts w:hint="eastAsia"/>
                <w:lang w:val="en-US" w:eastAsia="zh-CN"/>
              </w:rPr>
              <w:t>、</w:t>
            </w:r>
            <w:r>
              <w:rPr>
                <w:rFonts w:hint="default"/>
                <w:lang w:val="en-US" w:eastAsia="zh-CN"/>
              </w:rPr>
              <w:t>岩屑</w:t>
            </w:r>
            <w:r>
              <w:rPr>
                <w:rFonts w:hint="eastAsia"/>
                <w:lang w:val="en-US" w:eastAsia="zh-CN"/>
              </w:rPr>
              <w:t>、沉淀池沉渣</w:t>
            </w:r>
            <w:r>
              <w:rPr>
                <w:rFonts w:hint="default"/>
                <w:lang w:val="en-US" w:eastAsia="zh-CN"/>
              </w:rPr>
              <w:t>的处置满足《一般工业固体废物贮存和填埋污染控制标准》（GB18599-2020）的要求。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（3）生活垃圾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shd w:val="clear" w:color="auto" w:fill="auto"/>
                <w:lang w:eastAsia="zh-CN"/>
              </w:rPr>
            </w:pPr>
            <w:r>
              <w:rPr>
                <w:rFonts w:hint="default" w:ascii="Times New Roman" w:hAnsi="Times New Roman" w:eastAsia="宋体" w:cs="Times New Roman"/>
                <w:lang w:val="en-US" w:eastAsia="zh-CN"/>
              </w:rPr>
              <w:t>本项目</w:t>
            </w:r>
            <w:r>
              <w:rPr>
                <w:rFonts w:hint="eastAsia" w:cs="Times New Roman"/>
                <w:lang w:val="en-US" w:eastAsia="zh-CN"/>
              </w:rPr>
              <w:t>施工期和</w:t>
            </w:r>
            <w:r>
              <w:rPr>
                <w:rFonts w:hint="default" w:ascii="Times New Roman" w:hAnsi="Times New Roman" w:eastAsia="宋体" w:cs="Times New Roman"/>
                <w:lang w:val="en-US" w:eastAsia="zh-CN"/>
              </w:rPr>
              <w:t>勘探期间施工人员生活垃圾产生总量约</w:t>
            </w:r>
            <w:r>
              <w:rPr>
                <w:rFonts w:hint="default" w:ascii="Times New Roman" w:hAnsi="Times New Roman" w:cs="Times New Roman"/>
                <w:lang w:val="en-US" w:eastAsia="zh-CN"/>
              </w:rPr>
              <w:t>为</w:t>
            </w:r>
            <w:r>
              <w:rPr>
                <w:rFonts w:hint="eastAsia" w:cs="Times New Roman"/>
                <w:lang w:val="en-US" w:eastAsia="zh-CN"/>
              </w:rPr>
              <w:t>0.1125</w:t>
            </w:r>
            <w:r>
              <w:rPr>
                <w:rFonts w:hint="default" w:ascii="Times New Roman" w:hAnsi="Times New Roman" w:cs="Times New Roman"/>
                <w:highlight w:val="none"/>
                <w:lang w:val="en-US" w:eastAsia="zh-CN"/>
              </w:rPr>
              <w:t>t</w:t>
            </w:r>
            <w:r>
              <w:rPr>
                <w:rFonts w:hint="eastAsia" w:cs="Times New Roman"/>
                <w:highlight w:val="none"/>
                <w:lang w:val="en-US" w:eastAsia="zh-CN"/>
              </w:rPr>
              <w:t>，</w:t>
            </w:r>
            <w:r>
              <w:rPr>
                <w:rFonts w:hint="default" w:ascii="Times New Roman" w:hAnsi="Times New Roman" w:cs="Times New Roman"/>
                <w:lang w:val="en-US" w:eastAsia="zh-CN"/>
              </w:rPr>
              <w:t>施工营地内设置一定数量的垃圾桶，用于临时存放生活垃圾，最终统一收集后</w:t>
            </w:r>
            <w:r>
              <w:rPr>
                <w:rFonts w:hint="default" w:ascii="Times New Roman" w:hAnsi="Times New Roman" w:cs="Times New Roman"/>
                <w:shd w:val="clear" w:color="auto" w:fill="auto"/>
                <w:lang w:val="en-US" w:eastAsia="zh-CN"/>
              </w:rPr>
              <w:t>送至</w:t>
            </w:r>
            <w:r>
              <w:rPr>
                <w:rFonts w:hint="eastAsia" w:cs="Times New Roman"/>
                <w:shd w:val="clear" w:color="auto" w:fill="auto"/>
                <w:lang w:val="en-US" w:eastAsia="zh-CN"/>
              </w:rPr>
              <w:t>和硕县</w:t>
            </w:r>
            <w:r>
              <w:rPr>
                <w:rFonts w:hint="default" w:ascii="Times New Roman" w:hAnsi="Times New Roman" w:cs="Times New Roman"/>
                <w:shd w:val="clear" w:color="auto" w:fill="auto"/>
                <w:lang w:val="en-US" w:eastAsia="zh-CN"/>
              </w:rPr>
              <w:t>垃圾填埋场</w:t>
            </w:r>
            <w:r>
              <w:rPr>
                <w:rFonts w:hint="default" w:ascii="Times New Roman" w:hAnsi="Times New Roman" w:cs="Times New Roman"/>
                <w:shd w:val="clear" w:color="auto" w:fill="auto"/>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采取以上防治措施后，探矿工作产生的固体废物对环境影响较小</w:t>
            </w:r>
            <w:r>
              <w:rPr>
                <w:rFonts w:hint="eastAsia" w:cs="Times New Roman"/>
                <w:lang w:eastAsia="zh-CN"/>
              </w:rPr>
              <w:t>，</w:t>
            </w:r>
            <w:r>
              <w:rPr>
                <w:rFonts w:hint="default" w:ascii="Times New Roman" w:hAnsi="Times New Roman" w:cs="Times New Roman"/>
              </w:rPr>
              <w:t>固废产生明细</w:t>
            </w:r>
            <w:r>
              <w:rPr>
                <w:rFonts w:hint="default" w:ascii="Times New Roman" w:hAnsi="Times New Roman" w:cs="Times New Roman"/>
                <w:lang w:eastAsia="zh-CN"/>
              </w:rPr>
              <w:t>见表</w:t>
            </w:r>
            <w:r>
              <w:rPr>
                <w:rFonts w:hint="default" w:ascii="Times New Roman" w:hAnsi="Times New Roman" w:cs="Times New Roman"/>
                <w:lang w:val="en-US" w:eastAsia="zh-CN"/>
              </w:rPr>
              <w:t>5-1。</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表5-1    项目固体废物产生情况明细</w:t>
            </w:r>
          </w:p>
          <w:tbl>
            <w:tblPr>
              <w:tblStyle w:val="26"/>
              <w:tblW w:w="50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65"/>
              <w:gridCol w:w="795"/>
              <w:gridCol w:w="1365"/>
              <w:gridCol w:w="1186"/>
              <w:gridCol w:w="663"/>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废物属性</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名称</w:t>
                  </w:r>
                </w:p>
              </w:tc>
              <w:tc>
                <w:tcPr>
                  <w:tcW w:w="517"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废物类别</w:t>
                  </w:r>
                </w:p>
              </w:tc>
              <w:tc>
                <w:tcPr>
                  <w:tcW w:w="88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废物代码</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产生量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（探矿期）</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危险特性</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2" w:hRule="atLeast"/>
                <w:jc w:val="center"/>
              </w:trPr>
              <w:tc>
                <w:tcPr>
                  <w:tcW w:w="421"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一般固废</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开挖土石</w:t>
                  </w:r>
                </w:p>
              </w:tc>
              <w:tc>
                <w:tcPr>
                  <w:tcW w:w="517"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w:t>
                  </w:r>
                  <w:r>
                    <w:rPr>
                      <w:rFonts w:hint="eastAsia" w:cs="Times New Roman"/>
                      <w:highlight w:val="none"/>
                      <w:lang w:val="en-US" w:eastAsia="zh-CN"/>
                    </w:rPr>
                    <w:t>59</w:t>
                  </w:r>
                </w:p>
              </w:tc>
              <w:tc>
                <w:tcPr>
                  <w:tcW w:w="888"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900-099-S</w:t>
                  </w:r>
                  <w:r>
                    <w:rPr>
                      <w:rFonts w:hint="eastAsia" w:cs="Times New Roman"/>
                      <w:highlight w:val="none"/>
                      <w:lang w:val="en-US" w:eastAsia="zh-CN"/>
                    </w:rPr>
                    <w:t>59</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230</w:t>
                  </w:r>
                  <w:r>
                    <w:rPr>
                      <w:rFonts w:hint="default" w:ascii="Times New Roman" w:hAnsi="Times New Roman" w:cs="Times New Roman"/>
                      <w:highlight w:val="none"/>
                      <w:lang w:eastAsia="zh-CN"/>
                    </w:rPr>
                    <w:t>m</w:t>
                  </w:r>
                  <w:r>
                    <w:rPr>
                      <w:rFonts w:hint="default" w:ascii="Times New Roman" w:hAnsi="Times New Roman" w:cs="Times New Roman"/>
                      <w:highlight w:val="none"/>
                      <w:vertAlign w:val="superscript"/>
                      <w:lang w:eastAsia="zh-CN"/>
                    </w:rPr>
                    <w:t>3</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highlight w:val="none"/>
                      <w:lang w:val="en-US" w:eastAsia="zh-CN"/>
                    </w:rPr>
                    <w:t>钻井岩屑</w:t>
                  </w:r>
                </w:p>
              </w:tc>
              <w:tc>
                <w:tcPr>
                  <w:tcW w:w="517"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888"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3.68</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3</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钻井泥浆</w:t>
                  </w:r>
                </w:p>
              </w:tc>
              <w:tc>
                <w:tcPr>
                  <w:tcW w:w="517"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SW71</w:t>
                  </w:r>
                </w:p>
              </w:tc>
              <w:tc>
                <w:tcPr>
                  <w:tcW w:w="888"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900-001-S71</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0.6</w:t>
                  </w:r>
                  <w:r>
                    <w:rPr>
                      <w:rFonts w:hint="default" w:ascii="Times New Roman" w:hAnsi="Times New Roman" w:cs="Times New Roman"/>
                      <w:highlight w:val="none"/>
                      <w:lang w:val="en-US" w:eastAsia="zh-CN"/>
                    </w:rPr>
                    <w:t>t</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钻井泥浆固化后</w:t>
                  </w:r>
                  <w:r>
                    <w:rPr>
                      <w:rFonts w:hint="eastAsia" w:cs="Times New Roman"/>
                      <w:highlight w:val="none"/>
                      <w:lang w:val="en-US" w:eastAsia="zh-CN"/>
                    </w:rPr>
                    <w:t>拉运至一般固废处置单位统一处理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沉淀池沉渣</w:t>
                  </w:r>
                </w:p>
              </w:tc>
              <w:tc>
                <w:tcPr>
                  <w:tcW w:w="51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SW</w:t>
                  </w:r>
                  <w:r>
                    <w:rPr>
                      <w:rFonts w:hint="eastAsia" w:cs="Times New Roman"/>
                      <w:kern w:val="2"/>
                      <w:sz w:val="21"/>
                      <w:szCs w:val="21"/>
                      <w:lang w:val="en-US" w:eastAsia="zh-CN" w:bidi="ar-SA"/>
                    </w:rPr>
                    <w:t>59</w:t>
                  </w:r>
                </w:p>
              </w:tc>
              <w:tc>
                <w:tcPr>
                  <w:tcW w:w="88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900-099-S</w:t>
                  </w:r>
                  <w:r>
                    <w:rPr>
                      <w:rFonts w:hint="eastAsia" w:cs="Times New Roman"/>
                      <w:kern w:val="2"/>
                      <w:sz w:val="21"/>
                      <w:szCs w:val="21"/>
                      <w:lang w:val="en-US" w:eastAsia="zh-CN" w:bidi="ar-SA"/>
                    </w:rPr>
                    <w:t>59</w:t>
                  </w:r>
                </w:p>
              </w:tc>
              <w:tc>
                <w:tcPr>
                  <w:tcW w:w="771"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0.1t</w:t>
                  </w:r>
                </w:p>
              </w:tc>
              <w:tc>
                <w:tcPr>
                  <w:tcW w:w="431"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w:t>
                  </w:r>
                </w:p>
              </w:tc>
              <w:tc>
                <w:tcPr>
                  <w:tcW w:w="1276"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生活垃圾</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生活垃圾</w:t>
                  </w:r>
                </w:p>
              </w:tc>
              <w:tc>
                <w:tcPr>
                  <w:tcW w:w="517"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SW62</w:t>
                  </w:r>
                </w:p>
              </w:tc>
              <w:tc>
                <w:tcPr>
                  <w:tcW w:w="88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900-001-S62</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900-002-S62</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0.1125</w:t>
                  </w:r>
                  <w:r>
                    <w:rPr>
                      <w:rFonts w:hint="default" w:ascii="Times New Roman" w:hAnsi="Times New Roman" w:cs="Times New Roman"/>
                      <w:highlight w:val="none"/>
                      <w:lang w:val="en-US" w:eastAsia="zh-CN"/>
                    </w:rPr>
                    <w:t>t</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shd w:val="clear" w:color="auto" w:fill="auto"/>
                      <w:lang w:val="en-US" w:eastAsia="zh-CN"/>
                    </w:rPr>
                    <w:t>统一收集后送至</w:t>
                  </w:r>
                  <w:r>
                    <w:rPr>
                      <w:rFonts w:hint="eastAsia" w:cs="Times New Roman"/>
                      <w:highlight w:val="none"/>
                      <w:shd w:val="clear" w:color="auto" w:fill="auto"/>
                      <w:lang w:val="en-US" w:eastAsia="zh-CN"/>
                    </w:rPr>
                    <w:t>和硕县</w:t>
                  </w:r>
                  <w:r>
                    <w:rPr>
                      <w:rFonts w:hint="default" w:ascii="Times New Roman" w:hAnsi="Times New Roman" w:cs="Times New Roman"/>
                      <w:highlight w:val="none"/>
                      <w:shd w:val="clear" w:color="auto" w:fill="auto"/>
                      <w:lang w:val="en-US" w:eastAsia="zh-CN"/>
                    </w:rPr>
                    <w:t>垃圾填埋场</w:t>
                  </w:r>
                </w:p>
              </w:tc>
            </w:tr>
          </w:tbl>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w:t>
            </w:r>
            <w:r>
              <w:rPr>
                <w:rFonts w:hint="default"/>
              </w:rPr>
              <w:t>环境风险分析</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7.1</w:t>
            </w:r>
            <w:r>
              <w:rPr>
                <w:rFonts w:hint="default"/>
              </w:rPr>
              <w:t>风险识别</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kern w:val="0"/>
                <w:sz w:val="24"/>
                <w:szCs w:val="24"/>
              </w:rPr>
            </w:pPr>
            <w:r>
              <w:rPr>
                <w:rStyle w:val="49"/>
                <w:rFonts w:hint="default" w:ascii="Times New Roman" w:hAnsi="Times New Roman" w:cs="Times New Roman"/>
              </w:rPr>
              <w:t>环境风险是指突发性事故造成的重大环境污染的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default" w:ascii="Times New Roman" w:hAnsi="Times New Roman" w:cs="Times New Roman"/>
                <w:kern w:val="0"/>
                <w:sz w:val="24"/>
                <w:szCs w:val="24"/>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矿区勘探不涉及爆破，项目运营过程中存在钻探诱发地质灾害的环境风险。在钻探过程中，若分层高度过大，受到大气降水、岩层中的裂隙等因素的综合影响，可能在钻探边坡上诱发和加剧掉块、崩塌等地质灾害，勘探区遭遇百年洪水灾害或其他不可抗力的自然灾害，危害工作人员及设备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项目区设</w:t>
            </w:r>
            <w:r>
              <w:rPr>
                <w:rFonts w:hint="default" w:ascii="Times New Roman" w:hAnsi="Times New Roman" w:eastAsia="宋体" w:cs="Times New Roman"/>
                <w:bCs/>
                <w:kern w:val="0"/>
                <w:sz w:val="24"/>
                <w:szCs w:val="24"/>
                <w:lang w:val="en-US" w:eastAsia="zh-CN"/>
              </w:rPr>
              <w:t>有</w:t>
            </w:r>
            <w:r>
              <w:rPr>
                <w:rFonts w:hint="default" w:ascii="Times New Roman" w:hAnsi="Times New Roman" w:eastAsia="宋体" w:cs="Times New Roman"/>
                <w:bCs/>
                <w:kern w:val="0"/>
                <w:sz w:val="24"/>
                <w:szCs w:val="24"/>
              </w:rPr>
              <w:t>柴油存放区，</w:t>
            </w:r>
            <w:r>
              <w:rPr>
                <w:rFonts w:hint="default" w:ascii="Times New Roman" w:hAnsi="Times New Roman" w:eastAsia="宋体" w:cs="Times New Roman"/>
                <w:bCs/>
                <w:kern w:val="0"/>
                <w:sz w:val="24"/>
                <w:szCs w:val="24"/>
                <w:lang w:val="en-US" w:eastAsia="zh-CN"/>
              </w:rPr>
              <w:t>柴油属于风险物质，</w:t>
            </w:r>
            <w:r>
              <w:rPr>
                <w:rFonts w:hint="default" w:ascii="Times New Roman" w:hAnsi="Times New Roman" w:eastAsia="宋体" w:cs="Times New Roman"/>
                <w:bCs/>
                <w:kern w:val="0"/>
                <w:sz w:val="24"/>
                <w:szCs w:val="24"/>
                <w:lang w:eastAsia="zh-CN"/>
              </w:rPr>
              <w:t>危险物质及分布情况见</w:t>
            </w:r>
            <w:r>
              <w:rPr>
                <w:rFonts w:hint="default" w:ascii="Times New Roman" w:hAnsi="Times New Roman" w:eastAsia="宋体" w:cs="Times New Roman"/>
                <w:bCs/>
                <w:kern w:val="0"/>
                <w:sz w:val="24"/>
                <w:szCs w:val="24"/>
                <w:lang w:val="en-US" w:eastAsia="zh-CN"/>
              </w:rPr>
              <w:t>下</w:t>
            </w:r>
            <w:r>
              <w:rPr>
                <w:rFonts w:hint="default" w:ascii="Times New Roman" w:hAnsi="Times New Roman" w:eastAsia="宋体" w:cs="Times New Roman"/>
                <w:bCs/>
                <w:kern w:val="0"/>
                <w:sz w:val="24"/>
                <w:szCs w:val="24"/>
                <w:lang w:eastAsia="zh-CN"/>
              </w:rPr>
              <w:t>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表5-2    危险物质及分布情况</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003"/>
              <w:gridCol w:w="1302"/>
              <w:gridCol w:w="1239"/>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危险物质</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最大储存量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w:t>
                  </w:r>
                  <w:r>
                    <w:rPr>
                      <w:rFonts w:hint="eastAsia" w:cs="Times New Roman"/>
                      <w:lang w:val="en-US" w:eastAsia="zh-CN"/>
                    </w:rPr>
                    <w:t>探矿期</w:t>
                  </w:r>
                  <w:r>
                    <w:rPr>
                      <w:rFonts w:hint="default" w:ascii="Times New Roman" w:hAnsi="Times New Roman" w:cs="Times New Roman"/>
                      <w:lang w:val="en-US" w:eastAsia="zh-CN"/>
                    </w:rPr>
                    <w:t>）</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储存方式</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临界量（t）</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2.5</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桶装</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2500</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w:t>
                  </w:r>
                  <w:r>
                    <w:rPr>
                      <w:rFonts w:hint="eastAsia" w:cs="Times New Roman"/>
                      <w:vertAlign w:val="superscript"/>
                      <w:lang w:val="en-US" w:eastAsia="zh-CN"/>
                    </w:rPr>
                    <w:t>3</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本项目危险物质理化性质见下表。</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表5-3    </w:t>
            </w:r>
            <w:r>
              <w:rPr>
                <w:rFonts w:hint="default"/>
              </w:rPr>
              <w:t>物质危险性分析</w:t>
            </w:r>
          </w:p>
          <w:tbl>
            <w:tblPr>
              <w:tblStyle w:val="25"/>
              <w:tblW w:w="505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79"/>
              <w:gridCol w:w="1566"/>
              <w:gridCol w:w="515"/>
              <w:gridCol w:w="4113"/>
              <w:gridCol w:w="8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物质名称</w:t>
                  </w:r>
                </w:p>
              </w:tc>
              <w:tc>
                <w:tcPr>
                  <w:tcW w:w="1025"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理化性质</w:t>
                  </w:r>
                </w:p>
              </w:tc>
              <w:tc>
                <w:tcPr>
                  <w:tcW w:w="337"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物质类型</w:t>
                  </w:r>
                </w:p>
              </w:tc>
              <w:tc>
                <w:tcPr>
                  <w:tcW w:w="2693"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危险性描述</w:t>
                  </w:r>
                </w:p>
              </w:tc>
              <w:tc>
                <w:tcPr>
                  <w:tcW w:w="564"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025"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易燃液体</w:t>
                  </w:r>
                </w:p>
              </w:tc>
              <w:tc>
                <w:tcPr>
                  <w:tcW w:w="2693"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柴油发电机液体燃料，用于整个钻井过程</w:t>
                  </w:r>
                </w:p>
              </w:tc>
            </w:tr>
          </w:tbl>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7.2环境风险潜势与评价等级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（1）环境风险潜势划分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5-4</w:t>
            </w:r>
            <w:r>
              <w:rPr>
                <w:rFonts w:hint="default"/>
              </w:rPr>
              <w:t xml:space="preserve">  </w:t>
            </w:r>
            <w:r>
              <w:rPr>
                <w:rFonts w:hint="default"/>
                <w:lang w:val="en-US" w:eastAsia="zh-CN"/>
              </w:rPr>
              <w:t xml:space="preserve"> </w:t>
            </w:r>
            <w:r>
              <w:rPr>
                <w:rFonts w:hint="default"/>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4" w:type="dxa"/>
                <w:left w:w="108" w:type="dxa"/>
                <w:bottom w:w="0" w:type="dxa"/>
                <w:right w:w="2" w:type="dxa"/>
              </w:tblCellMar>
            </w:tblPr>
            <w:tblGrid>
              <w:gridCol w:w="2056"/>
              <w:gridCol w:w="1371"/>
              <w:gridCol w:w="1358"/>
              <w:gridCol w:w="1359"/>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1361"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环境敏感程度（E）</w:t>
                  </w:r>
                </w:p>
              </w:tc>
              <w:tc>
                <w:tcPr>
                  <w:tcW w:w="3638" w:type="pct"/>
                  <w:gridSpan w:val="4"/>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极高危害（P1）</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高度危害（P2）</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中度危害（P3）</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环境高度敏感区（E1）</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rPr>
                    <w:t>环境中度敏感区（E2</w:t>
                  </w:r>
                  <w:r>
                    <w:rPr>
                      <w:rFonts w:hint="default" w:ascii="Times New Roman" w:hAnsi="Times New Roman" w:cs="Times New Roman"/>
                      <w:lang w:eastAsia="zh-CN"/>
                    </w:rPr>
                    <w:t>）</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环境低度敏感区（E3）</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2" w:hRule="atLeast"/>
              </w:trPr>
              <w:tc>
                <w:tcPr>
                  <w:tcW w:w="5000" w:type="pct"/>
                  <w:gridSpan w:val="5"/>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注：Ⅳ+为极高环境风险</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w:t>
            </w:r>
            <w:r>
              <w:rPr>
                <w:rFonts w:hint="default" w:ascii="Times New Roman" w:hAnsi="Times New Roman" w:eastAsia="宋体" w:cs="Times New Roman"/>
                <w:bCs/>
                <w:kern w:val="0"/>
                <w:sz w:val="24"/>
                <w:szCs w:val="24"/>
                <w:lang w:eastAsia="zh-CN"/>
              </w:rPr>
              <w:t>柴油为</w:t>
            </w:r>
            <w:r>
              <w:rPr>
                <w:rFonts w:hint="default" w:ascii="Times New Roman" w:hAnsi="Times New Roman" w:eastAsia="宋体" w:cs="Times New Roman"/>
                <w:bCs/>
                <w:kern w:val="0"/>
                <w:sz w:val="24"/>
                <w:szCs w:val="24"/>
              </w:rPr>
              <w:t>风险物质，Q值</w:t>
            </w:r>
            <w:r>
              <w:rPr>
                <w:rFonts w:hint="default" w:ascii="Times New Roman" w:hAnsi="Times New Roman" w:eastAsia="宋体" w:cs="Times New Roman"/>
                <w:bCs/>
                <w:kern w:val="0"/>
                <w:sz w:val="24"/>
                <w:szCs w:val="24"/>
                <w:lang w:eastAsia="zh-CN"/>
              </w:rPr>
              <w:t>小于</w:t>
            </w:r>
            <w:r>
              <w:rPr>
                <w:rFonts w:hint="default" w:ascii="Times New Roman" w:hAnsi="Times New Roman" w:eastAsia="宋体" w:cs="Times New Roman"/>
                <w:bCs/>
                <w:kern w:val="0"/>
                <w:sz w:val="24"/>
                <w:szCs w:val="24"/>
                <w:lang w:val="en-US" w:eastAsia="zh-CN"/>
              </w:rPr>
              <w:t>1</w:t>
            </w:r>
            <w:r>
              <w:rPr>
                <w:rFonts w:hint="default" w:ascii="Times New Roman" w:hAnsi="Times New Roman" w:eastAsia="宋体" w:cs="Times New Roman"/>
                <w:bCs/>
                <w:kern w:val="0"/>
                <w:sz w:val="24"/>
                <w:szCs w:val="24"/>
              </w:rPr>
              <w:t>，风险潜势为I。</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（2）评价等级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rPr>
              <w:t>可开展简单分析。具体</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lang w:eastAsia="zh-CN"/>
              </w:rPr>
              <w:t>。</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5-5</w:t>
            </w:r>
            <w:r>
              <w:rPr>
                <w:rFonts w:hint="default"/>
              </w:rPr>
              <w:t xml:space="preserve">  </w:t>
            </w:r>
            <w:r>
              <w:rPr>
                <w:rFonts w:hint="default"/>
                <w:lang w:val="en-US" w:eastAsia="zh-CN"/>
              </w:rPr>
              <w:t xml:space="preserve"> </w:t>
            </w:r>
            <w:r>
              <w:rPr>
                <w:rFonts w:hint="default"/>
              </w:rPr>
              <w:t xml:space="preserve"> 评价工作等级划分</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509"/>
              <w:gridCol w:w="1512"/>
              <w:gridCol w:w="1511"/>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环境风险潜势</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Ⅳ</w:t>
                  </w:r>
                  <w:r>
                    <w:rPr>
                      <w:rFonts w:hint="default" w:ascii="Times New Roman" w:hAnsi="Times New Roman" w:cs="Times New Roman"/>
                    </w:rPr>
                    <w:t>、IV+</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Ⅲ</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II</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评价工作等级</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一</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二</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三</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*是相对于详细评价工作内容而言，在描述危险物质、环境影响途径、环境危害后果、风险防范措施等</w:t>
                  </w:r>
                  <w:r>
                    <w:rPr>
                      <w:rFonts w:hint="default" w:ascii="Times New Roman" w:hAnsi="Times New Roman" w:cs="Times New Roman"/>
                      <w:lang w:eastAsia="zh-CN"/>
                    </w:rPr>
                    <w:t>方</w:t>
                  </w:r>
                  <w:r>
                    <w:rPr>
                      <w:rFonts w:hint="default" w:ascii="Times New Roman" w:hAnsi="Times New Roman" w:cs="Times New Roman"/>
                    </w:rPr>
                    <w:t>面给出定性的说明。</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rPr>
              <w:t>本项目风险潜势为I，故本项目需进行简单分析。</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7.3</w:t>
            </w:r>
            <w:r>
              <w:rPr>
                <w:rFonts w:hint="default"/>
              </w:rPr>
              <w:t>风险防范措施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1）柴油使用油桶盛装，存放在生活营地内设的柴油贮存</w:t>
            </w:r>
            <w:r>
              <w:rPr>
                <w:rFonts w:hint="default" w:ascii="Times New Roman" w:hAnsi="Times New Roman" w:cs="Times New Roman"/>
                <w:bCs/>
                <w:kern w:val="0"/>
                <w:sz w:val="24"/>
                <w:szCs w:val="24"/>
                <w:lang w:val="en-US" w:eastAsia="zh-CN"/>
              </w:rPr>
              <w:t>点</w:t>
            </w:r>
            <w:r>
              <w:rPr>
                <w:rFonts w:hint="default" w:ascii="Times New Roman" w:hAnsi="Times New Roman" w:eastAsia="宋体" w:cs="Times New Roman"/>
                <w:bCs/>
                <w:kern w:val="0"/>
                <w:sz w:val="24"/>
                <w:szCs w:val="24"/>
                <w:lang w:val="en-US" w:eastAsia="zh-CN"/>
              </w:rPr>
              <w:t>，安排专人管理，贮存区地面简单铺设防渗</w:t>
            </w:r>
            <w:r>
              <w:rPr>
                <w:rFonts w:hint="eastAsia" w:cs="Times New Roman"/>
                <w:bCs/>
                <w:kern w:val="0"/>
                <w:sz w:val="24"/>
                <w:szCs w:val="24"/>
                <w:lang w:val="en-US" w:eastAsia="zh-CN"/>
              </w:rPr>
              <w:t>托盘</w:t>
            </w:r>
            <w:r>
              <w:rPr>
                <w:rFonts w:hint="default" w:ascii="Times New Roman" w:hAnsi="Times New Roman" w:eastAsia="宋体" w:cs="Times New Roman"/>
                <w:bCs/>
                <w:kern w:val="0"/>
                <w:sz w:val="24"/>
                <w:szCs w:val="24"/>
                <w:lang w:val="en-US" w:eastAsia="zh-CN"/>
              </w:rPr>
              <w:t>。满足相应防</w:t>
            </w:r>
            <w:r>
              <w:rPr>
                <w:rFonts w:hint="default" w:ascii="Times New Roman" w:hAnsi="Times New Roman" w:cs="Times New Roman"/>
                <w:bCs/>
                <w:kern w:val="0"/>
                <w:sz w:val="24"/>
                <w:szCs w:val="24"/>
                <w:lang w:val="en-US" w:eastAsia="zh-CN"/>
              </w:rPr>
              <w:t>日晒</w:t>
            </w:r>
            <w:r>
              <w:rPr>
                <w:rFonts w:hint="default" w:ascii="Times New Roman" w:hAnsi="Times New Roman" w:eastAsia="宋体" w:cs="Times New Roman"/>
                <w:bCs/>
                <w:kern w:val="0"/>
                <w:sz w:val="24"/>
                <w:szCs w:val="24"/>
                <w:lang w:val="en-US" w:eastAsia="zh-CN"/>
              </w:rPr>
              <w:t>、防</w:t>
            </w:r>
            <w:r>
              <w:rPr>
                <w:rFonts w:hint="default" w:ascii="Times New Roman" w:hAnsi="Times New Roman" w:cs="Times New Roman"/>
                <w:bCs/>
                <w:kern w:val="0"/>
                <w:sz w:val="24"/>
                <w:szCs w:val="24"/>
                <w:lang w:val="en-US" w:eastAsia="zh-CN"/>
              </w:rPr>
              <w:t>雨淋</w:t>
            </w:r>
            <w:r>
              <w:rPr>
                <w:rFonts w:hint="default" w:ascii="Times New Roman" w:hAnsi="Times New Roman" w:eastAsia="宋体" w:cs="Times New Roman"/>
                <w:bCs/>
                <w:kern w:val="0"/>
                <w:sz w:val="24"/>
                <w:szCs w:val="24"/>
                <w:lang w:val="en-US" w:eastAsia="zh-CN"/>
              </w:rPr>
              <w:t>、防渗漏及其他环境污染防控要求</w:t>
            </w:r>
            <w:r>
              <w:rPr>
                <w:rFonts w:hint="default" w:ascii="Times New Roman" w:hAnsi="Times New Roman" w:cs="Times New Roman"/>
                <w:bCs/>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2</w:t>
            </w:r>
            <w:r>
              <w:rPr>
                <w:rFonts w:hint="default" w:ascii="Times New Roman" w:hAnsi="Times New Roman" w:eastAsia="宋体" w:cs="Times New Roman"/>
                <w:bCs/>
                <w:kern w:val="0"/>
                <w:sz w:val="24"/>
                <w:szCs w:val="24"/>
                <w:lang w:eastAsia="zh-CN"/>
              </w:rPr>
              <w:t>）加强柴油管理，使用时远离火源。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3）油品</w:t>
            </w:r>
            <w:r>
              <w:rPr>
                <w:rFonts w:hint="default" w:ascii="Times New Roman" w:hAnsi="Times New Roman" w:eastAsia="宋体" w:cs="Times New Roman"/>
                <w:bCs/>
                <w:kern w:val="0"/>
                <w:sz w:val="24"/>
                <w:szCs w:val="24"/>
                <w:lang w:eastAsia="zh-CN"/>
              </w:rPr>
              <w:t>发生泄漏时，及时用吸油毡吸附并放置到密闭的容器中储存，防止接触火源引发火灾。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4）</w:t>
            </w:r>
            <w:r>
              <w:rPr>
                <w:rFonts w:hint="default" w:ascii="Times New Roman" w:hAnsi="Times New Roman" w:eastAsia="宋体" w:cs="Times New Roman"/>
                <w:bCs/>
                <w:kern w:val="0"/>
                <w:sz w:val="24"/>
                <w:szCs w:val="24"/>
              </w:rPr>
              <w:t>制定事故应急救援方案，发生事故时，及时采取应急行动，保护工作人员及周边人员安全，并防止事故扩大，最大限度地减少事故损失。</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7.4</w:t>
            </w:r>
            <w:r>
              <w:rPr>
                <w:rFonts w:hint="default"/>
              </w:rPr>
              <w:t>环境风险评价结论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本项目环境风险开展简单分析。具体内容</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rPr>
              <w:t>。</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5-6</w:t>
            </w:r>
            <w:r>
              <w:rPr>
                <w:rFonts w:hint="default"/>
              </w:rPr>
              <w:t xml:space="preserve">   </w:t>
            </w:r>
            <w:r>
              <w:rPr>
                <w:rFonts w:hint="eastAsia"/>
                <w:lang w:val="en-US" w:eastAsia="zh-CN"/>
              </w:rPr>
              <w:t xml:space="preserve"> </w:t>
            </w:r>
            <w:r>
              <w:rPr>
                <w:rFonts w:hint="default"/>
              </w:rPr>
              <w:t>建设项目环境风险简单分析内容表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6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建设项目名称</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rPr>
                  </w:pPr>
                  <w:r>
                    <w:rPr>
                      <w:rFonts w:hint="eastAsia" w:cs="Times New Roman"/>
                      <w:highlight w:val="none"/>
                      <w:lang w:val="en-US" w:eastAsia="zh-CN"/>
                    </w:rPr>
                    <w:t>新疆和硕县塔西干河西铜铅矿勘探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建设地点</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eastAsia" w:cs="Times New Roman"/>
                      <w:highlight w:val="none"/>
                      <w:lang w:val="en-US" w:eastAsia="zh-CN"/>
                    </w:rPr>
                    <w:t>新疆维吾尔自治区巴音郭楞蒙古自治州和硕县城东北27°方向，直线距离47千米处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地理坐标</w:t>
                  </w:r>
                </w:p>
              </w:tc>
              <w:tc>
                <w:tcPr>
                  <w:tcW w:w="398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E：87°9′1.994″″，N：42°41′12.898″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主要危险物质及分布</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环境影响途径及危害后果（大气、地表水、地下水）</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CN"/>
                    </w:rPr>
                    <w:t>勘探</w:t>
                  </w:r>
                  <w:r>
                    <w:rPr>
                      <w:rFonts w:hint="default" w:ascii="Times New Roman" w:hAnsi="Times New Roman" w:cs="Times New Roman"/>
                    </w:rPr>
                    <w:t>过程</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勘探</w:t>
                  </w:r>
                  <w:r>
                    <w:rPr>
                      <w:rFonts w:hint="default" w:ascii="Times New Roman" w:hAnsi="Times New Roman" w:cs="Times New Roman"/>
                    </w:rPr>
                    <w:t>过程引发自然地质灾害。</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2）泄漏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油桶破损导致柴油泄漏，污染周边地下水和土壤。</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（2）火灾</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火灾的危害主要来自三方面，一是火源</w:t>
                  </w:r>
                  <w:r>
                    <w:rPr>
                      <w:rFonts w:hint="default" w:ascii="Times New Roman" w:hAnsi="Times New Roman" w:cs="Times New Roman"/>
                      <w:lang w:eastAsia="zh-CN"/>
                    </w:rPr>
                    <w:t>失去</w:t>
                  </w:r>
                  <w:r>
                    <w:rPr>
                      <w:rFonts w:hint="default" w:ascii="Times New Roman" w:hAnsi="Times New Roman" w:cs="Times New Roman"/>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风险防范措施要求</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（1）制定环境风险管理制度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建设单位需制定《环境保护责任制》《安全环保风险管理制度》，可满足企业环境风险管理要求，但是制度需要在执行中检验其可操作性。</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（2）风险防控及应急措施</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为防止可能出现的风险事故，项目需在总图布局、工艺技术与自动控制、电气配置等方面采取风险防范措施，需制定应急处理及救援预案。</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（3）环境应急资源</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应按照制定的《安全环保风险管理制度》购置相应的环境风险应急资源，成立应急救援队伍。</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（4）环境风险演练和培训</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填表说明：</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根据本项目污染物特性，本项目应建立独立的环境风险应急预案，并</w:t>
                  </w:r>
                  <w:r>
                    <w:rPr>
                      <w:rFonts w:hint="default" w:ascii="Times New Roman" w:hAnsi="Times New Roman" w:cs="Times New Roman"/>
                      <w:lang w:eastAsia="zh-CN"/>
                    </w:rPr>
                    <w:t>报当</w:t>
                  </w:r>
                  <w:r>
                    <w:rPr>
                      <w:rFonts w:hint="default" w:ascii="Times New Roman" w:hAnsi="Times New Roman" w:cs="Times New Roman"/>
                    </w:rPr>
                    <w:t>地环境主管部门备案。</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sz w:val="24"/>
                <w:highlight w:val="none"/>
                <w:lang w:eastAsia="zh-CN"/>
              </w:rPr>
            </w:pPr>
            <w:r>
              <w:rPr>
                <w:rFonts w:hint="default" w:ascii="Times New Roman" w:hAnsi="Times New Roman" w:eastAsia="宋体" w:cs="Times New Roman"/>
                <w:bCs/>
                <w:kern w:val="0"/>
                <w:sz w:val="24"/>
                <w:szCs w:val="24"/>
              </w:rPr>
              <w:t>根据上述分析，本项目环境风险是可防控的。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8.</w:t>
            </w:r>
            <w:r>
              <w:rPr>
                <w:rFonts w:hint="default" w:ascii="Times New Roman" w:hAnsi="Times New Roman" w:cs="Times New Roman"/>
                <w:lang w:eastAsia="zh-CN"/>
              </w:rPr>
              <w:t>勘</w:t>
            </w:r>
            <w:r>
              <w:rPr>
                <w:rFonts w:hint="default" w:ascii="Times New Roman" w:hAnsi="Times New Roman" w:cs="Times New Roman"/>
                <w:lang w:val="en-US" w:eastAsia="zh-CN"/>
              </w:rPr>
              <w:t>查</w:t>
            </w:r>
            <w:r>
              <w:rPr>
                <w:rFonts w:hint="default" w:ascii="Times New Roman" w:hAnsi="Times New Roman" w:cs="Times New Roman"/>
                <w:lang w:eastAsia="zh-CN"/>
              </w:rPr>
              <w:t>期环境影响综合结论</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9.</w:t>
            </w:r>
            <w:r>
              <w:rPr>
                <w:rFonts w:hint="default" w:ascii="Times New Roman" w:hAnsi="Times New Roman" w:cs="Times New Roman"/>
                <w:lang w:eastAsia="zh-CN"/>
              </w:rPr>
              <w:t>生态影响恢复措施的合理性和可行性分析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由于本项目位于高海拔地区，生态环境较脆弱，应特别注重勘探区的生态恢复。探槽开挖的临时弃土就地堆放在探槽</w:t>
            </w:r>
            <w:r>
              <w:rPr>
                <w:rFonts w:hint="default" w:ascii="Times New Roman" w:hAnsi="Times New Roman" w:cs="Times New Roman"/>
                <w:lang w:val="en-US" w:eastAsia="zh-CN"/>
              </w:rPr>
              <w:t>一</w:t>
            </w:r>
            <w:r>
              <w:rPr>
                <w:rFonts w:hint="default" w:ascii="Times New Roman" w:hAnsi="Times New Roman" w:cs="Times New Roman"/>
                <w:lang w:eastAsia="zh-CN"/>
              </w:rPr>
              <w:t>侧，并用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（1）经济可行性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本项目生态恢复措施</w:t>
            </w:r>
            <w:r>
              <w:rPr>
                <w:rFonts w:hint="default" w:ascii="Times New Roman" w:hAnsi="Times New Roman" w:cs="Times New Roman"/>
                <w:lang w:val="en-US" w:eastAsia="zh-CN"/>
              </w:rPr>
              <w:t>主要为</w:t>
            </w:r>
            <w:r>
              <w:rPr>
                <w:rFonts w:hint="default" w:ascii="Times New Roman" w:hAnsi="Times New Roman" w:cs="Times New Roman"/>
                <w:lang w:eastAsia="zh-CN"/>
              </w:rPr>
              <w:t>工程措施，对临时堆土采用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。工程完成后，对施工迹地和</w:t>
            </w:r>
            <w:r>
              <w:rPr>
                <w:rFonts w:hint="default" w:ascii="Times New Roman" w:hAnsi="Times New Roman" w:cs="Times New Roman"/>
                <w:lang w:val="en-US" w:eastAsia="zh-CN"/>
              </w:rPr>
              <w:t>临时堆土区进行土地平整，恢复原有地貌。</w:t>
            </w:r>
            <w:r>
              <w:rPr>
                <w:rFonts w:hint="default" w:ascii="Times New Roman" w:hAnsi="Times New Roman" w:cs="Times New Roman"/>
                <w:lang w:eastAsia="zh-CN"/>
              </w:rPr>
              <w:t>工程措施简单易行，所需设备材料价格合理。</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highlight w:val="none"/>
                <w:lang w:val="en-US" w:eastAsia="zh-CN"/>
              </w:rPr>
              <w:t>项目总投资为</w:t>
            </w:r>
            <w:r>
              <w:rPr>
                <w:rFonts w:hint="eastAsia" w:cs="Times New Roman"/>
                <w:highlight w:val="none"/>
                <w:lang w:val="en-US" w:eastAsia="zh-CN"/>
              </w:rPr>
              <w:t>432.83</w:t>
            </w:r>
            <w:r>
              <w:rPr>
                <w:rFonts w:hint="default" w:ascii="Times New Roman" w:hAnsi="Times New Roman" w:cs="Times New Roman"/>
                <w:highlight w:val="none"/>
                <w:lang w:val="en-US" w:eastAsia="zh-CN"/>
              </w:rPr>
              <w:t>万元，环保投资为</w:t>
            </w:r>
            <w:r>
              <w:rPr>
                <w:rFonts w:hint="eastAsia" w:cs="Times New Roman"/>
                <w:highlight w:val="none"/>
                <w:lang w:val="en-US" w:eastAsia="zh-CN"/>
              </w:rPr>
              <w:t>15.7</w:t>
            </w:r>
            <w:r>
              <w:rPr>
                <w:rFonts w:hint="default" w:ascii="Times New Roman" w:hAnsi="Times New Roman" w:cs="Times New Roman"/>
                <w:highlight w:val="none"/>
                <w:lang w:val="en-US" w:eastAsia="zh-CN"/>
              </w:rPr>
              <w:t>万元</w:t>
            </w:r>
            <w:r>
              <w:rPr>
                <w:rFonts w:hint="default" w:ascii="Times New Roman" w:hAnsi="Times New Roman" w:cs="Times New Roman"/>
                <w:highlight w:val="none"/>
                <w:lang w:eastAsia="zh-CN"/>
              </w:rPr>
              <w:t>，环保投资占总投资的</w:t>
            </w:r>
            <w:r>
              <w:rPr>
                <w:rFonts w:hint="eastAsia" w:cs="Times New Roman"/>
                <w:highlight w:val="none"/>
                <w:lang w:val="en-US" w:eastAsia="zh-CN"/>
              </w:rPr>
              <w:t>3.63</w:t>
            </w:r>
            <w:r>
              <w:rPr>
                <w:rFonts w:hint="default" w:ascii="Times New Roman" w:hAnsi="Times New Roman" w:cs="Times New Roman"/>
                <w:highlight w:val="none"/>
                <w:lang w:val="en-US" w:eastAsia="zh-CN"/>
              </w:rPr>
              <w:t>%</w:t>
            </w:r>
            <w:r>
              <w:rPr>
                <w:rFonts w:hint="default" w:ascii="Times New Roman" w:hAnsi="Times New Roman" w:cs="Times New Roman"/>
                <w:highlight w:val="none"/>
                <w:lang w:eastAsia="zh-CN"/>
              </w:rPr>
              <w:t>。</w:t>
            </w:r>
            <w:r>
              <w:rPr>
                <w:rFonts w:hint="default" w:ascii="Times New Roman" w:hAnsi="Times New Roman" w:cs="Times New Roman"/>
                <w:lang w:eastAsia="zh-CN"/>
              </w:rPr>
              <w:t>项目的生态恢复措施投资额度在经济上是可接受的，能在一定经济基础上完成对生态环境最大程度上的恢复工作。因此，本项目生态恢复措施在经济上是可行的。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（2）技术可行性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工程措施施工技术较简单，易操作，所需设备材料易取，对生态恢复的效果明显，</w:t>
            </w:r>
            <w:r>
              <w:rPr>
                <w:rFonts w:hint="default" w:ascii="Times New Roman" w:hAnsi="Times New Roman" w:cs="Times New Roman"/>
                <w:lang w:val="en-US" w:eastAsia="zh-CN"/>
              </w:rPr>
              <w:t>且</w:t>
            </w:r>
            <w:r>
              <w:rPr>
                <w:rFonts w:hint="default" w:ascii="Times New Roman" w:hAnsi="Times New Roman" w:cs="Times New Roman"/>
                <w:lang w:eastAsia="zh-CN"/>
              </w:rPr>
              <w:t>施工简单，</w:t>
            </w:r>
            <w:r>
              <w:rPr>
                <w:rFonts w:hint="default" w:ascii="Times New Roman" w:hAnsi="Times New Roman" w:cs="Times New Roman"/>
                <w:lang w:val="en-US" w:eastAsia="zh-CN"/>
              </w:rPr>
              <w:t>植被自然恢复后</w:t>
            </w:r>
            <w:r>
              <w:rPr>
                <w:rFonts w:hint="default" w:ascii="Times New Roman" w:hAnsi="Times New Roman" w:cs="Times New Roman"/>
                <w:lang w:eastAsia="zh-CN"/>
              </w:rPr>
              <w:t>对生态环境的恢复起到比较明显的效果。因此本项目生态恢复措施在技术上是可行的。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w:t>
            </w:r>
            <w:r>
              <w:rPr>
                <w:rFonts w:hint="default" w:ascii="Times New Roman" w:hAnsi="Times New Roman" w:cs="Times New Roman"/>
              </w:rPr>
              <w:t>环境管理计划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10.1</w:t>
            </w:r>
            <w:r>
              <w:rPr>
                <w:rFonts w:hint="default" w:ascii="Times New Roman" w:hAnsi="Times New Roman" w:cs="Times New Roman"/>
              </w:rPr>
              <w:t>环境管理职责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（1）最高管理者的职责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根据国家、自治区及地方各项环保政策、法规、标准制定环境方针；明确规定管理者代表的作用、职责权限，为环境管理工作提供包括人力、财力、技术等方面资源。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（2）管理者代表的职责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在环境管理事务中代表最高管理者行使职权，监督环境管理体系的实施。其职责主要包括：</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①贯彻执行国家相关的法律法规，根据本企业实际，编制环境保护规划和实施细则，并组织实施，监督执行。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②负责采矿区环境统计工作，污染源建档，定期进行</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排放及噪声的监测，掌握厂内污染源</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排放动态，编制环境监测报告等，为环境管理和污染防治提供依据。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③制定切实可行的</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排放控制指标，环保治理设施运行考核指标，组织落实实施，定期进行考核。</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④组织和管理采矿区污染治理工作，</w:t>
            </w:r>
            <w:r>
              <w:rPr>
                <w:rFonts w:hint="eastAsia" w:cs="Times New Roman"/>
                <w:lang w:val="en-US" w:eastAsia="zh-CN"/>
              </w:rPr>
              <w:t>负责环境</w:t>
            </w:r>
            <w:r>
              <w:rPr>
                <w:rFonts w:hint="default" w:ascii="Times New Roman" w:hAnsi="Times New Roman" w:cs="Times New Roman"/>
              </w:rPr>
              <w:t>治理设施的运行及管理工作，建立污染物浓度和排放总量双项控制制度，做到达标排放。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⑤通过工程建设，不断提高治理设施的水平和可操作性。将在环境管理体系运行中所掌握的情况及时向最高管理者汇报，并提出建议。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（3）全体员工职责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全体员工应以对环境负责的态度和方式从事自己的工作，并在各自的岗位上承担有关环境责任。</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10.2</w:t>
            </w:r>
            <w:r>
              <w:rPr>
                <w:rFonts w:hint="default" w:ascii="Times New Roman" w:hAnsi="Times New Roman" w:cs="Times New Roman"/>
              </w:rPr>
              <w:t>环境管理的目标</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本项目环境管理的目标应达到国家规定的水、气、声、渣等污染物排放标准，确保环境管理的持续改进。</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10.3</w:t>
            </w:r>
            <w:r>
              <w:rPr>
                <w:rFonts w:hint="default" w:ascii="Times New Roman" w:hAnsi="Times New Roman" w:cs="Times New Roman"/>
              </w:rPr>
              <w:t>环境管理的主要内容</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本项目针对不同工作阶段，制定环境管理工作计划，项目建设管理工作计划见</w:t>
            </w:r>
            <w:r>
              <w:rPr>
                <w:rFonts w:hint="default" w:ascii="Times New Roman" w:hAnsi="Times New Roman" w:cs="Times New Roman"/>
                <w:lang w:val="en-US" w:eastAsia="zh-CN"/>
              </w:rPr>
              <w:t>下表</w:t>
            </w:r>
            <w:r>
              <w:rPr>
                <w:rFonts w:hint="default" w:ascii="Times New Roman" w:hAnsi="Times New Roman" w:cs="Times New Roman"/>
              </w:rPr>
              <w:t>。</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表5-7    </w:t>
            </w:r>
            <w:r>
              <w:rPr>
                <w:rFonts w:hint="default"/>
              </w:rPr>
              <w:t>各阶段环境管理工作主要内容</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环境管理机构职能</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准备阶段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（1）与项目可行性研究同期，委托持有</w:t>
                  </w:r>
                  <w:r>
                    <w:rPr>
                      <w:rFonts w:hint="default" w:ascii="Times New Roman" w:hAnsi="Times New Roman" w:cs="Times New Roman"/>
                      <w:lang w:eastAsia="zh-CN"/>
                    </w:rPr>
                    <w:t>“</w:t>
                  </w:r>
                  <w:r>
                    <w:rPr>
                      <w:rFonts w:hint="default" w:ascii="Times New Roman" w:hAnsi="Times New Roman" w:cs="Times New Roman"/>
                    </w:rPr>
                    <w:t>建设项目环境影响评价资质证书</w:t>
                  </w:r>
                  <w:r>
                    <w:rPr>
                      <w:rFonts w:hint="default" w:ascii="Times New Roman" w:hAnsi="Times New Roman" w:cs="Times New Roman"/>
                      <w:lang w:eastAsia="zh-CN"/>
                    </w:rPr>
                    <w:t>”</w:t>
                  </w:r>
                  <w:r>
                    <w:rPr>
                      <w:rFonts w:hint="default" w:ascii="Times New Roman" w:hAnsi="Times New Roman" w:cs="Times New Roman"/>
                    </w:rPr>
                    <w:t>的环评单位进行项目的环境影响评价工作；</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（2）积极配合可研和环评工作所需进行现场调研；</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（3）针对项目具体情况，制定本企业所必需的环境管理与监测制度；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（4）对</w:t>
                  </w:r>
                  <w:r>
                    <w:rPr>
                      <w:rFonts w:hint="default" w:ascii="Times New Roman" w:hAnsi="Times New Roman" w:cs="Times New Roman"/>
                      <w:lang w:val="en-US" w:eastAsia="zh-CN"/>
                    </w:rPr>
                    <w:t>聘用的员工</w:t>
                  </w:r>
                  <w:r>
                    <w:rPr>
                      <w:rFonts w:hint="default" w:ascii="Times New Roman" w:hAnsi="Times New Roman" w:cs="Times New Roman"/>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eastAsia" w:cs="Times New Roman"/>
                      <w:lang w:val="en-US" w:eastAsia="zh-CN"/>
                    </w:rPr>
                    <w:t>勘探阶段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lang w:val="en-US" w:eastAsia="zh-CN"/>
                    </w:rPr>
                  </w:pPr>
                  <w:r>
                    <w:rPr>
                      <w:rFonts w:hint="eastAsia" w:cs="Times New Roman"/>
                      <w:lang w:val="en-US" w:eastAsia="zh-CN"/>
                    </w:rPr>
                    <w:t>施工过程严控槽探开挖范围，分层剥离堆存表土，</w:t>
                  </w:r>
                  <w:r>
                    <w:rPr>
                      <w:rFonts w:hint="default" w:ascii="Times New Roman" w:hAnsi="Times New Roman" w:cs="Times New Roman"/>
                    </w:rPr>
                    <w:t>物料堆放覆盖，运输车辆加盖篷布，减少扬尘；</w:t>
                  </w:r>
                  <w:r>
                    <w:rPr>
                      <w:rFonts w:hint="eastAsia" w:cs="Times New Roman"/>
                      <w:lang w:val="en-US" w:eastAsia="zh-CN"/>
                    </w:rPr>
                    <w:t>规范处置泥浆、岩屑、生活垃圾等各类污染物。</w:t>
                  </w:r>
                  <w:r>
                    <w:rPr>
                      <w:rFonts w:hint="default" w:ascii="Times New Roman" w:hAnsi="Times New Roman" w:cs="Times New Roman"/>
                    </w:rPr>
                    <w:t>明确环保责任人，实行“谁作业、谁保护、谁修复”责任制。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生产运行阶段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生态恢复阶段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（1）</w:t>
                  </w:r>
                  <w:r>
                    <w:rPr>
                      <w:rFonts w:hint="default" w:ascii="Times New Roman" w:hAnsi="Times New Roman" w:cs="Times New Roman"/>
                      <w:lang w:eastAsia="zh-CN"/>
                    </w:rPr>
                    <w:t>勘探工作完成后</w:t>
                  </w:r>
                  <w:r>
                    <w:rPr>
                      <w:rFonts w:hint="default" w:ascii="Times New Roman" w:hAnsi="Times New Roman" w:cs="Times New Roman"/>
                    </w:rPr>
                    <w:t>，应</w:t>
                  </w:r>
                  <w:r>
                    <w:rPr>
                      <w:rFonts w:hint="default" w:ascii="Times New Roman" w:hAnsi="Times New Roman" w:cs="Times New Roman"/>
                      <w:lang w:eastAsia="zh-CN"/>
                    </w:rPr>
                    <w:t>及时回填并恢复原有地貌</w:t>
                  </w:r>
                  <w:r>
                    <w:rPr>
                      <w:rFonts w:hint="default" w:ascii="Times New Roman" w:hAnsi="Times New Roman" w:cs="Times New Roman"/>
                    </w:rPr>
                    <w:t>，及时进行生态恢复</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（2）落实专项资金、加强监督管理</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认真落实已编制的生态环境恢复治理方案，</w:t>
                  </w:r>
                  <w:r>
                    <w:rPr>
                      <w:rFonts w:hint="default" w:ascii="Times New Roman" w:hAnsi="Times New Roman" w:cs="Times New Roman"/>
                      <w:lang w:eastAsia="zh-CN"/>
                    </w:rPr>
                    <w:t>做好地质普查后</w:t>
                  </w:r>
                  <w:r>
                    <w:rPr>
                      <w:rFonts w:hint="default" w:ascii="Times New Roman" w:hAnsi="Times New Roman" w:cs="Times New Roman"/>
                    </w:rPr>
                    <w:t>环境整治及土地复垦等工作</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cs="Times New Roman"/>
                      <w:lang w:eastAsia="zh-CN"/>
                    </w:rPr>
                    <w:t>）</w:t>
                  </w:r>
                  <w:r>
                    <w:rPr>
                      <w:rFonts w:hint="default" w:ascii="Times New Roman" w:hAnsi="Times New Roman" w:cs="Times New Roman"/>
                    </w:rPr>
                    <w:t>建立环保设施档案，主动接受</w:t>
                  </w:r>
                  <w:r>
                    <w:rPr>
                      <w:rFonts w:hint="default" w:ascii="Times New Roman" w:hAnsi="Times New Roman" w:cs="Times New Roman"/>
                      <w:lang w:val="en-US" w:eastAsia="zh-CN"/>
                    </w:rPr>
                    <w:t>生态环境主管部门</w:t>
                  </w:r>
                  <w:r>
                    <w:rPr>
                      <w:rFonts w:hint="default" w:ascii="Times New Roman" w:hAnsi="Times New Roman" w:cs="Times New Roman"/>
                    </w:rPr>
                    <w:t>监督，配合</w:t>
                  </w:r>
                  <w:r>
                    <w:rPr>
                      <w:rFonts w:hint="default" w:ascii="Times New Roman" w:hAnsi="Times New Roman" w:cs="Times New Roman"/>
                      <w:lang w:val="en-US" w:eastAsia="zh-CN"/>
                    </w:rPr>
                    <w:t>生态环境主管部门</w:t>
                  </w:r>
                  <w:r>
                    <w:rPr>
                      <w:rFonts w:hint="default" w:ascii="Times New Roman" w:hAnsi="Times New Roman" w:cs="Times New Roman"/>
                    </w:rPr>
                    <w:t>的检查、验收。</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firstLine="0" w:firstLineChars="0"/>
              <w:textAlignment w:val="auto"/>
              <w:rPr>
                <w:rFonts w:hint="default" w:ascii="Times New Roman" w:hAnsi="Times New Roman"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79" w:hRule="atLeast"/>
          <w:jc w:val="center"/>
        </w:trPr>
        <w:tc>
          <w:tcPr>
            <w:tcW w:w="66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zCs w:val="21"/>
              </w:rPr>
              <w:t>其他</w:t>
            </w:r>
          </w:p>
        </w:tc>
        <w:tc>
          <w:tcPr>
            <w:tcW w:w="7780" w:type="dxa"/>
            <w:noWrap w:val="0"/>
            <w:vAlign w:val="center"/>
          </w:tcPr>
          <w:p>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Cs/>
                <w:spacing w:val="10"/>
                <w:szCs w:val="21"/>
                <w:lang w:val="en-US" w:eastAsia="zh-CN"/>
              </w:rPr>
            </w:pPr>
            <w:r>
              <w:rPr>
                <w:rFonts w:hint="default" w:ascii="Times New Roman" w:hAnsi="Times New Roman" w:cs="Times New Roman"/>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96" w:hRule="atLeast"/>
          <w:jc w:val="center"/>
        </w:trPr>
        <w:tc>
          <w:tcPr>
            <w:tcW w:w="669" w:type="dxa"/>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spacing w:val="10"/>
                <w:kern w:val="2"/>
                <w:sz w:val="21"/>
                <w:szCs w:val="21"/>
                <w:lang w:val="en-US" w:eastAsia="zh-CN" w:bidi="ar-SA"/>
              </w:rPr>
            </w:pPr>
            <w:r>
              <w:rPr>
                <w:rFonts w:hint="default" w:ascii="Times New Roman" w:hAnsi="Times New Roman" w:cs="Times New Roman"/>
                <w:bCs/>
                <w:szCs w:val="21"/>
              </w:rPr>
              <w:t>环保投资</w:t>
            </w:r>
          </w:p>
        </w:tc>
        <w:tc>
          <w:tcPr>
            <w:tcW w:w="7780" w:type="dxa"/>
            <w:shd w:val="clear" w:color="auto" w:fill="auto"/>
            <w:noWrap w:val="0"/>
            <w:vAlign w:val="top"/>
          </w:tcPr>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项目总投资为</w:t>
            </w:r>
            <w:r>
              <w:rPr>
                <w:rFonts w:hint="eastAsia" w:cs="Times New Roman"/>
                <w:color w:val="auto"/>
                <w:lang w:val="en-US" w:eastAsia="zh-CN"/>
              </w:rPr>
              <w:t>432.83</w:t>
            </w:r>
            <w:r>
              <w:rPr>
                <w:rFonts w:hint="default" w:ascii="Times New Roman" w:hAnsi="Times New Roman" w:cs="Times New Roman"/>
                <w:color w:val="auto"/>
                <w:highlight w:val="none"/>
                <w:lang w:val="en-US" w:eastAsia="zh-CN"/>
              </w:rPr>
              <w:t>万元，环保投资为</w:t>
            </w:r>
            <w:r>
              <w:rPr>
                <w:rFonts w:hint="eastAsia" w:cs="Times New Roman"/>
                <w:color w:val="auto"/>
                <w:highlight w:val="none"/>
                <w:lang w:val="en-US" w:eastAsia="zh-CN"/>
              </w:rPr>
              <w:t>15.7</w:t>
            </w:r>
            <w:r>
              <w:rPr>
                <w:rFonts w:hint="default" w:ascii="Times New Roman" w:hAnsi="Times New Roman" w:cs="Times New Roman"/>
                <w:color w:val="auto"/>
                <w:highlight w:val="none"/>
                <w:lang w:val="en-US" w:eastAsia="zh-CN"/>
              </w:rPr>
              <w:t>万元，占总投资的</w:t>
            </w:r>
            <w:r>
              <w:rPr>
                <w:rFonts w:hint="eastAsia" w:cs="Times New Roman"/>
                <w:color w:val="auto"/>
                <w:highlight w:val="none"/>
                <w:lang w:val="en-US" w:eastAsia="zh-CN"/>
              </w:rPr>
              <w:t>3.63</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lang w:val="en-US" w:eastAsia="zh-CN"/>
              </w:rPr>
              <w:t>，具体环保投资见下表。</w:t>
            </w:r>
          </w:p>
          <w:p>
            <w:pPr>
              <w:pStyle w:val="52"/>
              <w:keepNext w:val="0"/>
              <w:keepLines w:val="0"/>
              <w:suppressLineNumbers w:val="0"/>
              <w:bidi w:val="0"/>
              <w:spacing w:before="0" w:beforeAutospacing="0" w:after="0" w:afterAutospacing="0"/>
              <w:ind w:left="0" w:right="0"/>
              <w:rPr>
                <w:rFonts w:hint="default"/>
                <w:lang w:eastAsia="zh-CN"/>
              </w:rPr>
            </w:pPr>
            <w:r>
              <w:rPr>
                <w:rFonts w:hint="default"/>
                <w:lang w:val="en-US" w:eastAsia="zh-CN"/>
              </w:rPr>
              <w:t xml:space="preserve">表5-8    </w:t>
            </w:r>
            <w:r>
              <w:rPr>
                <w:rFonts w:hint="default"/>
              </w:rPr>
              <w:t>环保设施（措施）及投资估算一览表</w:t>
            </w:r>
            <w:r>
              <w:rPr>
                <w:rFonts w:hint="default"/>
                <w:lang w:val="en-US" w:eastAsia="zh-CN"/>
              </w:rPr>
              <w:t xml:space="preserve">     单位：</w:t>
            </w:r>
            <w:r>
              <w:rPr>
                <w:rFonts w:hint="default"/>
                <w:lang w:eastAsia="zh-CN"/>
              </w:rPr>
              <w:t>（</w:t>
            </w:r>
            <w:r>
              <w:rPr>
                <w:rFonts w:hint="default"/>
                <w:lang w:val="en-US" w:eastAsia="zh-CN"/>
              </w:rPr>
              <w:t>万元</w:t>
            </w:r>
            <w:r>
              <w:rPr>
                <w:rFonts w:hint="default"/>
                <w:lang w:eastAsia="zh-CN"/>
              </w:rPr>
              <w:t>）</w:t>
            </w:r>
          </w:p>
          <w:tbl>
            <w:tblPr>
              <w:tblStyle w:val="25"/>
              <w:tblW w:w="7621"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1" w:type="dxa"/>
                <w:bottom w:w="0" w:type="dxa"/>
                <w:right w:w="11" w:type="dxa"/>
              </w:tblCellMar>
            </w:tblPr>
            <w:tblGrid>
              <w:gridCol w:w="572"/>
              <w:gridCol w:w="616"/>
              <w:gridCol w:w="1264"/>
              <w:gridCol w:w="4577"/>
              <w:gridCol w:w="59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104" w:hRule="atLeast"/>
                <w:tblHeader/>
              </w:trPr>
              <w:tc>
                <w:tcPr>
                  <w:tcW w:w="376"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工程类别</w:t>
                  </w: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污染类别</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污染源</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w:t>
                  </w:r>
                </w:p>
              </w:tc>
              <w:tc>
                <w:tcPr>
                  <w:tcW w:w="38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施工期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废气</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施工扬尘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rPr>
                  </w:pPr>
                  <w:r>
                    <w:rPr>
                      <w:rFonts w:hint="eastAsia" w:cs="Times New Roman"/>
                      <w:color w:val="auto"/>
                      <w:lang w:val="en-US" w:eastAsia="zh-CN"/>
                    </w:rPr>
                    <w:t>彩布条</w:t>
                  </w:r>
                  <w:r>
                    <w:rPr>
                      <w:rFonts w:hint="default" w:ascii="Times New Roman" w:hAnsi="Times New Roman" w:cs="Times New Roman"/>
                      <w:color w:val="auto"/>
                      <w:lang w:val="en-US" w:eastAsia="zh-CN"/>
                    </w:rPr>
                    <w:t>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废水</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生活污水排入一体化污水处理设施处理达标后，用于洒水绿化，不外排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噪声</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固废</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设置一定数量的垃圾桶，统一收集后送至</w:t>
                  </w:r>
                  <w:r>
                    <w:rPr>
                      <w:rFonts w:hint="eastAsia" w:cs="Times New Roman"/>
                      <w:color w:val="auto"/>
                      <w:lang w:val="en-US" w:eastAsia="zh-CN"/>
                    </w:rPr>
                    <w:t>和硕县</w:t>
                  </w:r>
                  <w:r>
                    <w:rPr>
                      <w:rFonts w:hint="default" w:ascii="Times New Roman" w:hAnsi="Times New Roman" w:cs="Times New Roman"/>
                      <w:color w:val="auto"/>
                      <w:lang w:val="en-US" w:eastAsia="zh-CN"/>
                    </w:rPr>
                    <w:t>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探矿期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废气</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rPr>
                    <w:t>洒水抑尘设施</w:t>
                  </w:r>
                  <w:r>
                    <w:rPr>
                      <w:rFonts w:hint="eastAsia"/>
                      <w:lang w:eastAsia="zh-CN"/>
                    </w:rPr>
                    <w:t>、</w:t>
                  </w:r>
                  <w:r>
                    <w:rPr>
                      <w:rFonts w:hint="eastAsia"/>
                      <w:lang w:val="en-US" w:eastAsia="zh-CN"/>
                    </w:rPr>
                    <w:t>彩条布苫盖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噪声</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rPr>
                    <w:t>生活</w:t>
                  </w:r>
                  <w:r>
                    <w:rPr>
                      <w:rFonts w:hint="default" w:ascii="Times New Roman" w:hAnsi="Times New Roman" w:cs="Times New Roman"/>
                      <w:color w:val="auto"/>
                      <w:lang w:val="en-US" w:eastAsia="zh-CN"/>
                    </w:rPr>
                    <w:t>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生活污水排入一体化污水处理设施处理达标后，用于洒水绿化，不外排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5"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钻井设备冲洗水</w:t>
                  </w:r>
                </w:p>
              </w:tc>
              <w:tc>
                <w:tcPr>
                  <w:tcW w:w="3002"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排入冲洗水防渗</w:t>
                  </w:r>
                  <w:r>
                    <w:rPr>
                      <w:rFonts w:hint="default" w:ascii="Times New Roman" w:hAnsi="Times New Roman" w:cs="Times New Roman"/>
                      <w:color w:val="auto"/>
                      <w:lang w:eastAsia="zh-CN"/>
                    </w:rPr>
                    <w:t>沉淀池</w:t>
                  </w:r>
                </w:p>
              </w:tc>
              <w:tc>
                <w:tcPr>
                  <w:tcW w:w="388" w:type="pct"/>
                  <w:tcBorders>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泥浆调配水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排入泥浆调配用水防渗池</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固废</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施工营地内设置一定数量的垃圾桶，用于临时存放生活垃圾</w:t>
                  </w:r>
                  <w:r>
                    <w:rPr>
                      <w:rFonts w:hint="default" w:ascii="Times New Roman" w:hAnsi="Times New Roman" w:cs="Times New Roman"/>
                      <w:color w:val="auto"/>
                      <w:lang w:eastAsia="zh-CN"/>
                    </w:rPr>
                    <w:t>，</w:t>
                  </w:r>
                  <w:r>
                    <w:rPr>
                      <w:rFonts w:hint="default" w:ascii="Times New Roman" w:hAnsi="Times New Roman" w:cs="Times New Roman"/>
                      <w:color w:val="auto"/>
                    </w:rPr>
                    <w:t>统一收集后</w:t>
                  </w:r>
                  <w:r>
                    <w:rPr>
                      <w:rFonts w:hint="default" w:ascii="Times New Roman" w:hAnsi="Times New Roman" w:cs="Times New Roman"/>
                      <w:color w:val="auto"/>
                      <w:shd w:val="clear" w:color="auto" w:fill="auto"/>
                      <w:lang w:val="en-US" w:eastAsia="zh-CN"/>
                    </w:rPr>
                    <w:t>送至</w:t>
                  </w:r>
                  <w:r>
                    <w:rPr>
                      <w:rFonts w:hint="eastAsia" w:cs="Times New Roman"/>
                      <w:color w:val="auto"/>
                      <w:shd w:val="clear" w:color="auto" w:fill="auto"/>
                      <w:lang w:val="en-US" w:eastAsia="zh-CN"/>
                    </w:rPr>
                    <w:t>和硕县</w:t>
                  </w:r>
                  <w:r>
                    <w:rPr>
                      <w:rFonts w:hint="default" w:ascii="Times New Roman" w:hAnsi="Times New Roman" w:cs="Times New Roman"/>
                      <w:color w:val="auto"/>
                      <w:shd w:val="clear" w:color="auto" w:fill="auto"/>
                      <w:lang w:val="en-US" w:eastAsia="zh-CN"/>
                    </w:rPr>
                    <w:t>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23"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泥浆、岩屑及沉淀池沉渣</w:t>
                  </w:r>
                </w:p>
              </w:tc>
              <w:tc>
                <w:tcPr>
                  <w:tcW w:w="3002"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泥浆固化后</w:t>
                  </w:r>
                  <w:r>
                    <w:rPr>
                      <w:rFonts w:hint="eastAsia" w:cs="Times New Roman"/>
                      <w:color w:val="auto"/>
                      <w:lang w:val="en-US" w:eastAsia="zh-CN"/>
                    </w:rPr>
                    <w:t>拉运至一般固废处置单位统一处理</w:t>
                  </w:r>
                  <w:r>
                    <w:rPr>
                      <w:rFonts w:hint="default" w:ascii="Times New Roman" w:hAnsi="Times New Roman" w:cs="Times New Roman"/>
                      <w:color w:val="auto"/>
                      <w:lang w:val="en-US" w:eastAsia="zh-CN"/>
                    </w:rPr>
                    <w:t>，岩屑用于回填，沉淀池沉渣就地掩埋</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1232" w:type="pct"/>
                  <w:gridSpan w:val="2"/>
                  <w:tcBorders>
                    <w:left w:val="single" w:color="auto" w:sz="4" w:space="0"/>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生态保护与恢复措施</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勘探工作完成后，拆除临时设施，及时回填并恢复原有地貌，后期采取自然恢复</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trPr>
              <w:tc>
                <w:tcPr>
                  <w:tcW w:w="1609" w:type="pct"/>
                  <w:gridSpan w:val="3"/>
                  <w:tcBorders>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环境风险防范工程</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制定环境风险管理制度、设置铺有防渗</w:t>
                  </w:r>
                  <w:r>
                    <w:rPr>
                      <w:rFonts w:hint="eastAsia" w:cs="Times New Roman"/>
                      <w:color w:val="auto"/>
                      <w:highlight w:val="none"/>
                      <w:lang w:val="en-US" w:eastAsia="zh-CN"/>
                    </w:rPr>
                    <w:t>托盘</w:t>
                  </w:r>
                  <w:r>
                    <w:rPr>
                      <w:rFonts w:hint="default" w:ascii="Times New Roman" w:hAnsi="Times New Roman" w:cs="Times New Roman"/>
                      <w:color w:val="auto"/>
                      <w:highlight w:val="none"/>
                      <w:lang w:val="en-US" w:eastAsia="zh-CN"/>
                    </w:rPr>
                    <w:t>的柴油贮存区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72" w:hRule="atLeast"/>
              </w:trPr>
              <w:tc>
                <w:tcPr>
                  <w:tcW w:w="4611" w:type="pct"/>
                  <w:gridSpan w:val="4"/>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rPr>
                    <w:t>合计</w:t>
                  </w:r>
                </w:p>
              </w:tc>
              <w:tc>
                <w:tcPr>
                  <w:tcW w:w="388"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15.7</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982"/>
        <w:gridCol w:w="1413"/>
        <w:gridCol w:w="2320"/>
        <w:gridCol w:w="17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 xml:space="preserve">    内容</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rPr>
            </w:pPr>
            <w:r>
              <w:rPr>
                <w:rFonts w:hint="eastAsia"/>
              </w:rPr>
              <w:t>要素</w:t>
            </w:r>
          </w:p>
        </w:tc>
        <w:tc>
          <w:tcPr>
            <w:tcW w:w="1991"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施工期</w:t>
            </w:r>
          </w:p>
        </w:tc>
        <w:tc>
          <w:tcPr>
            <w:tcW w:w="2360"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continue"/>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陆生生态</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，尽可能恢复植被原貌</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，定期检查已回填恢复的探槽，尽可能恢复植被原貌</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水生生态</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地表水环境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highlight w:val="none"/>
                <w:lang w:val="en-US" w:eastAsia="zh-CN"/>
              </w:rPr>
              <w:t>施工期施工废水沉淀后回用，不外排</w:t>
            </w:r>
            <w:r>
              <w:rPr>
                <w:rFonts w:hint="eastAsia"/>
                <w:lang w:val="en-US" w:eastAsia="zh-CN"/>
              </w:rPr>
              <w:t>；生活污水排入一体化污水处理设施处理达标后，用于洒水绿化，不外排</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4"/>
              <w:keepNext w:val="0"/>
              <w:keepLines w:val="0"/>
              <w:suppressLineNumbers w:val="0"/>
              <w:bidi w:val="0"/>
              <w:spacing w:before="0" w:beforeAutospacing="0" w:after="0" w:afterAutospacing="0"/>
              <w:ind w:left="0" w:right="0"/>
              <w:jc w:val="center"/>
              <w:rPr>
                <w:rFonts w:hint="default"/>
                <w:lang w:val="en-US"/>
              </w:rPr>
            </w:pPr>
            <w:r>
              <w:rPr>
                <w:rFonts w:hint="eastAsia"/>
                <w:lang w:val="en-US" w:eastAsia="zh-CN"/>
              </w:rPr>
              <w:t>生活污水排入一体化污水处理设施处理达标后，用于洒水绿化，不外排；钻井设备冲洗水经沉淀池处理后洒水降尘，不外排；泥浆废水经泥浆沉淀池处理后全部回用于泥浆配制</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地下水及土壤环境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声环境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执行《</w:t>
            </w:r>
            <w:r>
              <w:rPr>
                <w:rFonts w:hint="eastAsia"/>
                <w:lang w:eastAsia="zh-CN"/>
              </w:rPr>
              <w:t>建筑施工噪声排放标准</w:t>
            </w:r>
            <w:r>
              <w:rPr>
                <w:rFonts w:hint="default"/>
              </w:rPr>
              <w:t>》（GB12523-20</w:t>
            </w:r>
            <w:r>
              <w:rPr>
                <w:rFonts w:hint="eastAsia"/>
                <w:lang w:val="en-US" w:eastAsia="zh-CN"/>
              </w:rPr>
              <w:t>25</w:t>
            </w:r>
            <w:r>
              <w:rPr>
                <w:rFonts w:hint="default"/>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执行《建筑施工噪声排放标准》（GB12523-20</w:t>
            </w:r>
            <w:r>
              <w:rPr>
                <w:rFonts w:hint="eastAsia"/>
                <w:lang w:val="en-US" w:eastAsia="zh-CN"/>
              </w:rPr>
              <w:t>25</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振动</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大气环境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满足</w:t>
            </w:r>
            <w:r>
              <w:rPr>
                <w:rFonts w:hint="default"/>
              </w:rPr>
              <w:t>《大气污染物综合排放标准》（GB16297-1996）表2中的无组织排放监控浓度限值</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固体废物</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施工期固体废物来自施工过程中</w:t>
            </w:r>
            <w:r>
              <w:rPr>
                <w:rFonts w:hint="default"/>
                <w:lang w:val="en-US" w:eastAsia="zh-CN"/>
              </w:rPr>
              <w:t>土地平整所开挖</w:t>
            </w:r>
            <w:r>
              <w:rPr>
                <w:rFonts w:hint="default"/>
              </w:rPr>
              <w:t>的</w:t>
            </w:r>
            <w:r>
              <w:rPr>
                <w:rFonts w:hint="default"/>
                <w:lang w:val="en-US" w:eastAsia="zh-CN"/>
              </w:rPr>
              <w:t>土石方，全部堆放在临时堆场内，待项目施工期结束后，全部回填，恢复原有地貌</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工业</w:t>
            </w:r>
            <w:r>
              <w:rPr>
                <w:rFonts w:hint="eastAsia"/>
                <w:lang w:val="en-US" w:eastAsia="zh-CN"/>
              </w:rPr>
              <w:t>固体废物应</w:t>
            </w:r>
            <w:r>
              <w:rPr>
                <w:rFonts w:hint="default"/>
                <w:lang w:val="en-US" w:eastAsia="zh-CN"/>
              </w:rPr>
              <w:t>符合</w:t>
            </w:r>
            <w:r>
              <w:rPr>
                <w:rFonts w:hint="eastAsia"/>
                <w:lang w:val="en-US" w:eastAsia="zh-CN"/>
              </w:rPr>
              <w:t>《一般工业固体废物贮存和填埋污染控制标准》（GB18599-2020）</w:t>
            </w:r>
            <w:r>
              <w:rPr>
                <w:rFonts w:hint="default"/>
                <w:lang w:val="en-US" w:eastAsia="zh-CN"/>
              </w:rPr>
              <w:t>要求</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default"/>
              </w:rPr>
              <w:t>槽探产生的土石方就近堆存并覆盖</w:t>
            </w:r>
            <w:r>
              <w:rPr>
                <w:rFonts w:hint="eastAsia"/>
                <w:lang w:val="en-US" w:eastAsia="zh-CN"/>
              </w:rPr>
              <w:t>彩布条</w:t>
            </w:r>
            <w:r>
              <w:rPr>
                <w:rFonts w:hint="default"/>
              </w:rPr>
              <w:t>，在勘探期结束后全部回填至开挖地。岩心、样品交至单位统一保管，</w:t>
            </w:r>
            <w:r>
              <w:rPr>
                <w:rFonts w:hint="default"/>
                <w:lang w:val="en-US" w:eastAsia="zh-CN"/>
              </w:rPr>
              <w:t>临时占地应及时恢复</w:t>
            </w:r>
            <w:r>
              <w:rPr>
                <w:rFonts w:hint="eastAsia"/>
                <w:lang w:val="en-US" w:eastAsia="zh-CN"/>
              </w:rPr>
              <w:t>；</w:t>
            </w:r>
            <w:r>
              <w:rPr>
                <w:rFonts w:hint="default"/>
              </w:rPr>
              <w:t>施工营地内设置一定数量的垃圾桶，用于临时存放生活垃圾，统一收集后</w:t>
            </w:r>
            <w:r>
              <w:rPr>
                <w:rFonts w:hint="default"/>
                <w:lang w:val="en-US" w:eastAsia="zh-CN"/>
              </w:rPr>
              <w:t>送至</w:t>
            </w:r>
            <w:r>
              <w:rPr>
                <w:rFonts w:hint="eastAsia"/>
                <w:lang w:val="en-US" w:eastAsia="zh-CN"/>
              </w:rPr>
              <w:t>和硕县</w:t>
            </w:r>
            <w:r>
              <w:rPr>
                <w:rFonts w:hint="default"/>
                <w:lang w:val="en-US" w:eastAsia="zh-CN"/>
              </w:rPr>
              <w:t>垃圾填埋场</w:t>
            </w:r>
            <w:r>
              <w:rPr>
                <w:rFonts w:hint="eastAsia"/>
                <w:lang w:val="en-US" w:eastAsia="zh-CN"/>
              </w:rPr>
              <w:t>；</w:t>
            </w:r>
            <w:r>
              <w:rPr>
                <w:rFonts w:hint="default"/>
              </w:rPr>
              <w:t>钻井泥浆固化后</w:t>
            </w:r>
            <w:r>
              <w:rPr>
                <w:rFonts w:hint="eastAsia"/>
                <w:lang w:val="en-US" w:eastAsia="zh-CN"/>
              </w:rPr>
              <w:t>拉运至</w:t>
            </w:r>
            <w:r>
              <w:rPr>
                <w:rFonts w:hint="default"/>
                <w:lang w:val="en-US" w:eastAsia="zh-CN"/>
              </w:rPr>
              <w:t>一般固废处置单位统一处理</w:t>
            </w:r>
            <w:r>
              <w:rPr>
                <w:rFonts w:hint="eastAsia"/>
                <w:lang w:eastAsia="zh-CN"/>
              </w:rPr>
              <w:t>；</w:t>
            </w:r>
            <w:r>
              <w:rPr>
                <w:rFonts w:hint="eastAsia"/>
                <w:lang w:val="en-US" w:eastAsia="zh-CN"/>
              </w:rPr>
              <w:t>岩屑回填钻孔；沉淀池沉渣就地掩埋</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一般固废执行《中华人民共和国固体废物污染环境防治法》（2020年9月1日起施行）要求；废弃泥浆及岩屑的处置满足《一般工业固体废物贮存和填埋污染控制标准》（GB18599-2020）的要求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电磁环境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环境风险</w:t>
            </w:r>
          </w:p>
        </w:tc>
        <w:tc>
          <w:tcPr>
            <w:tcW w:w="1162"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tc>
        <w:tc>
          <w:tcPr>
            <w:tcW w:w="82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c>
          <w:tcPr>
            <w:tcW w:w="1361"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建立健全突发环境事件应急预案；加强设备保养，保证设备设施的正常运行</w:t>
            </w:r>
          </w:p>
        </w:tc>
        <w:tc>
          <w:tcPr>
            <w:tcW w:w="99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环境监测</w:t>
            </w:r>
          </w:p>
        </w:tc>
        <w:tc>
          <w:tcPr>
            <w:tcW w:w="1162"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82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1361"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99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1162"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829"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361"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999"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5"/>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keepNext w:val="0"/>
              <w:keepLines w:val="0"/>
              <w:suppressLineNumbers w:val="0"/>
              <w:bidi w:val="0"/>
              <w:spacing w:before="0" w:beforeAutospacing="0" w:after="0" w:afterAutospacing="0"/>
              <w:ind w:left="0" w:right="0"/>
              <w:jc w:val="left"/>
              <w:rPr>
                <w:rFonts w:hint="default" w:ascii="宋体" w:hAnsi="宋体" w:cs="宋体"/>
                <w:szCs w:val="21"/>
              </w:rPr>
            </w:pPr>
            <w:r>
              <w:rPr>
                <w:rFonts w:hint="default"/>
              </w:rPr>
              <w:t>综合上述，项目方应严格实施本环评报告提出的各项环保措施和建议，做到污染物达标排放，做好</w:t>
            </w:r>
            <w:r>
              <w:rPr>
                <w:rFonts w:hint="eastAsia"/>
                <w:lang w:eastAsia="zh-CN"/>
              </w:rPr>
              <w:t>生态环境保护</w:t>
            </w:r>
            <w:r>
              <w:rPr>
                <w:rFonts w:hint="default"/>
              </w:rPr>
              <w:t>与恢复。在严格落实本环评提出的各项污染物治理和生态保护措施的前提下，该项目的建设不会对区域环境质量及生态</w:t>
            </w:r>
            <w:r>
              <w:rPr>
                <w:rFonts w:hint="eastAsia"/>
              </w:rPr>
              <w:t>环境</w:t>
            </w:r>
            <w:r>
              <w:rPr>
                <w:rFonts w:hint="default"/>
              </w:rPr>
              <w:t>产生大的影响，从环境保护角度分析，本项</w:t>
            </w:r>
            <w:r>
              <w:rPr>
                <w:rFonts w:hint="eastAsia"/>
                <w:lang w:eastAsia="zh-CN"/>
              </w:rPr>
              <w:t>目环境影响</w:t>
            </w:r>
            <w:r>
              <w:rPr>
                <w:rFonts w:hint="default"/>
              </w:rP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FE744FC-CAA9-4F74-8410-2A11CFADC050}"/>
  </w:font>
  <w:font w:name="黑体">
    <w:panose1 w:val="02010609060101010101"/>
    <w:charset w:val="86"/>
    <w:family w:val="auto"/>
    <w:pitch w:val="default"/>
    <w:sig w:usb0="800002BF" w:usb1="38CF7CFA" w:usb2="00000016" w:usb3="00000000" w:csb0="00040001" w:csb1="00000000"/>
    <w:embedRegular r:id="rId2" w:fontKey="{E0B86F39-D1D2-4B89-8F0A-D12501A9A8C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C7403180-0136-4BB1-A9E3-C6768CBA377A}"/>
  </w:font>
  <w:font w:name="仿宋">
    <w:panose1 w:val="02010609060101010101"/>
    <w:charset w:val="86"/>
    <w:family w:val="auto"/>
    <w:pitch w:val="default"/>
    <w:sig w:usb0="800002BF" w:usb1="38CF7CFA" w:usb2="00000016" w:usb3="00000000" w:csb0="00040001" w:csb1="00000000"/>
    <w:embedRegular r:id="rId4" w:fontKey="{544BC114-BAF9-4DB0-8A35-E15CCE20AA73}"/>
  </w:font>
  <w:font w:name="仿宋_GB2312">
    <w:panose1 w:val="02010609030101010101"/>
    <w:charset w:val="86"/>
    <w:family w:val="modern"/>
    <w:pitch w:val="default"/>
    <w:sig w:usb0="00000001" w:usb1="080E0000" w:usb2="00000000" w:usb3="00000000" w:csb0="00040000" w:csb1="00000000"/>
    <w:embedRegular r:id="rId5" w:fontKey="{86F7A14D-54AF-4211-AEC0-A55DB97A2189}"/>
  </w:font>
  <w:font w:name="方正小标宋_GBK">
    <w:panose1 w:val="03000509000000000000"/>
    <w:charset w:val="86"/>
    <w:family w:val="script"/>
    <w:pitch w:val="default"/>
    <w:sig w:usb0="00000001" w:usb1="080E0000" w:usb2="00000000" w:usb3="00000000" w:csb0="00040000" w:csb1="00000000"/>
    <w:embedRegular r:id="rId6" w:fontKey="{3FC9B2BE-9238-4B8D-B3AE-EDC3E9932252}"/>
  </w:font>
  <w:font w:name="华文仿宋">
    <w:panose1 w:val="02010600040101010101"/>
    <w:charset w:val="86"/>
    <w:family w:val="auto"/>
    <w:pitch w:val="default"/>
    <w:sig w:usb0="00000287" w:usb1="080F0000" w:usb2="00000000" w:usb3="00000000" w:csb0="0004009F" w:csb1="DFD70000"/>
    <w:embedRegular r:id="rId7" w:fontKey="{92469E59-367E-46D0-9201-94F5015B85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0"/>
        <w:sz w:val="18"/>
        <w:szCs w:val="20"/>
        <w:lang w:val="en-US" w:eastAsia="zh-CN" w:bidi="ar-SA"/>
      </w:rPr>
      <w:fldChar w:fldCharType="end"/>
    </w:r>
  </w:p>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jc w:val="center"/>
      <w:rPr>
        <w:sz w:val="21"/>
        <w:szCs w:val="21"/>
      </w:rPr>
    </w:pPr>
    <w:r>
      <w:rPr>
        <w:sz w:val="21"/>
        <w:szCs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C6B7A"/>
    <w:multiLevelType w:val="singleLevel"/>
    <w:tmpl w:val="BC4C6B7A"/>
    <w:lvl w:ilvl="0" w:tentative="0">
      <w:start w:val="1"/>
      <w:numFmt w:val="decimal"/>
      <w:suff w:val="nothing"/>
      <w:lvlText w:val="%1"/>
      <w:lvlJc w:val="center"/>
      <w:pPr>
        <w:ind w:left="0" w:firstLine="0"/>
      </w:pPr>
      <w:rPr>
        <w:rFonts w:hint="default"/>
      </w:rPr>
    </w:lvl>
  </w:abstractNum>
  <w:abstractNum w:abstractNumId="1">
    <w:nsid w:val="5BA5D222"/>
    <w:multiLevelType w:val="singleLevel"/>
    <w:tmpl w:val="5BA5D22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06406"/>
    <w:rsid w:val="0081293E"/>
    <w:rsid w:val="00814FFB"/>
    <w:rsid w:val="00820568"/>
    <w:rsid w:val="00831A80"/>
    <w:rsid w:val="008332C8"/>
    <w:rsid w:val="00833743"/>
    <w:rsid w:val="008340A4"/>
    <w:rsid w:val="00836799"/>
    <w:rsid w:val="00837028"/>
    <w:rsid w:val="00837131"/>
    <w:rsid w:val="00845F57"/>
    <w:rsid w:val="008521E0"/>
    <w:rsid w:val="008525B0"/>
    <w:rsid w:val="00860F24"/>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B4B70"/>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2111"/>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D427B"/>
    <w:rsid w:val="010F53D5"/>
    <w:rsid w:val="01196E52"/>
    <w:rsid w:val="011D7843"/>
    <w:rsid w:val="012C1A19"/>
    <w:rsid w:val="01320EC9"/>
    <w:rsid w:val="015C1523"/>
    <w:rsid w:val="015E6B1D"/>
    <w:rsid w:val="01655E65"/>
    <w:rsid w:val="01857C73"/>
    <w:rsid w:val="018B21C1"/>
    <w:rsid w:val="019978BC"/>
    <w:rsid w:val="01B42207"/>
    <w:rsid w:val="01BA61B0"/>
    <w:rsid w:val="01C16C2C"/>
    <w:rsid w:val="01C66596"/>
    <w:rsid w:val="01D82621"/>
    <w:rsid w:val="01FD7E4B"/>
    <w:rsid w:val="02110AC4"/>
    <w:rsid w:val="021653B1"/>
    <w:rsid w:val="021C128D"/>
    <w:rsid w:val="022E14F7"/>
    <w:rsid w:val="02323E22"/>
    <w:rsid w:val="02490F73"/>
    <w:rsid w:val="025905B8"/>
    <w:rsid w:val="025E2CEB"/>
    <w:rsid w:val="02973D5F"/>
    <w:rsid w:val="02A4476B"/>
    <w:rsid w:val="02A8142E"/>
    <w:rsid w:val="02B66AA6"/>
    <w:rsid w:val="02BE026D"/>
    <w:rsid w:val="02D44580"/>
    <w:rsid w:val="02E244D2"/>
    <w:rsid w:val="02E52166"/>
    <w:rsid w:val="030C3E9B"/>
    <w:rsid w:val="03173601"/>
    <w:rsid w:val="03256780"/>
    <w:rsid w:val="03517621"/>
    <w:rsid w:val="035A31DA"/>
    <w:rsid w:val="036C4379"/>
    <w:rsid w:val="03773579"/>
    <w:rsid w:val="039105B6"/>
    <w:rsid w:val="039849B2"/>
    <w:rsid w:val="03AC4D56"/>
    <w:rsid w:val="03C17E7E"/>
    <w:rsid w:val="03E73206"/>
    <w:rsid w:val="04026C8D"/>
    <w:rsid w:val="042F3D71"/>
    <w:rsid w:val="04432C66"/>
    <w:rsid w:val="04584E73"/>
    <w:rsid w:val="04632D76"/>
    <w:rsid w:val="046C750A"/>
    <w:rsid w:val="04A02746"/>
    <w:rsid w:val="050E75A9"/>
    <w:rsid w:val="05104806"/>
    <w:rsid w:val="051B38A9"/>
    <w:rsid w:val="051F41C0"/>
    <w:rsid w:val="051F7A75"/>
    <w:rsid w:val="053E7690"/>
    <w:rsid w:val="05447C28"/>
    <w:rsid w:val="05605B0F"/>
    <w:rsid w:val="056B478E"/>
    <w:rsid w:val="05742AC8"/>
    <w:rsid w:val="058E0B21"/>
    <w:rsid w:val="05926C4E"/>
    <w:rsid w:val="05BB42A5"/>
    <w:rsid w:val="05C55E8E"/>
    <w:rsid w:val="05D642CE"/>
    <w:rsid w:val="05EC0669"/>
    <w:rsid w:val="062C6F51"/>
    <w:rsid w:val="06352F05"/>
    <w:rsid w:val="063A0FE6"/>
    <w:rsid w:val="063C333F"/>
    <w:rsid w:val="063E7D85"/>
    <w:rsid w:val="06683799"/>
    <w:rsid w:val="069409F0"/>
    <w:rsid w:val="06B536D7"/>
    <w:rsid w:val="06CA61A3"/>
    <w:rsid w:val="06CC2DD0"/>
    <w:rsid w:val="06D8396E"/>
    <w:rsid w:val="06EE502E"/>
    <w:rsid w:val="06F22278"/>
    <w:rsid w:val="070875E0"/>
    <w:rsid w:val="0716462A"/>
    <w:rsid w:val="07293586"/>
    <w:rsid w:val="07295285"/>
    <w:rsid w:val="075208D7"/>
    <w:rsid w:val="076444C8"/>
    <w:rsid w:val="076E638B"/>
    <w:rsid w:val="07770C56"/>
    <w:rsid w:val="07A5586E"/>
    <w:rsid w:val="07C76659"/>
    <w:rsid w:val="07CC09EB"/>
    <w:rsid w:val="08002443"/>
    <w:rsid w:val="08065580"/>
    <w:rsid w:val="081E0B1B"/>
    <w:rsid w:val="082D5987"/>
    <w:rsid w:val="082E17EA"/>
    <w:rsid w:val="08377FAD"/>
    <w:rsid w:val="08387E2F"/>
    <w:rsid w:val="084B2F0B"/>
    <w:rsid w:val="086A00E6"/>
    <w:rsid w:val="088B4C81"/>
    <w:rsid w:val="08997FC4"/>
    <w:rsid w:val="08AE049D"/>
    <w:rsid w:val="08B86155"/>
    <w:rsid w:val="08CF48B6"/>
    <w:rsid w:val="08D97D1B"/>
    <w:rsid w:val="08EF10FC"/>
    <w:rsid w:val="08F63846"/>
    <w:rsid w:val="091457BC"/>
    <w:rsid w:val="091D7619"/>
    <w:rsid w:val="092217DD"/>
    <w:rsid w:val="093319EE"/>
    <w:rsid w:val="093A7294"/>
    <w:rsid w:val="093D20B4"/>
    <w:rsid w:val="094D790A"/>
    <w:rsid w:val="094E63E5"/>
    <w:rsid w:val="094F10C7"/>
    <w:rsid w:val="09523CDC"/>
    <w:rsid w:val="095C780C"/>
    <w:rsid w:val="09607FAA"/>
    <w:rsid w:val="096A6D08"/>
    <w:rsid w:val="097B5CAC"/>
    <w:rsid w:val="09991B08"/>
    <w:rsid w:val="09A314F6"/>
    <w:rsid w:val="09D879EF"/>
    <w:rsid w:val="0A073817"/>
    <w:rsid w:val="0A147B34"/>
    <w:rsid w:val="0A1F4703"/>
    <w:rsid w:val="0A231EDD"/>
    <w:rsid w:val="0A6E0464"/>
    <w:rsid w:val="0A721F4B"/>
    <w:rsid w:val="0A767C87"/>
    <w:rsid w:val="0A9A7AEB"/>
    <w:rsid w:val="0B071D3B"/>
    <w:rsid w:val="0B1A18FA"/>
    <w:rsid w:val="0B4A156F"/>
    <w:rsid w:val="0B8C2821"/>
    <w:rsid w:val="0B9B2926"/>
    <w:rsid w:val="0BB166B1"/>
    <w:rsid w:val="0BB747ED"/>
    <w:rsid w:val="0BC55E7E"/>
    <w:rsid w:val="0BC95F15"/>
    <w:rsid w:val="0BD04096"/>
    <w:rsid w:val="0BD27BF6"/>
    <w:rsid w:val="0BE90AC2"/>
    <w:rsid w:val="0BFD6797"/>
    <w:rsid w:val="0C0221CB"/>
    <w:rsid w:val="0C032AB2"/>
    <w:rsid w:val="0C037555"/>
    <w:rsid w:val="0C3A0244"/>
    <w:rsid w:val="0C452B1A"/>
    <w:rsid w:val="0C554291"/>
    <w:rsid w:val="0C581A09"/>
    <w:rsid w:val="0C601A20"/>
    <w:rsid w:val="0C676F35"/>
    <w:rsid w:val="0C820FC8"/>
    <w:rsid w:val="0CB34CF4"/>
    <w:rsid w:val="0CBD30F1"/>
    <w:rsid w:val="0CD43E9E"/>
    <w:rsid w:val="0CD62D8F"/>
    <w:rsid w:val="0CDD691A"/>
    <w:rsid w:val="0CF109A7"/>
    <w:rsid w:val="0D04290B"/>
    <w:rsid w:val="0D1169EC"/>
    <w:rsid w:val="0D301348"/>
    <w:rsid w:val="0D3B62E5"/>
    <w:rsid w:val="0D3C2711"/>
    <w:rsid w:val="0D3D5014"/>
    <w:rsid w:val="0D405695"/>
    <w:rsid w:val="0D471D25"/>
    <w:rsid w:val="0D5C4BD0"/>
    <w:rsid w:val="0D7F3E0A"/>
    <w:rsid w:val="0DB07359"/>
    <w:rsid w:val="0DB96E36"/>
    <w:rsid w:val="0DCA3C27"/>
    <w:rsid w:val="0DD11376"/>
    <w:rsid w:val="0DE03144"/>
    <w:rsid w:val="0DED3F7D"/>
    <w:rsid w:val="0DF149A6"/>
    <w:rsid w:val="0E110D06"/>
    <w:rsid w:val="0E130311"/>
    <w:rsid w:val="0E266AC3"/>
    <w:rsid w:val="0E2A1FC8"/>
    <w:rsid w:val="0E572FD9"/>
    <w:rsid w:val="0E62253D"/>
    <w:rsid w:val="0EAA2B43"/>
    <w:rsid w:val="0EAE684C"/>
    <w:rsid w:val="0EDD0135"/>
    <w:rsid w:val="0EF949B1"/>
    <w:rsid w:val="0EFE1E71"/>
    <w:rsid w:val="0F13775A"/>
    <w:rsid w:val="0F164A98"/>
    <w:rsid w:val="0F607C6B"/>
    <w:rsid w:val="0F7428EE"/>
    <w:rsid w:val="0F791001"/>
    <w:rsid w:val="0F9A112B"/>
    <w:rsid w:val="0FFA6753"/>
    <w:rsid w:val="102939BE"/>
    <w:rsid w:val="103B55CC"/>
    <w:rsid w:val="1058689E"/>
    <w:rsid w:val="106D2F64"/>
    <w:rsid w:val="107439CE"/>
    <w:rsid w:val="10757746"/>
    <w:rsid w:val="108A7467"/>
    <w:rsid w:val="10B63710"/>
    <w:rsid w:val="10D23005"/>
    <w:rsid w:val="10E130BF"/>
    <w:rsid w:val="10E20B40"/>
    <w:rsid w:val="11072A94"/>
    <w:rsid w:val="11182474"/>
    <w:rsid w:val="111C2F7A"/>
    <w:rsid w:val="112002C2"/>
    <w:rsid w:val="112924B4"/>
    <w:rsid w:val="113013DE"/>
    <w:rsid w:val="11380256"/>
    <w:rsid w:val="11446485"/>
    <w:rsid w:val="114678B8"/>
    <w:rsid w:val="114D134F"/>
    <w:rsid w:val="116427AF"/>
    <w:rsid w:val="118F65E6"/>
    <w:rsid w:val="11A7236D"/>
    <w:rsid w:val="11AB65BF"/>
    <w:rsid w:val="11B8015A"/>
    <w:rsid w:val="11C46F35"/>
    <w:rsid w:val="11C743A6"/>
    <w:rsid w:val="11D93DA0"/>
    <w:rsid w:val="11E15093"/>
    <w:rsid w:val="11E84674"/>
    <w:rsid w:val="11EA051C"/>
    <w:rsid w:val="11EA29C0"/>
    <w:rsid w:val="11EF5056"/>
    <w:rsid w:val="11FC011F"/>
    <w:rsid w:val="12023727"/>
    <w:rsid w:val="122072AA"/>
    <w:rsid w:val="12267B49"/>
    <w:rsid w:val="122B06C2"/>
    <w:rsid w:val="123D74D6"/>
    <w:rsid w:val="12445229"/>
    <w:rsid w:val="124F51D5"/>
    <w:rsid w:val="12502C70"/>
    <w:rsid w:val="12605BA3"/>
    <w:rsid w:val="12613C54"/>
    <w:rsid w:val="12736E94"/>
    <w:rsid w:val="1279351E"/>
    <w:rsid w:val="128F2D41"/>
    <w:rsid w:val="129077DE"/>
    <w:rsid w:val="12960DCE"/>
    <w:rsid w:val="12C60256"/>
    <w:rsid w:val="12CE4E68"/>
    <w:rsid w:val="12D3750A"/>
    <w:rsid w:val="12EF6AB8"/>
    <w:rsid w:val="13286CF2"/>
    <w:rsid w:val="134E5C22"/>
    <w:rsid w:val="13775B99"/>
    <w:rsid w:val="138A1793"/>
    <w:rsid w:val="138B18F3"/>
    <w:rsid w:val="13951726"/>
    <w:rsid w:val="13A15444"/>
    <w:rsid w:val="13BC5A7B"/>
    <w:rsid w:val="13ED5118"/>
    <w:rsid w:val="13F50E66"/>
    <w:rsid w:val="141A01E7"/>
    <w:rsid w:val="14377E57"/>
    <w:rsid w:val="14396509"/>
    <w:rsid w:val="143E60BA"/>
    <w:rsid w:val="1447165C"/>
    <w:rsid w:val="14475755"/>
    <w:rsid w:val="145255D4"/>
    <w:rsid w:val="14556DB3"/>
    <w:rsid w:val="145E70D4"/>
    <w:rsid w:val="146B50E8"/>
    <w:rsid w:val="14750D5A"/>
    <w:rsid w:val="147E33C3"/>
    <w:rsid w:val="14870A36"/>
    <w:rsid w:val="149A2AF2"/>
    <w:rsid w:val="149C34F4"/>
    <w:rsid w:val="14E86BD0"/>
    <w:rsid w:val="14FC21E4"/>
    <w:rsid w:val="15205755"/>
    <w:rsid w:val="152C7305"/>
    <w:rsid w:val="154701F2"/>
    <w:rsid w:val="15581F72"/>
    <w:rsid w:val="155B0F75"/>
    <w:rsid w:val="15604521"/>
    <w:rsid w:val="15646E47"/>
    <w:rsid w:val="15BA00E1"/>
    <w:rsid w:val="15CC2176"/>
    <w:rsid w:val="15CD25E7"/>
    <w:rsid w:val="15CE4223"/>
    <w:rsid w:val="15CE5420"/>
    <w:rsid w:val="15DA4676"/>
    <w:rsid w:val="161B6867"/>
    <w:rsid w:val="16220563"/>
    <w:rsid w:val="162623BA"/>
    <w:rsid w:val="162952E3"/>
    <w:rsid w:val="162C3809"/>
    <w:rsid w:val="16361310"/>
    <w:rsid w:val="164D0F49"/>
    <w:rsid w:val="164D1686"/>
    <w:rsid w:val="1691733D"/>
    <w:rsid w:val="1695644C"/>
    <w:rsid w:val="16C17BF4"/>
    <w:rsid w:val="16D108B7"/>
    <w:rsid w:val="16F65FFD"/>
    <w:rsid w:val="170D06D9"/>
    <w:rsid w:val="170F179D"/>
    <w:rsid w:val="171A0D87"/>
    <w:rsid w:val="1724463E"/>
    <w:rsid w:val="17277927"/>
    <w:rsid w:val="173D173B"/>
    <w:rsid w:val="1764623E"/>
    <w:rsid w:val="176B1EA6"/>
    <w:rsid w:val="17735226"/>
    <w:rsid w:val="17754F34"/>
    <w:rsid w:val="177C3206"/>
    <w:rsid w:val="178611DC"/>
    <w:rsid w:val="17902473"/>
    <w:rsid w:val="17991C3C"/>
    <w:rsid w:val="17C11909"/>
    <w:rsid w:val="17C528EE"/>
    <w:rsid w:val="17CE1006"/>
    <w:rsid w:val="17D3708B"/>
    <w:rsid w:val="17D77582"/>
    <w:rsid w:val="17E41539"/>
    <w:rsid w:val="18112FB1"/>
    <w:rsid w:val="181459D7"/>
    <w:rsid w:val="18214C5F"/>
    <w:rsid w:val="183A374F"/>
    <w:rsid w:val="18420856"/>
    <w:rsid w:val="18666832"/>
    <w:rsid w:val="18832596"/>
    <w:rsid w:val="18955D8E"/>
    <w:rsid w:val="189844C9"/>
    <w:rsid w:val="18A36F6F"/>
    <w:rsid w:val="18AD6F38"/>
    <w:rsid w:val="18C15C1F"/>
    <w:rsid w:val="18C96881"/>
    <w:rsid w:val="18DA672E"/>
    <w:rsid w:val="18FD3358"/>
    <w:rsid w:val="1906512C"/>
    <w:rsid w:val="190A44F3"/>
    <w:rsid w:val="191653D9"/>
    <w:rsid w:val="19481E9C"/>
    <w:rsid w:val="19616ABA"/>
    <w:rsid w:val="196216A7"/>
    <w:rsid w:val="198549D1"/>
    <w:rsid w:val="199454D6"/>
    <w:rsid w:val="199E4403"/>
    <w:rsid w:val="19A12E37"/>
    <w:rsid w:val="19B173EC"/>
    <w:rsid w:val="19BB08C0"/>
    <w:rsid w:val="19C534ED"/>
    <w:rsid w:val="19DD2CB2"/>
    <w:rsid w:val="1A127842"/>
    <w:rsid w:val="1A1C66C0"/>
    <w:rsid w:val="1A220073"/>
    <w:rsid w:val="1A307DAC"/>
    <w:rsid w:val="1A3B145C"/>
    <w:rsid w:val="1A407E0C"/>
    <w:rsid w:val="1A42393B"/>
    <w:rsid w:val="1A4C59BC"/>
    <w:rsid w:val="1A524411"/>
    <w:rsid w:val="1A5550F6"/>
    <w:rsid w:val="1A7570AC"/>
    <w:rsid w:val="1A8245D6"/>
    <w:rsid w:val="1A9952ED"/>
    <w:rsid w:val="1AC46E8C"/>
    <w:rsid w:val="1AD72F6D"/>
    <w:rsid w:val="1AEF014E"/>
    <w:rsid w:val="1AFE39A3"/>
    <w:rsid w:val="1B000BBA"/>
    <w:rsid w:val="1B046F80"/>
    <w:rsid w:val="1B3202FC"/>
    <w:rsid w:val="1B3267B5"/>
    <w:rsid w:val="1B3430F7"/>
    <w:rsid w:val="1B59213E"/>
    <w:rsid w:val="1B815128"/>
    <w:rsid w:val="1B825A10"/>
    <w:rsid w:val="1B8B7B95"/>
    <w:rsid w:val="1B8C4D6B"/>
    <w:rsid w:val="1BA764BE"/>
    <w:rsid w:val="1BB13F6D"/>
    <w:rsid w:val="1BBC26CD"/>
    <w:rsid w:val="1BC10824"/>
    <w:rsid w:val="1BC25DC8"/>
    <w:rsid w:val="1BC4107F"/>
    <w:rsid w:val="1BD935D1"/>
    <w:rsid w:val="1BF133BC"/>
    <w:rsid w:val="1BF51C89"/>
    <w:rsid w:val="1C197B20"/>
    <w:rsid w:val="1C2C2182"/>
    <w:rsid w:val="1C2C7A15"/>
    <w:rsid w:val="1C574168"/>
    <w:rsid w:val="1C5E7925"/>
    <w:rsid w:val="1C765C9F"/>
    <w:rsid w:val="1C7669CC"/>
    <w:rsid w:val="1C864762"/>
    <w:rsid w:val="1C887FC8"/>
    <w:rsid w:val="1C8A55DB"/>
    <w:rsid w:val="1CA777C8"/>
    <w:rsid w:val="1CB514A9"/>
    <w:rsid w:val="1CC161ED"/>
    <w:rsid w:val="1CC61FCF"/>
    <w:rsid w:val="1CCD3268"/>
    <w:rsid w:val="1CE05A16"/>
    <w:rsid w:val="1CE3193D"/>
    <w:rsid w:val="1D1E5089"/>
    <w:rsid w:val="1D5F6196"/>
    <w:rsid w:val="1D6132A5"/>
    <w:rsid w:val="1D63465A"/>
    <w:rsid w:val="1D6A43DB"/>
    <w:rsid w:val="1D8E56D5"/>
    <w:rsid w:val="1DA46927"/>
    <w:rsid w:val="1DC63DF7"/>
    <w:rsid w:val="1DD145C1"/>
    <w:rsid w:val="1DEF48B1"/>
    <w:rsid w:val="1E053DEB"/>
    <w:rsid w:val="1E1E766F"/>
    <w:rsid w:val="1E473B8F"/>
    <w:rsid w:val="1E5168F6"/>
    <w:rsid w:val="1E635082"/>
    <w:rsid w:val="1E6432D4"/>
    <w:rsid w:val="1E732AF6"/>
    <w:rsid w:val="1E7A43DA"/>
    <w:rsid w:val="1E932132"/>
    <w:rsid w:val="1E9828AC"/>
    <w:rsid w:val="1EB26E5D"/>
    <w:rsid w:val="1EB277FE"/>
    <w:rsid w:val="1ED15AF8"/>
    <w:rsid w:val="1F1419B3"/>
    <w:rsid w:val="1F246799"/>
    <w:rsid w:val="1F26796B"/>
    <w:rsid w:val="1F3904D5"/>
    <w:rsid w:val="1F606B81"/>
    <w:rsid w:val="1F64759C"/>
    <w:rsid w:val="1F7832BB"/>
    <w:rsid w:val="1F882B80"/>
    <w:rsid w:val="1F9F1DE5"/>
    <w:rsid w:val="1FBD6E1F"/>
    <w:rsid w:val="1FC2787D"/>
    <w:rsid w:val="1FE7539E"/>
    <w:rsid w:val="1FFB37C4"/>
    <w:rsid w:val="1FFB7C68"/>
    <w:rsid w:val="200F56D3"/>
    <w:rsid w:val="20105ECA"/>
    <w:rsid w:val="202135FA"/>
    <w:rsid w:val="202F1927"/>
    <w:rsid w:val="203F2581"/>
    <w:rsid w:val="20611216"/>
    <w:rsid w:val="20825115"/>
    <w:rsid w:val="20883E97"/>
    <w:rsid w:val="20895274"/>
    <w:rsid w:val="20963CB8"/>
    <w:rsid w:val="209677A6"/>
    <w:rsid w:val="20A7394C"/>
    <w:rsid w:val="20AA62AC"/>
    <w:rsid w:val="20B07FB6"/>
    <w:rsid w:val="20D02EA3"/>
    <w:rsid w:val="20D45886"/>
    <w:rsid w:val="20E5555B"/>
    <w:rsid w:val="20EC77BF"/>
    <w:rsid w:val="21063FC7"/>
    <w:rsid w:val="21360DC6"/>
    <w:rsid w:val="213B74B1"/>
    <w:rsid w:val="213D4223"/>
    <w:rsid w:val="215A2310"/>
    <w:rsid w:val="216658D2"/>
    <w:rsid w:val="216830DB"/>
    <w:rsid w:val="216D248C"/>
    <w:rsid w:val="21897DBB"/>
    <w:rsid w:val="218D380F"/>
    <w:rsid w:val="219552A7"/>
    <w:rsid w:val="21A25DD1"/>
    <w:rsid w:val="21C22E7F"/>
    <w:rsid w:val="21D45DE6"/>
    <w:rsid w:val="21DE318A"/>
    <w:rsid w:val="21EF5B80"/>
    <w:rsid w:val="21F93BC8"/>
    <w:rsid w:val="22010FDF"/>
    <w:rsid w:val="220D3C83"/>
    <w:rsid w:val="22576990"/>
    <w:rsid w:val="22757749"/>
    <w:rsid w:val="22794E74"/>
    <w:rsid w:val="229C4EAB"/>
    <w:rsid w:val="229D5007"/>
    <w:rsid w:val="22AE0C5F"/>
    <w:rsid w:val="22B23823"/>
    <w:rsid w:val="22C51B6E"/>
    <w:rsid w:val="22C96BB4"/>
    <w:rsid w:val="22CB3F5D"/>
    <w:rsid w:val="22CF718A"/>
    <w:rsid w:val="22DA23E2"/>
    <w:rsid w:val="22EE3E9B"/>
    <w:rsid w:val="23035EA9"/>
    <w:rsid w:val="2309444A"/>
    <w:rsid w:val="23166730"/>
    <w:rsid w:val="23203542"/>
    <w:rsid w:val="23362D72"/>
    <w:rsid w:val="236D2C2B"/>
    <w:rsid w:val="236D4403"/>
    <w:rsid w:val="23737D01"/>
    <w:rsid w:val="23827156"/>
    <w:rsid w:val="238D46E4"/>
    <w:rsid w:val="238F1D10"/>
    <w:rsid w:val="23953573"/>
    <w:rsid w:val="23C14D25"/>
    <w:rsid w:val="23C46D54"/>
    <w:rsid w:val="23C47A74"/>
    <w:rsid w:val="23C73B1B"/>
    <w:rsid w:val="23F15571"/>
    <w:rsid w:val="24134F0B"/>
    <w:rsid w:val="2424436B"/>
    <w:rsid w:val="24486D5C"/>
    <w:rsid w:val="24586973"/>
    <w:rsid w:val="245D1BD9"/>
    <w:rsid w:val="246D6C5B"/>
    <w:rsid w:val="247A6A25"/>
    <w:rsid w:val="24804B18"/>
    <w:rsid w:val="248975AD"/>
    <w:rsid w:val="24A878BD"/>
    <w:rsid w:val="24B1044B"/>
    <w:rsid w:val="24B12ABC"/>
    <w:rsid w:val="24BC5D11"/>
    <w:rsid w:val="24ED7441"/>
    <w:rsid w:val="24EE7D9B"/>
    <w:rsid w:val="24FE78B3"/>
    <w:rsid w:val="250A27B1"/>
    <w:rsid w:val="252830C1"/>
    <w:rsid w:val="252D53FE"/>
    <w:rsid w:val="254F125D"/>
    <w:rsid w:val="255F0C6E"/>
    <w:rsid w:val="256E1EA7"/>
    <w:rsid w:val="258C4EBE"/>
    <w:rsid w:val="25B81091"/>
    <w:rsid w:val="25C15374"/>
    <w:rsid w:val="25EC2D81"/>
    <w:rsid w:val="25EE4EC1"/>
    <w:rsid w:val="25F17E48"/>
    <w:rsid w:val="26032D97"/>
    <w:rsid w:val="260D3D3C"/>
    <w:rsid w:val="26357304"/>
    <w:rsid w:val="263B7010"/>
    <w:rsid w:val="264528BD"/>
    <w:rsid w:val="265C0D35"/>
    <w:rsid w:val="265E4AAD"/>
    <w:rsid w:val="265F14A3"/>
    <w:rsid w:val="26721FBD"/>
    <w:rsid w:val="26A56238"/>
    <w:rsid w:val="26CC6975"/>
    <w:rsid w:val="26DB5FC7"/>
    <w:rsid w:val="26EE562D"/>
    <w:rsid w:val="26F80972"/>
    <w:rsid w:val="26FF2C9C"/>
    <w:rsid w:val="27171767"/>
    <w:rsid w:val="272343DC"/>
    <w:rsid w:val="2724127C"/>
    <w:rsid w:val="27335FDD"/>
    <w:rsid w:val="27340FD7"/>
    <w:rsid w:val="27546844"/>
    <w:rsid w:val="27661C4E"/>
    <w:rsid w:val="27695881"/>
    <w:rsid w:val="27821EC9"/>
    <w:rsid w:val="2785219A"/>
    <w:rsid w:val="27AC1848"/>
    <w:rsid w:val="27B0569E"/>
    <w:rsid w:val="27B77C28"/>
    <w:rsid w:val="27C3506D"/>
    <w:rsid w:val="27D15DD1"/>
    <w:rsid w:val="27DB76F9"/>
    <w:rsid w:val="280107B4"/>
    <w:rsid w:val="280F3966"/>
    <w:rsid w:val="280F4E65"/>
    <w:rsid w:val="28120712"/>
    <w:rsid w:val="2816159A"/>
    <w:rsid w:val="282E405C"/>
    <w:rsid w:val="283D58BA"/>
    <w:rsid w:val="283E5C4B"/>
    <w:rsid w:val="287556F2"/>
    <w:rsid w:val="28924926"/>
    <w:rsid w:val="28944720"/>
    <w:rsid w:val="2896364A"/>
    <w:rsid w:val="28A76295"/>
    <w:rsid w:val="2916341D"/>
    <w:rsid w:val="29206EB8"/>
    <w:rsid w:val="29223BD4"/>
    <w:rsid w:val="29230EE1"/>
    <w:rsid w:val="292E4C0A"/>
    <w:rsid w:val="296044D3"/>
    <w:rsid w:val="296E1FD7"/>
    <w:rsid w:val="297C2A05"/>
    <w:rsid w:val="297C2B4D"/>
    <w:rsid w:val="29A6389C"/>
    <w:rsid w:val="29C54E43"/>
    <w:rsid w:val="29C7422F"/>
    <w:rsid w:val="29CA4B8D"/>
    <w:rsid w:val="29E325E0"/>
    <w:rsid w:val="2A111BBA"/>
    <w:rsid w:val="2A156FFA"/>
    <w:rsid w:val="2A1927CF"/>
    <w:rsid w:val="2A452503"/>
    <w:rsid w:val="2A461F23"/>
    <w:rsid w:val="2A4C4BE5"/>
    <w:rsid w:val="2A5C7555"/>
    <w:rsid w:val="2A73719B"/>
    <w:rsid w:val="2A9F6E40"/>
    <w:rsid w:val="2AA03D05"/>
    <w:rsid w:val="2AAD6003"/>
    <w:rsid w:val="2ABB0A6C"/>
    <w:rsid w:val="2AD217A2"/>
    <w:rsid w:val="2AE055CA"/>
    <w:rsid w:val="2AEA7171"/>
    <w:rsid w:val="2B035C23"/>
    <w:rsid w:val="2B1240B8"/>
    <w:rsid w:val="2B165705"/>
    <w:rsid w:val="2B3B360F"/>
    <w:rsid w:val="2BA57E24"/>
    <w:rsid w:val="2BA85397"/>
    <w:rsid w:val="2BA936A8"/>
    <w:rsid w:val="2BBB4072"/>
    <w:rsid w:val="2BCE6522"/>
    <w:rsid w:val="2BDF3F0E"/>
    <w:rsid w:val="2BFE2949"/>
    <w:rsid w:val="2C0B3B29"/>
    <w:rsid w:val="2C113CE1"/>
    <w:rsid w:val="2C2D1D71"/>
    <w:rsid w:val="2C2F1949"/>
    <w:rsid w:val="2C315A5A"/>
    <w:rsid w:val="2C3165D7"/>
    <w:rsid w:val="2C3F5C19"/>
    <w:rsid w:val="2C6C7279"/>
    <w:rsid w:val="2C801934"/>
    <w:rsid w:val="2C813804"/>
    <w:rsid w:val="2C8C35AA"/>
    <w:rsid w:val="2C907B46"/>
    <w:rsid w:val="2C923C0C"/>
    <w:rsid w:val="2CA07176"/>
    <w:rsid w:val="2CA84CAA"/>
    <w:rsid w:val="2CB561BD"/>
    <w:rsid w:val="2CDA585C"/>
    <w:rsid w:val="2CE33A5F"/>
    <w:rsid w:val="2CE46656"/>
    <w:rsid w:val="2D031F0A"/>
    <w:rsid w:val="2D1C2904"/>
    <w:rsid w:val="2D214A86"/>
    <w:rsid w:val="2D492DB9"/>
    <w:rsid w:val="2D5C59D6"/>
    <w:rsid w:val="2D6D5C98"/>
    <w:rsid w:val="2D842796"/>
    <w:rsid w:val="2D921791"/>
    <w:rsid w:val="2D981A9F"/>
    <w:rsid w:val="2D9E56F5"/>
    <w:rsid w:val="2D9E60D7"/>
    <w:rsid w:val="2DA10DD0"/>
    <w:rsid w:val="2DBB7E23"/>
    <w:rsid w:val="2DCA0C7A"/>
    <w:rsid w:val="2DD02CED"/>
    <w:rsid w:val="2DEB19C0"/>
    <w:rsid w:val="2E0903C4"/>
    <w:rsid w:val="2E163DF8"/>
    <w:rsid w:val="2E1A575D"/>
    <w:rsid w:val="2E482E0D"/>
    <w:rsid w:val="2E59496A"/>
    <w:rsid w:val="2E667F96"/>
    <w:rsid w:val="2E716C3A"/>
    <w:rsid w:val="2E813A2E"/>
    <w:rsid w:val="2E8226AB"/>
    <w:rsid w:val="2EA97C9B"/>
    <w:rsid w:val="2EC45323"/>
    <w:rsid w:val="2ED66A29"/>
    <w:rsid w:val="2EF34C4B"/>
    <w:rsid w:val="2F444C9A"/>
    <w:rsid w:val="2F4F2BF6"/>
    <w:rsid w:val="2F6056DE"/>
    <w:rsid w:val="2F677BD1"/>
    <w:rsid w:val="2F6916AA"/>
    <w:rsid w:val="2F6A6F3F"/>
    <w:rsid w:val="2F832C79"/>
    <w:rsid w:val="2FE20ECB"/>
    <w:rsid w:val="2FEF2D58"/>
    <w:rsid w:val="30103067"/>
    <w:rsid w:val="3016316E"/>
    <w:rsid w:val="301914A6"/>
    <w:rsid w:val="303B1D8C"/>
    <w:rsid w:val="30580BC9"/>
    <w:rsid w:val="306236DA"/>
    <w:rsid w:val="30662EDC"/>
    <w:rsid w:val="306E2476"/>
    <w:rsid w:val="307775C1"/>
    <w:rsid w:val="30807D0F"/>
    <w:rsid w:val="309E6346"/>
    <w:rsid w:val="30DF62C7"/>
    <w:rsid w:val="30F77C75"/>
    <w:rsid w:val="31184CE2"/>
    <w:rsid w:val="311E2ED7"/>
    <w:rsid w:val="31304586"/>
    <w:rsid w:val="313558AC"/>
    <w:rsid w:val="313855F1"/>
    <w:rsid w:val="313C1E8F"/>
    <w:rsid w:val="31490EED"/>
    <w:rsid w:val="314A45AB"/>
    <w:rsid w:val="315C449C"/>
    <w:rsid w:val="31602870"/>
    <w:rsid w:val="31794357"/>
    <w:rsid w:val="318416EF"/>
    <w:rsid w:val="31850E90"/>
    <w:rsid w:val="31966E80"/>
    <w:rsid w:val="3197127B"/>
    <w:rsid w:val="319C0B7F"/>
    <w:rsid w:val="31B82709"/>
    <w:rsid w:val="31BD4A2C"/>
    <w:rsid w:val="31D2535D"/>
    <w:rsid w:val="31FC6025"/>
    <w:rsid w:val="31FD48C6"/>
    <w:rsid w:val="32056A82"/>
    <w:rsid w:val="321E639F"/>
    <w:rsid w:val="323F30EA"/>
    <w:rsid w:val="32400B34"/>
    <w:rsid w:val="3277593D"/>
    <w:rsid w:val="32843DF1"/>
    <w:rsid w:val="329217C9"/>
    <w:rsid w:val="32953A89"/>
    <w:rsid w:val="329E6876"/>
    <w:rsid w:val="32B16170"/>
    <w:rsid w:val="32BA5629"/>
    <w:rsid w:val="32E479AB"/>
    <w:rsid w:val="332130EA"/>
    <w:rsid w:val="334100E2"/>
    <w:rsid w:val="336A1A14"/>
    <w:rsid w:val="336F4286"/>
    <w:rsid w:val="33923D3D"/>
    <w:rsid w:val="3396053C"/>
    <w:rsid w:val="339731A0"/>
    <w:rsid w:val="339C6C14"/>
    <w:rsid w:val="33AC63B4"/>
    <w:rsid w:val="33B26FA6"/>
    <w:rsid w:val="33D53B72"/>
    <w:rsid w:val="33D934D4"/>
    <w:rsid w:val="33E472C3"/>
    <w:rsid w:val="33E52FA1"/>
    <w:rsid w:val="33EE2197"/>
    <w:rsid w:val="33F660E8"/>
    <w:rsid w:val="33F8502F"/>
    <w:rsid w:val="33FE2F6A"/>
    <w:rsid w:val="340B1BE9"/>
    <w:rsid w:val="34117416"/>
    <w:rsid w:val="34197824"/>
    <w:rsid w:val="342713F4"/>
    <w:rsid w:val="342A2472"/>
    <w:rsid w:val="342E7216"/>
    <w:rsid w:val="34691A70"/>
    <w:rsid w:val="348F1BDE"/>
    <w:rsid w:val="34974931"/>
    <w:rsid w:val="349E333C"/>
    <w:rsid w:val="34A118FF"/>
    <w:rsid w:val="34B8182C"/>
    <w:rsid w:val="34D81ECE"/>
    <w:rsid w:val="350967BD"/>
    <w:rsid w:val="350B691C"/>
    <w:rsid w:val="35491BD9"/>
    <w:rsid w:val="35614940"/>
    <w:rsid w:val="35831767"/>
    <w:rsid w:val="358374A7"/>
    <w:rsid w:val="359F5039"/>
    <w:rsid w:val="359F6611"/>
    <w:rsid w:val="35AE5DEE"/>
    <w:rsid w:val="35E24456"/>
    <w:rsid w:val="35E949AD"/>
    <w:rsid w:val="36074A7F"/>
    <w:rsid w:val="360945A4"/>
    <w:rsid w:val="36107446"/>
    <w:rsid w:val="361D5769"/>
    <w:rsid w:val="362F3A4D"/>
    <w:rsid w:val="36361FEC"/>
    <w:rsid w:val="3667350A"/>
    <w:rsid w:val="366D0D29"/>
    <w:rsid w:val="36923549"/>
    <w:rsid w:val="36B75FBF"/>
    <w:rsid w:val="36B77CE8"/>
    <w:rsid w:val="36B8487B"/>
    <w:rsid w:val="36BE7876"/>
    <w:rsid w:val="36E030CE"/>
    <w:rsid w:val="36FB4891"/>
    <w:rsid w:val="37162CA1"/>
    <w:rsid w:val="37166CDE"/>
    <w:rsid w:val="37177E1B"/>
    <w:rsid w:val="371972A5"/>
    <w:rsid w:val="3723490B"/>
    <w:rsid w:val="37346E22"/>
    <w:rsid w:val="3737640B"/>
    <w:rsid w:val="37482E8A"/>
    <w:rsid w:val="374A3AED"/>
    <w:rsid w:val="37615898"/>
    <w:rsid w:val="3772660A"/>
    <w:rsid w:val="377F033F"/>
    <w:rsid w:val="378749FA"/>
    <w:rsid w:val="378C1261"/>
    <w:rsid w:val="378E0F6A"/>
    <w:rsid w:val="37916E18"/>
    <w:rsid w:val="37923DC9"/>
    <w:rsid w:val="37961A4D"/>
    <w:rsid w:val="37AF5632"/>
    <w:rsid w:val="37B947E7"/>
    <w:rsid w:val="37D800AA"/>
    <w:rsid w:val="37EA6EBE"/>
    <w:rsid w:val="37F36451"/>
    <w:rsid w:val="37F9032E"/>
    <w:rsid w:val="38042FD6"/>
    <w:rsid w:val="382A2218"/>
    <w:rsid w:val="382B0567"/>
    <w:rsid w:val="38304BA3"/>
    <w:rsid w:val="385F45BE"/>
    <w:rsid w:val="387A7301"/>
    <w:rsid w:val="38803E9D"/>
    <w:rsid w:val="3894603B"/>
    <w:rsid w:val="38A43AD0"/>
    <w:rsid w:val="38A91071"/>
    <w:rsid w:val="38C868F6"/>
    <w:rsid w:val="38CF6F69"/>
    <w:rsid w:val="38DA751E"/>
    <w:rsid w:val="38E54BBA"/>
    <w:rsid w:val="38F12CD3"/>
    <w:rsid w:val="38F47066"/>
    <w:rsid w:val="38F94775"/>
    <w:rsid w:val="39020A10"/>
    <w:rsid w:val="390A6409"/>
    <w:rsid w:val="390C55B1"/>
    <w:rsid w:val="391A6EAA"/>
    <w:rsid w:val="392971ED"/>
    <w:rsid w:val="392C6831"/>
    <w:rsid w:val="392D6269"/>
    <w:rsid w:val="39316051"/>
    <w:rsid w:val="394332ED"/>
    <w:rsid w:val="39482A81"/>
    <w:rsid w:val="395960C9"/>
    <w:rsid w:val="398A32F4"/>
    <w:rsid w:val="399436D2"/>
    <w:rsid w:val="399C4100"/>
    <w:rsid w:val="39A7241F"/>
    <w:rsid w:val="39BD4334"/>
    <w:rsid w:val="39C24EFB"/>
    <w:rsid w:val="39D30EB6"/>
    <w:rsid w:val="39DE2DAD"/>
    <w:rsid w:val="39E210F9"/>
    <w:rsid w:val="39F02433"/>
    <w:rsid w:val="3A121975"/>
    <w:rsid w:val="3A253B5C"/>
    <w:rsid w:val="3A2F6E47"/>
    <w:rsid w:val="3A304D85"/>
    <w:rsid w:val="3A655FB2"/>
    <w:rsid w:val="3A6A767D"/>
    <w:rsid w:val="3A792D38"/>
    <w:rsid w:val="3AAF7B70"/>
    <w:rsid w:val="3AB42A96"/>
    <w:rsid w:val="3AE3204D"/>
    <w:rsid w:val="3B014A93"/>
    <w:rsid w:val="3B320E8D"/>
    <w:rsid w:val="3B3616FD"/>
    <w:rsid w:val="3B3763D1"/>
    <w:rsid w:val="3B582E1E"/>
    <w:rsid w:val="3B5B576D"/>
    <w:rsid w:val="3B5D58D4"/>
    <w:rsid w:val="3B6816D8"/>
    <w:rsid w:val="3B697CF5"/>
    <w:rsid w:val="3B7848F3"/>
    <w:rsid w:val="3B853517"/>
    <w:rsid w:val="3B935CDD"/>
    <w:rsid w:val="3B971BE6"/>
    <w:rsid w:val="3B9755D7"/>
    <w:rsid w:val="3BA23004"/>
    <w:rsid w:val="3BA47BA1"/>
    <w:rsid w:val="3BBA02E0"/>
    <w:rsid w:val="3BDD4151"/>
    <w:rsid w:val="3C022F1B"/>
    <w:rsid w:val="3C0E030A"/>
    <w:rsid w:val="3C16040A"/>
    <w:rsid w:val="3C2F1D1B"/>
    <w:rsid w:val="3C763519"/>
    <w:rsid w:val="3C9031B9"/>
    <w:rsid w:val="3CAF17E7"/>
    <w:rsid w:val="3CB23BBC"/>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E3062"/>
    <w:rsid w:val="3D7F21CE"/>
    <w:rsid w:val="3D8517BA"/>
    <w:rsid w:val="3D883510"/>
    <w:rsid w:val="3D8C3369"/>
    <w:rsid w:val="3D950CBD"/>
    <w:rsid w:val="3DD340EC"/>
    <w:rsid w:val="3DFE0B23"/>
    <w:rsid w:val="3E0E5BB0"/>
    <w:rsid w:val="3E1C3B38"/>
    <w:rsid w:val="3E3A750F"/>
    <w:rsid w:val="3E491824"/>
    <w:rsid w:val="3E4C4F04"/>
    <w:rsid w:val="3E615292"/>
    <w:rsid w:val="3E780225"/>
    <w:rsid w:val="3E840A3D"/>
    <w:rsid w:val="3E923FE9"/>
    <w:rsid w:val="3EAA270B"/>
    <w:rsid w:val="3EB05EF1"/>
    <w:rsid w:val="3ECD05CA"/>
    <w:rsid w:val="3EE55913"/>
    <w:rsid w:val="3EED6196"/>
    <w:rsid w:val="3EF75647"/>
    <w:rsid w:val="3F10435E"/>
    <w:rsid w:val="3F1A6B7C"/>
    <w:rsid w:val="3F29225B"/>
    <w:rsid w:val="3F3372C6"/>
    <w:rsid w:val="3F3D7BE8"/>
    <w:rsid w:val="3F660E74"/>
    <w:rsid w:val="3F71488F"/>
    <w:rsid w:val="3F86087E"/>
    <w:rsid w:val="3FE673A7"/>
    <w:rsid w:val="3FFC248D"/>
    <w:rsid w:val="400A2F55"/>
    <w:rsid w:val="40307C5E"/>
    <w:rsid w:val="405465FD"/>
    <w:rsid w:val="40647F06"/>
    <w:rsid w:val="40713C8B"/>
    <w:rsid w:val="4079618D"/>
    <w:rsid w:val="407A6407"/>
    <w:rsid w:val="40A823FF"/>
    <w:rsid w:val="40AE0330"/>
    <w:rsid w:val="40B732E0"/>
    <w:rsid w:val="40BC6B48"/>
    <w:rsid w:val="40DC2D46"/>
    <w:rsid w:val="410A5D60"/>
    <w:rsid w:val="41270C1B"/>
    <w:rsid w:val="413B1439"/>
    <w:rsid w:val="415131CB"/>
    <w:rsid w:val="41560DD0"/>
    <w:rsid w:val="415702E0"/>
    <w:rsid w:val="4159130B"/>
    <w:rsid w:val="416C5E78"/>
    <w:rsid w:val="41814577"/>
    <w:rsid w:val="418A40DA"/>
    <w:rsid w:val="41A4267C"/>
    <w:rsid w:val="41A75102"/>
    <w:rsid w:val="41B31CF9"/>
    <w:rsid w:val="41D60885"/>
    <w:rsid w:val="41DF69BD"/>
    <w:rsid w:val="420049FD"/>
    <w:rsid w:val="42054F0F"/>
    <w:rsid w:val="42071629"/>
    <w:rsid w:val="421A1C49"/>
    <w:rsid w:val="423A3BCC"/>
    <w:rsid w:val="423B30A8"/>
    <w:rsid w:val="42535488"/>
    <w:rsid w:val="42562624"/>
    <w:rsid w:val="427E6FF7"/>
    <w:rsid w:val="42821F12"/>
    <w:rsid w:val="42870A90"/>
    <w:rsid w:val="42B63BD6"/>
    <w:rsid w:val="430C7F46"/>
    <w:rsid w:val="43150DBB"/>
    <w:rsid w:val="431C38CE"/>
    <w:rsid w:val="432B0845"/>
    <w:rsid w:val="432B52F7"/>
    <w:rsid w:val="432B5830"/>
    <w:rsid w:val="433A6FE6"/>
    <w:rsid w:val="43431778"/>
    <w:rsid w:val="434844DE"/>
    <w:rsid w:val="4350713C"/>
    <w:rsid w:val="436653E0"/>
    <w:rsid w:val="436E72E2"/>
    <w:rsid w:val="437833E7"/>
    <w:rsid w:val="438230AB"/>
    <w:rsid w:val="43AC6A00"/>
    <w:rsid w:val="43BB49FE"/>
    <w:rsid w:val="43C33DCA"/>
    <w:rsid w:val="43C346CA"/>
    <w:rsid w:val="43C35C1B"/>
    <w:rsid w:val="43D75300"/>
    <w:rsid w:val="43E56907"/>
    <w:rsid w:val="43F2077F"/>
    <w:rsid w:val="440467FC"/>
    <w:rsid w:val="440B10FC"/>
    <w:rsid w:val="441C1C24"/>
    <w:rsid w:val="4477557D"/>
    <w:rsid w:val="448B3E4F"/>
    <w:rsid w:val="448F2567"/>
    <w:rsid w:val="4499153B"/>
    <w:rsid w:val="44A616A1"/>
    <w:rsid w:val="44B459CC"/>
    <w:rsid w:val="44BC3FEE"/>
    <w:rsid w:val="44C33ACC"/>
    <w:rsid w:val="44C935E1"/>
    <w:rsid w:val="44CD14E0"/>
    <w:rsid w:val="44DE20BF"/>
    <w:rsid w:val="44F75334"/>
    <w:rsid w:val="4515575F"/>
    <w:rsid w:val="452F5B3A"/>
    <w:rsid w:val="45344BF2"/>
    <w:rsid w:val="454406F1"/>
    <w:rsid w:val="455A27D4"/>
    <w:rsid w:val="457272D0"/>
    <w:rsid w:val="45737E49"/>
    <w:rsid w:val="45857895"/>
    <w:rsid w:val="458946E9"/>
    <w:rsid w:val="45AC442D"/>
    <w:rsid w:val="45B147A1"/>
    <w:rsid w:val="45BC6CA2"/>
    <w:rsid w:val="45CB49F3"/>
    <w:rsid w:val="45D205E0"/>
    <w:rsid w:val="45F955F7"/>
    <w:rsid w:val="45FB14C5"/>
    <w:rsid w:val="46121554"/>
    <w:rsid w:val="46164604"/>
    <w:rsid w:val="461F17AF"/>
    <w:rsid w:val="46363FA1"/>
    <w:rsid w:val="465852A6"/>
    <w:rsid w:val="469E55F6"/>
    <w:rsid w:val="46C03441"/>
    <w:rsid w:val="46C04E5C"/>
    <w:rsid w:val="46C53F32"/>
    <w:rsid w:val="46CA3945"/>
    <w:rsid w:val="46CF693C"/>
    <w:rsid w:val="46D7195E"/>
    <w:rsid w:val="46D955A7"/>
    <w:rsid w:val="471274C2"/>
    <w:rsid w:val="47133957"/>
    <w:rsid w:val="471C7124"/>
    <w:rsid w:val="472E597E"/>
    <w:rsid w:val="47372589"/>
    <w:rsid w:val="474A2312"/>
    <w:rsid w:val="47635578"/>
    <w:rsid w:val="4779329E"/>
    <w:rsid w:val="477F3284"/>
    <w:rsid w:val="477F442B"/>
    <w:rsid w:val="479B0BA0"/>
    <w:rsid w:val="47A07E0C"/>
    <w:rsid w:val="47B576EE"/>
    <w:rsid w:val="47BF0CC8"/>
    <w:rsid w:val="47C86F90"/>
    <w:rsid w:val="47D96394"/>
    <w:rsid w:val="47DB6159"/>
    <w:rsid w:val="481C6EE1"/>
    <w:rsid w:val="481D6B0C"/>
    <w:rsid w:val="48376AB4"/>
    <w:rsid w:val="483A5C59"/>
    <w:rsid w:val="4842667B"/>
    <w:rsid w:val="48585234"/>
    <w:rsid w:val="48585B34"/>
    <w:rsid w:val="486C4F5F"/>
    <w:rsid w:val="4870272E"/>
    <w:rsid w:val="48970A41"/>
    <w:rsid w:val="48B1464B"/>
    <w:rsid w:val="48BE0884"/>
    <w:rsid w:val="48BF5427"/>
    <w:rsid w:val="48C040AA"/>
    <w:rsid w:val="48DC7D87"/>
    <w:rsid w:val="48EE5D90"/>
    <w:rsid w:val="48FA4F21"/>
    <w:rsid w:val="494A2E8F"/>
    <w:rsid w:val="49683266"/>
    <w:rsid w:val="498E09ED"/>
    <w:rsid w:val="49AE7234"/>
    <w:rsid w:val="49BE129E"/>
    <w:rsid w:val="49C32CF5"/>
    <w:rsid w:val="49CD6A5C"/>
    <w:rsid w:val="49D17C2D"/>
    <w:rsid w:val="49D561EC"/>
    <w:rsid w:val="49DC7715"/>
    <w:rsid w:val="49DE39FB"/>
    <w:rsid w:val="4A023139"/>
    <w:rsid w:val="4A072E04"/>
    <w:rsid w:val="4A1277D9"/>
    <w:rsid w:val="4A27689B"/>
    <w:rsid w:val="4A2B058E"/>
    <w:rsid w:val="4A314103"/>
    <w:rsid w:val="4A3B25F9"/>
    <w:rsid w:val="4A482542"/>
    <w:rsid w:val="4A536BCB"/>
    <w:rsid w:val="4A71383E"/>
    <w:rsid w:val="4A735A25"/>
    <w:rsid w:val="4A783D80"/>
    <w:rsid w:val="4A7B576F"/>
    <w:rsid w:val="4A852A36"/>
    <w:rsid w:val="4A9140FF"/>
    <w:rsid w:val="4A9F2732"/>
    <w:rsid w:val="4AD40244"/>
    <w:rsid w:val="4ADE70CD"/>
    <w:rsid w:val="4AEC7372"/>
    <w:rsid w:val="4AEF3676"/>
    <w:rsid w:val="4AFB5971"/>
    <w:rsid w:val="4B035107"/>
    <w:rsid w:val="4B0D32E2"/>
    <w:rsid w:val="4B0D4E47"/>
    <w:rsid w:val="4B1347E5"/>
    <w:rsid w:val="4B137A40"/>
    <w:rsid w:val="4B187071"/>
    <w:rsid w:val="4B2012CE"/>
    <w:rsid w:val="4B715842"/>
    <w:rsid w:val="4B7C1CC0"/>
    <w:rsid w:val="4B8245DA"/>
    <w:rsid w:val="4B8A1D1C"/>
    <w:rsid w:val="4BA24238"/>
    <w:rsid w:val="4BAD7871"/>
    <w:rsid w:val="4BB5666E"/>
    <w:rsid w:val="4BBC5C4E"/>
    <w:rsid w:val="4BCC79C4"/>
    <w:rsid w:val="4BE36845"/>
    <w:rsid w:val="4BFD0FED"/>
    <w:rsid w:val="4BFE4852"/>
    <w:rsid w:val="4BFE6267"/>
    <w:rsid w:val="4C2C2250"/>
    <w:rsid w:val="4C4A0649"/>
    <w:rsid w:val="4C567718"/>
    <w:rsid w:val="4C9B26B3"/>
    <w:rsid w:val="4C9E49B2"/>
    <w:rsid w:val="4CA76B27"/>
    <w:rsid w:val="4CAB40AA"/>
    <w:rsid w:val="4CAF7561"/>
    <w:rsid w:val="4CCD186E"/>
    <w:rsid w:val="4CD2055C"/>
    <w:rsid w:val="4CD7062B"/>
    <w:rsid w:val="4CE470D3"/>
    <w:rsid w:val="4CEA0CFB"/>
    <w:rsid w:val="4D003831"/>
    <w:rsid w:val="4D1C7F38"/>
    <w:rsid w:val="4D1F7DF0"/>
    <w:rsid w:val="4D250793"/>
    <w:rsid w:val="4D2D60B9"/>
    <w:rsid w:val="4D3F453D"/>
    <w:rsid w:val="4D6632B1"/>
    <w:rsid w:val="4D665E71"/>
    <w:rsid w:val="4D726C18"/>
    <w:rsid w:val="4D9E5C73"/>
    <w:rsid w:val="4D9F3131"/>
    <w:rsid w:val="4DA651AE"/>
    <w:rsid w:val="4DC969B3"/>
    <w:rsid w:val="4DCA28A4"/>
    <w:rsid w:val="4DCB2A58"/>
    <w:rsid w:val="4DEC4FB0"/>
    <w:rsid w:val="4E075D8A"/>
    <w:rsid w:val="4E0B5312"/>
    <w:rsid w:val="4E506598"/>
    <w:rsid w:val="4E5A0417"/>
    <w:rsid w:val="4E611B9A"/>
    <w:rsid w:val="4E6C07EA"/>
    <w:rsid w:val="4E73286E"/>
    <w:rsid w:val="4E9609D8"/>
    <w:rsid w:val="4E9E7AAE"/>
    <w:rsid w:val="4E9F0C87"/>
    <w:rsid w:val="4EB127EA"/>
    <w:rsid w:val="4EBA70BD"/>
    <w:rsid w:val="4ECC660A"/>
    <w:rsid w:val="4EF525D6"/>
    <w:rsid w:val="4F29214E"/>
    <w:rsid w:val="4F5B33BA"/>
    <w:rsid w:val="4F7A3479"/>
    <w:rsid w:val="4F991859"/>
    <w:rsid w:val="4F9F68AD"/>
    <w:rsid w:val="4FA107F2"/>
    <w:rsid w:val="4FA267CB"/>
    <w:rsid w:val="4FAC7DC3"/>
    <w:rsid w:val="4FB27BB5"/>
    <w:rsid w:val="4FC44945"/>
    <w:rsid w:val="4FC62A8C"/>
    <w:rsid w:val="4FC90388"/>
    <w:rsid w:val="4FC913EA"/>
    <w:rsid w:val="4FCF2ACA"/>
    <w:rsid w:val="4FE20F0D"/>
    <w:rsid w:val="4FE85BD4"/>
    <w:rsid w:val="4FF13B85"/>
    <w:rsid w:val="4FFE6835"/>
    <w:rsid w:val="500278C5"/>
    <w:rsid w:val="5005507B"/>
    <w:rsid w:val="50191DB5"/>
    <w:rsid w:val="50281264"/>
    <w:rsid w:val="5035654E"/>
    <w:rsid w:val="504639A3"/>
    <w:rsid w:val="50504C4B"/>
    <w:rsid w:val="506D0500"/>
    <w:rsid w:val="50772144"/>
    <w:rsid w:val="508A6399"/>
    <w:rsid w:val="508B0AF1"/>
    <w:rsid w:val="509C6E7C"/>
    <w:rsid w:val="50A05456"/>
    <w:rsid w:val="50A815FE"/>
    <w:rsid w:val="50E0152B"/>
    <w:rsid w:val="51122D44"/>
    <w:rsid w:val="511B3417"/>
    <w:rsid w:val="51356054"/>
    <w:rsid w:val="51436893"/>
    <w:rsid w:val="514B60EC"/>
    <w:rsid w:val="51544699"/>
    <w:rsid w:val="515F3A7B"/>
    <w:rsid w:val="5162104E"/>
    <w:rsid w:val="5175687A"/>
    <w:rsid w:val="51A46843"/>
    <w:rsid w:val="51AE428B"/>
    <w:rsid w:val="51CA6BF1"/>
    <w:rsid w:val="51D90B0E"/>
    <w:rsid w:val="51E111B6"/>
    <w:rsid w:val="51F53C68"/>
    <w:rsid w:val="5200736B"/>
    <w:rsid w:val="52067C23"/>
    <w:rsid w:val="521A1920"/>
    <w:rsid w:val="521C465F"/>
    <w:rsid w:val="52506D4F"/>
    <w:rsid w:val="526B217C"/>
    <w:rsid w:val="526D1F45"/>
    <w:rsid w:val="527E1028"/>
    <w:rsid w:val="52916F1A"/>
    <w:rsid w:val="529945F3"/>
    <w:rsid w:val="52996A7D"/>
    <w:rsid w:val="529B3274"/>
    <w:rsid w:val="52C17D00"/>
    <w:rsid w:val="52CB63DF"/>
    <w:rsid w:val="52DB5553"/>
    <w:rsid w:val="52F16DE6"/>
    <w:rsid w:val="531044E6"/>
    <w:rsid w:val="53137801"/>
    <w:rsid w:val="5322283B"/>
    <w:rsid w:val="5336781A"/>
    <w:rsid w:val="534157F1"/>
    <w:rsid w:val="536B2FE6"/>
    <w:rsid w:val="538B6E8E"/>
    <w:rsid w:val="538F3C48"/>
    <w:rsid w:val="539D2159"/>
    <w:rsid w:val="539F77FF"/>
    <w:rsid w:val="53A039CC"/>
    <w:rsid w:val="53A1505A"/>
    <w:rsid w:val="53A47025"/>
    <w:rsid w:val="53B9306E"/>
    <w:rsid w:val="53C01A47"/>
    <w:rsid w:val="53C241CE"/>
    <w:rsid w:val="53F51CFD"/>
    <w:rsid w:val="540339DE"/>
    <w:rsid w:val="54063E08"/>
    <w:rsid w:val="54072661"/>
    <w:rsid w:val="540A6FA1"/>
    <w:rsid w:val="540A77A2"/>
    <w:rsid w:val="541B25B6"/>
    <w:rsid w:val="543437E8"/>
    <w:rsid w:val="54843081"/>
    <w:rsid w:val="548A5BF9"/>
    <w:rsid w:val="549412E0"/>
    <w:rsid w:val="549A54AC"/>
    <w:rsid w:val="549C2D9C"/>
    <w:rsid w:val="54B35F7D"/>
    <w:rsid w:val="54C867F3"/>
    <w:rsid w:val="54C93498"/>
    <w:rsid w:val="54D23DEC"/>
    <w:rsid w:val="54E707AD"/>
    <w:rsid w:val="54E75AF6"/>
    <w:rsid w:val="54E80EA4"/>
    <w:rsid w:val="55066216"/>
    <w:rsid w:val="551750CB"/>
    <w:rsid w:val="55214023"/>
    <w:rsid w:val="55262800"/>
    <w:rsid w:val="55276C7B"/>
    <w:rsid w:val="55382027"/>
    <w:rsid w:val="556914AB"/>
    <w:rsid w:val="55733821"/>
    <w:rsid w:val="557912EA"/>
    <w:rsid w:val="557B5277"/>
    <w:rsid w:val="559B174B"/>
    <w:rsid w:val="55C60090"/>
    <w:rsid w:val="55CE055B"/>
    <w:rsid w:val="55CE0CF4"/>
    <w:rsid w:val="55D20672"/>
    <w:rsid w:val="55E31AE3"/>
    <w:rsid w:val="55FB18B5"/>
    <w:rsid w:val="560307EB"/>
    <w:rsid w:val="56044DC2"/>
    <w:rsid w:val="56062A2F"/>
    <w:rsid w:val="560C332E"/>
    <w:rsid w:val="561A36DD"/>
    <w:rsid w:val="564209B4"/>
    <w:rsid w:val="56754B5B"/>
    <w:rsid w:val="567C7047"/>
    <w:rsid w:val="569210B7"/>
    <w:rsid w:val="569A4794"/>
    <w:rsid w:val="56AD2F30"/>
    <w:rsid w:val="56AE5351"/>
    <w:rsid w:val="56B22A9C"/>
    <w:rsid w:val="56B435F5"/>
    <w:rsid w:val="56BF4B95"/>
    <w:rsid w:val="56D979A5"/>
    <w:rsid w:val="57062473"/>
    <w:rsid w:val="57064C9D"/>
    <w:rsid w:val="571C57F3"/>
    <w:rsid w:val="571D1CAB"/>
    <w:rsid w:val="572172AD"/>
    <w:rsid w:val="572E6B98"/>
    <w:rsid w:val="573C4502"/>
    <w:rsid w:val="57653C70"/>
    <w:rsid w:val="5765719A"/>
    <w:rsid w:val="57664CC0"/>
    <w:rsid w:val="577108D4"/>
    <w:rsid w:val="579D75CB"/>
    <w:rsid w:val="57B72A76"/>
    <w:rsid w:val="57B851ED"/>
    <w:rsid w:val="57CA41EB"/>
    <w:rsid w:val="57D1482F"/>
    <w:rsid w:val="57DC5214"/>
    <w:rsid w:val="57F624E8"/>
    <w:rsid w:val="580764A3"/>
    <w:rsid w:val="581026FC"/>
    <w:rsid w:val="582836A2"/>
    <w:rsid w:val="58457759"/>
    <w:rsid w:val="5862495B"/>
    <w:rsid w:val="58683662"/>
    <w:rsid w:val="58A77952"/>
    <w:rsid w:val="58BE5D01"/>
    <w:rsid w:val="58CC267F"/>
    <w:rsid w:val="58CF5213"/>
    <w:rsid w:val="58D04AE7"/>
    <w:rsid w:val="58E14F46"/>
    <w:rsid w:val="58F3077A"/>
    <w:rsid w:val="58F9040C"/>
    <w:rsid w:val="5902799B"/>
    <w:rsid w:val="59123710"/>
    <w:rsid w:val="59163876"/>
    <w:rsid w:val="592212C0"/>
    <w:rsid w:val="5923465F"/>
    <w:rsid w:val="592F6606"/>
    <w:rsid w:val="595079D6"/>
    <w:rsid w:val="59795220"/>
    <w:rsid w:val="5983316A"/>
    <w:rsid w:val="59907AF6"/>
    <w:rsid w:val="59A170F7"/>
    <w:rsid w:val="59A93F65"/>
    <w:rsid w:val="59AA08C4"/>
    <w:rsid w:val="59CC1A83"/>
    <w:rsid w:val="59DB3E06"/>
    <w:rsid w:val="59FF63EB"/>
    <w:rsid w:val="5A252C10"/>
    <w:rsid w:val="5A270757"/>
    <w:rsid w:val="5A283E83"/>
    <w:rsid w:val="5A3C747D"/>
    <w:rsid w:val="5A415526"/>
    <w:rsid w:val="5A4B0393"/>
    <w:rsid w:val="5A6A6727"/>
    <w:rsid w:val="5A874076"/>
    <w:rsid w:val="5A9662A1"/>
    <w:rsid w:val="5AA1498D"/>
    <w:rsid w:val="5AA41CEA"/>
    <w:rsid w:val="5ABD70AB"/>
    <w:rsid w:val="5ABE2233"/>
    <w:rsid w:val="5AEB0587"/>
    <w:rsid w:val="5AFB639C"/>
    <w:rsid w:val="5B0031FB"/>
    <w:rsid w:val="5B022AC1"/>
    <w:rsid w:val="5B056434"/>
    <w:rsid w:val="5B0D59C4"/>
    <w:rsid w:val="5B112FE6"/>
    <w:rsid w:val="5B16746E"/>
    <w:rsid w:val="5B174BD9"/>
    <w:rsid w:val="5B276D18"/>
    <w:rsid w:val="5B3946A7"/>
    <w:rsid w:val="5B4256B7"/>
    <w:rsid w:val="5B597737"/>
    <w:rsid w:val="5B621404"/>
    <w:rsid w:val="5B773003"/>
    <w:rsid w:val="5B787F9C"/>
    <w:rsid w:val="5B8F47E5"/>
    <w:rsid w:val="5B9D68C6"/>
    <w:rsid w:val="5B9E5670"/>
    <w:rsid w:val="5BA26C0E"/>
    <w:rsid w:val="5BA65DCC"/>
    <w:rsid w:val="5BB40BA6"/>
    <w:rsid w:val="5BBC67C5"/>
    <w:rsid w:val="5BC764F6"/>
    <w:rsid w:val="5BD01244"/>
    <w:rsid w:val="5BDC37A3"/>
    <w:rsid w:val="5BDF5D95"/>
    <w:rsid w:val="5BF22FC6"/>
    <w:rsid w:val="5C1C63A8"/>
    <w:rsid w:val="5C285A3E"/>
    <w:rsid w:val="5C29540E"/>
    <w:rsid w:val="5C516770"/>
    <w:rsid w:val="5C5D48E3"/>
    <w:rsid w:val="5C766E4A"/>
    <w:rsid w:val="5C783DC5"/>
    <w:rsid w:val="5C891B7C"/>
    <w:rsid w:val="5C9950C8"/>
    <w:rsid w:val="5C9E454D"/>
    <w:rsid w:val="5CA37228"/>
    <w:rsid w:val="5CA72E3F"/>
    <w:rsid w:val="5CB079D7"/>
    <w:rsid w:val="5CB868F2"/>
    <w:rsid w:val="5CDB70F2"/>
    <w:rsid w:val="5D1D14DE"/>
    <w:rsid w:val="5D2C7751"/>
    <w:rsid w:val="5D343B95"/>
    <w:rsid w:val="5D3D751A"/>
    <w:rsid w:val="5D746389"/>
    <w:rsid w:val="5D804894"/>
    <w:rsid w:val="5D811E11"/>
    <w:rsid w:val="5D877544"/>
    <w:rsid w:val="5DAF2F7B"/>
    <w:rsid w:val="5DCD5A99"/>
    <w:rsid w:val="5DCE7E16"/>
    <w:rsid w:val="5DD1377F"/>
    <w:rsid w:val="5DD21301"/>
    <w:rsid w:val="5DEF412A"/>
    <w:rsid w:val="5DF136A3"/>
    <w:rsid w:val="5DF87A0F"/>
    <w:rsid w:val="5E23390B"/>
    <w:rsid w:val="5E364C03"/>
    <w:rsid w:val="5E4A2B2E"/>
    <w:rsid w:val="5E5C75F5"/>
    <w:rsid w:val="5E6E2A67"/>
    <w:rsid w:val="5E7E4670"/>
    <w:rsid w:val="5E8652D7"/>
    <w:rsid w:val="5E8E550E"/>
    <w:rsid w:val="5E925874"/>
    <w:rsid w:val="5E983162"/>
    <w:rsid w:val="5EA048F9"/>
    <w:rsid w:val="5EA54320"/>
    <w:rsid w:val="5EB237E6"/>
    <w:rsid w:val="5EB73F1D"/>
    <w:rsid w:val="5EE404C5"/>
    <w:rsid w:val="5EFC18D7"/>
    <w:rsid w:val="5F092816"/>
    <w:rsid w:val="5F1A2B43"/>
    <w:rsid w:val="5F1D035A"/>
    <w:rsid w:val="5F253005"/>
    <w:rsid w:val="5F322752"/>
    <w:rsid w:val="5F447E3D"/>
    <w:rsid w:val="5F58578F"/>
    <w:rsid w:val="5F631071"/>
    <w:rsid w:val="5F796DF2"/>
    <w:rsid w:val="5F7E2339"/>
    <w:rsid w:val="5F9F3EE1"/>
    <w:rsid w:val="5FA365D5"/>
    <w:rsid w:val="5FA56DDB"/>
    <w:rsid w:val="5FB837BB"/>
    <w:rsid w:val="5FBA204D"/>
    <w:rsid w:val="5FC13DAD"/>
    <w:rsid w:val="5FD163C4"/>
    <w:rsid w:val="5FDF7B54"/>
    <w:rsid w:val="5FE1048F"/>
    <w:rsid w:val="5FE3356B"/>
    <w:rsid w:val="5FE82AA9"/>
    <w:rsid w:val="5FED5F7E"/>
    <w:rsid w:val="600D75AD"/>
    <w:rsid w:val="601367AA"/>
    <w:rsid w:val="601377FC"/>
    <w:rsid w:val="603138EA"/>
    <w:rsid w:val="6045400C"/>
    <w:rsid w:val="604E1976"/>
    <w:rsid w:val="6055425E"/>
    <w:rsid w:val="606A01E6"/>
    <w:rsid w:val="606B77E0"/>
    <w:rsid w:val="608A282A"/>
    <w:rsid w:val="608D0753"/>
    <w:rsid w:val="608F727F"/>
    <w:rsid w:val="60B77FA4"/>
    <w:rsid w:val="60C24C13"/>
    <w:rsid w:val="60D10950"/>
    <w:rsid w:val="60E31C84"/>
    <w:rsid w:val="60E814EB"/>
    <w:rsid w:val="61053764"/>
    <w:rsid w:val="61393EFB"/>
    <w:rsid w:val="61442516"/>
    <w:rsid w:val="614537CD"/>
    <w:rsid w:val="6149217F"/>
    <w:rsid w:val="61495DD0"/>
    <w:rsid w:val="614E41B0"/>
    <w:rsid w:val="615501AE"/>
    <w:rsid w:val="616D55C9"/>
    <w:rsid w:val="61706E67"/>
    <w:rsid w:val="617C3A5E"/>
    <w:rsid w:val="617C7D2B"/>
    <w:rsid w:val="61994C6D"/>
    <w:rsid w:val="61E84E43"/>
    <w:rsid w:val="6208709F"/>
    <w:rsid w:val="62206ADF"/>
    <w:rsid w:val="62214DFA"/>
    <w:rsid w:val="62364782"/>
    <w:rsid w:val="624833DC"/>
    <w:rsid w:val="625614D2"/>
    <w:rsid w:val="62591218"/>
    <w:rsid w:val="626544F2"/>
    <w:rsid w:val="62752C1C"/>
    <w:rsid w:val="62830E1C"/>
    <w:rsid w:val="62AA26A1"/>
    <w:rsid w:val="62CC4571"/>
    <w:rsid w:val="62FC712E"/>
    <w:rsid w:val="63065013"/>
    <w:rsid w:val="630C6EA9"/>
    <w:rsid w:val="632443AD"/>
    <w:rsid w:val="6325326C"/>
    <w:rsid w:val="633F11E7"/>
    <w:rsid w:val="63514A76"/>
    <w:rsid w:val="637403CC"/>
    <w:rsid w:val="637846F9"/>
    <w:rsid w:val="638F6CEF"/>
    <w:rsid w:val="63917843"/>
    <w:rsid w:val="63A1212E"/>
    <w:rsid w:val="63A8314E"/>
    <w:rsid w:val="63BD0899"/>
    <w:rsid w:val="63D40BE9"/>
    <w:rsid w:val="63D60CF2"/>
    <w:rsid w:val="63E0211F"/>
    <w:rsid w:val="63F94D40"/>
    <w:rsid w:val="63FD12C8"/>
    <w:rsid w:val="64050106"/>
    <w:rsid w:val="640E2967"/>
    <w:rsid w:val="64287C1B"/>
    <w:rsid w:val="64364A89"/>
    <w:rsid w:val="64436AB5"/>
    <w:rsid w:val="644E185F"/>
    <w:rsid w:val="645E7BDA"/>
    <w:rsid w:val="64700446"/>
    <w:rsid w:val="648A0240"/>
    <w:rsid w:val="64963B81"/>
    <w:rsid w:val="64AA3A15"/>
    <w:rsid w:val="64BD5068"/>
    <w:rsid w:val="64C554BE"/>
    <w:rsid w:val="64DF4E7D"/>
    <w:rsid w:val="64E56E1C"/>
    <w:rsid w:val="64FC6011"/>
    <w:rsid w:val="65373578"/>
    <w:rsid w:val="65415EB7"/>
    <w:rsid w:val="65420B1A"/>
    <w:rsid w:val="65436A9C"/>
    <w:rsid w:val="657B402C"/>
    <w:rsid w:val="65A173AE"/>
    <w:rsid w:val="65D327C2"/>
    <w:rsid w:val="65DC0F6F"/>
    <w:rsid w:val="65E027BC"/>
    <w:rsid w:val="66281865"/>
    <w:rsid w:val="662B36E0"/>
    <w:rsid w:val="663C7C5F"/>
    <w:rsid w:val="663D0790"/>
    <w:rsid w:val="665B6338"/>
    <w:rsid w:val="665B7D83"/>
    <w:rsid w:val="666431EA"/>
    <w:rsid w:val="669E4620"/>
    <w:rsid w:val="66BD7E36"/>
    <w:rsid w:val="66C22A14"/>
    <w:rsid w:val="66C3141F"/>
    <w:rsid w:val="66C34658"/>
    <w:rsid w:val="66CC3515"/>
    <w:rsid w:val="66D81826"/>
    <w:rsid w:val="66F22E0A"/>
    <w:rsid w:val="67053AFC"/>
    <w:rsid w:val="67265724"/>
    <w:rsid w:val="672C3AE2"/>
    <w:rsid w:val="67303483"/>
    <w:rsid w:val="673B26A9"/>
    <w:rsid w:val="673E2696"/>
    <w:rsid w:val="673F2C7A"/>
    <w:rsid w:val="67446DEC"/>
    <w:rsid w:val="67680108"/>
    <w:rsid w:val="67725DFD"/>
    <w:rsid w:val="678D04E0"/>
    <w:rsid w:val="67B41AC4"/>
    <w:rsid w:val="67C560BE"/>
    <w:rsid w:val="67D47004"/>
    <w:rsid w:val="67EB5499"/>
    <w:rsid w:val="67ED6375"/>
    <w:rsid w:val="67FB3C27"/>
    <w:rsid w:val="680A6139"/>
    <w:rsid w:val="680D6040"/>
    <w:rsid w:val="68177056"/>
    <w:rsid w:val="681F6961"/>
    <w:rsid w:val="682870D1"/>
    <w:rsid w:val="68610A2F"/>
    <w:rsid w:val="68612D68"/>
    <w:rsid w:val="68664B20"/>
    <w:rsid w:val="6874548F"/>
    <w:rsid w:val="68805514"/>
    <w:rsid w:val="689A6B3D"/>
    <w:rsid w:val="68A81BF4"/>
    <w:rsid w:val="68AB721C"/>
    <w:rsid w:val="68B021BE"/>
    <w:rsid w:val="68C405FA"/>
    <w:rsid w:val="68CC2DDB"/>
    <w:rsid w:val="68DE5385"/>
    <w:rsid w:val="68DF122C"/>
    <w:rsid w:val="68E92CAD"/>
    <w:rsid w:val="68FD5B33"/>
    <w:rsid w:val="6901472A"/>
    <w:rsid w:val="69092490"/>
    <w:rsid w:val="69097014"/>
    <w:rsid w:val="691664EE"/>
    <w:rsid w:val="691B6B54"/>
    <w:rsid w:val="693B4E23"/>
    <w:rsid w:val="694B6EB9"/>
    <w:rsid w:val="694E2071"/>
    <w:rsid w:val="69613B48"/>
    <w:rsid w:val="697A3B33"/>
    <w:rsid w:val="69905DD7"/>
    <w:rsid w:val="6997151D"/>
    <w:rsid w:val="699E2456"/>
    <w:rsid w:val="69C24B64"/>
    <w:rsid w:val="69D211A4"/>
    <w:rsid w:val="69DD1E58"/>
    <w:rsid w:val="69E42540"/>
    <w:rsid w:val="69EF49DE"/>
    <w:rsid w:val="6A254F5A"/>
    <w:rsid w:val="6A257AFF"/>
    <w:rsid w:val="6A2A6BDA"/>
    <w:rsid w:val="6A324629"/>
    <w:rsid w:val="6A396EA9"/>
    <w:rsid w:val="6A3A44B6"/>
    <w:rsid w:val="6A42336B"/>
    <w:rsid w:val="6A5501E0"/>
    <w:rsid w:val="6A675E4D"/>
    <w:rsid w:val="6A705D42"/>
    <w:rsid w:val="6A782DA5"/>
    <w:rsid w:val="6A78576F"/>
    <w:rsid w:val="6AB06526"/>
    <w:rsid w:val="6AB24B59"/>
    <w:rsid w:val="6AC2028C"/>
    <w:rsid w:val="6ACD783B"/>
    <w:rsid w:val="6AE078B7"/>
    <w:rsid w:val="6AEF5EFF"/>
    <w:rsid w:val="6AF01018"/>
    <w:rsid w:val="6AF02DC7"/>
    <w:rsid w:val="6B1E6F16"/>
    <w:rsid w:val="6B295AA1"/>
    <w:rsid w:val="6B322639"/>
    <w:rsid w:val="6B454EC0"/>
    <w:rsid w:val="6B487D6B"/>
    <w:rsid w:val="6B5C3F06"/>
    <w:rsid w:val="6B6A2B79"/>
    <w:rsid w:val="6B7A4F14"/>
    <w:rsid w:val="6BE244AA"/>
    <w:rsid w:val="6BE350EA"/>
    <w:rsid w:val="6C052E0C"/>
    <w:rsid w:val="6C111246"/>
    <w:rsid w:val="6C336698"/>
    <w:rsid w:val="6C427652"/>
    <w:rsid w:val="6C432EB8"/>
    <w:rsid w:val="6C472CF7"/>
    <w:rsid w:val="6C636C38"/>
    <w:rsid w:val="6C717819"/>
    <w:rsid w:val="6CB2505C"/>
    <w:rsid w:val="6CBA7124"/>
    <w:rsid w:val="6CE801EE"/>
    <w:rsid w:val="6CE81FD1"/>
    <w:rsid w:val="6CF30EFC"/>
    <w:rsid w:val="6CFD6CF2"/>
    <w:rsid w:val="6D1E7AB0"/>
    <w:rsid w:val="6D2A3CB8"/>
    <w:rsid w:val="6D3C13EF"/>
    <w:rsid w:val="6D417C28"/>
    <w:rsid w:val="6D566DCE"/>
    <w:rsid w:val="6D5E04BB"/>
    <w:rsid w:val="6D615924"/>
    <w:rsid w:val="6D6758F6"/>
    <w:rsid w:val="6D8605B7"/>
    <w:rsid w:val="6D86469A"/>
    <w:rsid w:val="6DB12CE1"/>
    <w:rsid w:val="6DB27B28"/>
    <w:rsid w:val="6DB34098"/>
    <w:rsid w:val="6DB545B6"/>
    <w:rsid w:val="6DD01EAE"/>
    <w:rsid w:val="6DD84FE3"/>
    <w:rsid w:val="6DDF2BA1"/>
    <w:rsid w:val="6DF0064C"/>
    <w:rsid w:val="6DF901E4"/>
    <w:rsid w:val="6E0C6D84"/>
    <w:rsid w:val="6E1D7CFF"/>
    <w:rsid w:val="6E4375A0"/>
    <w:rsid w:val="6E514CED"/>
    <w:rsid w:val="6E58315D"/>
    <w:rsid w:val="6E5F380F"/>
    <w:rsid w:val="6E632885"/>
    <w:rsid w:val="6E761835"/>
    <w:rsid w:val="6E79491A"/>
    <w:rsid w:val="6E7E3225"/>
    <w:rsid w:val="6E833E77"/>
    <w:rsid w:val="6E8A48AD"/>
    <w:rsid w:val="6E8F019F"/>
    <w:rsid w:val="6EB563D5"/>
    <w:rsid w:val="6EB84FAC"/>
    <w:rsid w:val="6EBE2657"/>
    <w:rsid w:val="6ED61BD6"/>
    <w:rsid w:val="6EF76598"/>
    <w:rsid w:val="6F0B34FD"/>
    <w:rsid w:val="6F0F745A"/>
    <w:rsid w:val="6F225983"/>
    <w:rsid w:val="6F2F2676"/>
    <w:rsid w:val="6F4B0F13"/>
    <w:rsid w:val="6F583B84"/>
    <w:rsid w:val="6FA077A9"/>
    <w:rsid w:val="6FB30830"/>
    <w:rsid w:val="6FB3753A"/>
    <w:rsid w:val="6FD57B35"/>
    <w:rsid w:val="6FEF744F"/>
    <w:rsid w:val="6FF25F04"/>
    <w:rsid w:val="6FFC5590"/>
    <w:rsid w:val="70301DA3"/>
    <w:rsid w:val="70390FB7"/>
    <w:rsid w:val="70486433"/>
    <w:rsid w:val="704A4117"/>
    <w:rsid w:val="70623977"/>
    <w:rsid w:val="706D1DD0"/>
    <w:rsid w:val="70856B87"/>
    <w:rsid w:val="708B529E"/>
    <w:rsid w:val="70BD1BC9"/>
    <w:rsid w:val="70CC4DD8"/>
    <w:rsid w:val="70D13BDC"/>
    <w:rsid w:val="70D527EE"/>
    <w:rsid w:val="70DC329D"/>
    <w:rsid w:val="70F5516F"/>
    <w:rsid w:val="70FE3E32"/>
    <w:rsid w:val="715A1226"/>
    <w:rsid w:val="715B5300"/>
    <w:rsid w:val="715F4BD7"/>
    <w:rsid w:val="71665B90"/>
    <w:rsid w:val="716B0995"/>
    <w:rsid w:val="7178018F"/>
    <w:rsid w:val="71793B16"/>
    <w:rsid w:val="71A306A7"/>
    <w:rsid w:val="71BB2D89"/>
    <w:rsid w:val="71D27F8A"/>
    <w:rsid w:val="71DF5810"/>
    <w:rsid w:val="71E847F7"/>
    <w:rsid w:val="71ED1AE4"/>
    <w:rsid w:val="71EF3DD8"/>
    <w:rsid w:val="71F744C6"/>
    <w:rsid w:val="71F960CF"/>
    <w:rsid w:val="71FA428B"/>
    <w:rsid w:val="72040EDF"/>
    <w:rsid w:val="720E6E9F"/>
    <w:rsid w:val="72167F76"/>
    <w:rsid w:val="72200435"/>
    <w:rsid w:val="722B0C93"/>
    <w:rsid w:val="7230498D"/>
    <w:rsid w:val="72417A2A"/>
    <w:rsid w:val="7250733B"/>
    <w:rsid w:val="72606A84"/>
    <w:rsid w:val="7278639B"/>
    <w:rsid w:val="72A21274"/>
    <w:rsid w:val="72CD440E"/>
    <w:rsid w:val="72D046E2"/>
    <w:rsid w:val="72D0499C"/>
    <w:rsid w:val="72FB752A"/>
    <w:rsid w:val="72FE1DE6"/>
    <w:rsid w:val="730D40BD"/>
    <w:rsid w:val="731F5D5E"/>
    <w:rsid w:val="73427283"/>
    <w:rsid w:val="73450A1E"/>
    <w:rsid w:val="7359750C"/>
    <w:rsid w:val="735A6AC0"/>
    <w:rsid w:val="735D7E4F"/>
    <w:rsid w:val="736912ED"/>
    <w:rsid w:val="73733E55"/>
    <w:rsid w:val="739D4185"/>
    <w:rsid w:val="73A01AA0"/>
    <w:rsid w:val="73A0375E"/>
    <w:rsid w:val="73AF3ED7"/>
    <w:rsid w:val="73C21E17"/>
    <w:rsid w:val="73CF3EC6"/>
    <w:rsid w:val="73DF3DB1"/>
    <w:rsid w:val="73E55116"/>
    <w:rsid w:val="73E7597F"/>
    <w:rsid w:val="73E9749F"/>
    <w:rsid w:val="73F317FA"/>
    <w:rsid w:val="74031DBD"/>
    <w:rsid w:val="74032EFE"/>
    <w:rsid w:val="740F3F2A"/>
    <w:rsid w:val="74135DC8"/>
    <w:rsid w:val="741915E0"/>
    <w:rsid w:val="741E793C"/>
    <w:rsid w:val="741F18AA"/>
    <w:rsid w:val="74274249"/>
    <w:rsid w:val="748C3FEA"/>
    <w:rsid w:val="74B66177"/>
    <w:rsid w:val="74C23A26"/>
    <w:rsid w:val="74C62050"/>
    <w:rsid w:val="74D448E6"/>
    <w:rsid w:val="74EA49FD"/>
    <w:rsid w:val="74FE2D6F"/>
    <w:rsid w:val="75022BDD"/>
    <w:rsid w:val="750F158B"/>
    <w:rsid w:val="752E10BB"/>
    <w:rsid w:val="7544268D"/>
    <w:rsid w:val="754729DC"/>
    <w:rsid w:val="75530B22"/>
    <w:rsid w:val="755A18C8"/>
    <w:rsid w:val="755A6C79"/>
    <w:rsid w:val="755B7732"/>
    <w:rsid w:val="755E784D"/>
    <w:rsid w:val="7560120D"/>
    <w:rsid w:val="756C6357"/>
    <w:rsid w:val="758D75E2"/>
    <w:rsid w:val="759877EE"/>
    <w:rsid w:val="75992D4C"/>
    <w:rsid w:val="75B01439"/>
    <w:rsid w:val="75B14511"/>
    <w:rsid w:val="75B74C0D"/>
    <w:rsid w:val="75B95F6C"/>
    <w:rsid w:val="75BD407D"/>
    <w:rsid w:val="75C20CE1"/>
    <w:rsid w:val="75D51148"/>
    <w:rsid w:val="7608190C"/>
    <w:rsid w:val="763515C6"/>
    <w:rsid w:val="76634D94"/>
    <w:rsid w:val="76830835"/>
    <w:rsid w:val="76B4114C"/>
    <w:rsid w:val="76D11CFE"/>
    <w:rsid w:val="76E11F70"/>
    <w:rsid w:val="76E16C86"/>
    <w:rsid w:val="76ED456A"/>
    <w:rsid w:val="76F60514"/>
    <w:rsid w:val="770C2D36"/>
    <w:rsid w:val="771B4F77"/>
    <w:rsid w:val="77376CED"/>
    <w:rsid w:val="775B37B3"/>
    <w:rsid w:val="77762421"/>
    <w:rsid w:val="77785105"/>
    <w:rsid w:val="777D3C34"/>
    <w:rsid w:val="77AB3A64"/>
    <w:rsid w:val="77AB7369"/>
    <w:rsid w:val="77B13B07"/>
    <w:rsid w:val="77BD15A4"/>
    <w:rsid w:val="77BF61D3"/>
    <w:rsid w:val="78075902"/>
    <w:rsid w:val="780D6D66"/>
    <w:rsid w:val="780F09F4"/>
    <w:rsid w:val="78382EF8"/>
    <w:rsid w:val="783A38D3"/>
    <w:rsid w:val="784A10DC"/>
    <w:rsid w:val="7850458F"/>
    <w:rsid w:val="786C6827"/>
    <w:rsid w:val="78731D96"/>
    <w:rsid w:val="788007E2"/>
    <w:rsid w:val="78801C2E"/>
    <w:rsid w:val="788267F7"/>
    <w:rsid w:val="7886117B"/>
    <w:rsid w:val="789C4F47"/>
    <w:rsid w:val="78A90480"/>
    <w:rsid w:val="78B60185"/>
    <w:rsid w:val="78DF1AD6"/>
    <w:rsid w:val="78F24CB5"/>
    <w:rsid w:val="791C3DF8"/>
    <w:rsid w:val="79222CE5"/>
    <w:rsid w:val="792E3438"/>
    <w:rsid w:val="79352681"/>
    <w:rsid w:val="795A247F"/>
    <w:rsid w:val="79701CA2"/>
    <w:rsid w:val="79811327"/>
    <w:rsid w:val="79954AEE"/>
    <w:rsid w:val="79982FA7"/>
    <w:rsid w:val="79A67472"/>
    <w:rsid w:val="79BD4575"/>
    <w:rsid w:val="79C630CB"/>
    <w:rsid w:val="79D722A7"/>
    <w:rsid w:val="79DA5B24"/>
    <w:rsid w:val="79DD4919"/>
    <w:rsid w:val="79F959FA"/>
    <w:rsid w:val="79FB4964"/>
    <w:rsid w:val="7A0302E5"/>
    <w:rsid w:val="7A115712"/>
    <w:rsid w:val="7A1F7224"/>
    <w:rsid w:val="7A364017"/>
    <w:rsid w:val="7A595F92"/>
    <w:rsid w:val="7A620597"/>
    <w:rsid w:val="7A8265E1"/>
    <w:rsid w:val="7AE15030"/>
    <w:rsid w:val="7AE56F93"/>
    <w:rsid w:val="7AF83F51"/>
    <w:rsid w:val="7B117990"/>
    <w:rsid w:val="7B263E32"/>
    <w:rsid w:val="7B2C1881"/>
    <w:rsid w:val="7B2F7570"/>
    <w:rsid w:val="7B4D22AB"/>
    <w:rsid w:val="7B5109BD"/>
    <w:rsid w:val="7B614279"/>
    <w:rsid w:val="7B686D42"/>
    <w:rsid w:val="7B791DDF"/>
    <w:rsid w:val="7B821819"/>
    <w:rsid w:val="7B841746"/>
    <w:rsid w:val="7B86755B"/>
    <w:rsid w:val="7B8C29DC"/>
    <w:rsid w:val="7BB424C3"/>
    <w:rsid w:val="7BCC3591"/>
    <w:rsid w:val="7BEB768C"/>
    <w:rsid w:val="7BF23C6E"/>
    <w:rsid w:val="7C0A4D10"/>
    <w:rsid w:val="7C0B3B92"/>
    <w:rsid w:val="7C0C51EE"/>
    <w:rsid w:val="7C226A0C"/>
    <w:rsid w:val="7C3B7650"/>
    <w:rsid w:val="7C3E65E2"/>
    <w:rsid w:val="7C6153C2"/>
    <w:rsid w:val="7C673344"/>
    <w:rsid w:val="7C787319"/>
    <w:rsid w:val="7C994AFF"/>
    <w:rsid w:val="7CA26DD4"/>
    <w:rsid w:val="7CA35EEB"/>
    <w:rsid w:val="7CAA00E0"/>
    <w:rsid w:val="7CCC7A15"/>
    <w:rsid w:val="7CDF7C7E"/>
    <w:rsid w:val="7CE64A4C"/>
    <w:rsid w:val="7CED360A"/>
    <w:rsid w:val="7D0239FF"/>
    <w:rsid w:val="7D264C9A"/>
    <w:rsid w:val="7D5E40CD"/>
    <w:rsid w:val="7D693BED"/>
    <w:rsid w:val="7D725C18"/>
    <w:rsid w:val="7D8056AC"/>
    <w:rsid w:val="7D8D7B32"/>
    <w:rsid w:val="7DB647A8"/>
    <w:rsid w:val="7DCA0DE6"/>
    <w:rsid w:val="7DDA3B8E"/>
    <w:rsid w:val="7DEA542C"/>
    <w:rsid w:val="7E122809"/>
    <w:rsid w:val="7E2D0915"/>
    <w:rsid w:val="7E325778"/>
    <w:rsid w:val="7E3F75FE"/>
    <w:rsid w:val="7E402C0C"/>
    <w:rsid w:val="7E435D95"/>
    <w:rsid w:val="7E553C2B"/>
    <w:rsid w:val="7E576F8D"/>
    <w:rsid w:val="7E8F35E5"/>
    <w:rsid w:val="7E9A66E0"/>
    <w:rsid w:val="7E9C0F50"/>
    <w:rsid w:val="7EAE7081"/>
    <w:rsid w:val="7EB90E2D"/>
    <w:rsid w:val="7EDC1B29"/>
    <w:rsid w:val="7EFD18A2"/>
    <w:rsid w:val="7F2A63D2"/>
    <w:rsid w:val="7F3A5D6A"/>
    <w:rsid w:val="7F4A0143"/>
    <w:rsid w:val="7F552938"/>
    <w:rsid w:val="7F6B7CCC"/>
    <w:rsid w:val="7F7407A6"/>
    <w:rsid w:val="7F7605F4"/>
    <w:rsid w:val="7F7C22C3"/>
    <w:rsid w:val="7F83193F"/>
    <w:rsid w:val="7F8C25F6"/>
    <w:rsid w:val="7F977AA3"/>
    <w:rsid w:val="7F9F0E2D"/>
    <w:rsid w:val="7FB17C7D"/>
    <w:rsid w:val="7FCA6E59"/>
    <w:rsid w:val="7FCB7C32"/>
    <w:rsid w:val="7FE47E50"/>
    <w:rsid w:val="7FE513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6">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7">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5"/>
    <w:semiHidden/>
    <w:qFormat/>
    <w:uiPriority w:val="0"/>
    <w:pPr>
      <w:spacing w:after="120"/>
      <w:ind w:left="420" w:leftChars="200"/>
    </w:pPr>
  </w:style>
  <w:style w:type="paragraph" w:styleId="8">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9">
    <w:name w:val="index 5"/>
    <w:basedOn w:val="1"/>
    <w:next w:val="1"/>
    <w:qFormat/>
    <w:uiPriority w:val="0"/>
    <w:pPr>
      <w:ind w:left="800" w:leftChars="800"/>
    </w:pPr>
    <w:rPr>
      <w:szCs w:val="24"/>
    </w:rPr>
  </w:style>
  <w:style w:type="paragraph" w:styleId="10">
    <w:name w:val="annotation text"/>
    <w:basedOn w:val="1"/>
    <w:link w:val="34"/>
    <w:semiHidden/>
    <w:qFormat/>
    <w:uiPriority w:val="0"/>
    <w:pPr>
      <w:jc w:val="left"/>
    </w:pPr>
    <w:rPr>
      <w:kern w:val="0"/>
      <w:sz w:val="20"/>
    </w:rPr>
  </w:style>
  <w:style w:type="paragraph" w:styleId="11">
    <w:name w:val="Body Text"/>
    <w:basedOn w:val="1"/>
    <w:next w:val="12"/>
    <w:link w:val="33"/>
    <w:qFormat/>
    <w:uiPriority w:val="0"/>
    <w:pPr>
      <w:widowControl/>
      <w:snapToGrid w:val="0"/>
      <w:spacing w:before="60" w:after="160" w:line="259" w:lineRule="auto"/>
      <w:ind w:right="113"/>
    </w:pPr>
    <w:rPr>
      <w:kern w:val="0"/>
      <w:sz w:val="18"/>
      <w:szCs w:val="18"/>
    </w:rPr>
  </w:style>
  <w:style w:type="paragraph" w:customStyle="1" w:styleId="1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Block Text"/>
    <w:basedOn w:val="1"/>
    <w:next w:val="1"/>
    <w:unhideWhenUsed/>
    <w:qFormat/>
    <w:uiPriority w:val="0"/>
    <w:pPr>
      <w:spacing w:beforeLines="0" w:after="120" w:afterLines="0"/>
      <w:ind w:left="1440" w:leftChars="700" w:right="700" w:rightChars="700"/>
    </w:pPr>
    <w:rPr>
      <w:rFonts w:hint="default" w:ascii="Times New Roman" w:hAnsi="Times New Roman" w:eastAsia="宋体" w:cs="Times New Roman"/>
      <w:sz w:val="21"/>
      <w:szCs w:val="24"/>
    </w:rPr>
  </w:style>
  <w:style w:type="paragraph" w:styleId="15">
    <w:name w:val="Plain Text"/>
    <w:basedOn w:val="1"/>
    <w:next w:val="9"/>
    <w:unhideWhenUsed/>
    <w:qFormat/>
    <w:uiPriority w:val="99"/>
    <w:rPr>
      <w:rFonts w:ascii="宋体" w:hAnsi="Courier New"/>
      <w:bCs/>
      <w:sz w:val="21"/>
    </w:rPr>
  </w:style>
  <w:style w:type="paragraph" w:styleId="16">
    <w:name w:val="Date"/>
    <w:basedOn w:val="1"/>
    <w:next w:val="1"/>
    <w:link w:val="36"/>
    <w:qFormat/>
    <w:uiPriority w:val="0"/>
    <w:pPr>
      <w:ind w:left="100" w:leftChars="2500"/>
    </w:pPr>
    <w:rPr>
      <w:kern w:val="0"/>
      <w:sz w:val="20"/>
    </w:rPr>
  </w:style>
  <w:style w:type="paragraph" w:styleId="17">
    <w:name w:val="Body Text Indent 2"/>
    <w:basedOn w:val="1"/>
    <w:qFormat/>
    <w:uiPriority w:val="0"/>
    <w:pPr>
      <w:spacing w:after="120" w:afterLines="0" w:line="480" w:lineRule="auto"/>
      <w:ind w:left="420" w:leftChars="200"/>
    </w:pPr>
    <w:rPr>
      <w:szCs w:val="24"/>
    </w:rPr>
  </w:style>
  <w:style w:type="paragraph" w:styleId="18">
    <w:name w:val="Balloon Text"/>
    <w:basedOn w:val="1"/>
    <w:link w:val="37"/>
    <w:semiHidden/>
    <w:qFormat/>
    <w:uiPriority w:val="0"/>
    <w:rPr>
      <w:sz w:val="18"/>
      <w:szCs w:val="18"/>
    </w:rPr>
  </w:style>
  <w:style w:type="paragraph" w:styleId="19">
    <w:name w:val="footer"/>
    <w:basedOn w:val="1"/>
    <w:link w:val="38"/>
    <w:qFormat/>
    <w:uiPriority w:val="0"/>
    <w:pPr>
      <w:tabs>
        <w:tab w:val="center" w:pos="4153"/>
        <w:tab w:val="right" w:pos="8306"/>
      </w:tabs>
      <w:snapToGrid w:val="0"/>
      <w:jc w:val="left"/>
    </w:pPr>
    <w:rPr>
      <w:sz w:val="18"/>
      <w:szCs w:val="18"/>
    </w:rPr>
  </w:style>
  <w:style w:type="paragraph" w:styleId="20">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next w:val="1"/>
    <w:qFormat/>
    <w:uiPriority w:val="0"/>
    <w:pPr>
      <w:spacing w:line="360" w:lineRule="auto"/>
      <w:ind w:left="200" w:hanging="200" w:hangingChars="200"/>
    </w:pPr>
    <w:rPr>
      <w:sz w:val="24"/>
    </w:rPr>
  </w:style>
  <w:style w:type="paragraph" w:styleId="22">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3">
    <w:name w:val="Title"/>
    <w:basedOn w:val="1"/>
    <w:next w:val="5"/>
    <w:qFormat/>
    <w:locked/>
    <w:uiPriority w:val="0"/>
    <w:pPr>
      <w:spacing w:before="240" w:after="60"/>
      <w:jc w:val="center"/>
      <w:outlineLvl w:val="0"/>
    </w:pPr>
    <w:rPr>
      <w:rFonts w:ascii="Arial" w:hAnsi="Arial"/>
      <w:b/>
      <w:sz w:val="32"/>
      <w:szCs w:val="20"/>
    </w:rPr>
  </w:style>
  <w:style w:type="paragraph" w:styleId="24">
    <w:name w:val="annotation subject"/>
    <w:basedOn w:val="10"/>
    <w:next w:val="10"/>
    <w:link w:val="41"/>
    <w:semiHidden/>
    <w:qFormat/>
    <w:uiPriority w:val="0"/>
    <w:rPr>
      <w:b/>
      <w:bCs/>
    </w:r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uiPriority w:val="0"/>
  </w:style>
  <w:style w:type="character" w:styleId="30">
    <w:name w:val="Emphasis"/>
    <w:qFormat/>
    <w:locked/>
    <w:uiPriority w:val="0"/>
    <w:rPr>
      <w:i/>
    </w:rPr>
  </w:style>
  <w:style w:type="character" w:styleId="31">
    <w:name w:val="Hyperlink"/>
    <w:basedOn w:val="27"/>
    <w:qFormat/>
    <w:uiPriority w:val="0"/>
    <w:rPr>
      <w:color w:val="0000FF"/>
      <w:u w:val="single"/>
    </w:rPr>
  </w:style>
  <w:style w:type="character" w:styleId="32">
    <w:name w:val="annotation reference"/>
    <w:basedOn w:val="27"/>
    <w:semiHidden/>
    <w:qFormat/>
    <w:uiPriority w:val="0"/>
    <w:rPr>
      <w:sz w:val="21"/>
    </w:rPr>
  </w:style>
  <w:style w:type="character" w:customStyle="1" w:styleId="33">
    <w:name w:val="Body Text Char"/>
    <w:link w:val="11"/>
    <w:qFormat/>
    <w:locked/>
    <w:uiPriority w:val="0"/>
    <w:rPr>
      <w:sz w:val="18"/>
    </w:rPr>
  </w:style>
  <w:style w:type="character" w:customStyle="1" w:styleId="34">
    <w:name w:val="Comment Text Char"/>
    <w:link w:val="10"/>
    <w:qFormat/>
    <w:locked/>
    <w:uiPriority w:val="0"/>
    <w:rPr>
      <w:rFonts w:ascii="Times New Roman" w:hAnsi="Times New Roman" w:eastAsia="宋体"/>
      <w:sz w:val="24"/>
    </w:rPr>
  </w:style>
  <w:style w:type="character" w:customStyle="1" w:styleId="35">
    <w:name w:val="Body Text Indent Char"/>
    <w:basedOn w:val="27"/>
    <w:link w:val="3"/>
    <w:semiHidden/>
    <w:qFormat/>
    <w:locked/>
    <w:uiPriority w:val="0"/>
    <w:rPr>
      <w:rFonts w:ascii="Times New Roman" w:hAnsi="Times New Roman" w:eastAsia="宋体" w:cs="Times New Roman"/>
      <w:sz w:val="24"/>
      <w:szCs w:val="24"/>
    </w:rPr>
  </w:style>
  <w:style w:type="character" w:customStyle="1" w:styleId="36">
    <w:name w:val="Date Char"/>
    <w:link w:val="16"/>
    <w:qFormat/>
    <w:locked/>
    <w:uiPriority w:val="0"/>
    <w:rPr>
      <w:rFonts w:ascii="Times New Roman" w:hAnsi="Times New Roman" w:eastAsia="宋体"/>
      <w:sz w:val="24"/>
    </w:rPr>
  </w:style>
  <w:style w:type="character" w:customStyle="1" w:styleId="37">
    <w:name w:val="Balloon Text Char"/>
    <w:basedOn w:val="27"/>
    <w:link w:val="18"/>
    <w:semiHidden/>
    <w:qFormat/>
    <w:locked/>
    <w:uiPriority w:val="0"/>
    <w:rPr>
      <w:rFonts w:ascii="Times New Roman" w:hAnsi="Times New Roman" w:eastAsia="宋体" w:cs="Times New Roman"/>
      <w:sz w:val="18"/>
      <w:szCs w:val="18"/>
    </w:rPr>
  </w:style>
  <w:style w:type="character" w:customStyle="1" w:styleId="38">
    <w:name w:val="Footer Char"/>
    <w:basedOn w:val="27"/>
    <w:link w:val="19"/>
    <w:qFormat/>
    <w:locked/>
    <w:uiPriority w:val="0"/>
    <w:rPr>
      <w:rFonts w:cs="Times New Roman"/>
      <w:sz w:val="18"/>
      <w:szCs w:val="18"/>
    </w:rPr>
  </w:style>
  <w:style w:type="character" w:customStyle="1" w:styleId="39">
    <w:name w:val="Header Char"/>
    <w:basedOn w:val="27"/>
    <w:link w:val="20"/>
    <w:qFormat/>
    <w:locked/>
    <w:uiPriority w:val="0"/>
    <w:rPr>
      <w:rFonts w:cs="Times New Roman"/>
      <w:sz w:val="18"/>
      <w:szCs w:val="18"/>
    </w:rPr>
  </w:style>
  <w:style w:type="character" w:customStyle="1" w:styleId="40">
    <w:name w:val="Normal (Web) Char"/>
    <w:link w:val="22"/>
    <w:qFormat/>
    <w:locked/>
    <w:uiPriority w:val="0"/>
    <w:rPr>
      <w:rFonts w:ascii="宋体" w:hAnsi="宋体" w:eastAsia="宋体"/>
      <w:sz w:val="24"/>
    </w:rPr>
  </w:style>
  <w:style w:type="character" w:customStyle="1" w:styleId="41">
    <w:name w:val="Comment Subject Char"/>
    <w:basedOn w:val="34"/>
    <w:link w:val="24"/>
    <w:semiHidden/>
    <w:qFormat/>
    <w:locked/>
    <w:uiPriority w:val="0"/>
    <w:rPr>
      <w:rFonts w:cs="Times New Roman"/>
      <w:b/>
      <w:bCs/>
      <w:kern w:val="2"/>
      <w:szCs w:val="24"/>
    </w:rPr>
  </w:style>
  <w:style w:type="character" w:customStyle="1" w:styleId="42">
    <w:name w:val="日期 字符"/>
    <w:basedOn w:val="27"/>
    <w:semiHidden/>
    <w:qFormat/>
    <w:uiPriority w:val="0"/>
    <w:rPr>
      <w:rFonts w:ascii="Times New Roman" w:hAnsi="Times New Roman" w:eastAsia="宋体" w:cs="Times New Roman"/>
      <w:sz w:val="24"/>
      <w:szCs w:val="24"/>
    </w:rPr>
  </w:style>
  <w:style w:type="character" w:customStyle="1" w:styleId="43">
    <w:name w:val="正文文本 字符1"/>
    <w:basedOn w:val="27"/>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7"/>
    <w:semiHidden/>
    <w:qFormat/>
    <w:uiPriority w:val="0"/>
    <w:rPr>
      <w:rFonts w:ascii="Times New Roman" w:hAnsi="Times New Roman" w:eastAsia="宋体" w:cs="Times New Roman"/>
      <w:sz w:val="24"/>
      <w:szCs w:val="24"/>
    </w:rPr>
  </w:style>
  <w:style w:type="paragraph" w:customStyle="1" w:styleId="48">
    <w:name w:val="正文格式啊啊啊啊"/>
    <w:basedOn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tabs>
        <w:tab w:val="left" w:pos="2730"/>
      </w:tabs>
      <w:adjustRightInd w:val="0"/>
      <w:snapToGrid w:val="0"/>
      <w:spacing w:line="520" w:lineRule="exact"/>
      <w:ind w:firstLine="0" w:firstLineChars="0"/>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szCs w:val="24"/>
      <w:lang w:val="en-US" w:eastAsia="zh-CN" w:bidi="ar-SA"/>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spacing w:line="360" w:lineRule="auto"/>
      <w:jc w:val="center"/>
    </w:pPr>
    <w:rPr>
      <w:rFonts w:ascii="Times New Roman" w:hAnsi="Times New Roman" w:eastAsia="宋体"/>
      <w:b/>
      <w:bCs/>
      <w:sz w:val="24"/>
      <w:szCs w:val="21"/>
    </w:rPr>
  </w:style>
  <w:style w:type="character" w:customStyle="1" w:styleId="57">
    <w:name w:val="表头啊啊啊啊啊 Char"/>
    <w:link w:val="56"/>
    <w:qFormat/>
    <w:uiPriority w:val="0"/>
    <w:rPr>
      <w:rFonts w:ascii="Times New Roman" w:hAnsi="Times New Roman" w:eastAsia="宋体" w:cs="Times New Roman"/>
      <w:b/>
      <w:bCs/>
      <w:sz w:val="24"/>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5"/>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link w:val="86"/>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7"/>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character" w:customStyle="1" w:styleId="74">
    <w:name w:val="10"/>
    <w:basedOn w:val="27"/>
    <w:qFormat/>
    <w:uiPriority w:val="0"/>
    <w:rPr>
      <w:rFonts w:hint="default" w:ascii="Times New Roman" w:hAnsi="Times New Roman" w:cs="Times New Roman"/>
    </w:rPr>
  </w:style>
  <w:style w:type="character" w:customStyle="1" w:styleId="75">
    <w:name w:val="15"/>
    <w:basedOn w:val="27"/>
    <w:qFormat/>
    <w:uiPriority w:val="0"/>
    <w:rPr>
      <w:rFonts w:hint="default" w:ascii="Times New Roman" w:hAnsi="Times New Roman" w:cs="Times New Roman"/>
    </w:rPr>
  </w:style>
  <w:style w:type="character" w:customStyle="1" w:styleId="76">
    <w:name w:val="font21"/>
    <w:basedOn w:val="27"/>
    <w:qFormat/>
    <w:uiPriority w:val="0"/>
    <w:rPr>
      <w:rFonts w:ascii="宋体" w:hAnsi="宋体" w:eastAsia="宋体" w:cs="宋体"/>
      <w:color w:val="000000"/>
      <w:sz w:val="14"/>
      <w:szCs w:val="14"/>
      <w:u w:val="none"/>
    </w:rPr>
  </w:style>
  <w:style w:type="character" w:customStyle="1" w:styleId="77">
    <w:name w:val="font31"/>
    <w:basedOn w:val="27"/>
    <w:qFormat/>
    <w:uiPriority w:val="0"/>
    <w:rPr>
      <w:rFonts w:ascii="宋体" w:hAnsi="宋体" w:eastAsia="宋体" w:cs="宋体"/>
      <w:color w:val="002060"/>
      <w:sz w:val="14"/>
      <w:szCs w:val="14"/>
      <w:u w:val="none"/>
    </w:rPr>
  </w:style>
  <w:style w:type="character" w:customStyle="1" w:styleId="78">
    <w:name w:val="font41"/>
    <w:basedOn w:val="27"/>
    <w:qFormat/>
    <w:uiPriority w:val="0"/>
    <w:rPr>
      <w:rFonts w:ascii="宋体" w:hAnsi="宋体" w:eastAsia="宋体" w:cs="宋体"/>
      <w:color w:val="103090"/>
      <w:sz w:val="14"/>
      <w:szCs w:val="14"/>
      <w:u w:val="none"/>
    </w:rPr>
  </w:style>
  <w:style w:type="character" w:customStyle="1" w:styleId="79">
    <w:name w:val="font51"/>
    <w:basedOn w:val="27"/>
    <w:qFormat/>
    <w:uiPriority w:val="0"/>
    <w:rPr>
      <w:rFonts w:ascii="宋体" w:hAnsi="宋体" w:eastAsia="宋体" w:cs="宋体"/>
      <w:color w:val="202040"/>
      <w:sz w:val="14"/>
      <w:szCs w:val="14"/>
      <w:u w:val="none"/>
    </w:rPr>
  </w:style>
  <w:style w:type="character" w:customStyle="1" w:styleId="80">
    <w:name w:val="font61"/>
    <w:basedOn w:val="27"/>
    <w:qFormat/>
    <w:uiPriority w:val="0"/>
    <w:rPr>
      <w:rFonts w:ascii="宋体" w:hAnsi="宋体" w:eastAsia="宋体" w:cs="宋体"/>
      <w:color w:val="203050"/>
      <w:sz w:val="14"/>
      <w:szCs w:val="14"/>
      <w:u w:val="none"/>
    </w:rPr>
  </w:style>
  <w:style w:type="character" w:customStyle="1" w:styleId="81">
    <w:name w:val="font71"/>
    <w:basedOn w:val="27"/>
    <w:qFormat/>
    <w:uiPriority w:val="0"/>
    <w:rPr>
      <w:rFonts w:ascii="宋体" w:hAnsi="宋体" w:eastAsia="宋体" w:cs="宋体"/>
      <w:color w:val="206090"/>
      <w:sz w:val="14"/>
      <w:szCs w:val="14"/>
      <w:u w:val="none"/>
    </w:rPr>
  </w:style>
  <w:style w:type="paragraph" w:customStyle="1" w:styleId="82">
    <w:name w:val="表内居左"/>
    <w:qFormat/>
    <w:uiPriority w:val="0"/>
    <w:pPr>
      <w:adjustRightInd w:val="0"/>
      <w:snapToGrid w:val="0"/>
      <w:jc w:val="both"/>
    </w:pPr>
    <w:rPr>
      <w:rFonts w:ascii="宋体" w:hAnsi="Times New Roman" w:eastAsia="宋体" w:cs="Times New Roman"/>
      <w:sz w:val="21"/>
      <w:lang w:val="en-US" w:eastAsia="zh-CN" w:bidi="ar-SA"/>
    </w:rPr>
  </w:style>
  <w:style w:type="paragraph" w:customStyle="1" w:styleId="83">
    <w:name w:val="正文啊啊啊"/>
    <w:qFormat/>
    <w:uiPriority w:val="0"/>
    <w:pPr>
      <w:widowControl w:val="0"/>
      <w:wordWrap w:val="0"/>
      <w:adjustRightInd w:val="0"/>
      <w:snapToGrid w:val="0"/>
      <w:spacing w:line="520" w:lineRule="exact"/>
      <w:ind w:firstLine="720" w:firstLineChars="200"/>
      <w:jc w:val="left"/>
    </w:pPr>
    <w:rPr>
      <w:rFonts w:hint="eastAsia" w:ascii="Times New Roman" w:hAnsi="Times New Roman" w:eastAsia="宋体" w:cs="宋体"/>
      <w:bCs/>
      <w:kern w:val="2"/>
      <w:sz w:val="24"/>
      <w:szCs w:val="24"/>
      <w:lang w:val="en-US" w:eastAsia="zh-CN" w:bidi="ar-SA"/>
    </w:rPr>
  </w:style>
  <w:style w:type="paragraph" w:customStyle="1" w:styleId="84">
    <w:name w:val="正文啊啊"/>
    <w:basedOn w:val="1"/>
    <w:qFormat/>
    <w:uiPriority w:val="0"/>
    <w:pPr>
      <w:spacing w:line="520" w:lineRule="exact"/>
      <w:ind w:firstLine="720" w:firstLineChars="200"/>
    </w:pPr>
    <w:rPr>
      <w:rFonts w:ascii="Times New Roman" w:hAnsi="Times New Roman" w:eastAsia="宋体" w:cs="宋体"/>
      <w:sz w:val="24"/>
      <w:szCs w:val="24"/>
    </w:rPr>
  </w:style>
  <w:style w:type="paragraph" w:customStyle="1" w:styleId="85">
    <w:name w:val="正文+宋体"/>
    <w:basedOn w:val="1"/>
    <w:qFormat/>
    <w:uiPriority w:val="0"/>
    <w:pPr>
      <w:spacing w:line="360" w:lineRule="auto"/>
      <w:ind w:firstLine="480" w:firstLineChars="200"/>
    </w:pPr>
    <w:rPr>
      <w:rFonts w:ascii="宋体" w:hAnsi="宋体" w:eastAsia="宋体"/>
      <w:snapToGrid w:val="0"/>
      <w:kern w:val="24"/>
      <w:sz w:val="24"/>
    </w:rPr>
  </w:style>
  <w:style w:type="character" w:customStyle="1" w:styleId="86">
    <w:name w:val="A正文啊啊啊啊啊 Char"/>
    <w:link w:val="65"/>
    <w:qFormat/>
    <w:uiPriority w:val="0"/>
    <w:rPr>
      <w:rFonts w:ascii="Times New Roman" w:hAnsi="Times New Roman"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jpe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"/>
    </extobj>
  </extobjs>
</s:customData>
</file>

<file path=customXml/item2.xml><?xml version="1.0" encoding="utf-8"?>
<contractReview xmlns="http://schemas.wps.cn/vas-ai-hub/contract-review">
  <reviewItems>
    <reviewItem>
      <errorID>407910a1-8193-4fc1-a11b-ed79b21451cf</errorID>
      <errorWord>4</errorWord>
      <group>L1_Grammar</group>
      <groupName>语法问题</groupName>
      <ability>L2_Order</ability>
      <abilityName>语序不当</abilityName>
      <candidateList>
        <item>2</item>
      </candidateList>
      <explain>句子可能没有遵循时空、逻辑顺序，或者介词、关联词等位置不当。</explain>
      <paraID>67FBAE6E</paraID>
      <start>33</start>
      <end>34</end>
      <status>unmodified</status>
      <modifiedWord/>
      <trackRevisions>false</trackRevisions>
    </reviewItem>
    <reviewItem>
      <errorID>937d4c9a-9932-4e93-baa5-8f8c731fe721</errorID>
      <errorWord>：</errorWord>
      <group>L1_Format</group>
      <groupName>格式问题</groupName>
      <ability>L2_HalfPunc_CN</ability>
      <abilityName>全半角问题</abilityName>
      <candidateList>
        <item>:</item>
      </candidateList>
      <explain>文本全半角错误。</explain>
      <paraID>1AB0633E</paraID>
      <start>1</start>
      <end>2</end>
      <status>unmodified</status>
      <modifiedWord/>
      <trackRevisions>false</trackRevisions>
    </reviewItem>
    <reviewItem>
      <errorID>33496096-6f56-44b7-9ace-f1aa8e8c7c64</errorID>
      <errorWord>，</errorWord>
      <group>L1_Format</group>
      <groupName>格式问题</groupName>
      <ability>L2_HalfPunc_CN</ability>
      <abilityName>全半角问题</abilityName>
      <candidateList>
        <item>, </item>
      </candidateList>
      <explain>文本全半角错误。</explain>
      <paraID>1AB0633E</paraID>
      <start>13</start>
      <end>14</end>
      <status>unmodified</status>
      <modifiedWord/>
      <trackRevisions>false</trackRevisions>
    </reviewItem>
    <reviewItem>
      <errorID>a53fb2bf-5152-4b54-8df2-14d48b0e25c7</errorID>
      <errorWord>：</errorWord>
      <group>L1_Format</group>
      <groupName>格式问题</groupName>
      <ability>L2_HalfPunc_CN</ability>
      <abilityName>全半角问题</abilityName>
      <candidateList>
        <item>:</item>
      </candidateList>
      <explain>文本全半角错误。</explain>
      <paraID>1AB0633E</paraID>
      <start>15</start>
      <end>16</end>
      <status>unmodified</status>
      <modifiedWord/>
      <trackRevisions>false</trackRevisions>
    </reviewItem>
    <reviewItem>
      <errorID>96acc714-0f1c-4172-85e9-9da2863afcd1</errorID>
      <errorWord>-</errorWord>
      <group>L1_Format</group>
      <groupName>格式问题</groupName>
      <ability>L2_HalfPunc_CN</ability>
      <abilityName>全半角问题</abilityName>
      <candidateList>
        <item>－</item>
      </candidateList>
      <explain>文本全半角错误。</explain>
      <paraID> 7BDF356</paraID>
      <start>43</start>
      <end>44</end>
      <status>unmodified</status>
      <modifiedWord/>
      <trackRevisions>false</trackRevisions>
    </reviewItem>
    <reviewItem>
      <errorID>f5ecd9b5-90cd-4e5a-b2dc-6e407fb2b586</errorID>
      <errorWord>(</errorWord>
      <group>L1_Format</group>
      <groupName>格式问题</groupName>
      <ability>L2_HalfPunc_CN</ability>
      <abilityName>全半角问题</abilityName>
      <candidateList>
        <item>（</item>
      </candidateList>
      <explain>文本全半角错误。</explain>
      <paraID>3BB0326B</paraID>
      <start>97</start>
      <end>98</end>
      <status>unmodified</status>
      <modifiedWord/>
      <trackRevisions>false</trackRevisions>
    </reviewItem>
    <reviewItem>
      <errorID>9bd13269-bffe-4104-9f80-a73db617843a</errorID>
      <errorWord>)</errorWord>
      <group>L1_Format</group>
      <groupName>格式问题</groupName>
      <ability>L2_HalfPunc_CN</ability>
      <abilityName>全半角问题</abilityName>
      <candidateList>
        <item>）</item>
      </candidateList>
      <explain>文本全半角错误。</explain>
      <paraID>3BB0326B</paraID>
      <start>102</start>
      <end>103</end>
      <status>unmodified</status>
      <modifiedWord/>
      <trackRevisions>false</trackRevisions>
    </reviewItem>
    <reviewItem>
      <errorID>423d6faa-d507-4156-af80-437f71bbcfe6</errorID>
      <errorWord>(</errorWord>
      <group>L1_Format</group>
      <groupName>格式问题</groupName>
      <ability>L2_HalfPunc_CN</ability>
      <abilityName>全半角问题</abilityName>
      <candidateList>
        <item>（</item>
      </candidateList>
      <explain>文本全半角错误。</explain>
      <paraID>3F45B8AE</paraID>
      <start>146</start>
      <end>147</end>
      <status>unmodified</status>
      <modifiedWord/>
      <trackRevisions>false</trackRevisions>
    </reviewItem>
    <reviewItem>
      <errorID>bf6d4e1f-a3be-4325-ad09-53d2ab9d660e</errorID>
      <errorWord>)</errorWord>
      <group>L1_Format</group>
      <groupName>格式问题</groupName>
      <ability>L2_HalfPunc_CN</ability>
      <abilityName>全半角问题</abilityName>
      <candidateList>
        <item>）</item>
      </candidateList>
      <explain>文本全半角错误。</explain>
      <paraID>3F45B8AE</paraID>
      <start>164</start>
      <end>165</end>
      <status>unmodified</status>
      <modifiedWord/>
      <trackRevisions>false</trackRevisions>
    </reviewItem>
    <reviewItem>
      <errorID>894fa088-8b87-42ba-b172-f1f83040ff39</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7081082a-0f95-44a7-ada0-e8e7c7b56adf</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133</start>
      <end>142</end>
      <status>unmodified</status>
      <modifiedWord/>
      <trackRevisions>false</trackRevisions>
    </reviewItem>
    <reviewItem>
      <errorID>db9dd567-b283-4917-9903-78072d5f5dc7</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38B9B764</paraID>
      <start>4</start>
      <end>6</end>
      <status>unmodified</status>
      <modifiedWord/>
      <trackRevisions>false</trackRevisions>
    </reviewItem>
    <reviewItem>
      <errorID>38c1a6e4-89c6-46bb-a142-731217f3b7ae</errorID>
      <errorWord>，</errorWord>
      <group>L1_Word</group>
      <groupName>字词问题</groupName>
      <ability>L2_Typo</ability>
      <abilityName>字词错误</abilityName>
      <candidateList>
        <item>，在</item>
      </candidateList>
      <explain/>
      <paraID>4DF8280C</paraID>
      <start>42</start>
      <end>43</end>
      <status>unmodified</status>
      <modifiedWord/>
      <trackRevisions>false</trackRevisions>
    </reviewItem>
    <reviewItem>
      <errorID>3be193de-cdd5-42fe-b8de-7d44ae1e3ab6</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631EF439</paraID>
      <start>4</start>
      <end>6</end>
      <status>unmodified</status>
      <modifiedWord/>
      <trackRevisions>false</trackRevisions>
    </reviewItem>
    <reviewItem>
      <errorID>445b343e-b7a7-4cf3-aeeb-0e1188e4b5a2</errorID>
      <errorWord>(</errorWord>
      <group>L1_Format</group>
      <groupName>格式问题</groupName>
      <ability>L2_HalfPunc_CN</ability>
      <abilityName>全半角问题</abilityName>
      <candidateList>
        <item>（</item>
      </candidateList>
      <explain>文本全半角错误。</explain>
      <paraID>349B5BEA</paraID>
      <start>6</start>
      <end>7</end>
      <status>unmodified</status>
      <modifiedWord/>
      <trackRevisions>false</trackRevisions>
    </reviewItem>
    <reviewItem>
      <errorID>f5fb4618-1dfd-49ad-8928-0eb82287073a</errorID>
      <errorWord>)</errorWord>
      <group>L1_Format</group>
      <groupName>格式问题</groupName>
      <ability>L2_HalfPunc_CN</ability>
      <abilityName>全半角问题</abilityName>
      <candidateList>
        <item>）</item>
      </candidateList>
      <explain>文本全半角错误。</explain>
      <paraID>349B5BEA</paraID>
      <start>12</start>
      <end>13</end>
      <status>unmodified</status>
      <modifiedWord/>
      <trackRevisions>false</trackRevisions>
    </reviewItem>
    <reviewItem>
      <errorID>0c4376cc-43f2-40a6-aa41-391686f45d81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1C9C9AB1</paraID>
      <start>25</start>
      <end>26</end>
      <status>unmodified</status>
      <modifiedWord/>
      <trackRevisions>false</trackRevisions>
    </reviewItem>
    <reviewItem>
      <errorID>ab82971f-8b16-493d-8867-038a94e73c09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3A731D89</paraID>
      <start>0</start>
      <end>2</end>
      <status>unmodified</status>
      <modifiedWord/>
      <trackRevisions>false</trackRevisions>
    </reviewItem>
    <reviewItem>
      <errorID>b2c75bce-505c-4b5f-a388-e7d09887369a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64788873</paraID>
      <start>0</start>
      <end>2</end>
      <status>unmodified</status>
      <modifiedWord/>
      <trackRevisions>false</trackRevisions>
    </reviewItem>
    <reviewItem>
      <errorID>d251a8c6-1cb9-4dfd-921b-e68e8942802d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764BA993</paraID>
      <start>0</start>
      <end>2</end>
      <status>unmodified</status>
      <modifiedWord/>
      <trackRevisions>false</trackRevisions>
    </reviewItem>
    <reviewItem>
      <errorID>a35f1a3f-195a-471e-8048-7d0c1f169ef0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7620DE42</paraID>
      <start>0</start>
      <end>2</end>
      <status>unmodified</status>
      <modifiedWord/>
      <trackRevisions>false</trackRevisions>
    </reviewItem>
    <reviewItem>
      <errorID>1d5a6190-9a2c-414d-8cc4-d6269d0b0d4d</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577DD0FF</paraID>
      <start>3</start>
      <end>5</end>
      <status>unmodified</status>
      <modifiedWord/>
      <trackRevisions>false</trackRevisions>
    </reviewItem>
    <reviewItem>
      <errorID>7812260e-6e3b-46b7-9bb4-b6aa02df6f7d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577DD0FF</paraID>
      <start>30</start>
      <end>31</end>
      <status>unmodified</status>
      <modifiedWord/>
      <trackRevisions>false</trackRevisions>
    </reviewItem>
    <reviewItem>
      <errorID>17ee70fe-015a-41c2-b762-7ac17775f97a</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4A626CAF</paraID>
      <start>5</start>
      <end>7</end>
      <status>unmodified</status>
      <modifiedWord/>
      <trackRevisions>false</trackRevisions>
    </reviewItem>
    <reviewItem>
      <errorID>7c4026a1-01a1-4c3b-9df1-a45748bdbe51</errorID>
      <errorWord>：</errorWord>
      <group>L1_Format</group>
      <groupName>格式问题</groupName>
      <ability>L2_HalfPunc_CN</ability>
      <abilityName>全半角问题</abilityName>
      <candidateList>
        <item>:</item>
      </candidateList>
      <explain>文本全半角错误。</explain>
      <paraID>14B881D1</paraID>
      <start>4</start>
      <end>5</end>
      <status>unmodified</status>
      <modifiedWord/>
      <trackRevisions>false</trackRevisions>
    </reviewItem>
    <reviewItem>
      <errorID>381b325f-15a5-4640-a65f-6f0ccbf4849e</errorID>
      <errorWord>：</errorWord>
      <group>L1_Format</group>
      <groupName>格式问题</groupName>
      <ability>L2_HalfPunc_CN</ability>
      <abilityName>全半角问题</abilityName>
      <candidateList>
        <item>:</item>
      </candidateList>
      <explain>文本全半角错误。</explain>
      <paraID>6C96D1E4</paraID>
      <start>3</start>
      <end>4</end>
      <status>unmodified</status>
      <modifiedWord/>
      <trackRevisions>false</trackRevisions>
    </reviewItem>
    <reviewItem>
      <errorID>ae62a72c-9a00-4e15-a080-138b9732c4c9</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1FB8DEE0</paraID>
      <start>173</start>
      <end>175</end>
      <status>unmodified</status>
      <modifiedWord/>
      <trackRevisions>false</trackRevisions>
    </reviewItem>
    <reviewItem>
      <errorID>f2c5d4a5-12b6-4fdf-8683-bcd8d470b268</errorID>
      <errorWord>勘查</errorWord>
      <group>L1_Word</group>
      <groupName>字词问题</groupName>
      <ability>L2_Typo</ability>
      <abilityName>字词错误</abilityName>
      <candidateList>
        <item>勘察</item>
      </candidateList>
      <explain>存在发音相同字词的误用。</explain>
      <paraID>577B19E2</paraID>
      <start>31</start>
      <end>33</end>
      <status>unmodified</status>
      <modifiedWord/>
      <trackRevisions>false</trackRevisions>
    </reviewItem>
    <reviewItem>
      <errorID>8c1caf09-9216-4393-8799-ef279e901c08</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e9ad43dd-fabe-4a2e-8f31-bd5ed36d83da</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4548DD02</paraID>
      <start>5</start>
      <end>12</end>
      <status>unmodified</status>
      <modifiedWord/>
      <trackRevisions>false</trackRevisions>
    </reviewItem>
    <reviewItem>
      <errorID>3ffb70db-5ab8-437f-a8fa-45414d89b241</errorID>
      <errorWord>Cricetulus</errorWord>
      <group>L1_English</group>
      <groupName>英文问题</groupName>
      <ability>L2_Spell</ability>
      <abilityName>拼写问题</abilityName>
      <candidateList>
        <item>Cricetus</item>
      </candidateList>
      <explain>疑似单词拼写有误，建议将Cricetulus修改为Cricetus</explain>
      <paraID> A414F68</paraID>
      <start>0</start>
      <end>10</end>
      <status>unmodified</status>
      <modifiedWord/>
      <trackRevisions>false</trackRevisions>
    </reviewItem>
    <reviewItem>
      <errorID>af0e1e78-a92a-4cb9-ae6c-19bc7ba74d06</errorID>
      <errorWord>（</errorWord>
      <group>L1_Format</group>
      <groupName>格式问题</groupName>
      <ability>L2_HalfPunc_CN</ability>
      <abilityName>全半角问题</abilityName>
      <candidateList>
        <item>(</item>
      </candidateList>
      <explain>文本全半角错误。</explain>
      <paraID> A725548</paraID>
      <start>0</start>
      <end>1</end>
      <status>unmodified</status>
      <modifiedWord/>
      <trackRevisions>false</trackRevisions>
    </reviewItem>
    <reviewItem>
      <errorID>1b06427b-910b-46bb-a2bf-58ec6c750907</errorID>
      <errorWord>）</errorWord>
      <group>L1_Format</group>
      <groupName>格式问题</groupName>
      <ability>L2_HalfPunc_CN</ability>
      <abilityName>全半角问题</abilityName>
      <candidateList>
        <item>)</item>
      </candidateList>
      <explain>文本全半角错误。</explain>
      <paraID> A725548</paraID>
      <start>6</start>
      <end>7</end>
      <status>unmodified</status>
      <modifiedWord/>
      <trackRevisions>false</trackRevisions>
    </reviewItem>
    <reviewItem>
      <errorID>fa587861-f9b7-4aa6-a116-c7281689aee4</errorID>
      <errorWord>(</errorWord>
      <group>L1_Format</group>
      <groupName>格式问题</groupName>
      <ability>L2_HalfPunc_CN</ability>
      <abilityName>全半角问题</abilityName>
      <candidateList>
        <item>（</item>
      </candidateList>
      <explain>文本全半角错误。</explain>
      <paraID>7C205F28</paraID>
      <start>26</start>
      <end>27</end>
      <status>unmodified</status>
      <modifiedWord/>
      <trackRevisions>false</trackRevisions>
    </reviewItem>
    <reviewItem>
      <errorID>fdf0b304-9ad6-4344-9bfb-be64c5255a35</errorID>
      <errorWord>)</errorWord>
      <group>L1_Format</group>
      <groupName>格式问题</groupName>
      <ability>L2_HalfPunc_CN</ability>
      <abilityName>全半角问题</abilityName>
      <candidateList>
        <item>）</item>
      </candidateList>
      <explain>文本全半角错误。</explain>
      <paraID>7C205F28</paraID>
      <start>35</start>
      <end>36</end>
      <status>unmodified</status>
      <modifiedWord/>
      <trackRevisions>false</trackRevisions>
    </reviewItem>
    <reviewItem>
      <errorID>f150f8bd-c76a-436e-872e-1492b0719080</errorID>
      <errorWord>(</errorWord>
      <group>L1_Format</group>
      <groupName>格式问题</groupName>
      <ability>L2_HalfPunc_CN</ability>
      <abilityName>全半角问题</abilityName>
      <candidateList>
        <item>（</item>
      </candidateList>
      <explain>文本全半角错误。</explain>
      <paraID>7C205F28</paraID>
      <start>37</start>
      <end>38</end>
      <status>unmodified</status>
      <modifiedWord/>
      <trackRevisions>false</trackRevisions>
    </reviewItem>
    <reviewItem>
      <errorID>5eed5585-c309-4c35-b4da-94369a6731da</errorID>
      <errorWord>)</errorWord>
      <group>L1_Format</group>
      <groupName>格式问题</groupName>
      <ability>L2_HalfPunc_CN</ability>
      <abilityName>全半角问题</abilityName>
      <candidateList>
        <item>）</item>
      </candidateList>
      <explain>文本全半角错误。</explain>
      <paraID>7C205F28</paraID>
      <start>51</start>
      <end>52</end>
      <status>unmodified</status>
      <modifiedWord/>
      <trackRevisions>false</trackRevisions>
    </reviewItem>
    <reviewItem>
      <errorID>0c9ce769-77c9-4582-9786-cb6db450da36</errorID>
      <errorWord>法律、法规</errorWord>
      <group>L1_Word</group>
      <groupName>字词问题</groupName>
      <ability>L2_Typo</ability>
      <abilityName>字词错误</abilityName>
      <candidateList>
        <item>法律法规</item>
      </candidateList>
      <explain/>
      <paraID>4C87318C</paraID>
      <start>170</start>
      <end>175</end>
      <status>unmodified</status>
      <modifiedWord/>
      <trackRevisions>false</trackRevisions>
    </reviewItem>
    <reviewItem>
      <errorID>bd751da0-d36a-4362-b365-0a99ffd152cc</errorID>
      <errorWord>)</errorWord>
      <group>L1_Format</group>
      <groupName>格式问题</groupName>
      <ability>L2_HalfPunc_CN</ability>
      <abilityName>全半角问题</abilityName>
      <candidateList>
        <item>）</item>
      </candidateList>
      <explain>文本全半角错误。</explain>
      <paraID>1CA1EA5A</paraID>
      <start>78</start>
      <end>79</end>
      <status>unmodified</status>
      <modifiedWord/>
      <trackRevisions>false</trackRevisions>
    </reviewItem>
    <reviewItem>
      <errorID>a7466228-3ed5-48bb-aba6-d7f7883fda99</errorID>
      <errorWord>)</errorWord>
      <group>L1_Format</group>
      <groupName>格式问题</groupName>
      <ability>L2_HalfPunc_CN</ability>
      <abilityName>全半角问题</abilityName>
      <candidateList>
        <item>）</item>
      </candidateList>
      <explain>文本全半角错误。</explain>
      <paraID>545D511B</paraID>
      <start>78</start>
      <end>79</end>
      <status>unmodified</status>
      <modifiedWord/>
      <trackRevisions>false</trackRevisions>
    </reviewItem>
    <reviewItem>
      <errorID>9f1cb8ca-1a32-422c-8d80-5518fa9b568a</errorID>
      <errorWord>巩固脱贫攻坚成果</errorWord>
      <group>L1_Word</group>
      <groupName>字词问题</groupName>
      <ability>L2_Typo</ability>
      <abilityName>字词错误</abilityName>
      <candidateList>
        <item>巩固拓展脱贫攻坚成果</item>
      </candidateList>
      <explain/>
      <paraID>2CD36DC0</paraID>
      <start>91</start>
      <end>99</end>
      <status>unmodified</status>
      <modifiedWord/>
      <trackRevisions>false</trackRevisions>
    </reviewItem>
    <reviewItem>
      <errorID>eb53b119-ac12-4d2f-acd2-2be013a876d8</errorID>
      <errorWord>洒</errorWord>
      <group>L1_Word</group>
      <groupName>字词问题</groupName>
      <ability>L2_Typo</ability>
      <abilityName>字词错误</abilityName>
      <candidateList>
        <item>撒</item>
      </candidateList>
      <explain>存在发音相同字词的误用。</explain>
      <paraID>5C90FDF8</paraID>
      <start>59</start>
      <end>60</end>
      <status>unmodified</status>
      <modifiedWord/>
      <trackRevisions>false</trackRevisions>
    </reviewItem>
    <reviewItem>
      <errorID>a7d1cf51-12a1-40be-92af-37d7ecb31d03</errorID>
      <errorWord>工地</errorWord>
      <group>L1_Word</group>
      <groupName>字词问题</groupName>
      <ability>L2_Typo</ability>
      <abilityName>字词错误</abilityName>
      <candidateList>
        <item>场地</item>
      </candidateList>
      <explain>存在字形相近字词的误用。</explain>
      <paraID>3F152D9C</paraID>
      <start>5</start>
      <end>7</end>
      <status>unmodified</status>
      <modifiedWord/>
      <trackRevisions>false</trackRevisions>
    </reviewItem>
    <reviewItem>
      <errorID>e6fbc144-5f89-4563-b520-35045d947cec</errorID>
      <errorWord>期</errorWord>
      <group>L1_Word</group>
      <groupName>字词问题</groupName>
      <ability>L2_Typo</ability>
      <abilityName>字词错误</abilityName>
      <candidateList>
        <item>期间</item>
      </candidateList>
      <explain>〈名〉某个时期里面：农忙～｜春节～｜抗战～。</explain>
      <paraID>4B7D3940</paraID>
      <start>2</start>
      <end>3</end>
      <status>unmodified</status>
      <modifiedWord/>
      <trackRevisions>false</trackRevisions>
    </reviewItem>
    <reviewItem>
      <errorID>7244c386-39aa-482c-adb3-f4eacbacb125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5D6C5392</paraID>
      <start>139</start>
      <end>140</end>
      <status>unmodified</status>
      <modifiedWord/>
      <trackRevisions>false</trackRevisions>
    </reviewItem>
    <reviewItem>
      <errorID>682de504-2f38-4b4d-8754-245860603adf</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4B6D35A8</paraID>
      <start>11</start>
      <end>13</end>
      <status>unmodified</status>
      <modifiedWord/>
      <trackRevisions>false</trackRevisions>
    </reviewItem>
    <reviewItem>
      <errorID>a31f1579-840b-4956-a23f-3a099f91129c</errorID>
      <errorWord>(</errorWord>
      <group>L1_Format</group>
      <groupName>格式问题</groupName>
      <ability>L2_HalfPunc_CN</ability>
      <abilityName>全半角问题</abilityName>
      <candidateList>
        <item>（</item>
      </candidateList>
      <explain>文本全半角错误。</explain>
      <paraID>5ED77B63</paraID>
      <start>20</start>
      <end>21</end>
      <status>unmodified</status>
      <modifiedWord/>
      <trackRevisions>false</trackRevisions>
    </reviewItem>
    <reviewItem>
      <errorID>c89b07d7-d654-4bb1-87cd-94d023b05bf3</errorID>
      <errorWord>)</errorWord>
      <group>L1_Format</group>
      <groupName>格式问题</groupName>
      <ability>L2_HalfPunc_CN</ability>
      <abilityName>全半角问题</abilityName>
      <candidateList>
        <item>）</item>
      </candidateList>
      <explain>文本全半角错误。</explain>
      <paraID>5ED77B63</paraID>
      <start>23</start>
      <end>24</end>
      <status>unmodified</status>
      <modifiedWord/>
      <trackRevisions>false</trackRevisions>
    </reviewItem>
    <reviewItem>
      <errorID>221d6b53-b865-4b6d-b73d-39e409abe494</errorID>
      <errorWord>(</errorWord>
      <group>L1_Format</group>
      <groupName>格式问题</groupName>
      <ability>L2_HalfPunc_CN</ability>
      <abilityName>全半角问题</abilityName>
      <candidateList>
        <item>（</item>
      </candidateList>
      <explain>文本全半角错误。</explain>
      <paraID>5ED77B63</paraID>
      <start>25</start>
      <end>26</end>
      <status>unmodified</status>
      <modifiedWord/>
      <trackRevisions>false</trackRevisions>
    </reviewItem>
    <reviewItem>
      <errorID>44dfd619-fa10-4a4c-9cf3-104aa7f82ec8</errorID>
      <errorWord>)</errorWord>
      <group>L1_Format</group>
      <groupName>格式问题</groupName>
      <ability>L2_HalfPunc_CN</ability>
      <abilityName>全半角问题</abilityName>
      <candidateList>
        <item>）</item>
      </candidateList>
      <explain>文本全半角错误。</explain>
      <paraID>5ED77B63</paraID>
      <start>36</start>
      <end>37</end>
      <status>unmodified</status>
      <modifiedWord/>
      <trackRevisions>false</trackRevisions>
    </reviewItem>
    <reviewItem>
      <errorID>d9eaa46d-d506-4983-8074-6944314718c0</errorID>
      <errorWord>环境污染的</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1D864705</paraID>
      <start>16</start>
      <end>21</end>
      <status>unmodified</status>
      <modifiedWord/>
      <trackRevisions>false</trackRevisions>
    </reviewItem>
    <reviewItem>
      <errorID>8faece21-b6a1-473c-bd9d-4851fd566a31</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1FB9D8FF</paraID>
      <start>5</start>
      <end>9</end>
      <status>unmodified</status>
      <modifiedWord/>
      <trackRevisions>false</trackRevisions>
    </reviewItem>
    <reviewItem>
      <errorID>ec34ea90-3f5e-4994-a33c-91883f0057bf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55912B6F</paraID>
      <start>125</start>
      <end>128</end>
      <status>unmodified</status>
      <modifiedWord/>
      <trackRevisions>false</trackRevisions>
    </reviewItem>
    <reviewItem>
      <errorID>30de4b00-2579-4e44-b203-54d97bf28271</errorID>
      <errorWord>IV</errorWord>
      <group>L1_Knowledge</group>
      <groupName>知识性问题</groupName>
      <ability>L2_Knowledge</ability>
      <abilityName>其他知识</abilityName>
      <candidateList>
        <item>Ⅳ</item>
      </candidateList>
      <explain>中文环境下罗马数字格式错误。</explain>
      <paraID>28361805</paraID>
      <start>2</start>
      <end>4</end>
      <status>unmodified</status>
      <modifiedWord/>
      <trackRevisions>false</trackRevisions>
    </reviewItem>
    <reviewItem>
      <errorID>828eba16-44d9-4873-933a-d1c1a48990b5</errorID>
      <errorWord>*</errorWord>
      <group>L1_Punc</group>
      <groupName>标点问题</groupName>
      <ability>L2_Punc_CN</ability>
      <abilityName>标点符号问题</abilityName>
      <candidateList/>
      <explain/>
      <paraID>4CE9F9CB</paraID>
      <start>0</start>
      <end>1</end>
      <status>unmodified</status>
      <modifiedWord/>
      <trackRevisions>false</trackRevisions>
    </reviewItem>
    <reviewItem>
      <errorID>affe95d1-5c61-46e3-a0be-bffb777f8e1e</errorID>
      <errorWord>：</errorWord>
      <group>L1_Format</group>
      <groupName>格式问题</groupName>
      <ability>L2_HalfPunc_CN</ability>
      <abilityName>全半角问题</abilityName>
      <candidateList>
        <item>:</item>
      </candidateList>
      <explain>文本全半角错误。</explain>
      <paraID>5C7AEC21</paraID>
      <start>1</start>
      <end>2</end>
      <status>unmodified</status>
      <modifiedWord/>
      <trackRevisions>false</trackRevisions>
    </reviewItem>
    <reviewItem>
      <errorID>ca8b1fe6-0ee4-4bd7-958c-df851f9d9aad</errorID>
      <errorWord>，</errorWord>
      <group>L1_Format</group>
      <groupName>格式问题</groupName>
      <ability>L2_HalfPunc_CN</ability>
      <abilityName>全半角问题</abilityName>
      <candidateList>
        <item>, </item>
      </candidateList>
      <explain>文本全半角错误。</explain>
      <paraID>5C7AEC21</paraID>
      <start>14</start>
      <end>15</end>
      <status>unmodified</status>
      <modifiedWord/>
      <trackRevisions>false</trackRevisions>
    </reviewItem>
    <reviewItem>
      <errorID>6d35564a-a173-42c1-9c0c-258304917563</errorID>
      <errorWord>：</errorWord>
      <group>L1_Format</group>
      <groupName>格式问题</groupName>
      <ability>L2_HalfPunc_CN</ability>
      <abilityName>全半角问题</abilityName>
      <candidateList>
        <item>:</item>
      </candidateList>
      <explain>文本全半角错误。</explain>
      <paraID>5C7AEC21</paraID>
      <start>16</start>
      <end>17</end>
      <status>unmodified</status>
      <modifiedWord/>
      <trackRevisions>false</trackRevisions>
    </reviewItem>
    <reviewItem>
      <errorID>c6052ed8-77aa-44a7-82c6-d1b8f3c5dde8</errorID>
      <errorWord>责</errorWord>
      <group>L1_Word</group>
      <groupName>字词问题</groupName>
      <ability>L2_Typo</ability>
      <abilityName>字词错误</abilityName>
      <candidateList>
        <item>责和</item>
      </candidateList>
      <explain/>
      <paraID> 46C8254</paraID>
      <start>44</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7e7a9b-3ec8-4eff-bd45-ed28a074b7c9}">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66</Pages>
  <Words>11388</Words>
  <Characters>12203</Characters>
  <Lines>1</Lines>
  <Paragraphs>1</Paragraphs>
  <TotalTime>7</TotalTime>
  <ScaleCrop>false</ScaleCrop>
  <LinksUpToDate>false</LinksUpToDate>
  <CharactersWithSpaces>12322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69BDAA01CA774F06988CDFB98C100A1F_13</vt:lpwstr>
  </property>
  <property fmtid="{D5CDD505-2E9C-101B-9397-08002B2CF9AE}" pid="4" name="KSOTemplateDocerSaveRecord">
    <vt:lpwstr>eyJoZGlkIjoiZDQ0OGUwMjcwMDE1ZDcyZWY0NjdkNzZmNmIyOTllZmEiLCJ1c2VySWQiOiIxMTU1MDY3NzcxIn0=</vt:lpwstr>
  </property>
</Properties>
</file>