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spacing w:line="240" w:lineRule="auto"/>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一、建设项目基本情况</w:t>
      </w:r>
    </w:p>
    <w:tbl>
      <w:tblPr>
        <w:tblStyle w:val="17"/>
        <w:tblW w:w="9039" w:type="dxa"/>
        <w:tblInd w:w="17"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21"/>
        <w:gridCol w:w="1094"/>
        <w:gridCol w:w="2454"/>
        <w:gridCol w:w="2218"/>
        <w:gridCol w:w="10"/>
        <w:gridCol w:w="25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04"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建设项目名称</w:t>
            </w:r>
          </w:p>
        </w:tc>
        <w:tc>
          <w:tcPr>
            <w:tcW w:w="7224"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Cs w:val="21"/>
                <w:highlight w:val="none"/>
              </w:rPr>
            </w:pPr>
            <w:r>
              <w:rPr>
                <w:rFonts w:hint="eastAsia" w:cs="Times New Roman"/>
                <w:szCs w:val="21"/>
                <w:highlight w:val="none"/>
                <w:lang w:val="en-US" w:eastAsia="zh-CN"/>
              </w:rPr>
              <w:t>新疆且末县纳其能卡铺铜矿多金属矿普查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6"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项目代码</w:t>
            </w:r>
          </w:p>
        </w:tc>
        <w:tc>
          <w:tcPr>
            <w:tcW w:w="7224" w:type="dxa"/>
            <w:gridSpan w:val="4"/>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4"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建设单位联系人</w:t>
            </w:r>
          </w:p>
        </w:tc>
        <w:tc>
          <w:tcPr>
            <w:tcW w:w="2454" w:type="dxa"/>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val="en-US" w:eastAsia="zh-CN"/>
              </w:rPr>
            </w:pPr>
          </w:p>
        </w:tc>
        <w:tc>
          <w:tcPr>
            <w:tcW w:w="2228" w:type="dxa"/>
            <w:gridSpan w:val="2"/>
            <w:noWrap w:val="0"/>
            <w:vAlign w:val="center"/>
          </w:tcPr>
          <w:p>
            <w:pPr>
              <w:adjustRightInd w:val="0"/>
              <w:snapToGrid w:val="0"/>
              <w:spacing w:line="240" w:lineRule="auto"/>
              <w:jc w:val="center"/>
              <w:rPr>
                <w:rFonts w:hint="default" w:ascii="Times New Roman" w:hAnsi="Times New Roman" w:cs="Times New Roman"/>
                <w:szCs w:val="21"/>
                <w:highlight w:val="none"/>
              </w:rPr>
            </w:pPr>
          </w:p>
        </w:tc>
        <w:tc>
          <w:tcPr>
            <w:tcW w:w="2542" w:type="dxa"/>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4"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建设地点</w:t>
            </w:r>
          </w:p>
        </w:tc>
        <w:tc>
          <w:tcPr>
            <w:tcW w:w="7224" w:type="dxa"/>
            <w:gridSpan w:val="4"/>
            <w:noWrap w:val="0"/>
            <w:vAlign w:val="center"/>
          </w:tcPr>
          <w:p>
            <w:pPr>
              <w:adjustRightInd w:val="0"/>
              <w:snapToGrid w:val="0"/>
              <w:spacing w:line="240" w:lineRule="auto"/>
              <w:jc w:val="center"/>
              <w:rPr>
                <w:rFonts w:hint="default" w:ascii="Times New Roman" w:hAnsi="Times New Roman" w:eastAsia="宋体" w:cs="Times New Roman"/>
                <w:b/>
                <w:bCs/>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5"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地理坐标</w:t>
            </w:r>
          </w:p>
        </w:tc>
        <w:tc>
          <w:tcPr>
            <w:tcW w:w="7224" w:type="dxa"/>
            <w:gridSpan w:val="4"/>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建设项目</w:t>
            </w:r>
          </w:p>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行业类别</w:t>
            </w:r>
          </w:p>
        </w:tc>
        <w:tc>
          <w:tcPr>
            <w:tcW w:w="2454" w:type="dxa"/>
            <w:noWrap w:val="0"/>
            <w:vAlign w:val="center"/>
          </w:tcPr>
          <w:p>
            <w:pPr>
              <w:adjustRightInd w:val="0"/>
              <w:snapToGrid w:val="0"/>
              <w:spacing w:line="240" w:lineRule="auto"/>
              <w:jc w:val="center"/>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 xml:space="preserve">四十六、专业技术服务业 -99 陆地矿产资源地质勘查（含油气资源勘探）；二氧化碳地质封存 </w:t>
            </w:r>
            <w:r>
              <w:rPr>
                <w:rFonts w:hint="eastAsia" w:cs="Times New Roman"/>
                <w:szCs w:val="21"/>
                <w:highlight w:val="none"/>
                <w:lang w:val="en-US" w:eastAsia="zh-CN"/>
              </w:rPr>
              <w:t>－</w:t>
            </w:r>
            <w:r>
              <w:rPr>
                <w:rFonts w:hint="default" w:ascii="Times New Roman" w:hAnsi="Times New Roman" w:cs="Times New Roman"/>
                <w:szCs w:val="21"/>
                <w:highlight w:val="none"/>
                <w:lang w:val="en-US" w:eastAsia="zh-CN"/>
              </w:rPr>
              <w:t>全部</w:t>
            </w:r>
          </w:p>
        </w:tc>
        <w:tc>
          <w:tcPr>
            <w:tcW w:w="2218" w:type="dxa"/>
            <w:noWrap w:val="0"/>
            <w:vAlign w:val="center"/>
          </w:tcPr>
          <w:p>
            <w:pPr>
              <w:adjustRightInd w:val="0"/>
              <w:snapToGrid w:val="0"/>
              <w:spacing w:line="240" w:lineRule="auto"/>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用地（用海）面积（m</w:t>
            </w:r>
            <w:r>
              <w:rPr>
                <w:rFonts w:hint="default" w:ascii="Times New Roman" w:hAnsi="Times New Roman" w:cs="Times New Roman"/>
                <w:szCs w:val="21"/>
                <w:highlight w:val="none"/>
                <w:vertAlign w:val="superscript"/>
              </w:rPr>
              <w:t>2</w:t>
            </w:r>
            <w:r>
              <w:rPr>
                <w:rFonts w:hint="default" w:ascii="Times New Roman" w:hAnsi="Times New Roman" w:cs="Times New Roman"/>
                <w:szCs w:val="21"/>
                <w:highlight w:val="none"/>
              </w:rPr>
              <w:t>）/长度（km）</w:t>
            </w:r>
          </w:p>
        </w:tc>
        <w:tc>
          <w:tcPr>
            <w:tcW w:w="2552" w:type="dxa"/>
            <w:gridSpan w:val="2"/>
            <w:noWrap w:val="0"/>
            <w:vAlign w:val="center"/>
          </w:tcPr>
          <w:p>
            <w:pPr>
              <w:adjustRightInd w:val="0"/>
              <w:snapToGrid w:val="0"/>
              <w:spacing w:line="240" w:lineRule="auto"/>
              <w:jc w:val="center"/>
              <w:rPr>
                <w:rFonts w:hint="eastAsia" w:cs="Times New Roman"/>
                <w:szCs w:val="21"/>
                <w:highlight w:val="none"/>
                <w:vertAlign w:val="baseline"/>
                <w:lang w:val="en-US" w:eastAsia="zh-CN"/>
              </w:rPr>
            </w:pPr>
            <w:r>
              <w:rPr>
                <w:rFonts w:hint="eastAsia" w:cs="Times New Roman"/>
                <w:szCs w:val="21"/>
                <w:highlight w:val="none"/>
                <w:vertAlign w:val="baseline"/>
                <w:lang w:val="en-US" w:eastAsia="zh-CN"/>
              </w:rPr>
              <w:t>勘查区面积24.4046km</w:t>
            </w:r>
            <w:r>
              <w:rPr>
                <w:rFonts w:hint="eastAsia" w:cs="Times New Roman"/>
                <w:szCs w:val="21"/>
                <w:highlight w:val="none"/>
                <w:vertAlign w:val="superscript"/>
                <w:lang w:val="en-US" w:eastAsia="zh-CN"/>
              </w:rPr>
              <w:t>2</w:t>
            </w:r>
            <w:r>
              <w:rPr>
                <w:rFonts w:hint="eastAsia" w:cs="Times New Roman"/>
                <w:szCs w:val="21"/>
                <w:highlight w:val="none"/>
                <w:vertAlign w:val="baseline"/>
                <w:lang w:val="en-US" w:eastAsia="zh-CN"/>
              </w:rPr>
              <w:t>；</w:t>
            </w:r>
          </w:p>
          <w:p>
            <w:pPr>
              <w:adjustRightInd w:val="0"/>
              <w:snapToGrid w:val="0"/>
              <w:spacing w:line="240" w:lineRule="auto"/>
              <w:jc w:val="center"/>
              <w:rPr>
                <w:rFonts w:hint="default" w:ascii="Times New Roman" w:hAnsi="Times New Roman" w:eastAsia="宋体" w:cs="Times New Roman"/>
                <w:szCs w:val="21"/>
                <w:highlight w:val="none"/>
                <w:lang w:val="en-US" w:eastAsia="zh-CN"/>
              </w:rPr>
            </w:pPr>
            <w:r>
              <w:rPr>
                <w:rFonts w:hint="eastAsia" w:cs="Times New Roman"/>
                <w:szCs w:val="21"/>
                <w:highlight w:val="none"/>
                <w:vertAlign w:val="baseline"/>
                <w:lang w:val="en-US" w:eastAsia="zh-CN"/>
              </w:rPr>
              <w:t>临时占地</w:t>
            </w:r>
            <w:r>
              <w:rPr>
                <w:rFonts w:hint="eastAsia" w:cs="Times New Roman"/>
                <w:szCs w:val="21"/>
                <w:highlight w:val="none"/>
                <w:lang w:val="en-US" w:eastAsia="zh-CN"/>
              </w:rPr>
              <w:t>3305</w:t>
            </w:r>
            <w:r>
              <w:rPr>
                <w:rFonts w:hint="eastAsia" w:cs="Times New Roman"/>
                <w:szCs w:val="21"/>
                <w:highlight w:val="none"/>
                <w:vertAlign w:val="baseline"/>
                <w:lang w:val="en-US" w:eastAsia="zh-CN"/>
              </w:rPr>
              <w:t>m</w:t>
            </w:r>
            <w:r>
              <w:rPr>
                <w:rFonts w:hint="eastAsia" w:cs="Times New Roman"/>
                <w:szCs w:val="21"/>
                <w:highlight w:val="none"/>
                <w:vertAlign w:val="superscript"/>
                <w:lang w:val="en-US" w:eastAsia="zh-CN"/>
              </w:rPr>
              <w:t>2</w:t>
            </w:r>
            <w:r>
              <w:rPr>
                <w:rFonts w:hint="eastAsia" w:cs="Times New Roman"/>
                <w:szCs w:val="21"/>
                <w:highlight w:val="none"/>
                <w:vertAlign w:val="baseli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建设性质</w:t>
            </w:r>
          </w:p>
        </w:tc>
        <w:tc>
          <w:tcPr>
            <w:tcW w:w="2454" w:type="dxa"/>
            <w:noWrap w:val="0"/>
            <w:vAlign w:val="center"/>
          </w:tcPr>
          <w:p>
            <w:pPr>
              <w:adjustRightInd w:val="0"/>
              <w:snapToGrid w:val="0"/>
              <w:spacing w:line="240" w:lineRule="auto"/>
              <w:jc w:val="left"/>
              <w:rPr>
                <w:rFonts w:hint="default" w:ascii="Times New Roman" w:hAnsi="Times New Roman" w:cs="Times New Roman"/>
                <w:szCs w:val="21"/>
                <w:highlight w:val="none"/>
              </w:rPr>
            </w:pPr>
            <w:r>
              <w:rPr>
                <w:rFonts w:hint="eastAsia" w:ascii="宋体" w:hAnsi="宋体" w:cs="宋体"/>
                <w:sz w:val="21"/>
                <w:szCs w:val="21"/>
                <w:highlight w:val="none"/>
                <w:lang w:eastAsia="zh-CN"/>
              </w:rPr>
              <w:t>☑</w:t>
            </w:r>
            <w:r>
              <w:rPr>
                <w:rFonts w:hint="default" w:ascii="Times New Roman" w:hAnsi="Times New Roman" w:cs="Times New Roman"/>
                <w:szCs w:val="21"/>
                <w:highlight w:val="none"/>
              </w:rPr>
              <w:t>新建（迁建）</w:t>
            </w:r>
          </w:p>
          <w:p>
            <w:pPr>
              <w:adjustRightInd w:val="0"/>
              <w:snapToGrid w:val="0"/>
              <w:spacing w:line="240" w:lineRule="auto"/>
              <w:jc w:val="left"/>
              <w:rPr>
                <w:rFonts w:hint="default" w:ascii="Times New Roman" w:hAnsi="Times New Roman" w:cs="Times New Roman"/>
                <w:szCs w:val="21"/>
                <w:highlight w:val="none"/>
              </w:rPr>
            </w:pPr>
            <w:r>
              <w:rPr>
                <w:rFonts w:hint="eastAsia" w:ascii="宋体" w:hAnsi="宋体" w:cs="宋体"/>
                <w:sz w:val="21"/>
                <w:szCs w:val="21"/>
                <w:highlight w:val="none"/>
              </w:rPr>
              <w:t>□</w:t>
            </w:r>
            <w:r>
              <w:rPr>
                <w:rFonts w:hint="default" w:ascii="Times New Roman" w:hAnsi="Times New Roman" w:cs="Times New Roman"/>
                <w:szCs w:val="21"/>
                <w:highlight w:val="none"/>
              </w:rPr>
              <w:t>改建</w:t>
            </w:r>
          </w:p>
          <w:p>
            <w:pPr>
              <w:adjustRightInd w:val="0"/>
              <w:snapToGrid w:val="0"/>
              <w:spacing w:line="240" w:lineRule="auto"/>
              <w:jc w:val="left"/>
              <w:rPr>
                <w:rFonts w:hint="default" w:ascii="Times New Roman" w:hAnsi="Times New Roman" w:cs="Times New Roman"/>
                <w:szCs w:val="21"/>
                <w:highlight w:val="none"/>
              </w:rPr>
            </w:pPr>
            <w:r>
              <w:rPr>
                <w:rFonts w:hint="eastAsia" w:ascii="宋体" w:hAnsi="宋体" w:cs="宋体"/>
                <w:sz w:val="21"/>
                <w:szCs w:val="21"/>
                <w:highlight w:val="none"/>
              </w:rPr>
              <w:t>□</w:t>
            </w:r>
            <w:r>
              <w:rPr>
                <w:rFonts w:hint="default" w:ascii="Times New Roman" w:hAnsi="Times New Roman" w:cs="Times New Roman"/>
                <w:szCs w:val="21"/>
                <w:highlight w:val="none"/>
              </w:rPr>
              <w:t>扩建</w:t>
            </w:r>
          </w:p>
          <w:p>
            <w:pPr>
              <w:adjustRightInd w:val="0"/>
              <w:snapToGrid w:val="0"/>
              <w:spacing w:line="240" w:lineRule="auto"/>
              <w:jc w:val="left"/>
              <w:rPr>
                <w:rFonts w:hint="default" w:ascii="Times New Roman" w:hAnsi="Times New Roman" w:cs="Times New Roman"/>
                <w:szCs w:val="21"/>
                <w:highlight w:val="none"/>
              </w:rPr>
            </w:pPr>
            <w:r>
              <w:rPr>
                <w:rFonts w:hint="eastAsia" w:ascii="宋体" w:hAnsi="宋体" w:cs="宋体"/>
                <w:sz w:val="21"/>
                <w:szCs w:val="21"/>
                <w:highlight w:val="none"/>
              </w:rPr>
              <w:t>□</w:t>
            </w:r>
            <w:r>
              <w:rPr>
                <w:rFonts w:hint="default" w:ascii="Times New Roman" w:hAnsi="Times New Roman" w:cs="Times New Roman"/>
                <w:szCs w:val="21"/>
                <w:highlight w:val="none"/>
              </w:rPr>
              <w:t>技术改造</w:t>
            </w:r>
          </w:p>
        </w:tc>
        <w:tc>
          <w:tcPr>
            <w:tcW w:w="2218" w:type="dxa"/>
            <w:noWrap w:val="0"/>
            <w:vAlign w:val="center"/>
          </w:tcPr>
          <w:p>
            <w:pPr>
              <w:adjustRightInd w:val="0"/>
              <w:snapToGrid w:val="0"/>
              <w:spacing w:line="240" w:lineRule="auto"/>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建设项目</w:t>
            </w:r>
          </w:p>
          <w:p>
            <w:pPr>
              <w:adjustRightInd w:val="0"/>
              <w:snapToGrid w:val="0"/>
              <w:spacing w:line="240" w:lineRule="auto"/>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申报情形</w:t>
            </w:r>
          </w:p>
        </w:tc>
        <w:tc>
          <w:tcPr>
            <w:tcW w:w="2552" w:type="dxa"/>
            <w:gridSpan w:val="2"/>
            <w:noWrap w:val="0"/>
            <w:vAlign w:val="center"/>
          </w:tcPr>
          <w:p>
            <w:pPr>
              <w:adjustRightInd w:val="0"/>
              <w:snapToGrid w:val="0"/>
              <w:spacing w:line="240" w:lineRule="auto"/>
              <w:jc w:val="left"/>
              <w:rPr>
                <w:rFonts w:hint="default" w:ascii="Times New Roman" w:hAnsi="Times New Roman" w:cs="Times New Roman"/>
                <w:szCs w:val="21"/>
                <w:highlight w:val="none"/>
              </w:rPr>
            </w:pPr>
            <w:r>
              <w:rPr>
                <w:rFonts w:hint="eastAsia" w:ascii="宋体" w:hAnsi="宋体" w:cs="宋体"/>
                <w:sz w:val="21"/>
                <w:szCs w:val="21"/>
                <w:highlight w:val="none"/>
                <w:lang w:eastAsia="zh-CN"/>
              </w:rPr>
              <w:t>☑</w:t>
            </w:r>
            <w:r>
              <w:rPr>
                <w:rFonts w:hint="default" w:ascii="Times New Roman" w:hAnsi="Times New Roman" w:cs="Times New Roman"/>
                <w:szCs w:val="21"/>
                <w:highlight w:val="none"/>
              </w:rPr>
              <w:t>首次申报项目</w:t>
            </w:r>
          </w:p>
          <w:p>
            <w:pPr>
              <w:adjustRightInd w:val="0"/>
              <w:snapToGrid w:val="0"/>
              <w:spacing w:line="240" w:lineRule="auto"/>
              <w:jc w:val="left"/>
              <w:rPr>
                <w:rFonts w:hint="default" w:ascii="Times New Roman" w:hAnsi="Times New Roman" w:cs="Times New Roman"/>
                <w:szCs w:val="21"/>
                <w:highlight w:val="none"/>
              </w:rPr>
            </w:pPr>
            <w:r>
              <w:rPr>
                <w:rFonts w:hint="eastAsia" w:ascii="宋体" w:hAnsi="宋体" w:cs="宋体"/>
                <w:sz w:val="21"/>
                <w:szCs w:val="21"/>
                <w:highlight w:val="none"/>
              </w:rPr>
              <w:t>□</w:t>
            </w:r>
            <w:r>
              <w:rPr>
                <w:rFonts w:hint="default" w:ascii="Times New Roman" w:hAnsi="Times New Roman" w:cs="Times New Roman"/>
                <w:szCs w:val="21"/>
                <w:highlight w:val="none"/>
              </w:rPr>
              <w:t>不予批准后再次申报项目</w:t>
            </w:r>
          </w:p>
          <w:p>
            <w:pPr>
              <w:adjustRightInd w:val="0"/>
              <w:snapToGrid w:val="0"/>
              <w:spacing w:line="240" w:lineRule="auto"/>
              <w:jc w:val="left"/>
              <w:rPr>
                <w:rFonts w:hint="default" w:ascii="Times New Roman" w:hAnsi="Times New Roman" w:cs="Times New Roman"/>
                <w:szCs w:val="21"/>
                <w:highlight w:val="none"/>
              </w:rPr>
            </w:pPr>
            <w:r>
              <w:rPr>
                <w:rFonts w:hint="eastAsia" w:ascii="宋体" w:hAnsi="宋体" w:cs="宋体"/>
                <w:sz w:val="21"/>
                <w:szCs w:val="21"/>
                <w:highlight w:val="none"/>
              </w:rPr>
              <w:t>□</w:t>
            </w:r>
            <w:r>
              <w:rPr>
                <w:rFonts w:hint="default" w:ascii="Times New Roman" w:hAnsi="Times New Roman" w:cs="Times New Roman"/>
                <w:szCs w:val="21"/>
                <w:highlight w:val="none"/>
              </w:rPr>
              <w:t>超五年重新审核项目</w:t>
            </w:r>
          </w:p>
          <w:p>
            <w:pPr>
              <w:adjustRightInd w:val="0"/>
              <w:snapToGrid w:val="0"/>
              <w:spacing w:line="240" w:lineRule="auto"/>
              <w:rPr>
                <w:rFonts w:hint="default" w:ascii="Times New Roman" w:hAnsi="Times New Roman" w:cs="Times New Roman"/>
                <w:szCs w:val="21"/>
                <w:highlight w:val="none"/>
              </w:rPr>
            </w:pPr>
            <w:r>
              <w:rPr>
                <w:rFonts w:hint="eastAsia" w:ascii="宋体" w:hAnsi="宋体" w:cs="宋体"/>
                <w:sz w:val="21"/>
                <w:szCs w:val="21"/>
                <w:highlight w:val="none"/>
              </w:rPr>
              <w:t>□</w:t>
            </w:r>
            <w:r>
              <w:rPr>
                <w:rFonts w:hint="default" w:ascii="Times New Roman" w:hAnsi="Times New Roman" w:cs="Times New Roman"/>
                <w:szCs w:val="21"/>
                <w:highlight w:val="none"/>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6"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项目审批（核准</w:t>
            </w:r>
            <w:r>
              <w:rPr>
                <w:rFonts w:ascii="宋体" w:hAnsi="宋体" w:cs="宋体"/>
                <w:szCs w:val="21"/>
                <w:highlight w:val="none"/>
              </w:rPr>
              <w:t>/</w:t>
            </w:r>
          </w:p>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备案）部门（选填）</w:t>
            </w:r>
          </w:p>
        </w:tc>
        <w:tc>
          <w:tcPr>
            <w:tcW w:w="2454" w:type="dxa"/>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w:t>
            </w:r>
          </w:p>
        </w:tc>
        <w:tc>
          <w:tcPr>
            <w:tcW w:w="2218" w:type="dxa"/>
            <w:noWrap w:val="0"/>
            <w:vAlign w:val="center"/>
          </w:tcPr>
          <w:p>
            <w:pPr>
              <w:adjustRightInd w:val="0"/>
              <w:snapToGrid w:val="0"/>
              <w:spacing w:line="240" w:lineRule="auto"/>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项目审批（核准/</w:t>
            </w:r>
          </w:p>
          <w:p>
            <w:pPr>
              <w:adjustRightInd w:val="0"/>
              <w:snapToGrid w:val="0"/>
              <w:spacing w:line="240" w:lineRule="auto"/>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备案）文号（选填）</w:t>
            </w:r>
          </w:p>
        </w:tc>
        <w:tc>
          <w:tcPr>
            <w:tcW w:w="2552" w:type="dxa"/>
            <w:gridSpan w:val="2"/>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4"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总投资（万元）</w:t>
            </w:r>
          </w:p>
        </w:tc>
        <w:tc>
          <w:tcPr>
            <w:tcW w:w="2454" w:type="dxa"/>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1022.46</w:t>
            </w:r>
          </w:p>
        </w:tc>
        <w:tc>
          <w:tcPr>
            <w:tcW w:w="2218" w:type="dxa"/>
            <w:noWrap w:val="0"/>
            <w:tcMar>
              <w:top w:w="16" w:type="dxa"/>
              <w:left w:w="16" w:type="dxa"/>
              <w:right w:w="16" w:type="dxa"/>
            </w:tcMar>
            <w:vAlign w:val="center"/>
          </w:tcPr>
          <w:p>
            <w:pPr>
              <w:adjustRightInd w:val="0"/>
              <w:snapToGrid w:val="0"/>
              <w:spacing w:line="240" w:lineRule="auto"/>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环保投资（万元）</w:t>
            </w:r>
          </w:p>
        </w:tc>
        <w:tc>
          <w:tcPr>
            <w:tcW w:w="2552" w:type="dxa"/>
            <w:gridSpan w:val="2"/>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20.5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0"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环保投资占比（</w:t>
            </w:r>
            <w:r>
              <w:rPr>
                <w:rFonts w:ascii="宋体" w:hAnsi="宋体" w:cs="宋体"/>
                <w:szCs w:val="21"/>
                <w:highlight w:val="none"/>
              </w:rPr>
              <w:t>%</w:t>
            </w:r>
            <w:r>
              <w:rPr>
                <w:rFonts w:hint="eastAsia" w:ascii="宋体" w:hAnsi="宋体" w:cs="宋体"/>
                <w:szCs w:val="21"/>
                <w:highlight w:val="none"/>
              </w:rPr>
              <w:t>）</w:t>
            </w:r>
          </w:p>
        </w:tc>
        <w:tc>
          <w:tcPr>
            <w:tcW w:w="2454" w:type="dxa"/>
            <w:noWrap w:val="0"/>
            <w:vAlign w:val="center"/>
          </w:tcPr>
          <w:p>
            <w:pPr>
              <w:adjustRightInd w:val="0"/>
              <w:snapToGrid w:val="0"/>
              <w:spacing w:line="240" w:lineRule="auto"/>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2</w:t>
            </w:r>
          </w:p>
        </w:tc>
        <w:tc>
          <w:tcPr>
            <w:tcW w:w="2218" w:type="dxa"/>
            <w:noWrap w:val="0"/>
            <w:tcMar>
              <w:top w:w="16" w:type="dxa"/>
              <w:left w:w="16" w:type="dxa"/>
              <w:right w:w="16" w:type="dxa"/>
            </w:tcMar>
            <w:vAlign w:val="center"/>
          </w:tcPr>
          <w:p>
            <w:pPr>
              <w:adjustRightInd w:val="0"/>
              <w:snapToGrid w:val="0"/>
              <w:spacing w:line="240" w:lineRule="auto"/>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施工工期</w:t>
            </w:r>
          </w:p>
        </w:tc>
        <w:tc>
          <w:tcPr>
            <w:tcW w:w="2552" w:type="dxa"/>
            <w:gridSpan w:val="2"/>
            <w:noWrap w:val="0"/>
            <w:vAlign w:val="center"/>
          </w:tcPr>
          <w:p>
            <w:pPr>
              <w:adjustRightInd w:val="0"/>
              <w:snapToGrid w:val="0"/>
              <w:spacing w:line="240" w:lineRule="auto"/>
              <w:jc w:val="center"/>
              <w:rPr>
                <w:rFonts w:hint="default"/>
                <w:highlight w:val="none"/>
                <w:lang w:val="en-US" w:eastAsia="zh-CN"/>
              </w:rPr>
            </w:pPr>
            <w:r>
              <w:rPr>
                <w:rFonts w:hint="eastAsia"/>
                <w:highlight w:val="none"/>
                <w:lang w:val="en-US" w:eastAsia="zh-CN"/>
              </w:rPr>
              <w:t>15天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trPr>
        <w:tc>
          <w:tcPr>
            <w:tcW w:w="1815" w:type="dxa"/>
            <w:gridSpan w:val="2"/>
            <w:noWrap w:val="0"/>
            <w:tcMar>
              <w:top w:w="16" w:type="dxa"/>
              <w:left w:w="16" w:type="dxa"/>
              <w:right w:w="16" w:type="dxa"/>
            </w:tcMar>
            <w:vAlign w:val="center"/>
          </w:tcPr>
          <w:p>
            <w:pPr>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是否开工建设</w:t>
            </w:r>
          </w:p>
        </w:tc>
        <w:tc>
          <w:tcPr>
            <w:tcW w:w="7224" w:type="dxa"/>
            <w:gridSpan w:val="4"/>
            <w:noWrap w:val="0"/>
            <w:vAlign w:val="center"/>
          </w:tcPr>
          <w:p>
            <w:pPr>
              <w:adjustRightInd w:val="0"/>
              <w:snapToGrid w:val="0"/>
              <w:spacing w:line="240" w:lineRule="auto"/>
              <w:ind w:firstLine="105"/>
              <w:jc w:val="left"/>
              <w:rPr>
                <w:rFonts w:hint="eastAsia" w:ascii="Times New Roman" w:hAnsi="Times New Roman" w:eastAsia="宋体" w:cs="Times New Roman"/>
                <w:szCs w:val="21"/>
                <w:highlight w:val="none"/>
                <w:lang w:val="en-US" w:eastAsia="zh-CN"/>
              </w:rPr>
            </w:pPr>
            <w:r>
              <w:rPr>
                <w:rFonts w:hint="eastAsia" w:ascii="宋体" w:hAnsi="宋体" w:cs="宋体"/>
                <w:sz w:val="21"/>
                <w:szCs w:val="21"/>
                <w:highlight w:val="none"/>
                <w:lang w:eastAsia="zh-CN"/>
              </w:rPr>
              <w:t>☑</w:t>
            </w:r>
            <w:r>
              <w:rPr>
                <w:rFonts w:hint="default" w:ascii="Times New Roman" w:hAnsi="Times New Roman" w:cs="Times New Roman"/>
                <w:szCs w:val="21"/>
                <w:highlight w:val="none"/>
              </w:rPr>
              <w:t>否</w:t>
            </w:r>
            <w:r>
              <w:rPr>
                <w:rFonts w:hint="eastAsia" w:ascii="Times New Roman" w:hAnsi="Times New Roman" w:cs="Times New Roman"/>
                <w:szCs w:val="21"/>
                <w:highlight w:val="none"/>
                <w:lang w:val="en-US" w:eastAsia="zh-CN"/>
              </w:rPr>
              <w:t xml:space="preserve"> </w:t>
            </w:r>
          </w:p>
          <w:p>
            <w:pPr>
              <w:adjustRightInd w:val="0"/>
              <w:snapToGrid w:val="0"/>
              <w:spacing w:line="240" w:lineRule="auto"/>
              <w:ind w:firstLine="92"/>
              <w:jc w:val="left"/>
              <w:rPr>
                <w:rFonts w:hint="default" w:ascii="Times New Roman" w:hAnsi="Times New Roman" w:eastAsia="宋体" w:cs="Times New Roman"/>
                <w:szCs w:val="21"/>
                <w:highlight w:val="none"/>
                <w:lang w:val="en-US" w:eastAsia="zh-CN"/>
              </w:rPr>
            </w:pPr>
            <w:r>
              <w:rPr>
                <w:rFonts w:hint="eastAsia" w:ascii="宋体" w:hAnsi="宋体" w:cs="宋体"/>
                <w:sz w:val="21"/>
                <w:szCs w:val="21"/>
                <w:highlight w:val="none"/>
                <w:lang w:eastAsia="zh-CN"/>
              </w:rPr>
              <w:t>□</w:t>
            </w:r>
            <w:r>
              <w:rPr>
                <w:rFonts w:hint="default" w:ascii="Times New Roman" w:hAnsi="Times New Roman" w:cs="Times New Roman"/>
                <w:szCs w:val="21"/>
                <w:highlight w:val="none"/>
              </w:rPr>
              <w:t>是：</w:t>
            </w:r>
            <w:r>
              <w:rPr>
                <w:rFonts w:hint="eastAsia" w:cs="Times New Roman"/>
                <w:szCs w:val="21"/>
                <w:highlight w:val="none"/>
                <w:u w:val="single"/>
                <w:lang w:val="en-US" w:eastAsia="zh-CN"/>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0" w:hRule="atLeast"/>
        </w:trPr>
        <w:tc>
          <w:tcPr>
            <w:tcW w:w="1815" w:type="dxa"/>
            <w:gridSpan w:val="2"/>
            <w:noWrap w:val="0"/>
            <w:tcMar>
              <w:top w:w="16" w:type="dxa"/>
              <w:left w:w="16" w:type="dxa"/>
              <w:right w:w="16" w:type="dxa"/>
            </w:tcMar>
            <w:vAlign w:val="center"/>
          </w:tcPr>
          <w:p>
            <w:pPr>
              <w:autoSpaceDE w:val="0"/>
              <w:autoSpaceDN w:val="0"/>
              <w:adjustRightInd w:val="0"/>
              <w:snapToGrid w:val="0"/>
              <w:spacing w:line="240" w:lineRule="auto"/>
              <w:jc w:val="center"/>
              <w:rPr>
                <w:rFonts w:ascii="宋体" w:hAnsi="宋体" w:cs="宋体"/>
                <w:kern w:val="0"/>
                <w:szCs w:val="21"/>
                <w:highlight w:val="none"/>
              </w:rPr>
            </w:pPr>
            <w:r>
              <w:rPr>
                <w:rFonts w:hint="eastAsia" w:ascii="宋体" w:hAnsi="宋体" w:cs="宋体"/>
                <w:kern w:val="0"/>
                <w:szCs w:val="21"/>
                <w:highlight w:val="none"/>
              </w:rPr>
              <w:t>专项评价设置情况</w:t>
            </w:r>
          </w:p>
        </w:tc>
        <w:tc>
          <w:tcPr>
            <w:tcW w:w="7224" w:type="dxa"/>
            <w:gridSpan w:val="4"/>
            <w:noWrap w:val="0"/>
            <w:tcMar>
              <w:top w:w="16" w:type="dxa"/>
              <w:left w:w="16" w:type="dxa"/>
              <w:right w:w="16" w:type="dxa"/>
            </w:tcMar>
            <w:vAlign w:val="center"/>
          </w:tcPr>
          <w:p>
            <w:pPr>
              <w:autoSpaceDE w:val="0"/>
              <w:autoSpaceDN w:val="0"/>
              <w:adjustRightInd w:val="0"/>
              <w:snapToGrid w:val="0"/>
              <w:spacing w:line="240" w:lineRule="auto"/>
              <w:jc w:val="center"/>
              <w:rPr>
                <w:rFonts w:hint="default" w:ascii="Times New Roman" w:hAnsi="Times New Roman" w:eastAsia="宋体" w:cs="Times New Roman"/>
                <w:kern w:val="0"/>
                <w:szCs w:val="21"/>
                <w:highlight w:val="none"/>
                <w:lang w:eastAsia="zh-CN"/>
              </w:rPr>
            </w:pPr>
            <w:r>
              <w:rPr>
                <w:rFonts w:hint="default" w:ascii="Times New Roman" w:hAnsi="Times New Roman" w:cs="Times New Roman"/>
                <w:kern w:val="0"/>
                <w:szCs w:val="21"/>
                <w:highlight w:val="none"/>
                <w:lang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63" w:hRule="atLeast"/>
        </w:trPr>
        <w:tc>
          <w:tcPr>
            <w:tcW w:w="1815" w:type="dxa"/>
            <w:gridSpan w:val="2"/>
            <w:noWrap w:val="0"/>
            <w:tcMar>
              <w:top w:w="16" w:type="dxa"/>
              <w:left w:w="16" w:type="dxa"/>
              <w:right w:w="16" w:type="dxa"/>
            </w:tcMar>
            <w:vAlign w:val="center"/>
          </w:tcPr>
          <w:p>
            <w:pPr>
              <w:autoSpaceDE w:val="0"/>
              <w:autoSpaceDN w:val="0"/>
              <w:adjustRightInd w:val="0"/>
              <w:snapToGrid w:val="0"/>
              <w:spacing w:line="240" w:lineRule="auto"/>
              <w:jc w:val="center"/>
              <w:rPr>
                <w:rFonts w:ascii="宋体" w:hAnsi="宋体" w:cs="宋体"/>
                <w:kern w:val="0"/>
                <w:szCs w:val="21"/>
                <w:highlight w:val="none"/>
              </w:rPr>
            </w:pPr>
            <w:r>
              <w:rPr>
                <w:rFonts w:hint="eastAsia" w:ascii="宋体" w:hAnsi="宋体" w:cs="宋体"/>
                <w:szCs w:val="21"/>
                <w:highlight w:val="none"/>
              </w:rPr>
              <w:t>规划情况</w:t>
            </w:r>
          </w:p>
        </w:tc>
        <w:tc>
          <w:tcPr>
            <w:tcW w:w="7224" w:type="dxa"/>
            <w:gridSpan w:val="4"/>
            <w:noWrap w:val="0"/>
            <w:tcMar>
              <w:top w:w="16" w:type="dxa"/>
              <w:left w:w="16" w:type="dxa"/>
              <w:right w:w="16" w:type="dxa"/>
            </w:tcMar>
            <w:vAlign w:val="center"/>
          </w:tcPr>
          <w:p>
            <w:pPr>
              <w:pStyle w:val="45"/>
              <w:bidi w:val="0"/>
              <w:spacing w:line="240" w:lineRule="auto"/>
              <w:jc w:val="both"/>
              <w:rPr>
                <w:rFonts w:hint="eastAsia"/>
                <w:highlight w:val="none"/>
                <w:lang w:val="en-US" w:eastAsia="zh-CN"/>
              </w:rPr>
            </w:pPr>
            <w:r>
              <w:rPr>
                <w:rFonts w:hint="default"/>
                <w:highlight w:val="none"/>
                <w:lang w:val="en-US" w:eastAsia="zh-CN"/>
              </w:rPr>
              <w:t>规划名称：</w:t>
            </w:r>
            <w:r>
              <w:rPr>
                <w:rFonts w:hint="eastAsia"/>
                <w:highlight w:val="none"/>
                <w:lang w:val="en-US" w:eastAsia="zh-CN"/>
              </w:rPr>
              <w:t>《</w:t>
            </w:r>
            <w:r>
              <w:rPr>
                <w:rFonts w:hint="default"/>
                <w:highlight w:val="none"/>
                <w:lang w:val="en-US" w:eastAsia="zh-CN"/>
              </w:rPr>
              <w:t>新疆维吾尔自治区矿产资源总体规划（2021</w:t>
            </w:r>
            <w:r>
              <w:rPr>
                <w:rFonts w:hint="eastAsia"/>
                <w:highlight w:val="none"/>
                <w:lang w:val="en-US" w:eastAsia="zh-CN"/>
              </w:rPr>
              <w:t>-</w:t>
            </w:r>
            <w:r>
              <w:rPr>
                <w:rFonts w:hint="default"/>
                <w:highlight w:val="none"/>
                <w:lang w:val="en-US" w:eastAsia="zh-CN"/>
              </w:rPr>
              <w:t>2025年）</w:t>
            </w:r>
            <w:r>
              <w:rPr>
                <w:rFonts w:hint="eastAsia"/>
                <w:highlight w:val="none"/>
                <w:lang w:val="en-US" w:eastAsia="zh-CN"/>
              </w:rPr>
              <w:t>》</w:t>
            </w:r>
          </w:p>
          <w:p>
            <w:pPr>
              <w:pStyle w:val="45"/>
              <w:bidi w:val="0"/>
              <w:spacing w:line="240" w:lineRule="auto"/>
              <w:jc w:val="both"/>
              <w:rPr>
                <w:rFonts w:hint="eastAsia"/>
                <w:highlight w:val="none"/>
                <w:lang w:val="en-US" w:eastAsia="zh-CN"/>
              </w:rPr>
            </w:pPr>
            <w:r>
              <w:rPr>
                <w:rFonts w:hint="eastAsia"/>
                <w:highlight w:val="none"/>
                <w:lang w:val="en-US" w:eastAsia="zh-CN"/>
              </w:rPr>
              <w:t>审批机关：中华人民共和国自然资源部</w:t>
            </w:r>
          </w:p>
          <w:p>
            <w:pPr>
              <w:adjustRightInd w:val="0"/>
              <w:snapToGrid w:val="0"/>
              <w:spacing w:line="240" w:lineRule="auto"/>
              <w:jc w:val="both"/>
              <w:rPr>
                <w:rFonts w:hint="eastAsia"/>
                <w:highlight w:val="none"/>
                <w:lang w:val="en-US" w:eastAsia="zh-CN"/>
              </w:rPr>
            </w:pPr>
            <w:r>
              <w:rPr>
                <w:rFonts w:hint="eastAsia"/>
                <w:highlight w:val="none"/>
                <w:lang w:val="en-US" w:eastAsia="zh-CN"/>
              </w:rPr>
              <w:t>审批文件：《关于〈新疆维吾尔自治区矿产资源总体规划（2021-2025年）〉的审查意见》</w:t>
            </w:r>
          </w:p>
          <w:p>
            <w:pPr>
              <w:adjustRightInd w:val="0"/>
              <w:snapToGrid w:val="0"/>
              <w:spacing w:line="240" w:lineRule="auto"/>
              <w:jc w:val="both"/>
              <w:rPr>
                <w:highlight w:val="none"/>
              </w:rPr>
            </w:pPr>
            <w:r>
              <w:rPr>
                <w:rFonts w:hint="eastAsia"/>
                <w:highlight w:val="none"/>
                <w:lang w:val="en-US" w:eastAsia="zh-CN"/>
              </w:rPr>
              <w:t>审批文号为：自然资函〔2022〕1092号</w:t>
            </w:r>
          </w:p>
          <w:p>
            <w:pPr>
              <w:pStyle w:val="9"/>
              <w:rPr>
                <w:rFonts w:hint="eastAsia"/>
                <w:highlight w:val="none"/>
              </w:rPr>
            </w:pPr>
            <w:r>
              <w:rPr>
                <w:rFonts w:hint="eastAsia"/>
                <w:highlight w:val="none"/>
              </w:rPr>
              <w:t>规划名称：《巴音郭楞蒙古自治州矿产资源总体规划（2021-2025年）》</w:t>
            </w:r>
          </w:p>
          <w:p>
            <w:pPr>
              <w:pStyle w:val="9"/>
              <w:rPr>
                <w:rFonts w:hint="default"/>
                <w:highlight w:val="none"/>
              </w:rPr>
            </w:pPr>
            <w:r>
              <w:rPr>
                <w:rFonts w:hint="eastAsia"/>
                <w:highlight w:val="none"/>
              </w:rPr>
              <w:t>审批机关：巴州人民政府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805" w:hRule="atLeast"/>
        </w:trPr>
        <w:tc>
          <w:tcPr>
            <w:tcW w:w="1815" w:type="dxa"/>
            <w:gridSpan w:val="2"/>
            <w:noWrap w:val="0"/>
            <w:tcMar>
              <w:top w:w="16" w:type="dxa"/>
              <w:left w:w="16" w:type="dxa"/>
              <w:right w:w="16" w:type="dxa"/>
            </w:tcMar>
            <w:vAlign w:val="center"/>
          </w:tcPr>
          <w:p>
            <w:pPr>
              <w:autoSpaceDE w:val="0"/>
              <w:autoSpaceDN w:val="0"/>
              <w:adjustRightInd w:val="0"/>
              <w:snapToGrid w:val="0"/>
              <w:spacing w:line="240" w:lineRule="auto"/>
              <w:jc w:val="center"/>
              <w:rPr>
                <w:rFonts w:ascii="宋体" w:hAnsi="宋体" w:cs="宋体"/>
                <w:szCs w:val="21"/>
                <w:highlight w:val="none"/>
              </w:rPr>
            </w:pPr>
            <w:r>
              <w:rPr>
                <w:rFonts w:hint="eastAsia" w:ascii="宋体" w:hAnsi="宋体" w:cs="宋体"/>
                <w:szCs w:val="21"/>
                <w:highlight w:val="none"/>
              </w:rPr>
              <w:t>规划环境影响</w:t>
            </w:r>
          </w:p>
          <w:p>
            <w:pPr>
              <w:autoSpaceDE w:val="0"/>
              <w:autoSpaceDN w:val="0"/>
              <w:adjustRightInd w:val="0"/>
              <w:snapToGrid w:val="0"/>
              <w:spacing w:line="240" w:lineRule="auto"/>
              <w:jc w:val="center"/>
              <w:rPr>
                <w:rFonts w:ascii="宋体" w:hAnsi="宋体" w:cs="宋体"/>
                <w:kern w:val="0"/>
                <w:szCs w:val="21"/>
                <w:highlight w:val="none"/>
              </w:rPr>
            </w:pPr>
            <w:r>
              <w:rPr>
                <w:rFonts w:hint="eastAsia" w:ascii="宋体" w:hAnsi="宋体" w:cs="宋体"/>
                <w:szCs w:val="21"/>
                <w:highlight w:val="none"/>
              </w:rPr>
              <w:t>评价情况</w:t>
            </w:r>
          </w:p>
        </w:tc>
        <w:tc>
          <w:tcPr>
            <w:tcW w:w="7224" w:type="dxa"/>
            <w:gridSpan w:val="4"/>
            <w:noWrap w:val="0"/>
            <w:tcMar>
              <w:top w:w="16" w:type="dxa"/>
              <w:left w:w="16" w:type="dxa"/>
              <w:right w:w="16" w:type="dxa"/>
            </w:tcMar>
            <w:vAlign w:val="center"/>
          </w:tcPr>
          <w:p>
            <w:pPr>
              <w:pStyle w:val="45"/>
              <w:bidi w:val="0"/>
              <w:spacing w:line="240" w:lineRule="auto"/>
              <w:jc w:val="both"/>
              <w:rPr>
                <w:rFonts w:hint="default"/>
                <w:highlight w:val="none"/>
                <w:lang w:eastAsia="zh-CN"/>
              </w:rPr>
            </w:pPr>
            <w:r>
              <w:rPr>
                <w:rFonts w:hint="default"/>
                <w:highlight w:val="none"/>
              </w:rPr>
              <w:t>规划环境影响评价文件名称：</w:t>
            </w:r>
            <w:r>
              <w:rPr>
                <w:rFonts w:hint="default"/>
                <w:highlight w:val="none"/>
                <w:lang w:eastAsia="zh-CN"/>
              </w:rPr>
              <w:t>《</w:t>
            </w:r>
            <w:r>
              <w:rPr>
                <w:rFonts w:hint="default"/>
                <w:highlight w:val="none"/>
              </w:rPr>
              <w:t>新疆维吾尔自治区矿产资源总体规划（2021</w:t>
            </w:r>
            <w:r>
              <w:rPr>
                <w:rFonts w:hint="eastAsia"/>
                <w:highlight w:val="none"/>
                <w:lang w:val="en-US" w:eastAsia="zh-CN"/>
              </w:rPr>
              <w:t>-</w:t>
            </w:r>
            <w:r>
              <w:rPr>
                <w:rFonts w:hint="default"/>
                <w:highlight w:val="none"/>
              </w:rPr>
              <w:t>2025年）环境影响报告书</w:t>
            </w:r>
            <w:r>
              <w:rPr>
                <w:rFonts w:hint="default"/>
                <w:highlight w:val="none"/>
                <w:lang w:eastAsia="zh-CN"/>
              </w:rPr>
              <w:t>》</w:t>
            </w:r>
          </w:p>
          <w:p>
            <w:pPr>
              <w:pStyle w:val="45"/>
              <w:bidi w:val="0"/>
              <w:spacing w:line="240" w:lineRule="auto"/>
              <w:jc w:val="both"/>
              <w:rPr>
                <w:rFonts w:hint="default"/>
                <w:highlight w:val="none"/>
              </w:rPr>
            </w:pPr>
            <w:r>
              <w:rPr>
                <w:rFonts w:hint="default"/>
                <w:highlight w:val="none"/>
              </w:rPr>
              <w:t>审查机关：中华人民共和国生态环境部</w:t>
            </w:r>
          </w:p>
          <w:p>
            <w:pPr>
              <w:bidi w:val="0"/>
              <w:spacing w:line="240" w:lineRule="auto"/>
              <w:ind w:left="0" w:leftChars="0" w:firstLine="0" w:firstLineChars="0"/>
              <w:jc w:val="both"/>
              <w:rPr>
                <w:rFonts w:hint="default" w:ascii="Times New Roman" w:hAnsi="Times New Roman" w:eastAsia="宋体" w:cs="Times New Roman"/>
                <w:kern w:val="0"/>
                <w:szCs w:val="21"/>
                <w:highlight w:val="none"/>
                <w:lang w:val="en-US" w:eastAsia="zh-CN"/>
              </w:rPr>
            </w:pPr>
            <w:r>
              <w:rPr>
                <w:rFonts w:hint="default"/>
                <w:highlight w:val="none"/>
              </w:rPr>
              <w:t>审查文件名称及文号：《关于新疆维吾尔自治区矿产资源总体规划（2021</w:t>
            </w:r>
            <w:r>
              <w:rPr>
                <w:rFonts w:hint="eastAsia"/>
                <w:highlight w:val="none"/>
                <w:lang w:val="en-US" w:eastAsia="zh-CN"/>
              </w:rPr>
              <w:t>-</w:t>
            </w:r>
            <w:r>
              <w:rPr>
                <w:rFonts w:hint="default"/>
                <w:highlight w:val="none"/>
              </w:rPr>
              <w:t>2025年）环境影响报告书的审查意见》</w:t>
            </w:r>
            <w:r>
              <w:rPr>
                <w:rFonts w:hint="default"/>
                <w:highlight w:val="none"/>
                <w:lang w:eastAsia="zh-CN"/>
              </w:rPr>
              <w:t>（</w:t>
            </w:r>
            <w:r>
              <w:rPr>
                <w:rFonts w:hint="default"/>
                <w:highlight w:val="none"/>
              </w:rPr>
              <w:t>环审〔2022〕124号</w:t>
            </w:r>
            <w:r>
              <w:rPr>
                <w:rFonts w:hint="default"/>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9" w:hRule="atLeast"/>
        </w:trPr>
        <w:tc>
          <w:tcPr>
            <w:tcW w:w="721" w:type="dxa"/>
            <w:noWrap w:val="0"/>
            <w:tcMar>
              <w:top w:w="16" w:type="dxa"/>
              <w:left w:w="16" w:type="dxa"/>
              <w:right w:w="16" w:type="dxa"/>
            </w:tcMar>
            <w:vAlign w:val="center"/>
          </w:tcPr>
          <w:p>
            <w:pPr>
              <w:autoSpaceDE w:val="0"/>
              <w:autoSpaceDN w:val="0"/>
              <w:adjustRightInd w:val="0"/>
              <w:snapToGrid w:val="0"/>
              <w:spacing w:line="240" w:lineRule="auto"/>
              <w:jc w:val="center"/>
              <w:rPr>
                <w:rFonts w:ascii="宋体" w:hAnsi="宋体" w:cs="宋体"/>
                <w:kern w:val="0"/>
                <w:szCs w:val="21"/>
                <w:highlight w:val="none"/>
              </w:rPr>
            </w:pPr>
            <w:r>
              <w:rPr>
                <w:rFonts w:hint="eastAsia" w:ascii="宋体" w:hAnsi="宋体" w:cs="宋体"/>
                <w:kern w:val="0"/>
                <w:szCs w:val="21"/>
                <w:highlight w:val="none"/>
              </w:rPr>
              <w:t>规划及</w:t>
            </w:r>
            <w:r>
              <w:rPr>
                <w:rFonts w:hint="eastAsia" w:ascii="宋体" w:hAnsi="宋体" w:cs="宋体"/>
                <w:szCs w:val="21"/>
                <w:highlight w:val="none"/>
              </w:rPr>
              <w:t>规划环境影响评价</w:t>
            </w:r>
            <w:r>
              <w:rPr>
                <w:rFonts w:hint="eastAsia" w:ascii="宋体" w:hAnsi="宋体" w:cs="宋体"/>
                <w:kern w:val="0"/>
                <w:szCs w:val="21"/>
                <w:highlight w:val="none"/>
              </w:rPr>
              <w:t>符合性分析</w:t>
            </w:r>
          </w:p>
        </w:tc>
        <w:tc>
          <w:tcPr>
            <w:tcW w:w="8318" w:type="dxa"/>
            <w:gridSpan w:val="5"/>
            <w:noWrap w:val="0"/>
            <w:tcMar>
              <w:top w:w="16" w:type="dxa"/>
              <w:left w:w="16" w:type="dxa"/>
              <w:right w:w="16" w:type="dxa"/>
            </w:tcMar>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kern w:val="0"/>
                <w:szCs w:val="21"/>
                <w:highlight w:val="none"/>
                <w:lang w:val="en-US" w:eastAsia="zh-CN"/>
              </w:rPr>
            </w:pPr>
            <w:r>
              <w:rPr>
                <w:rFonts w:hint="default" w:ascii="Times New Roman" w:hAnsi="Times New Roman" w:cs="Times New Roman"/>
                <w:b/>
                <w:bCs/>
                <w:kern w:val="0"/>
                <w:sz w:val="24"/>
                <w:szCs w:val="24"/>
                <w:highlight w:val="none"/>
                <w:lang w:val="en-US" w:eastAsia="zh-CN"/>
              </w:rPr>
              <w:t>表1-1  项目</w:t>
            </w:r>
            <w:r>
              <w:rPr>
                <w:rFonts w:hint="default" w:ascii="Times New Roman" w:hAnsi="Times New Roman" w:eastAsia="宋体" w:cs="Times New Roman"/>
                <w:b/>
                <w:bCs/>
                <w:kern w:val="0"/>
                <w:sz w:val="24"/>
                <w:szCs w:val="24"/>
                <w:highlight w:val="none"/>
                <w:lang w:val="en-US" w:eastAsia="zh-CN"/>
              </w:rPr>
              <w:t>与《新疆维吾尔自治区矿产资源总体规划（2021</w:t>
            </w:r>
            <w:r>
              <w:rPr>
                <w:rFonts w:hint="eastAsia" w:cs="Times New Roman"/>
                <w:b/>
                <w:bCs/>
                <w:kern w:val="0"/>
                <w:sz w:val="24"/>
                <w:szCs w:val="24"/>
                <w:highlight w:val="none"/>
                <w:lang w:val="en-US" w:eastAsia="zh-CN"/>
              </w:rPr>
              <w:t>-</w:t>
            </w:r>
            <w:r>
              <w:rPr>
                <w:rFonts w:hint="default" w:ascii="Times New Roman" w:hAnsi="Times New Roman" w:eastAsia="宋体" w:cs="Times New Roman"/>
                <w:b/>
                <w:bCs/>
                <w:kern w:val="0"/>
                <w:sz w:val="24"/>
                <w:szCs w:val="24"/>
                <w:highlight w:val="none"/>
                <w:lang w:val="en-US" w:eastAsia="zh-CN"/>
              </w:rPr>
              <w:t>2025年）》</w:t>
            </w:r>
            <w:r>
              <w:rPr>
                <w:rFonts w:hint="default" w:ascii="Times New Roman" w:hAnsi="Times New Roman" w:cs="Times New Roman"/>
                <w:b/>
                <w:bCs/>
                <w:kern w:val="0"/>
                <w:sz w:val="24"/>
                <w:szCs w:val="24"/>
                <w:highlight w:val="none"/>
                <w:lang w:val="en-US" w:eastAsia="zh-CN"/>
              </w:rPr>
              <w:t>相符性分析</w:t>
            </w:r>
          </w:p>
          <w:tbl>
            <w:tblPr>
              <w:tblStyle w:val="18"/>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4"/>
              <w:gridCol w:w="2516"/>
              <w:gridCol w:w="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Cs w:val="21"/>
                      <w:highlight w:val="none"/>
                      <w:vertAlign w:val="baseline"/>
                      <w:lang w:eastAsia="zh-CN"/>
                    </w:rPr>
                  </w:pPr>
                  <w:r>
                    <w:rPr>
                      <w:rFonts w:hint="default" w:ascii="Times New Roman" w:hAnsi="Times New Roman" w:cs="Times New Roman"/>
                      <w:kern w:val="0"/>
                      <w:szCs w:val="21"/>
                      <w:highlight w:val="none"/>
                      <w:vertAlign w:val="baseline"/>
                      <w:lang w:eastAsia="zh-CN"/>
                    </w:rPr>
                    <w:t>规划内容</w:t>
                  </w:r>
                </w:p>
              </w:tc>
              <w:tc>
                <w:tcPr>
                  <w:tcW w:w="1551"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Cs w:val="21"/>
                      <w:highlight w:val="none"/>
                      <w:vertAlign w:val="baseline"/>
                      <w:lang w:eastAsia="zh-CN"/>
                    </w:rPr>
                  </w:pPr>
                  <w:r>
                    <w:rPr>
                      <w:rFonts w:hint="default" w:ascii="Times New Roman" w:hAnsi="Times New Roman" w:cs="Times New Roman"/>
                      <w:kern w:val="0"/>
                      <w:szCs w:val="21"/>
                      <w:highlight w:val="none"/>
                      <w:vertAlign w:val="baseline"/>
                      <w:lang w:eastAsia="zh-CN"/>
                    </w:rPr>
                    <w:t>本项目情况</w:t>
                  </w:r>
                </w:p>
              </w:tc>
              <w:tc>
                <w:tcPr>
                  <w:tcW w:w="523"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Cs w:val="21"/>
                      <w:highlight w:val="none"/>
                      <w:vertAlign w:val="baseline"/>
                      <w:lang w:eastAsia="zh-CN"/>
                    </w:rPr>
                  </w:pPr>
                  <w:r>
                    <w:rPr>
                      <w:rFonts w:hint="default" w:ascii="Times New Roman" w:hAnsi="Times New Roman" w:cs="Times New Roman"/>
                      <w:kern w:val="0"/>
                      <w:szCs w:val="21"/>
                      <w:highlight w:val="none"/>
                      <w:vertAlign w:val="baseline"/>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5"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落实国家能源资源安全战略，结合新疆实际，合理确定重点、限制、禁止勘查开采矿种</w:t>
                  </w:r>
                  <w:r>
                    <w:rPr>
                      <w:rFonts w:hint="eastAsia" w:ascii="Times New Roman" w:hAnsi="Times New Roman" w:eastAsia="宋体" w:cs="Times New Roman"/>
                      <w:highlight w:val="none"/>
                      <w:lang w:val="en-US" w:eastAsia="zh-CN"/>
                    </w:rPr>
                    <w:t>。</w:t>
                  </w:r>
                  <w:r>
                    <w:rPr>
                      <w:rFonts w:hint="default" w:ascii="Times New Roman" w:hAnsi="Times New Roman" w:eastAsia="宋体" w:cs="Times New Roman"/>
                      <w:highlight w:val="none"/>
                      <w:lang w:val="en-US" w:eastAsia="zh-CN"/>
                    </w:rPr>
                    <w:t>重点勘查开采矿种：石油、天然气、页岩气、煤层气、煤、地热等能源矿产，铁、铬、锰、铜、镍、钴、铅锌、金、锂、铍、钒、钛等金属矿产，以及钾盐、萤石、硅质原料等非金属矿产。限制开采矿种：砖瓦用粘土等矿产，严格控制钨、稀土等特定保护性开采矿产。</w:t>
                  </w:r>
                  <w:r>
                    <w:rPr>
                      <w:rFonts w:hint="eastAsia" w:ascii="Times New Roman" w:hAnsi="Times New Roman" w:eastAsia="宋体" w:cs="Times New Roman"/>
                      <w:highlight w:val="none"/>
                      <w:lang w:val="en-US" w:eastAsia="zh-CN"/>
                    </w:rPr>
                    <w:t>“</w:t>
                  </w:r>
                  <w:r>
                    <w:rPr>
                      <w:rFonts w:hint="default" w:ascii="Times New Roman" w:hAnsi="Times New Roman" w:eastAsia="宋体" w:cs="Times New Roman"/>
                      <w:highlight w:val="none"/>
                      <w:lang w:val="en-US" w:eastAsia="zh-CN"/>
                    </w:rPr>
                    <w:t>限粘</w:t>
                  </w:r>
                  <w:r>
                    <w:rPr>
                      <w:rFonts w:hint="eastAsia" w:ascii="Times New Roman" w:hAnsi="Times New Roman" w:eastAsia="宋体" w:cs="Times New Roman"/>
                      <w:highlight w:val="none"/>
                      <w:lang w:val="en-US" w:eastAsia="zh-CN"/>
                    </w:rPr>
                    <w:t>”</w:t>
                  </w:r>
                  <w:r>
                    <w:rPr>
                      <w:rFonts w:hint="default" w:ascii="Times New Roman" w:hAnsi="Times New Roman" w:eastAsia="宋体" w:cs="Times New Roman"/>
                      <w:highlight w:val="none"/>
                      <w:lang w:val="en-US" w:eastAsia="zh-CN"/>
                    </w:rPr>
                    <w:t>县市禁止新设砖瓦用粘土采矿权。限制开采矿种，除严格矿业权人准</w:t>
                  </w:r>
                  <w:bookmarkStart w:id="5" w:name="_GoBack"/>
                  <w:bookmarkEnd w:id="5"/>
                  <w:r>
                    <w:rPr>
                      <w:rFonts w:hint="default" w:ascii="Times New Roman" w:hAnsi="Times New Roman" w:eastAsia="宋体" w:cs="Times New Roman"/>
                      <w:highlight w:val="none"/>
                      <w:lang w:val="en-US" w:eastAsia="zh-CN"/>
                    </w:rPr>
                    <w:t>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551"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本项目</w:t>
                  </w:r>
                  <w:r>
                    <w:rPr>
                      <w:rFonts w:hint="eastAsia" w:cs="Times New Roman"/>
                      <w:highlight w:val="none"/>
                      <w:lang w:val="en-US" w:eastAsia="zh-CN"/>
                    </w:rPr>
                    <w:t>对区内铜多金属</w:t>
                  </w:r>
                  <w:r>
                    <w:rPr>
                      <w:rFonts w:hint="eastAsia" w:ascii="Times New Roman" w:hAnsi="Times New Roman" w:eastAsia="宋体" w:cs="Times New Roman"/>
                      <w:highlight w:val="none"/>
                      <w:lang w:val="en-US" w:eastAsia="zh-CN"/>
                    </w:rPr>
                    <w:t>矿</w:t>
                  </w:r>
                  <w:r>
                    <w:rPr>
                      <w:rFonts w:hint="eastAsia" w:cs="Times New Roman"/>
                      <w:highlight w:val="none"/>
                      <w:lang w:val="en-US" w:eastAsia="zh-CN"/>
                    </w:rPr>
                    <w:t>开展普查工作</w:t>
                  </w:r>
                  <w:r>
                    <w:rPr>
                      <w:rFonts w:hint="default" w:ascii="Times New Roman" w:hAnsi="Times New Roman" w:eastAsia="宋体" w:cs="Times New Roman"/>
                      <w:highlight w:val="none"/>
                      <w:lang w:val="en-US" w:eastAsia="zh-CN"/>
                    </w:rPr>
                    <w:t>，</w:t>
                  </w:r>
                  <w:r>
                    <w:rPr>
                      <w:rFonts w:hint="eastAsia" w:ascii="Times New Roman" w:hAnsi="Times New Roman" w:eastAsia="宋体" w:cs="Times New Roman"/>
                      <w:highlight w:val="none"/>
                      <w:lang w:val="en-US" w:eastAsia="zh-CN"/>
                    </w:rPr>
                    <w:t>属于重点勘查开采矿种</w:t>
                  </w:r>
                  <w:r>
                    <w:rPr>
                      <w:rFonts w:hint="eastAsia" w:eastAsia="宋体" w:cs="Times New Roman"/>
                      <w:highlight w:val="none"/>
                      <w:lang w:val="en-US" w:eastAsia="zh-CN"/>
                    </w:rPr>
                    <w:t>，</w:t>
                  </w:r>
                  <w:r>
                    <w:rPr>
                      <w:rFonts w:hint="default"/>
                      <w:highlight w:val="none"/>
                    </w:rPr>
                    <w:t>符合</w:t>
                  </w:r>
                  <w:r>
                    <w:rPr>
                      <w:rFonts w:hint="eastAsia"/>
                      <w:highlight w:val="none"/>
                      <w:lang w:eastAsia="zh-CN"/>
                    </w:rPr>
                    <w:t>《</w:t>
                  </w:r>
                  <w:r>
                    <w:rPr>
                      <w:rFonts w:hint="default"/>
                      <w:highlight w:val="none"/>
                    </w:rPr>
                    <w:t>新疆维吾尔自治区矿产资源总体规划（2021</w:t>
                  </w:r>
                  <w:r>
                    <w:rPr>
                      <w:rFonts w:hint="eastAsia"/>
                      <w:highlight w:val="none"/>
                      <w:lang w:eastAsia="zh-CN"/>
                    </w:rPr>
                    <w:t>—</w:t>
                  </w:r>
                  <w:r>
                    <w:rPr>
                      <w:rFonts w:hint="default"/>
                      <w:highlight w:val="none"/>
                    </w:rPr>
                    <w:t>2025年）</w:t>
                  </w:r>
                  <w:r>
                    <w:rPr>
                      <w:rFonts w:hint="eastAsia"/>
                      <w:highlight w:val="none"/>
                      <w:lang w:eastAsia="zh-CN"/>
                    </w:rPr>
                    <w:t>》</w:t>
                  </w:r>
                  <w:r>
                    <w:rPr>
                      <w:rFonts w:hint="eastAsia"/>
                      <w:highlight w:val="none"/>
                      <w:lang w:val="en-US" w:eastAsia="zh-CN"/>
                    </w:rPr>
                    <w:t>中的规划要求</w:t>
                  </w:r>
                  <w:r>
                    <w:rPr>
                      <w:rFonts w:hint="eastAsia" w:ascii="Times New Roman" w:hAnsi="Times New Roman" w:eastAsia="宋体" w:cs="Times New Roman"/>
                      <w:highlight w:val="none"/>
                      <w:lang w:val="en-US" w:eastAsia="zh-CN"/>
                    </w:rPr>
                    <w:t>。</w:t>
                  </w:r>
                </w:p>
              </w:tc>
              <w:tc>
                <w:tcPr>
                  <w:tcW w:w="523"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Cs w:val="21"/>
                      <w:highlight w:val="none"/>
                      <w:vertAlign w:val="baseline"/>
                      <w:lang w:eastAsia="zh-CN"/>
                    </w:rPr>
                  </w:pPr>
                  <w:r>
                    <w:rPr>
                      <w:rFonts w:hint="default" w:ascii="Times New Roman" w:hAnsi="Times New Roman" w:cs="Times New Roman"/>
                      <w:kern w:val="0"/>
                      <w:szCs w:val="21"/>
                      <w:highlight w:val="none"/>
                      <w:vertAlign w:val="baseline"/>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744" w:type="dxa"/>
                  <w:noWrap w:val="0"/>
                  <w:vAlign w:val="center"/>
                </w:tcPr>
                <w:p>
                  <w:pPr>
                    <w:pStyle w:val="47"/>
                    <w:bidi w:val="0"/>
                    <w:rPr>
                      <w:rFonts w:hint="default" w:ascii="Times New Roman" w:hAnsi="Times New Roman" w:eastAsia="宋体" w:cs="Times New Roman"/>
                      <w:highlight w:val="none"/>
                      <w:lang w:val="en-US" w:eastAsia="zh-CN"/>
                    </w:rPr>
                  </w:pPr>
                  <w:r>
                    <w:rPr>
                      <w:rFonts w:hint="default"/>
                      <w:lang w:val="en-US" w:eastAsia="zh-CN"/>
                    </w:rPr>
                    <w:t>严格执行绿色勘查规范，发挥绿色勘查示范项目引领作用，全面实施绿色勘查。牢固树立绿色发展理念，将绿色发展理念贯穿于勘查活动全过程，将保护生态环境作为勘查活动中应尽的义务和责任。依靠科技和管理创新，采用新手段、新方法、新工艺、新设备，推广航空物探、浅钻、便携式钻机、一基多孔等勘查技术，最大限度地避免或减轻勘查活动对生态环境的扰动、污染和破坏。</w:t>
                  </w:r>
                </w:p>
              </w:tc>
              <w:tc>
                <w:tcPr>
                  <w:tcW w:w="2516" w:type="dxa"/>
                  <w:noWrap w:val="0"/>
                  <w:vAlign w:val="center"/>
                </w:tcPr>
                <w:p>
                  <w:pPr>
                    <w:pStyle w:val="47"/>
                    <w:bidi w:val="0"/>
                    <w:jc w:val="both"/>
                    <w:rPr>
                      <w:rFonts w:hint="default" w:ascii="Times New Roman" w:hAnsi="Times New Roman" w:eastAsia="宋体" w:cs="Times New Roman"/>
                      <w:highlight w:val="none"/>
                      <w:lang w:val="en-US" w:eastAsia="zh-CN"/>
                    </w:rPr>
                  </w:pPr>
                  <w:r>
                    <w:rPr>
                      <w:rFonts w:hint="eastAsia"/>
                      <w:lang w:val="en-US" w:eastAsia="zh-CN"/>
                    </w:rPr>
                    <w:t>项目严格执行绿色勘查规范，践行绿色发展理念并贯穿勘查全过程，将生态保护列为勘查工作首要责任。采用地质测量、槽探、钻探等先进工艺设备，最大程度减轻勘查作业对区域生态环境的扰动与破坏。符合《新疆维吾尔自治区矿产资源总体规划（2021-2025）》中的相关要求。</w:t>
                  </w:r>
                </w:p>
              </w:tc>
              <w:tc>
                <w:tcPr>
                  <w:tcW w:w="523" w:type="pct"/>
                  <w:noWrap w:val="0"/>
                  <w:vAlign w:val="center"/>
                </w:tcPr>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cs="Times New Roman"/>
                      <w:kern w:val="0"/>
                      <w:szCs w:val="21"/>
                      <w:highlight w:val="none"/>
                      <w:vertAlign w:val="baseline"/>
                      <w:lang w:eastAsia="zh-CN"/>
                    </w:rPr>
                    <w:t>符合</w:t>
                  </w:r>
                </w:p>
              </w:tc>
            </w:tr>
          </w:tbl>
          <w:p>
            <w:pPr>
              <w:pStyle w:val="46"/>
              <w:bidi w:val="0"/>
              <w:spacing w:line="240" w:lineRule="auto"/>
              <w:rPr>
                <w:rFonts w:hint="eastAsia" w:cs="Times New Roman"/>
                <w:kern w:val="0"/>
                <w:szCs w:val="21"/>
                <w:highlight w:val="none"/>
                <w:lang w:val="en-US" w:eastAsia="zh-CN"/>
              </w:rPr>
            </w:pPr>
          </w:p>
          <w:p>
            <w:pPr>
              <w:pStyle w:val="46"/>
              <w:bidi w:val="0"/>
              <w:spacing w:line="240" w:lineRule="auto"/>
              <w:rPr>
                <w:rFonts w:hint="default"/>
                <w:highlight w:val="none"/>
                <w:lang w:val="en-US" w:eastAsia="zh-CN"/>
              </w:rPr>
            </w:pPr>
            <w:r>
              <w:rPr>
                <w:rFonts w:hint="eastAsia" w:cs="Times New Roman"/>
                <w:kern w:val="0"/>
                <w:sz w:val="24"/>
                <w:szCs w:val="24"/>
                <w:highlight w:val="none"/>
                <w:lang w:val="en-US" w:eastAsia="zh-CN"/>
              </w:rPr>
              <w:t>表1-2  项目与</w:t>
            </w:r>
            <w:r>
              <w:rPr>
                <w:rFonts w:hint="default"/>
                <w:sz w:val="24"/>
                <w:szCs w:val="24"/>
                <w:highlight w:val="none"/>
                <w:lang w:val="en-US" w:eastAsia="zh-CN"/>
              </w:rPr>
              <w:t>《巴音郭楞蒙古自治州矿产资源总体规划（2021</w:t>
            </w:r>
            <w:r>
              <w:rPr>
                <w:rFonts w:hint="eastAsia"/>
                <w:sz w:val="24"/>
                <w:szCs w:val="24"/>
                <w:highlight w:val="none"/>
                <w:lang w:val="en-US" w:eastAsia="zh-CN"/>
              </w:rPr>
              <w:t>-</w:t>
            </w:r>
            <w:r>
              <w:rPr>
                <w:rFonts w:hint="default"/>
                <w:sz w:val="24"/>
                <w:szCs w:val="24"/>
                <w:highlight w:val="none"/>
                <w:lang w:val="en-US" w:eastAsia="zh-CN"/>
              </w:rPr>
              <w:t>2025年）》相符性分析</w:t>
            </w:r>
          </w:p>
          <w:tbl>
            <w:tblPr>
              <w:tblStyle w:val="18"/>
              <w:tblW w:w="49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4"/>
              <w:gridCol w:w="3129"/>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82"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highlight w:val="none"/>
                      <w:lang w:eastAsia="zh-CN"/>
                    </w:rPr>
                  </w:pPr>
                  <w:r>
                    <w:rPr>
                      <w:rFonts w:hint="default"/>
                      <w:highlight w:val="none"/>
                      <w:lang w:eastAsia="zh-CN"/>
                    </w:rPr>
                    <w:t>规划内容</w:t>
                  </w:r>
                </w:p>
              </w:tc>
              <w:tc>
                <w:tcPr>
                  <w:tcW w:w="3044"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highlight w:val="none"/>
                      <w:lang w:eastAsia="zh-CN"/>
                    </w:rPr>
                  </w:pPr>
                  <w:r>
                    <w:rPr>
                      <w:rFonts w:hint="default"/>
                      <w:highlight w:val="none"/>
                      <w:lang w:eastAsia="zh-CN"/>
                    </w:rPr>
                    <w:t>本项目情况</w:t>
                  </w:r>
                </w:p>
              </w:tc>
              <w:tc>
                <w:tcPr>
                  <w:tcW w:w="766"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highlight w:val="none"/>
                      <w:lang w:eastAsia="zh-CN"/>
                    </w:rPr>
                  </w:pPr>
                  <w:r>
                    <w:rPr>
                      <w:rFonts w:hint="default"/>
                      <w:highlight w:val="none"/>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82"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highlight w:val="none"/>
                      <w:lang w:eastAsia="zh-CN"/>
                    </w:rPr>
                  </w:pPr>
                  <w:r>
                    <w:rPr>
                      <w:rFonts w:hint="default"/>
                      <w:highlight w:val="none"/>
                      <w:lang w:eastAsia="zh-CN"/>
                    </w:rPr>
                    <w:t>落实自治区规划，结合巴州成矿地质条件、矿产资源赋存特点和开发利用条件，统筹和引导优势矿产资源勘查开发和保护布局，推进资源优化配置，强化矿产资源对区域经济发展的基础支撑作用，保障矿产资源有效供给，落实上级规划分区，细化重点勘查区、重点开采区管控措施，促进资源产业重点区域发展。</w:t>
                  </w:r>
                </w:p>
              </w:tc>
              <w:tc>
                <w:tcPr>
                  <w:tcW w:w="3044"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highlight w:val="none"/>
                      <w:lang w:eastAsia="zh-CN"/>
                    </w:rPr>
                  </w:pPr>
                  <w:r>
                    <w:rPr>
                      <w:rFonts w:hint="default"/>
                      <w:highlight w:val="none"/>
                    </w:rPr>
                    <w:t>本</w:t>
                  </w:r>
                  <w:r>
                    <w:rPr>
                      <w:rFonts w:hint="default"/>
                      <w:highlight w:val="none"/>
                      <w:lang w:val="en-US" w:eastAsia="zh-CN"/>
                    </w:rPr>
                    <w:t>次</w:t>
                  </w:r>
                  <w:r>
                    <w:rPr>
                      <w:rFonts w:hint="eastAsia"/>
                      <w:highlight w:val="none"/>
                      <w:lang w:val="en-US" w:eastAsia="zh-CN"/>
                    </w:rPr>
                    <w:t>勘探</w:t>
                  </w:r>
                  <w:r>
                    <w:rPr>
                      <w:rFonts w:hint="default"/>
                      <w:highlight w:val="none"/>
                      <w:lang w:val="en-US" w:eastAsia="zh-CN"/>
                    </w:rPr>
                    <w:t>工作主要针对</w:t>
                  </w:r>
                  <w:r>
                    <w:rPr>
                      <w:rFonts w:hint="eastAsia"/>
                      <w:highlight w:val="none"/>
                      <w:lang w:val="en-US" w:eastAsia="zh-CN"/>
                    </w:rPr>
                    <w:t>铜多金属矿</w:t>
                  </w:r>
                  <w:r>
                    <w:rPr>
                      <w:rFonts w:hint="default"/>
                      <w:highlight w:val="none"/>
                      <w:lang w:val="en-US" w:eastAsia="zh-CN"/>
                    </w:rPr>
                    <w:t>，</w:t>
                  </w:r>
                  <w:r>
                    <w:rPr>
                      <w:rFonts w:hint="eastAsia" w:ascii="Times New Roman" w:hAnsi="Times New Roman" w:eastAsia="宋体" w:cs="Times New Roman"/>
                      <w:highlight w:val="none"/>
                      <w:lang w:val="en-US" w:eastAsia="zh-CN"/>
                    </w:rPr>
                    <w:t>属于重点勘查矿种</w:t>
                  </w:r>
                  <w:r>
                    <w:rPr>
                      <w:rFonts w:hint="eastAsia" w:cs="Times New Roman"/>
                      <w:highlight w:val="none"/>
                      <w:lang w:val="en-US" w:eastAsia="zh-CN"/>
                    </w:rPr>
                    <w:t>，</w:t>
                  </w:r>
                  <w:r>
                    <w:rPr>
                      <w:rFonts w:hint="eastAsia"/>
                      <w:highlight w:val="none"/>
                      <w:lang w:val="en-US" w:eastAsia="zh-CN"/>
                    </w:rPr>
                    <w:t>不</w:t>
                  </w:r>
                  <w:r>
                    <w:rPr>
                      <w:rFonts w:hint="default"/>
                      <w:highlight w:val="none"/>
                      <w:lang w:val="en-US" w:eastAsia="zh-CN"/>
                    </w:rPr>
                    <w:t>属于</w:t>
                  </w:r>
                  <w:r>
                    <w:rPr>
                      <w:rFonts w:hint="eastAsia"/>
                      <w:highlight w:val="none"/>
                      <w:lang w:val="en-US" w:eastAsia="zh-CN"/>
                    </w:rPr>
                    <w:t>限制、禁止</w:t>
                  </w:r>
                  <w:r>
                    <w:rPr>
                      <w:rFonts w:hint="default"/>
                      <w:highlight w:val="none"/>
                      <w:lang w:val="en-US" w:eastAsia="zh-CN"/>
                    </w:rPr>
                    <w:t>勘</w:t>
                  </w:r>
                  <w:r>
                    <w:rPr>
                      <w:rFonts w:hint="eastAsia"/>
                      <w:highlight w:val="none"/>
                      <w:lang w:val="en-US" w:eastAsia="zh-CN"/>
                    </w:rPr>
                    <w:t>查</w:t>
                  </w:r>
                  <w:r>
                    <w:rPr>
                      <w:rFonts w:hint="default"/>
                      <w:highlight w:val="none"/>
                      <w:lang w:val="en-US" w:eastAsia="zh-CN"/>
                    </w:rPr>
                    <w:t>开采矿种，符合</w:t>
                  </w:r>
                  <w:r>
                    <w:rPr>
                      <w:rFonts w:hint="eastAsia"/>
                      <w:highlight w:val="none"/>
                      <w:lang w:val="en-US" w:eastAsia="zh-CN"/>
                    </w:rPr>
                    <w:t>《</w:t>
                  </w:r>
                  <w:r>
                    <w:rPr>
                      <w:rFonts w:hint="default"/>
                      <w:highlight w:val="none"/>
                      <w:lang w:val="en-US" w:eastAsia="zh-CN"/>
                    </w:rPr>
                    <w:t>巴音郭楞蒙古自治州矿产资源总体规划（2021</w:t>
                  </w:r>
                  <w:r>
                    <w:rPr>
                      <w:rFonts w:hint="eastAsia"/>
                      <w:highlight w:val="none"/>
                      <w:lang w:val="en-US" w:eastAsia="zh-CN"/>
                    </w:rPr>
                    <w:t>-</w:t>
                  </w:r>
                  <w:r>
                    <w:rPr>
                      <w:rFonts w:hint="default"/>
                      <w:highlight w:val="none"/>
                      <w:lang w:val="en-US" w:eastAsia="zh-CN"/>
                    </w:rPr>
                    <w:t>2025年）</w:t>
                  </w:r>
                  <w:r>
                    <w:rPr>
                      <w:rFonts w:hint="eastAsia"/>
                      <w:highlight w:val="none"/>
                      <w:lang w:val="en-US" w:eastAsia="zh-CN"/>
                    </w:rPr>
                    <w:t>》中的规划要求</w:t>
                  </w:r>
                  <w:r>
                    <w:rPr>
                      <w:rFonts w:hint="default"/>
                      <w:highlight w:val="none"/>
                      <w:lang w:val="en-US" w:eastAsia="zh-CN"/>
                    </w:rPr>
                    <w:t>。</w:t>
                  </w:r>
                </w:p>
              </w:tc>
              <w:tc>
                <w:tcPr>
                  <w:tcW w:w="766"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highlight w:val="none"/>
                      <w:lang w:val="en-US" w:eastAsia="zh-CN"/>
                    </w:rPr>
                  </w:pPr>
                  <w:r>
                    <w:rPr>
                      <w:rFonts w:hint="eastAsia"/>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82"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highlight w:val="none"/>
                      <w:lang w:val="en-US" w:eastAsia="zh-CN"/>
                    </w:rPr>
                  </w:pPr>
                  <w:r>
                    <w:rPr>
                      <w:rFonts w:hint="eastAsia"/>
                      <w:highlight w:val="none"/>
                      <w:lang w:val="en-US" w:eastAsia="zh-CN"/>
                    </w:rPr>
                    <w:t>矿区生态保护修复：坚持尊重自然、顺应自然、保护自然，坚持节约优先、保护优先、自然恢复为主，把生态地质环境保护放在优先位置，推进矿产资源绿色勘查开发，最大限度减少对地质环境的破坏。</w:t>
                  </w:r>
                </w:p>
              </w:tc>
              <w:tc>
                <w:tcPr>
                  <w:tcW w:w="3044"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宋体"/>
                      <w:highlight w:val="none"/>
                      <w:lang w:val="en-US" w:eastAsia="zh-CN"/>
                    </w:rPr>
                  </w:pPr>
                  <w:r>
                    <w:rPr>
                      <w:rFonts w:hint="eastAsia"/>
                      <w:highlight w:val="none"/>
                      <w:lang w:val="en-US" w:eastAsia="zh-CN"/>
                    </w:rPr>
                    <w:t>项目施工时，开挖土方临时堆放在一旁并使用彩条布覆盖，待项目区域进行生态恢复时进行回填覆盖，尽可能的恢复施工迹地原有使用功能。</w:t>
                  </w:r>
                </w:p>
              </w:tc>
              <w:tc>
                <w:tcPr>
                  <w:tcW w:w="766"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highlight w:val="none"/>
                      <w:lang w:eastAsia="zh-CN"/>
                    </w:rPr>
                  </w:pPr>
                  <w:r>
                    <w:rPr>
                      <w:rFonts w:hint="default"/>
                      <w:highlight w:val="none"/>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082"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宋体"/>
                      <w:highlight w:val="none"/>
                      <w:lang w:val="en-US" w:eastAsia="zh-CN"/>
                    </w:rPr>
                  </w:pPr>
                  <w:r>
                    <w:rPr>
                      <w:rFonts w:hint="eastAsia"/>
                      <w:highlight w:val="none"/>
                      <w:lang w:val="en-US" w:eastAsia="zh-CN"/>
                    </w:rPr>
                    <w:t>勘查项目要严格按照《绿色地质勘查工作规范》DZ/T 0374-2021要求，将绿色勘查理念贯穿于地质勘查项目设计、实施、验收全过程，利用先进成熟的绿色勘查新理论、新方法、新技术、新工艺开展地质勘查。大力推广遥感、物探、浅钻（以钻代槽）等绿色勘查技术，鼓励采用组合式、便捷式钻探设备，减少使用对植被破坏较大的槽探、坑探、井探等勘查手段，减轻勘查活动对生态环境的扰动。总结绿色勘查实施成效及经验，形成可复制、能推广的绿色勘查新模式、新机制、新制度；积极申报绿色勘查示范项目，促进地质勘查和生态保护协调发展。</w:t>
                  </w:r>
                </w:p>
              </w:tc>
              <w:tc>
                <w:tcPr>
                  <w:tcW w:w="3044" w:type="dxa"/>
                  <w:noWrap w:val="0"/>
                  <w:vAlign w:val="center"/>
                </w:tcPr>
                <w:p>
                  <w:pPr>
                    <w:pStyle w:val="9"/>
                    <w:jc w:val="center"/>
                    <w:rPr>
                      <w:rFonts w:hint="default"/>
                      <w:highlight w:val="none"/>
                    </w:rPr>
                  </w:pPr>
                  <w:r>
                    <w:rPr>
                      <w:rFonts w:hint="eastAsia" w:ascii="Times New Roman" w:hAnsi="Times New Roman" w:eastAsia="宋体" w:cs="Times New Roman"/>
                      <w:highlight w:val="none"/>
                      <w:lang w:val="en-US" w:eastAsia="zh-CN"/>
                    </w:rPr>
                    <w:t>本项目</w:t>
                  </w:r>
                  <w:r>
                    <w:rPr>
                      <w:rFonts w:hint="default" w:ascii="Times New Roman" w:hAnsi="Times New Roman" w:eastAsia="宋体" w:cs="Times New Roman"/>
                      <w:sz w:val="21"/>
                      <w:szCs w:val="21"/>
                      <w:highlight w:val="none"/>
                    </w:rPr>
                    <w:t>采用地质</w:t>
                  </w:r>
                  <w:r>
                    <w:rPr>
                      <w:rFonts w:hint="eastAsia" w:cs="Times New Roman"/>
                      <w:sz w:val="21"/>
                      <w:szCs w:val="21"/>
                      <w:highlight w:val="none"/>
                      <w:lang w:val="en-US" w:eastAsia="zh-CN"/>
                    </w:rPr>
                    <w:t>测量</w:t>
                  </w:r>
                  <w:r>
                    <w:rPr>
                      <w:rFonts w:hint="default" w:ascii="Times New Roman" w:hAnsi="Times New Roman" w:eastAsia="宋体" w:cs="Times New Roman"/>
                      <w:sz w:val="21"/>
                      <w:szCs w:val="21"/>
                      <w:highlight w:val="none"/>
                    </w:rPr>
                    <w:t>、槽探、钻探等工作手段</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通过运用高效、环保的方法、技术、设备等，在地质勘查各方面和全过程中减少或控制对生态环境的影响</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lang w:val="zh-CN" w:eastAsia="zh-CN"/>
                    </w:rPr>
                    <w:t>开展绿色勘查，及时对开挖工程进行回填，最大限度减少人为破坏，减轻勘查活动对生态环境的扰动</w:t>
                  </w:r>
                  <w:r>
                    <w:rPr>
                      <w:rFonts w:hint="eastAsia" w:cs="Times New Roman"/>
                      <w:sz w:val="21"/>
                      <w:szCs w:val="21"/>
                      <w:highlight w:val="none"/>
                      <w:lang w:val="zh-CN" w:eastAsia="zh-CN"/>
                    </w:rPr>
                    <w:t>。</w:t>
                  </w:r>
                </w:p>
              </w:tc>
              <w:tc>
                <w:tcPr>
                  <w:tcW w:w="766" w:type="dxa"/>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highlight w:val="none"/>
                    </w:rPr>
                  </w:pPr>
                  <w:r>
                    <w:rPr>
                      <w:rFonts w:hint="default"/>
                      <w:highlight w:val="none"/>
                      <w:lang w:eastAsia="zh-CN"/>
                    </w:rPr>
                    <w:t>符合</w:t>
                  </w:r>
                </w:p>
              </w:tc>
            </w:tr>
          </w:tbl>
          <w:p>
            <w:pPr>
              <w:pStyle w:val="46"/>
              <w:bidi w:val="0"/>
              <w:spacing w:line="240" w:lineRule="auto"/>
              <w:rPr>
                <w:rFonts w:hint="default"/>
                <w:sz w:val="24"/>
                <w:szCs w:val="24"/>
                <w:highlight w:val="none"/>
                <w:lang w:val="en-US" w:eastAsia="zh-CN"/>
              </w:rPr>
            </w:pPr>
          </w:p>
          <w:p>
            <w:pPr>
              <w:pStyle w:val="46"/>
              <w:bidi w:val="0"/>
              <w:spacing w:line="240" w:lineRule="auto"/>
              <w:rPr>
                <w:rFonts w:hint="default"/>
                <w:sz w:val="24"/>
                <w:szCs w:val="24"/>
                <w:highlight w:val="none"/>
                <w:lang w:val="en-US" w:eastAsia="zh-CN"/>
              </w:rPr>
            </w:pPr>
            <w:r>
              <w:rPr>
                <w:rFonts w:hint="default"/>
                <w:sz w:val="24"/>
                <w:szCs w:val="24"/>
                <w:highlight w:val="none"/>
                <w:lang w:val="en-US" w:eastAsia="zh-CN"/>
              </w:rPr>
              <w:t>表1-</w:t>
            </w:r>
            <w:r>
              <w:rPr>
                <w:rFonts w:hint="eastAsia"/>
                <w:sz w:val="24"/>
                <w:szCs w:val="24"/>
                <w:highlight w:val="none"/>
                <w:lang w:val="en-US" w:eastAsia="zh-CN"/>
              </w:rPr>
              <w:t xml:space="preserve">3 </w:t>
            </w:r>
            <w:r>
              <w:rPr>
                <w:rFonts w:hint="default"/>
                <w:sz w:val="24"/>
                <w:szCs w:val="24"/>
                <w:highlight w:val="none"/>
                <w:lang w:val="en-US" w:eastAsia="zh-CN"/>
              </w:rPr>
              <w:t xml:space="preserve"> 项目与《新疆维吾尔自治区矿产资源总体规划（2021</w:t>
            </w:r>
            <w:r>
              <w:rPr>
                <w:rFonts w:hint="eastAsia"/>
                <w:sz w:val="24"/>
                <w:szCs w:val="24"/>
                <w:highlight w:val="none"/>
                <w:lang w:val="en-US" w:eastAsia="zh-CN"/>
              </w:rPr>
              <w:t>—</w:t>
            </w:r>
            <w:r>
              <w:rPr>
                <w:rFonts w:hint="default"/>
                <w:sz w:val="24"/>
                <w:szCs w:val="24"/>
                <w:highlight w:val="none"/>
                <w:lang w:val="en-US" w:eastAsia="zh-CN"/>
              </w:rPr>
              <w:t>2025年）环境影响报告书》</w:t>
            </w:r>
            <w:r>
              <w:rPr>
                <w:rFonts w:hint="eastAsia"/>
                <w:sz w:val="24"/>
                <w:szCs w:val="24"/>
                <w:highlight w:val="none"/>
                <w:lang w:val="en-US" w:eastAsia="zh-CN"/>
              </w:rPr>
              <w:t>及审查意见</w:t>
            </w:r>
            <w:r>
              <w:rPr>
                <w:rFonts w:hint="default"/>
                <w:sz w:val="24"/>
                <w:szCs w:val="24"/>
                <w:highlight w:val="none"/>
                <w:lang w:val="en-US" w:eastAsia="zh-CN"/>
              </w:rPr>
              <w:t>的相符性分析</w:t>
            </w:r>
          </w:p>
          <w:tbl>
            <w:tblPr>
              <w:tblStyle w:val="18"/>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9"/>
              <w:gridCol w:w="2483"/>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983"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 w:val="21"/>
                      <w:szCs w:val="21"/>
                      <w:highlight w:val="none"/>
                      <w:vertAlign w:val="baseline"/>
                      <w:lang w:eastAsia="zh-CN"/>
                    </w:rPr>
                  </w:pPr>
                  <w:r>
                    <w:rPr>
                      <w:rFonts w:hint="default" w:ascii="Times New Roman" w:hAnsi="Times New Roman" w:cs="Times New Roman"/>
                      <w:kern w:val="0"/>
                      <w:sz w:val="21"/>
                      <w:szCs w:val="21"/>
                      <w:highlight w:val="none"/>
                      <w:vertAlign w:val="baseline"/>
                      <w:lang w:eastAsia="zh-CN"/>
                    </w:rPr>
                    <w:t>规划内容</w:t>
                  </w:r>
                </w:p>
              </w:tc>
              <w:tc>
                <w:tcPr>
                  <w:tcW w:w="1531"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 w:val="21"/>
                      <w:szCs w:val="21"/>
                      <w:highlight w:val="none"/>
                      <w:vertAlign w:val="baseline"/>
                      <w:lang w:eastAsia="zh-CN"/>
                    </w:rPr>
                  </w:pPr>
                  <w:r>
                    <w:rPr>
                      <w:rFonts w:hint="default" w:ascii="Times New Roman" w:hAnsi="Times New Roman" w:cs="Times New Roman"/>
                      <w:kern w:val="0"/>
                      <w:sz w:val="21"/>
                      <w:szCs w:val="21"/>
                      <w:highlight w:val="none"/>
                      <w:vertAlign w:val="baseline"/>
                      <w:lang w:eastAsia="zh-CN"/>
                    </w:rPr>
                    <w:t>本项目情况</w:t>
                  </w:r>
                </w:p>
              </w:tc>
              <w:tc>
                <w:tcPr>
                  <w:tcW w:w="485"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eastAsia="宋体" w:cs="Times New Roman"/>
                      <w:kern w:val="0"/>
                      <w:sz w:val="21"/>
                      <w:szCs w:val="21"/>
                      <w:highlight w:val="none"/>
                      <w:vertAlign w:val="baseline"/>
                      <w:lang w:eastAsia="zh-CN"/>
                    </w:rPr>
                  </w:pPr>
                  <w:r>
                    <w:rPr>
                      <w:rFonts w:hint="default" w:ascii="Times New Roman" w:hAnsi="Times New Roman" w:cs="Times New Roman"/>
                      <w:kern w:val="0"/>
                      <w:sz w:val="21"/>
                      <w:szCs w:val="21"/>
                      <w:highlight w:val="none"/>
                      <w:vertAlign w:val="baseline"/>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983"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highlight w:val="none"/>
                      <w:vertAlign w:val="baseline"/>
                      <w:lang w:eastAsia="zh-CN"/>
                    </w:rPr>
                  </w:pPr>
                  <w:r>
                    <w:rPr>
                      <w:rFonts w:hint="default" w:ascii="Times New Roman" w:hAnsi="Times New Roman" w:cs="Times New Roman"/>
                      <w:kern w:val="0"/>
                      <w:sz w:val="21"/>
                      <w:szCs w:val="21"/>
                      <w:highlight w:val="none"/>
                      <w:vertAlign w:val="baseline"/>
                      <w:lang w:eastAsia="zh-CN"/>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w:t>
                  </w:r>
                  <w:r>
                    <w:rPr>
                      <w:rFonts w:hint="eastAsia" w:cs="Times New Roman"/>
                      <w:kern w:val="0"/>
                      <w:sz w:val="21"/>
                      <w:szCs w:val="21"/>
                      <w:highlight w:val="none"/>
                      <w:vertAlign w:val="baseline"/>
                      <w:lang w:eastAsia="zh-CN"/>
                    </w:rPr>
                    <w:t>（</w:t>
                  </w:r>
                  <w:r>
                    <w:rPr>
                      <w:rFonts w:hint="default" w:ascii="Times New Roman" w:hAnsi="Times New Roman" w:cs="Times New Roman"/>
                      <w:kern w:val="0"/>
                      <w:sz w:val="21"/>
                      <w:szCs w:val="21"/>
                      <w:highlight w:val="none"/>
                      <w:vertAlign w:val="baseline"/>
                      <w:lang w:eastAsia="zh-CN"/>
                    </w:rPr>
                    <w:t>自然保护区、森林公园、世界遗产地等</w:t>
                  </w:r>
                  <w:r>
                    <w:rPr>
                      <w:rFonts w:hint="eastAsia" w:cs="Times New Roman"/>
                      <w:kern w:val="0"/>
                      <w:sz w:val="21"/>
                      <w:szCs w:val="21"/>
                      <w:highlight w:val="none"/>
                      <w:vertAlign w:val="baseline"/>
                      <w:lang w:eastAsia="zh-CN"/>
                    </w:rPr>
                    <w:t>）</w:t>
                  </w:r>
                  <w:r>
                    <w:rPr>
                      <w:rFonts w:hint="default" w:ascii="Times New Roman" w:hAnsi="Times New Roman" w:cs="Times New Roman"/>
                      <w:kern w:val="0"/>
                      <w:sz w:val="21"/>
                      <w:szCs w:val="21"/>
                      <w:highlight w:val="none"/>
                      <w:vertAlign w:val="baseline"/>
                      <w:lang w:eastAsia="zh-CN"/>
                    </w:rPr>
                    <w:t>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r>
                    <w:rPr>
                      <w:rFonts w:hint="eastAsia" w:ascii="Times New Roman" w:hAnsi="Times New Roman" w:cs="Times New Roman"/>
                      <w:kern w:val="0"/>
                      <w:sz w:val="21"/>
                      <w:szCs w:val="21"/>
                      <w:highlight w:val="none"/>
                      <w:vertAlign w:val="baseline"/>
                      <w:lang w:eastAsia="zh-CN"/>
                    </w:rPr>
                    <w:t>。</w:t>
                  </w:r>
                </w:p>
              </w:tc>
              <w:tc>
                <w:tcPr>
                  <w:tcW w:w="1531"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highlight w:val="none"/>
                      <w:vertAlign w:val="baseline"/>
                      <w:lang w:eastAsia="zh-CN"/>
                    </w:rPr>
                  </w:pPr>
                  <w:r>
                    <w:rPr>
                      <w:rFonts w:hint="default" w:ascii="Times New Roman" w:hAnsi="Times New Roman" w:cs="Times New Roman"/>
                      <w:highlight w:val="none"/>
                    </w:rPr>
                    <w:t>本项目不</w:t>
                  </w:r>
                  <w:r>
                    <w:rPr>
                      <w:rFonts w:hint="eastAsia" w:ascii="Times New Roman" w:hAnsi="Times New Roman" w:cs="Times New Roman"/>
                      <w:highlight w:val="none"/>
                      <w:lang w:val="en-US" w:eastAsia="zh-CN"/>
                    </w:rPr>
                    <w:t>存在与</w:t>
                  </w:r>
                  <w:r>
                    <w:rPr>
                      <w:rFonts w:hint="default" w:ascii="Times New Roman" w:hAnsi="Times New Roman" w:cs="Times New Roman"/>
                      <w:kern w:val="0"/>
                      <w:sz w:val="21"/>
                      <w:szCs w:val="21"/>
                      <w:highlight w:val="none"/>
                      <w:vertAlign w:val="baseline"/>
                      <w:lang w:eastAsia="zh-CN"/>
                    </w:rPr>
                    <w:t>自然保护区、森林公园、世界遗产地等</w:t>
                  </w:r>
                  <w:r>
                    <w:rPr>
                      <w:rFonts w:hint="eastAsia" w:ascii="Times New Roman" w:hAnsi="Times New Roman" w:cs="Times New Roman"/>
                      <w:kern w:val="0"/>
                      <w:sz w:val="21"/>
                      <w:szCs w:val="21"/>
                      <w:highlight w:val="none"/>
                      <w:vertAlign w:val="baseline"/>
                      <w:lang w:val="en-US" w:eastAsia="zh-CN"/>
                    </w:rPr>
                    <w:t>空间重叠</w:t>
                  </w:r>
                  <w:r>
                    <w:rPr>
                      <w:rFonts w:hint="default" w:ascii="Times New Roman" w:hAnsi="Times New Roman" w:cs="Times New Roman"/>
                      <w:highlight w:val="none"/>
                    </w:rPr>
                    <w:t>，项目区属于</w:t>
                  </w:r>
                  <w:r>
                    <w:rPr>
                      <w:rFonts w:hint="default" w:ascii="Times New Roman" w:hAnsi="Times New Roman" w:cs="Times New Roman"/>
                      <w:highlight w:val="none"/>
                      <w:lang w:val="en-US" w:eastAsia="zh-CN"/>
                    </w:rPr>
                    <w:t>一般</w:t>
                  </w:r>
                  <w:r>
                    <w:rPr>
                      <w:rFonts w:hint="default" w:ascii="Times New Roman" w:hAnsi="Times New Roman" w:cs="Times New Roman"/>
                      <w:highlight w:val="none"/>
                    </w:rPr>
                    <w:t>管控单元</w:t>
                  </w:r>
                  <w:r>
                    <w:rPr>
                      <w:rFonts w:hint="default" w:ascii="Times New Roman" w:hAnsi="Times New Roman" w:cs="Times New Roman"/>
                      <w:highlight w:val="none"/>
                      <w:lang w:eastAsia="zh-CN"/>
                    </w:rPr>
                    <w:t>，</w:t>
                  </w:r>
                  <w:r>
                    <w:rPr>
                      <w:rFonts w:hint="default" w:ascii="Times New Roman" w:hAnsi="Times New Roman" w:cs="Times New Roman"/>
                      <w:highlight w:val="none"/>
                    </w:rPr>
                    <w:t>符合生态红线保护要求。</w:t>
                  </w:r>
                </w:p>
              </w:tc>
              <w:tc>
                <w:tcPr>
                  <w:tcW w:w="485"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highlight w:val="none"/>
                      <w:vertAlign w:val="baseline"/>
                      <w:lang w:val="en-US" w:eastAsia="zh-CN"/>
                    </w:rPr>
                  </w:pPr>
                  <w:r>
                    <w:rPr>
                      <w:rFonts w:hint="eastAsia" w:ascii="Times New Roman" w:hAnsi="Times New Roman" w:cs="Times New Roman"/>
                      <w:kern w:val="0"/>
                      <w:sz w:val="21"/>
                      <w:szCs w:val="21"/>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983"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highlight w:val="none"/>
                      <w:vertAlign w:val="baseline"/>
                      <w:lang w:eastAsia="zh-CN"/>
                    </w:rPr>
                  </w:pPr>
                  <w:r>
                    <w:rPr>
                      <w:rFonts w:hint="default" w:ascii="Times New Roman" w:hAnsi="Times New Roman" w:cs="Times New Roman"/>
                      <w:kern w:val="0"/>
                      <w:sz w:val="21"/>
                      <w:szCs w:val="21"/>
                      <w:highlight w:val="none"/>
                      <w:vertAlign w:val="baseline"/>
                      <w:lang w:eastAsia="zh-CN"/>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w:t>
                  </w:r>
                  <w:r>
                    <w:rPr>
                      <w:rFonts w:hint="eastAsia" w:ascii="Times New Roman" w:hAnsi="Times New Roman" w:cs="Times New Roman"/>
                      <w:kern w:val="0"/>
                      <w:sz w:val="21"/>
                      <w:szCs w:val="21"/>
                      <w:highlight w:val="none"/>
                      <w:vertAlign w:val="baseline"/>
                      <w:lang w:eastAsia="zh-CN"/>
                    </w:rPr>
                    <w:t>；</w:t>
                  </w:r>
                  <w:r>
                    <w:rPr>
                      <w:rFonts w:hint="default" w:ascii="Times New Roman" w:hAnsi="Times New Roman" w:cs="Times New Roman"/>
                      <w:kern w:val="0"/>
                      <w:sz w:val="21"/>
                      <w:szCs w:val="21"/>
                      <w:highlight w:val="none"/>
                      <w:vertAlign w:val="baseline"/>
                      <w:lang w:eastAsia="zh-CN"/>
                    </w:rPr>
                    <w:t>组织开展主要矿种集中开采区域生态修复效果评估，并根据监测和评估结果增加和优化必要的保护措施。针对地表水环境及土壤环境累积影响、地下水环境质量下降、生态退化等情形，建立预警机制。</w:t>
                  </w:r>
                </w:p>
              </w:tc>
              <w:tc>
                <w:tcPr>
                  <w:tcW w:w="1531"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line="300" w:lineRule="exact"/>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本项目勘探区不涉及</w:t>
                  </w:r>
                  <w:r>
                    <w:rPr>
                      <w:rFonts w:hint="default" w:ascii="Times New Roman" w:hAnsi="Times New Roman" w:cs="Times New Roman"/>
                      <w:kern w:val="0"/>
                      <w:sz w:val="21"/>
                      <w:szCs w:val="21"/>
                      <w:highlight w:val="none"/>
                      <w:vertAlign w:val="baseline"/>
                      <w:lang w:eastAsia="zh-CN"/>
                    </w:rPr>
                    <w:t>饮用水水源保</w:t>
                  </w:r>
                  <w:r>
                    <w:rPr>
                      <w:rFonts w:hint="default" w:ascii="Times New Roman" w:hAnsi="Times New Roman" w:cs="Times New Roman"/>
                      <w:kern w:val="0"/>
                      <w:sz w:val="21"/>
                      <w:szCs w:val="21"/>
                      <w:highlight w:val="none"/>
                      <w:shd w:val="clear"/>
                      <w:vertAlign w:val="baseline"/>
                      <w:lang w:eastAsia="zh-CN"/>
                    </w:rPr>
                    <w:t>护区</w:t>
                  </w:r>
                  <w:r>
                    <w:rPr>
                      <w:rFonts w:hint="eastAsia" w:ascii="Times New Roman" w:hAnsi="Times New Roman" w:cs="Times New Roman"/>
                      <w:kern w:val="0"/>
                      <w:sz w:val="21"/>
                      <w:szCs w:val="21"/>
                      <w:highlight w:val="none"/>
                      <w:shd w:val="clear"/>
                      <w:vertAlign w:val="baseline"/>
                      <w:lang w:eastAsia="zh-CN"/>
                    </w:rPr>
                    <w:t>，</w:t>
                  </w:r>
                  <w:r>
                    <w:rPr>
                      <w:rFonts w:hint="eastAsia" w:ascii="Times New Roman" w:hAnsi="Times New Roman" w:cs="Times New Roman"/>
                      <w:kern w:val="0"/>
                      <w:sz w:val="21"/>
                      <w:szCs w:val="21"/>
                      <w:highlight w:val="none"/>
                      <w:shd w:val="clear"/>
                      <w:vertAlign w:val="baseline"/>
                      <w:lang w:val="en-US" w:eastAsia="zh-CN"/>
                    </w:rPr>
                    <w:t>本项目</w:t>
                  </w:r>
                  <w:r>
                    <w:rPr>
                      <w:rFonts w:hint="eastAsia" w:ascii="Times New Roman" w:hAnsi="Times New Roman" w:eastAsia="宋体" w:cs="Times New Roman"/>
                      <w:highlight w:val="none"/>
                      <w:shd w:val="clear"/>
                      <w:lang w:val="en-US" w:eastAsia="zh-CN"/>
                    </w:rPr>
                    <w:t>生活污水</w:t>
                  </w:r>
                  <w:r>
                    <w:rPr>
                      <w:rFonts w:hint="eastAsia" w:cs="Times New Roman"/>
                      <w:highlight w:val="none"/>
                      <w:shd w:val="clear"/>
                      <w:lang w:val="en-US" w:eastAsia="zh-CN"/>
                    </w:rPr>
                    <w:t>经一体化污水处理设施处理完成后，用于周边绿化，</w:t>
                  </w:r>
                  <w:r>
                    <w:rPr>
                      <w:rFonts w:hint="eastAsia" w:ascii="Times New Roman" w:hAnsi="Times New Roman" w:cs="Times New Roman"/>
                      <w:kern w:val="0"/>
                      <w:sz w:val="21"/>
                      <w:szCs w:val="21"/>
                      <w:highlight w:val="none"/>
                      <w:vertAlign w:val="baseline"/>
                      <w:lang w:val="en-US" w:eastAsia="zh-CN"/>
                    </w:rPr>
                    <w:t>设备冲洗水经沉淀池沉淀后</w:t>
                  </w:r>
                  <w:r>
                    <w:rPr>
                      <w:rFonts w:hint="eastAsia" w:cs="Times New Roman"/>
                      <w:kern w:val="0"/>
                      <w:sz w:val="21"/>
                      <w:szCs w:val="21"/>
                      <w:highlight w:val="none"/>
                      <w:vertAlign w:val="baseline"/>
                      <w:lang w:val="en-US" w:eastAsia="zh-CN"/>
                    </w:rPr>
                    <w:t>循环使用，</w:t>
                  </w:r>
                  <w:r>
                    <w:rPr>
                      <w:rFonts w:hint="eastAsia" w:ascii="Times New Roman" w:hAnsi="Times New Roman" w:cs="Times New Roman"/>
                      <w:kern w:val="0"/>
                      <w:sz w:val="21"/>
                      <w:szCs w:val="21"/>
                      <w:highlight w:val="none"/>
                      <w:vertAlign w:val="baseline"/>
                      <w:lang w:val="en-US" w:eastAsia="zh-CN"/>
                    </w:rPr>
                    <w:t>泥浆调配水</w:t>
                  </w:r>
                  <w:r>
                    <w:rPr>
                      <w:rFonts w:hint="eastAsia" w:cs="Times New Roman"/>
                      <w:kern w:val="0"/>
                      <w:sz w:val="21"/>
                      <w:szCs w:val="21"/>
                      <w:highlight w:val="none"/>
                      <w:vertAlign w:val="baseline"/>
                      <w:lang w:val="en-US" w:eastAsia="zh-CN"/>
                    </w:rPr>
                    <w:t>随配置泥浆循环使用，</w:t>
                  </w:r>
                  <w:r>
                    <w:rPr>
                      <w:rFonts w:hint="eastAsia" w:ascii="Times New Roman" w:hAnsi="Times New Roman" w:cs="Times New Roman"/>
                      <w:kern w:val="0"/>
                      <w:sz w:val="21"/>
                      <w:szCs w:val="21"/>
                      <w:highlight w:val="none"/>
                      <w:vertAlign w:val="baseline"/>
                      <w:lang w:val="en-US" w:eastAsia="zh-CN"/>
                    </w:rPr>
                    <w:t>不与地表</w:t>
                  </w:r>
                  <w:r>
                    <w:rPr>
                      <w:rFonts w:hint="eastAsia" w:eastAsia="宋体" w:cs="Times New Roman"/>
                      <w:highlight w:val="none"/>
                      <w:lang w:val="en-US" w:eastAsia="zh-CN"/>
                    </w:rPr>
                    <w:t>水体发生水力关系，不会影响区域水环境质量。</w:t>
                  </w:r>
                </w:p>
              </w:tc>
              <w:tc>
                <w:tcPr>
                  <w:tcW w:w="485"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highlight w:val="none"/>
                      <w:vertAlign w:val="baseline"/>
                      <w:lang w:val="en-US" w:eastAsia="zh-CN"/>
                    </w:rPr>
                  </w:pPr>
                  <w:r>
                    <w:rPr>
                      <w:rFonts w:hint="eastAsia" w:ascii="Times New Roman" w:hAnsi="Times New Roman" w:cs="Times New Roman"/>
                      <w:kern w:val="0"/>
                      <w:sz w:val="21"/>
                      <w:szCs w:val="21"/>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2983"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highlight w:val="none"/>
                      <w:vertAlign w:val="baseline"/>
                      <w:lang w:eastAsia="zh-CN"/>
                    </w:rPr>
                  </w:pPr>
                  <w:r>
                    <w:rPr>
                      <w:rFonts w:hint="default" w:ascii="Times New Roman" w:hAnsi="Times New Roman" w:cs="Times New Roman"/>
                      <w:kern w:val="0"/>
                      <w:sz w:val="21"/>
                      <w:szCs w:val="21"/>
                      <w:highlight w:val="none"/>
                      <w:vertAlign w:val="baseline"/>
                      <w:lang w:eastAsia="zh-CN"/>
                    </w:rPr>
                    <w:t>审查意见中指出</w:t>
                  </w:r>
                  <w:r>
                    <w:rPr>
                      <w:rFonts w:hint="eastAsia" w:cs="Times New Roman"/>
                      <w:kern w:val="0"/>
                      <w:sz w:val="21"/>
                      <w:szCs w:val="21"/>
                      <w:highlight w:val="none"/>
                      <w:vertAlign w:val="baseline"/>
                      <w:lang w:eastAsia="zh-CN"/>
                    </w:rPr>
                    <w:t>：</w:t>
                  </w:r>
                  <w:r>
                    <w:rPr>
                      <w:rFonts w:hint="default" w:ascii="Times New Roman" w:hAnsi="Times New Roman" w:cs="Times New Roman"/>
                      <w:kern w:val="0"/>
                      <w:sz w:val="21"/>
                      <w:szCs w:val="21"/>
                      <w:highlight w:val="none"/>
                      <w:vertAlign w:val="baseline"/>
                      <w:lang w:eastAsia="zh-CN"/>
                    </w:rPr>
                    <w:t>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w:t>
                  </w:r>
                  <w:r>
                    <w:rPr>
                      <w:rFonts w:hint="eastAsia" w:cs="Times New Roman"/>
                      <w:kern w:val="0"/>
                      <w:sz w:val="21"/>
                      <w:szCs w:val="21"/>
                      <w:highlight w:val="none"/>
                      <w:vertAlign w:val="baseline"/>
                      <w:lang w:eastAsia="zh-CN"/>
                    </w:rPr>
                    <w:t>，</w:t>
                  </w:r>
                  <w:r>
                    <w:rPr>
                      <w:rFonts w:hint="default" w:ascii="Times New Roman" w:hAnsi="Times New Roman" w:cs="Times New Roman"/>
                      <w:kern w:val="0"/>
                      <w:sz w:val="21"/>
                      <w:szCs w:val="21"/>
                      <w:highlight w:val="none"/>
                      <w:vertAlign w:val="baseline"/>
                      <w:lang w:eastAsia="zh-CN"/>
                    </w:rPr>
                    <w:t>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1531" w:type="pct"/>
                  <w:noWrap w:val="0"/>
                  <w:vAlign w:val="center"/>
                </w:tcPr>
                <w:p>
                  <w:pPr>
                    <w:keepNext w:val="0"/>
                    <w:keepLines w:val="0"/>
                    <w:pageBreakBefore w:val="0"/>
                    <w:widowControl w:val="0"/>
                    <w:kinsoku/>
                    <w:wordWrap w:val="0"/>
                    <w:overflowPunct/>
                    <w:topLinePunct w:val="0"/>
                    <w:autoSpaceDE w:val="0"/>
                    <w:autoSpaceDN w:val="0"/>
                    <w:bidi w:val="0"/>
                    <w:adjustRightInd/>
                    <w:snapToGrid/>
                    <w:spacing w:line="300" w:lineRule="exact"/>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w:t>
                  </w:r>
                  <w:r>
                    <w:rPr>
                      <w:rFonts w:hint="eastAsia" w:cs="Times New Roman"/>
                      <w:highlight w:val="none"/>
                      <w:lang w:val="en-US" w:eastAsia="zh-CN"/>
                    </w:rPr>
                    <w:t>已</w:t>
                  </w:r>
                  <w:r>
                    <w:rPr>
                      <w:rFonts w:hint="eastAsia" w:ascii="Times New Roman" w:hAnsi="Times New Roman" w:eastAsia="宋体" w:cs="Times New Roman"/>
                      <w:highlight w:val="none"/>
                      <w:lang w:val="en-US" w:eastAsia="zh-CN"/>
                    </w:rPr>
                    <w:t>取得所在区域的探矿权，探矿证号</w:t>
                  </w:r>
                  <w:r>
                    <w:rPr>
                      <w:rFonts w:hint="eastAsia" w:cs="Times New Roman"/>
                      <w:highlight w:val="none"/>
                      <w:lang w:val="en-US" w:eastAsia="zh-CN"/>
                    </w:rPr>
                    <w:t>：DT6500002026033000000144</w:t>
                  </w:r>
                  <w:r>
                    <w:rPr>
                      <w:rFonts w:hint="eastAsia" w:ascii="Times New Roman" w:hAnsi="Times New Roman" w:eastAsia="宋体" w:cs="Times New Roman"/>
                      <w:highlight w:val="none"/>
                      <w:lang w:val="en-US" w:eastAsia="zh-CN"/>
                    </w:rPr>
                    <w:t>。项目不涉及生物多样性保护优先区域、国家重点生态功能区、国家重要生态功能区、水源涵养区、水土流失重点防治区等区域。符合审查意见相关要求。</w:t>
                  </w:r>
                </w:p>
              </w:tc>
              <w:tc>
                <w:tcPr>
                  <w:tcW w:w="485" w:type="pct"/>
                  <w:noWrap w:val="0"/>
                  <w:vAlign w:val="center"/>
                </w:tcPr>
                <w:p>
                  <w:pPr>
                    <w:keepNext w:val="0"/>
                    <w:keepLines w:val="0"/>
                    <w:pageBreakBefore w:val="0"/>
                    <w:widowControl w:val="0"/>
                    <w:kinsoku/>
                    <w:overflowPunct/>
                    <w:topLinePunct w:val="0"/>
                    <w:autoSpaceDE w:val="0"/>
                    <w:autoSpaceDN w:val="0"/>
                    <w:bidi w:val="0"/>
                    <w:adjustRightInd/>
                    <w:snapToGrid/>
                    <w:spacing w:line="300" w:lineRule="exact"/>
                    <w:jc w:val="center"/>
                    <w:textAlignment w:val="auto"/>
                    <w:rPr>
                      <w:rFonts w:hint="default" w:ascii="Times New Roman" w:hAnsi="Times New Roman" w:cs="Times New Roman"/>
                      <w:kern w:val="0"/>
                      <w:sz w:val="21"/>
                      <w:szCs w:val="21"/>
                      <w:highlight w:val="none"/>
                      <w:vertAlign w:val="baseline"/>
                      <w:lang w:val="en-US" w:eastAsia="zh-CN"/>
                    </w:rPr>
                  </w:pPr>
                  <w:r>
                    <w:rPr>
                      <w:rFonts w:hint="eastAsia" w:cs="Times New Roman"/>
                      <w:kern w:val="0"/>
                      <w:sz w:val="21"/>
                      <w:szCs w:val="21"/>
                      <w:highlight w:val="none"/>
                      <w:vertAlign w:val="baseline"/>
                      <w:lang w:val="en-US" w:eastAsia="zh-CN"/>
                    </w:rPr>
                    <w:t>符合</w:t>
                  </w:r>
                </w:p>
              </w:tc>
            </w:tr>
          </w:tbl>
          <w:p>
            <w:pPr>
              <w:autoSpaceDE w:val="0"/>
              <w:autoSpaceDN w:val="0"/>
              <w:adjustRightInd w:val="0"/>
              <w:snapToGrid w:val="0"/>
              <w:spacing w:line="240" w:lineRule="auto"/>
              <w:jc w:val="both"/>
              <w:rPr>
                <w:rFonts w:hint="default" w:ascii="Times New Roman" w:hAnsi="Times New Roman" w:eastAsia="宋体" w:cs="Times New Roman"/>
                <w:kern w:val="0"/>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trPr>
        <w:tc>
          <w:tcPr>
            <w:tcW w:w="721" w:type="dxa"/>
            <w:noWrap w:val="0"/>
            <w:tcMar>
              <w:top w:w="16" w:type="dxa"/>
              <w:left w:w="16" w:type="dxa"/>
              <w:right w:w="16" w:type="dxa"/>
            </w:tcMar>
            <w:vAlign w:val="center"/>
          </w:tcPr>
          <w:p>
            <w:pPr>
              <w:autoSpaceDE w:val="0"/>
              <w:autoSpaceDN w:val="0"/>
              <w:adjustRightInd w:val="0"/>
              <w:snapToGrid w:val="0"/>
              <w:spacing w:line="240" w:lineRule="auto"/>
              <w:jc w:val="center"/>
              <w:rPr>
                <w:rFonts w:ascii="宋体" w:hAnsi="宋体" w:cs="宋体"/>
                <w:kern w:val="0"/>
                <w:szCs w:val="21"/>
                <w:highlight w:val="none"/>
              </w:rPr>
            </w:pPr>
            <w:bookmarkStart w:id="0" w:name="_Hlk56690880"/>
            <w:r>
              <w:rPr>
                <w:rFonts w:hint="eastAsia" w:ascii="宋体" w:hAnsi="宋体" w:cs="宋体"/>
                <w:kern w:val="0"/>
                <w:szCs w:val="21"/>
                <w:highlight w:val="none"/>
              </w:rPr>
              <w:t>其他符合性分析</w:t>
            </w:r>
            <w:bookmarkEnd w:id="0"/>
          </w:p>
        </w:tc>
        <w:tc>
          <w:tcPr>
            <w:tcW w:w="8318" w:type="dxa"/>
            <w:gridSpan w:val="5"/>
            <w:noWrap w:val="0"/>
            <w:tcMar>
              <w:top w:w="16" w:type="dxa"/>
              <w:left w:w="16" w:type="dxa"/>
              <w:right w:w="16" w:type="dxa"/>
            </w:tcMar>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both"/>
              <w:textAlignment w:val="auto"/>
              <w:rPr>
                <w:rFonts w:hint="default" w:ascii="Times New Roman" w:hAnsi="Times New Roman" w:cs="Times New Roman"/>
                <w:b/>
                <w:kern w:val="0"/>
                <w:sz w:val="24"/>
                <w:szCs w:val="24"/>
                <w:highlight w:val="none"/>
              </w:rPr>
            </w:pPr>
            <w:r>
              <w:rPr>
                <w:rFonts w:hint="eastAsia" w:cs="Times New Roman"/>
                <w:b/>
                <w:kern w:val="0"/>
                <w:sz w:val="24"/>
                <w:szCs w:val="24"/>
                <w:highlight w:val="none"/>
                <w:lang w:val="en-US" w:eastAsia="zh-CN"/>
              </w:rPr>
              <w:t>1.</w:t>
            </w:r>
            <w:r>
              <w:rPr>
                <w:rFonts w:hint="default" w:ascii="Times New Roman" w:hAnsi="Times New Roman" w:cs="Times New Roman"/>
                <w:b/>
                <w:kern w:val="0"/>
                <w:sz w:val="24"/>
                <w:szCs w:val="24"/>
                <w:highlight w:val="none"/>
              </w:rPr>
              <w:t>产业政策</w:t>
            </w:r>
            <w:r>
              <w:rPr>
                <w:rFonts w:hint="default" w:ascii="Times New Roman" w:hAnsi="Times New Roman" w:cs="Times New Roman"/>
                <w:b/>
                <w:kern w:val="0"/>
                <w:sz w:val="24"/>
                <w:szCs w:val="24"/>
                <w:highlight w:val="none"/>
                <w:lang w:eastAsia="zh-CN"/>
              </w:rPr>
              <w:t>符合性分析</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cs="Times New Roman"/>
                <w:kern w:val="0"/>
                <w:sz w:val="24"/>
                <w:szCs w:val="24"/>
                <w:highlight w:val="none"/>
                <w:lang w:val="en-US" w:eastAsia="zh-CN" w:bidi="ar-SA"/>
              </w:rPr>
            </w:pPr>
            <w:r>
              <w:rPr>
                <w:rFonts w:hint="default" w:ascii="Times New Roman" w:hAnsi="Times New Roman" w:eastAsia="宋体" w:cs="Times New Roman"/>
                <w:kern w:val="0"/>
                <w:sz w:val="24"/>
                <w:szCs w:val="24"/>
                <w:highlight w:val="none"/>
              </w:rPr>
              <w:t>本项目</w:t>
            </w:r>
            <w:r>
              <w:rPr>
                <w:rFonts w:hint="eastAsia" w:cs="Times New Roman"/>
                <w:kern w:val="0"/>
                <w:sz w:val="24"/>
                <w:szCs w:val="24"/>
                <w:highlight w:val="none"/>
                <w:lang w:eastAsia="zh-CN"/>
              </w:rPr>
              <w:t>为陆地</w:t>
            </w:r>
            <w:r>
              <w:rPr>
                <w:rFonts w:hint="default" w:ascii="Times New Roman" w:hAnsi="Times New Roman" w:eastAsia="宋体" w:cs="Times New Roman"/>
                <w:kern w:val="0"/>
                <w:sz w:val="24"/>
                <w:szCs w:val="24"/>
                <w:highlight w:val="none"/>
                <w:lang w:val="en-US" w:eastAsia="zh-CN"/>
              </w:rPr>
              <w:t>矿产资源地质勘查</w:t>
            </w:r>
            <w:r>
              <w:rPr>
                <w:rFonts w:hint="eastAsia" w:ascii="Times New Roman" w:hAnsi="Times New Roman" w:eastAsia="宋体" w:cs="Times New Roman"/>
                <w:kern w:val="0"/>
                <w:sz w:val="24"/>
                <w:szCs w:val="24"/>
                <w:highlight w:val="none"/>
                <w:lang w:val="en-US" w:eastAsia="zh-CN"/>
              </w:rPr>
              <w:t>项目</w:t>
            </w:r>
            <w:r>
              <w:rPr>
                <w:rFonts w:hint="default" w:ascii="Times New Roman" w:hAnsi="Times New Roman" w:eastAsia="宋体" w:cs="Times New Roman"/>
                <w:kern w:val="0"/>
                <w:sz w:val="24"/>
                <w:szCs w:val="24"/>
                <w:highlight w:val="none"/>
                <w:lang w:val="en-US" w:eastAsia="zh-CN"/>
              </w:rPr>
              <w:t>，</w:t>
            </w:r>
            <w:r>
              <w:rPr>
                <w:rFonts w:hint="eastAsia" w:ascii="Times New Roman" w:hAnsi="Times New Roman" w:eastAsia="宋体" w:cs="Times New Roman"/>
                <w:kern w:val="0"/>
                <w:sz w:val="24"/>
                <w:szCs w:val="24"/>
                <w:highlight w:val="none"/>
                <w:lang w:val="en-US" w:eastAsia="zh-CN"/>
              </w:rPr>
              <w:t>已取得所在</w:t>
            </w:r>
            <w:r>
              <w:rPr>
                <w:rFonts w:hint="default" w:ascii="Times New Roman" w:hAnsi="Times New Roman" w:eastAsia="宋体" w:cs="Times New Roman"/>
                <w:kern w:val="0"/>
                <w:sz w:val="24"/>
                <w:szCs w:val="24"/>
                <w:highlight w:val="none"/>
                <w:lang w:val="en-US" w:eastAsia="zh-CN"/>
              </w:rPr>
              <w:t>区域的探矿权，探矿证号：</w:t>
            </w:r>
            <w:r>
              <w:rPr>
                <w:rFonts w:hint="eastAsia" w:cs="Times New Roman"/>
                <w:kern w:val="0"/>
                <w:sz w:val="24"/>
                <w:szCs w:val="24"/>
                <w:highlight w:val="none"/>
                <w:lang w:val="en-US" w:eastAsia="zh-CN"/>
              </w:rPr>
              <w:t>DT6500002026033000000144</w:t>
            </w:r>
            <w:r>
              <w:rPr>
                <w:rFonts w:hint="eastAsia" w:ascii="Times New Roman" w:hAnsi="Times New Roman" w:eastAsia="宋体" w:cs="Times New Roman"/>
                <w:kern w:val="0"/>
                <w:sz w:val="24"/>
                <w:szCs w:val="24"/>
                <w:highlight w:val="none"/>
                <w:lang w:val="en-US" w:eastAsia="zh-CN"/>
              </w:rPr>
              <w:t>。</w:t>
            </w:r>
            <w:r>
              <w:rPr>
                <w:rFonts w:hint="eastAsia" w:ascii="Times New Roman" w:hAnsi="Times New Roman" w:cs="Times New Roman"/>
                <w:b w:val="0"/>
                <w:bCs w:val="0"/>
                <w:snapToGrid/>
                <w:sz w:val="24"/>
                <w:szCs w:val="24"/>
                <w:highlight w:val="none"/>
                <w:lang w:val="en-US" w:eastAsia="zh-CN"/>
              </w:rPr>
              <w:t>根据《产业结构调整指导目录（2024</w:t>
            </w:r>
            <w:r>
              <w:rPr>
                <w:rFonts w:hint="eastAsia" w:cs="Times New Roman"/>
                <w:b w:val="0"/>
                <w:bCs w:val="0"/>
                <w:snapToGrid/>
                <w:sz w:val="24"/>
                <w:szCs w:val="24"/>
                <w:highlight w:val="none"/>
                <w:lang w:val="en-US" w:eastAsia="zh-CN"/>
              </w:rPr>
              <w:t>年</w:t>
            </w:r>
            <w:r>
              <w:rPr>
                <w:rFonts w:hint="eastAsia" w:ascii="Times New Roman" w:hAnsi="Times New Roman" w:cs="Times New Roman"/>
                <w:b w:val="0"/>
                <w:bCs w:val="0"/>
                <w:snapToGrid/>
                <w:sz w:val="24"/>
                <w:szCs w:val="24"/>
                <w:highlight w:val="none"/>
                <w:lang w:val="en-US" w:eastAsia="zh-CN"/>
              </w:rPr>
              <w:t>本）》，项目不属于鼓励类、限制类及淘汰类，采用的生产工艺、设备、产品均不属于《产业结构调整指导目录（2024</w:t>
            </w:r>
            <w:r>
              <w:rPr>
                <w:rFonts w:hint="eastAsia" w:cs="Times New Roman"/>
                <w:b w:val="0"/>
                <w:bCs w:val="0"/>
                <w:snapToGrid/>
                <w:sz w:val="24"/>
                <w:szCs w:val="24"/>
                <w:highlight w:val="none"/>
                <w:lang w:val="en-US" w:eastAsia="zh-CN"/>
              </w:rPr>
              <w:t>年</w:t>
            </w:r>
            <w:r>
              <w:rPr>
                <w:rFonts w:hint="eastAsia" w:ascii="Times New Roman" w:hAnsi="Times New Roman" w:cs="Times New Roman"/>
                <w:b w:val="0"/>
                <w:bCs w:val="0"/>
                <w:snapToGrid/>
                <w:sz w:val="24"/>
                <w:szCs w:val="24"/>
                <w:highlight w:val="none"/>
                <w:lang w:val="en-US" w:eastAsia="zh-CN"/>
              </w:rPr>
              <w:t>本）》中所列的落后工艺、装备和产品之列，且符合国家有关</w:t>
            </w:r>
            <w:r>
              <w:rPr>
                <w:rFonts w:hint="eastAsia" w:cs="Times New Roman"/>
                <w:b w:val="0"/>
                <w:bCs w:val="0"/>
                <w:snapToGrid/>
                <w:sz w:val="24"/>
                <w:szCs w:val="24"/>
                <w:highlight w:val="none"/>
                <w:lang w:val="en-US" w:eastAsia="zh-CN"/>
              </w:rPr>
              <w:t>法律法规</w:t>
            </w:r>
            <w:r>
              <w:rPr>
                <w:rFonts w:hint="eastAsia" w:ascii="Times New Roman" w:hAnsi="Times New Roman" w:cs="Times New Roman"/>
                <w:b w:val="0"/>
                <w:bCs w:val="0"/>
                <w:snapToGrid/>
                <w:sz w:val="24"/>
                <w:szCs w:val="24"/>
                <w:highlight w:val="none"/>
                <w:lang w:val="en-US" w:eastAsia="zh-CN"/>
              </w:rPr>
              <w:t>和政策规定，属于允许类。符合《产业结构调整指导目录（2024</w:t>
            </w:r>
            <w:r>
              <w:rPr>
                <w:rFonts w:hint="eastAsia" w:cs="Times New Roman"/>
                <w:b w:val="0"/>
                <w:bCs w:val="0"/>
                <w:snapToGrid/>
                <w:sz w:val="24"/>
                <w:szCs w:val="24"/>
                <w:highlight w:val="none"/>
                <w:lang w:val="en-US" w:eastAsia="zh-CN"/>
              </w:rPr>
              <w:t>年</w:t>
            </w:r>
            <w:r>
              <w:rPr>
                <w:rFonts w:hint="eastAsia" w:ascii="Times New Roman" w:hAnsi="Times New Roman" w:cs="Times New Roman"/>
                <w:b w:val="0"/>
                <w:bCs w:val="0"/>
                <w:snapToGrid/>
                <w:sz w:val="24"/>
                <w:szCs w:val="24"/>
                <w:highlight w:val="none"/>
                <w:lang w:val="en-US" w:eastAsia="zh-CN"/>
              </w:rPr>
              <w:t>本）》要求。</w:t>
            </w:r>
          </w:p>
          <w:p>
            <w:pPr>
              <w:keepNext w:val="0"/>
              <w:keepLines w:val="0"/>
              <w:pageBreakBefore w:val="0"/>
              <w:widowControl w:val="0"/>
              <w:kinsoku/>
              <w:wordWrap/>
              <w:overflowPunct/>
              <w:topLinePunct w:val="0"/>
              <w:bidi w:val="0"/>
              <w:adjustRightInd/>
              <w:snapToGrid/>
              <w:spacing w:line="520" w:lineRule="exact"/>
              <w:ind w:left="0" w:leftChars="0" w:firstLine="0" w:firstLineChars="0"/>
              <w:jc w:val="both"/>
              <w:textAlignment w:val="auto"/>
              <w:rPr>
                <w:rFonts w:hint="default" w:ascii="Times New Roman" w:hAnsi="Times New Roman" w:cs="Times New Roman"/>
                <w:sz w:val="24"/>
                <w:szCs w:val="24"/>
                <w:highlight w:val="none"/>
                <w:lang w:eastAsia="zh-CN"/>
              </w:rPr>
            </w:pPr>
            <w:r>
              <w:rPr>
                <w:rFonts w:hint="eastAsia" w:cs="Times New Roman"/>
                <w:b/>
                <w:kern w:val="0"/>
                <w:sz w:val="24"/>
                <w:szCs w:val="24"/>
                <w:highlight w:val="none"/>
                <w:lang w:val="en-US" w:eastAsia="zh-CN"/>
              </w:rPr>
              <w:t>2.</w:t>
            </w:r>
            <w:r>
              <w:rPr>
                <w:rFonts w:hint="eastAsia" w:ascii="Times New Roman" w:hAnsi="Times New Roman" w:cs="Times New Roman"/>
                <w:b/>
                <w:kern w:val="0"/>
                <w:sz w:val="24"/>
                <w:szCs w:val="24"/>
                <w:highlight w:val="none"/>
                <w:lang w:val="en-US" w:eastAsia="zh-CN"/>
              </w:rPr>
              <w:t>生态环境分区管控要求符合性分析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both"/>
              <w:textAlignment w:val="auto"/>
              <w:rPr>
                <w:rFonts w:hint="default" w:ascii="Times New Roman" w:hAnsi="Times New Roman" w:cs="Times New Roman"/>
                <w:b/>
                <w:bCs/>
                <w:sz w:val="24"/>
                <w:szCs w:val="24"/>
                <w:highlight w:val="none"/>
                <w:lang w:eastAsia="zh-CN"/>
              </w:rPr>
            </w:pPr>
            <w:r>
              <w:rPr>
                <w:rFonts w:hint="eastAsia" w:cs="Times New Roman"/>
                <w:b/>
                <w:bCs/>
                <w:sz w:val="24"/>
                <w:szCs w:val="24"/>
                <w:highlight w:val="none"/>
                <w:lang w:val="en-US" w:eastAsia="zh-CN"/>
              </w:rPr>
              <w:t>2.1</w:t>
            </w:r>
            <w:r>
              <w:rPr>
                <w:rFonts w:hint="default" w:ascii="Times New Roman" w:hAnsi="Times New Roman" w:cs="Times New Roman"/>
                <w:b/>
                <w:bCs/>
                <w:sz w:val="24"/>
                <w:szCs w:val="24"/>
                <w:highlight w:val="none"/>
              </w:rPr>
              <w:t>《新疆维吾尔自治区七大片区“三线一单”生态环境分区管控要求（2021年版）</w:t>
            </w:r>
            <w:r>
              <w:rPr>
                <w:rFonts w:hint="default" w:ascii="Times New Roman" w:hAnsi="Times New Roman" w:cs="Times New Roman"/>
                <w:b/>
                <w:bCs/>
                <w:sz w:val="24"/>
                <w:szCs w:val="24"/>
                <w:highlight w:val="none"/>
                <w:lang w:eastAsia="zh-CN"/>
              </w:rPr>
              <w:t>》符合性分析</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根据新疆维吾尔自治区生态环境厅2021年7月发布的《关于印发</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新疆维吾尔自治区七大片区“三线一单”生态环境分区管控要求</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的通知》（新环环评发〔2021〕162号），全区划分为七大片区，包括北疆北部</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塔城地区、阿勒泰地区</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、伊犁河谷、克奎乌—博州、乌昌石、吐哈、天山南坡</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巴州、阿克苏地区</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和南疆三地州片区，本工程所在区域属于天山南坡片区，该片区管控要求如下：</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eastAsia="zh-CN"/>
              </w:rPr>
              <w:t>（</w:t>
            </w:r>
            <w:r>
              <w:rPr>
                <w:rFonts w:hint="eastAsia" w:cs="Times New Roman"/>
                <w:sz w:val="24"/>
                <w:szCs w:val="24"/>
                <w:highlight w:val="none"/>
                <w:lang w:val="en-US" w:eastAsia="zh-CN"/>
              </w:rPr>
              <w:t>1</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切实保护托木尔峰和天山南坡中段冰雪水源及生物多样性保护生态功能区内的托木尔峰自然景观、高山冰川、野生动物、森林和草原，合理利用天然草地，稳步推进草原减牧，加强保护区管理，维护自然景观和生物多样性。</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eastAsia="zh-CN"/>
              </w:rPr>
              <w:t>（</w:t>
            </w:r>
            <w:r>
              <w:rPr>
                <w:rFonts w:hint="eastAsia" w:cs="Times New Roman"/>
                <w:sz w:val="24"/>
                <w:szCs w:val="24"/>
                <w:highlight w:val="none"/>
                <w:lang w:val="en-US" w:eastAsia="zh-CN"/>
              </w:rPr>
              <w:t>2</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重点做好塔里木盆地北缘荒漠化防治。加强荒漠植被及河岸荒漠林保护，规范油气勘探开发作业，建立油田和公路扰动区域工程与生物相结合的防风固沙体系，逐步形成生态屏障。推进</w:t>
            </w:r>
            <w:r>
              <w:rPr>
                <w:rFonts w:hint="default" w:ascii="Times New Roman" w:hAnsi="Times New Roman" w:eastAsia="宋体" w:cs="Times New Roman"/>
                <w:sz w:val="24"/>
                <w:szCs w:val="24"/>
                <w:highlight w:val="none"/>
                <w:lang w:eastAsia="zh-CN"/>
              </w:rPr>
              <w:t>塔里木</w:t>
            </w:r>
            <w:r>
              <w:rPr>
                <w:rFonts w:hint="default" w:ascii="Times New Roman" w:hAnsi="Times New Roman" w:eastAsia="宋体" w:cs="Times New Roman"/>
                <w:sz w:val="24"/>
                <w:szCs w:val="24"/>
                <w:highlight w:val="none"/>
              </w:rPr>
              <w:t>河流域用水结构调整，维护塔里木河、博斯腾湖基本生态用水。</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eastAsia="zh-CN"/>
              </w:rPr>
              <w:t>（</w:t>
            </w:r>
            <w:r>
              <w:rPr>
                <w:rFonts w:hint="eastAsia" w:cs="Times New Roman"/>
                <w:sz w:val="24"/>
                <w:szCs w:val="24"/>
                <w:highlight w:val="none"/>
                <w:lang w:val="en-US" w:eastAsia="zh-CN"/>
              </w:rPr>
              <w:t>3</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加强塔里木河流域水环境风险管控。加大博斯腾湖污染源头达标排放治理和监督力度，实施博斯腾湖综合治理。加强油（气）资源开发区土壤环境污染综合整治。强化涉重金属行业污染防控与工业废物处理处置。</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rPr>
              <w:t>本项目位于新疆维吾尔自治区巴音郭楞蒙古自治州且末县</w:t>
            </w:r>
            <w:r>
              <w:rPr>
                <w:rFonts w:hint="eastAsia" w:ascii="Times New Roman" w:hAnsi="Times New Roman" w:eastAsia="宋体" w:cs="Times New Roman"/>
                <w:sz w:val="24"/>
                <w:szCs w:val="24"/>
                <w:highlight w:val="none"/>
                <w:lang w:val="en-US" w:eastAsia="zh-CN"/>
              </w:rPr>
              <w:t>，</w:t>
            </w:r>
            <w:r>
              <w:rPr>
                <w:rFonts w:hint="default" w:ascii="Times New Roman" w:hAnsi="Times New Roman" w:cs="Times New Roman"/>
                <w:sz w:val="24"/>
                <w:szCs w:val="24"/>
                <w:highlight w:val="none"/>
              </w:rPr>
              <w:t>隶属新疆</w:t>
            </w:r>
            <w:r>
              <w:rPr>
                <w:rFonts w:hint="eastAsia" w:ascii="Times New Roman" w:hAnsi="Times New Roman" w:cs="Times New Roman"/>
                <w:sz w:val="24"/>
                <w:szCs w:val="24"/>
                <w:highlight w:val="none"/>
                <w:lang w:eastAsia="zh-CN"/>
              </w:rPr>
              <w:t>巴音郭楞</w:t>
            </w:r>
            <w:r>
              <w:rPr>
                <w:rFonts w:hint="default" w:ascii="Times New Roman" w:hAnsi="Times New Roman" w:cs="Times New Roman"/>
                <w:sz w:val="24"/>
                <w:szCs w:val="24"/>
                <w:highlight w:val="none"/>
              </w:rPr>
              <w:t>蒙古自治州</w:t>
            </w:r>
            <w:r>
              <w:rPr>
                <w:rFonts w:hint="eastAsia" w:cs="Times New Roman"/>
                <w:sz w:val="24"/>
                <w:szCs w:val="24"/>
                <w:highlight w:val="none"/>
                <w:lang w:eastAsia="zh-CN"/>
              </w:rPr>
              <w:t>且末县</w:t>
            </w:r>
            <w:r>
              <w:rPr>
                <w:rFonts w:hint="default" w:ascii="Times New Roman" w:hAnsi="Times New Roman" w:cs="Times New Roman"/>
                <w:sz w:val="24"/>
                <w:szCs w:val="24"/>
                <w:highlight w:val="none"/>
              </w:rPr>
              <w:t>管辖</w:t>
            </w:r>
            <w:r>
              <w:rPr>
                <w:rFonts w:hint="eastAsia"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用地不涉及自然保护区、风景名胜区、饮用水源保护区、冰川、森林、湿地、基本农田、基本草</w:t>
            </w:r>
            <w:r>
              <w:rPr>
                <w:rFonts w:hint="default" w:cs="Times New Roman"/>
                <w:sz w:val="24"/>
                <w:szCs w:val="24"/>
                <w:highlight w:val="none"/>
                <w:lang w:val="en-US" w:eastAsia="zh-CN"/>
              </w:rPr>
              <w:t>原等环境敏感区，项目区周边无饮用水水源保护区等生态保护目标。本项目</w:t>
            </w:r>
            <w:r>
              <w:rPr>
                <w:rFonts w:hint="eastAsia" w:cs="Times New Roman"/>
                <w:sz w:val="24"/>
                <w:szCs w:val="24"/>
                <w:highlight w:val="none"/>
                <w:lang w:val="en-US" w:eastAsia="zh-CN"/>
              </w:rPr>
              <w:t>设备冲洗水经沉淀池沉淀后循环使用，泥浆调配水随配置泥浆循环使用，不与地表水体发生水力关系，</w:t>
            </w:r>
            <w:r>
              <w:rPr>
                <w:rFonts w:hint="default" w:cs="Times New Roman"/>
                <w:sz w:val="24"/>
                <w:szCs w:val="24"/>
                <w:highlight w:val="none"/>
                <w:lang w:val="en-US" w:eastAsia="zh-CN"/>
              </w:rPr>
              <w:t>生活污水</w:t>
            </w:r>
            <w:r>
              <w:rPr>
                <w:rFonts w:hint="eastAsia" w:cs="Times New Roman"/>
                <w:sz w:val="24"/>
                <w:szCs w:val="24"/>
                <w:highlight w:val="none"/>
                <w:lang w:val="en-US" w:eastAsia="zh-CN"/>
              </w:rPr>
              <w:t>经一体化污水处理设施处理完成后用于周边绿化，不外排</w:t>
            </w:r>
            <w:r>
              <w:rPr>
                <w:rFonts w:hint="default"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综合以上分析判定结果，本项目符合《新疆维吾尔自治区七大片区“三线一单”生态环境分区管控要求（2021年版）</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文件要求。</w:t>
            </w:r>
          </w:p>
          <w:p>
            <w:pPr>
              <w:pStyle w:val="4"/>
              <w:keepNext w:val="0"/>
              <w:keepLines w:val="0"/>
              <w:pageBreakBefore w:val="0"/>
              <w:widowControl w:val="0"/>
              <w:tabs>
                <w:tab w:val="left" w:pos="0"/>
              </w:tabs>
              <w:kinsoku/>
              <w:wordWrap/>
              <w:overflowPunct/>
              <w:topLinePunct w:val="0"/>
              <w:autoSpaceDE/>
              <w:autoSpaceDN/>
              <w:bidi w:val="0"/>
              <w:adjustRightInd/>
              <w:snapToGrid/>
              <w:spacing w:before="0" w:beforeLines="0" w:after="0" w:afterLines="0" w:line="520" w:lineRule="exact"/>
              <w:ind w:left="0" w:firstLine="482" w:firstLineChars="200"/>
              <w:textAlignment w:val="auto"/>
              <w:rPr>
                <w:rFonts w:hint="default" w:ascii="Times New Roman" w:hAnsi="Times New Roman" w:eastAsia="宋体" w:cs="Times New Roman"/>
                <w:b/>
                <w:bCs w:val="0"/>
                <w:sz w:val="24"/>
                <w:szCs w:val="24"/>
                <w:highlight w:val="none"/>
                <w:lang w:val="en-US" w:eastAsia="zh-CN"/>
              </w:rPr>
            </w:pPr>
            <w:r>
              <w:rPr>
                <w:rFonts w:hint="eastAsia" w:ascii="Times New Roman" w:hAnsi="Times New Roman" w:eastAsia="宋体" w:cs="Times New Roman"/>
                <w:b/>
                <w:bCs w:val="0"/>
                <w:sz w:val="24"/>
                <w:szCs w:val="24"/>
                <w:highlight w:val="none"/>
                <w:lang w:val="en-US" w:eastAsia="zh-CN"/>
              </w:rPr>
              <w:t>2.2</w:t>
            </w:r>
            <w:r>
              <w:rPr>
                <w:rFonts w:hint="default" w:ascii="Times New Roman" w:hAnsi="Times New Roman" w:eastAsia="宋体" w:cs="Times New Roman"/>
                <w:b/>
                <w:bCs w:val="0"/>
                <w:sz w:val="24"/>
                <w:szCs w:val="24"/>
                <w:highlight w:val="none"/>
                <w:lang w:val="en-US" w:eastAsia="zh-CN"/>
              </w:rPr>
              <w:t>与《新疆维吾尔自治区“三线一单”生态环境分区管控方案》符合性分析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val="0"/>
                <w:color w:val="auto"/>
                <w:sz w:val="24"/>
                <w:szCs w:val="24"/>
                <w:highlight w:val="none"/>
                <w:lang w:val="en-US" w:eastAsia="zh-CN"/>
              </w:rPr>
            </w:pPr>
            <w:r>
              <w:rPr>
                <w:rFonts w:hint="default" w:ascii="Times New Roman" w:hAnsi="Times New Roman" w:cs="Times New Roman" w:eastAsiaTheme="minorEastAsia"/>
                <w:b w:val="0"/>
                <w:bCs w:val="0"/>
                <w:color w:val="auto"/>
                <w:sz w:val="24"/>
                <w:szCs w:val="24"/>
                <w:highlight w:val="none"/>
                <w:lang w:val="en-US" w:eastAsia="zh-CN"/>
              </w:rPr>
              <w:t>根据《关于印发〈新疆维吾尔自治区生态环境分区管控动态更新成果〉的通知》（新环环评发〔2024〕157号），本项目与文件的符合性分析见下表。</w:t>
            </w:r>
          </w:p>
          <w:p>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cs="Times New Roman" w:eastAsiaTheme="minorEastAsia"/>
                <w:b/>
                <w:bCs/>
                <w:color w:val="auto"/>
                <w:sz w:val="24"/>
                <w:szCs w:val="24"/>
                <w:highlight w:val="none"/>
                <w:lang w:val="en-US" w:eastAsia="zh-CN"/>
              </w:rPr>
            </w:pPr>
            <w:r>
              <w:rPr>
                <w:rFonts w:hint="default" w:ascii="Times New Roman" w:hAnsi="Times New Roman" w:cs="Times New Roman" w:eastAsiaTheme="minorEastAsia"/>
                <w:b/>
                <w:bCs/>
                <w:color w:val="auto"/>
                <w:sz w:val="24"/>
                <w:szCs w:val="24"/>
                <w:highlight w:val="none"/>
                <w:lang w:val="en-US" w:eastAsia="zh-CN"/>
              </w:rPr>
              <w:t>表1-</w:t>
            </w:r>
            <w:r>
              <w:rPr>
                <w:rFonts w:hint="eastAsia" w:ascii="Times New Roman" w:cs="Times New Roman" w:eastAsiaTheme="minorEastAsia"/>
                <w:b/>
                <w:bCs/>
                <w:color w:val="auto"/>
                <w:sz w:val="24"/>
                <w:szCs w:val="24"/>
                <w:highlight w:val="none"/>
                <w:lang w:val="en-US" w:eastAsia="zh-CN"/>
              </w:rPr>
              <w:t>4</w:t>
            </w:r>
            <w:r>
              <w:rPr>
                <w:rFonts w:hint="default" w:ascii="Times New Roman" w:hAnsi="Times New Roman" w:cs="Times New Roman" w:eastAsiaTheme="minorEastAsia"/>
                <w:b/>
                <w:bCs/>
                <w:color w:val="auto"/>
                <w:sz w:val="24"/>
                <w:szCs w:val="24"/>
                <w:highlight w:val="none"/>
                <w:lang w:val="en-US" w:eastAsia="zh-CN"/>
              </w:rPr>
              <w:t xml:space="preserve">  与《新疆维吾尔自治区生态环境分区管控总体要求》相符性分析</w:t>
            </w:r>
          </w:p>
          <w:tbl>
            <w:tblPr>
              <w:tblStyle w:val="18"/>
              <w:tblW w:w="48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738"/>
              <w:gridCol w:w="3080"/>
              <w:gridCol w:w="3291"/>
              <w:gridCol w:w="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5" w:type="pct"/>
                  <w:gridSpan w:val="2"/>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管控维度</w:t>
                  </w:r>
                </w:p>
              </w:tc>
              <w:tc>
                <w:tcPr>
                  <w:tcW w:w="1899"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管控要求</w:t>
                  </w:r>
                </w:p>
              </w:tc>
              <w:tc>
                <w:tcPr>
                  <w:tcW w:w="2029"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本项目情况</w:t>
                  </w:r>
                </w:p>
              </w:tc>
              <w:tc>
                <w:tcPr>
                  <w:tcW w:w="305"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相符性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9" w:type="pct"/>
                  <w:vMerge w:val="restar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A1空间布局约束</w:t>
                  </w:r>
                </w:p>
              </w:tc>
              <w:tc>
                <w:tcPr>
                  <w:tcW w:w="455" w:type="pct"/>
                  <w:vMerge w:val="restar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A1.1禁止开发建设的活动</w:t>
                  </w:r>
                </w:p>
              </w:tc>
              <w:tc>
                <w:tcPr>
                  <w:tcW w:w="1899"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A1.1-1禁止新建、扩建《产业结构调整指导目录（2024年本）》中淘汰类。禁止引入《市场准入负面清单（2022年版）》禁止准入类事项</w:t>
                  </w:r>
                  <w:r>
                    <w:rPr>
                      <w:rFonts w:hint="eastAsia" w:ascii="Times New Roman" w:hAnsi="Times New Roman" w:cs="Times New Roman"/>
                      <w:highlight w:val="none"/>
                      <w:vertAlign w:val="baseline"/>
                      <w:lang w:val="en-US" w:eastAsia="zh-CN"/>
                    </w:rPr>
                    <w:t>。</w:t>
                  </w:r>
                </w:p>
              </w:tc>
              <w:tc>
                <w:tcPr>
                  <w:tcW w:w="2029" w:type="pct"/>
                  <w:vAlign w:val="center"/>
                </w:tcPr>
                <w:p>
                  <w:pPr>
                    <w:jc w:val="center"/>
                    <w:rPr>
                      <w:rFonts w:hint="default" w:ascii="Times New Roman" w:hAnsi="Times New Roman" w:eastAsia="宋体" w:cs="Times New Roman"/>
                      <w:highlight w:val="none"/>
                      <w:vertAlign w:val="baseline"/>
                      <w:lang w:val="en-US" w:eastAsia="zh-CN"/>
                    </w:rPr>
                  </w:pPr>
                  <w:r>
                    <w:rPr>
                      <w:rFonts w:hint="default" w:ascii="Times New Roman" w:hAnsi="Times New Roman" w:eastAsia="宋体" w:cs="Times New Roman"/>
                      <w:highlight w:val="none"/>
                      <w:vertAlign w:val="baseline"/>
                      <w:lang w:val="en-US" w:eastAsia="zh-CN"/>
                    </w:rPr>
                    <w:t>根据《产业结构调整指导目录（2024年本）》中规定，本项目不属于鼓励类、限制类和淘汰类，属于允许类，本项目不属于《市场准入负面清单（202</w:t>
                  </w:r>
                  <w:r>
                    <w:rPr>
                      <w:rFonts w:hint="eastAsia" w:cs="Times New Roman"/>
                      <w:highlight w:val="none"/>
                      <w:vertAlign w:val="baseline"/>
                      <w:lang w:val="en-US" w:eastAsia="zh-CN"/>
                    </w:rPr>
                    <w:t>5</w:t>
                  </w:r>
                  <w:r>
                    <w:rPr>
                      <w:rFonts w:hint="default" w:ascii="Times New Roman" w:hAnsi="Times New Roman" w:eastAsia="宋体" w:cs="Times New Roman"/>
                      <w:highlight w:val="none"/>
                      <w:vertAlign w:val="baseline"/>
                      <w:lang w:val="en-US" w:eastAsia="zh-CN"/>
                    </w:rPr>
                    <w:t>年版）》故项目建设符合国家的产业政策要求。</w:t>
                  </w:r>
                </w:p>
              </w:tc>
              <w:tc>
                <w:tcPr>
                  <w:tcW w:w="305" w:type="pct"/>
                  <w:vAlign w:val="center"/>
                </w:tcPr>
                <w:p>
                  <w:pPr>
                    <w:numPr>
                      <w:ilvl w:val="0"/>
                      <w:numId w:val="0"/>
                    </w:numPr>
                    <w:autoSpaceDE w:val="0"/>
                    <w:autoSpaceDN w:val="0"/>
                    <w:adjustRightInd w:val="0"/>
                    <w:snapToGrid w:val="0"/>
                    <w:spacing w:line="360" w:lineRule="auto"/>
                    <w:jc w:val="both"/>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vMerge w:val="continue"/>
                  <w:vAlign w:val="center"/>
                </w:tcPr>
                <w:p>
                  <w:pPr>
                    <w:jc w:val="center"/>
                    <w:rPr>
                      <w:rFonts w:hint="default" w:ascii="Times New Roman" w:hAnsi="Times New Roman" w:cs="Times New Roman"/>
                      <w:highlight w:val="none"/>
                      <w:vertAlign w:val="baseline"/>
                      <w:lang w:val="en-US" w:eastAsia="zh-CN"/>
                    </w:rPr>
                  </w:pPr>
                </w:p>
              </w:tc>
              <w:tc>
                <w:tcPr>
                  <w:tcW w:w="455" w:type="pct"/>
                  <w:vMerge w:val="continue"/>
                  <w:vAlign w:val="center"/>
                </w:tcPr>
                <w:p>
                  <w:pPr>
                    <w:jc w:val="center"/>
                    <w:rPr>
                      <w:rFonts w:hint="default" w:ascii="Times New Roman" w:hAnsi="Times New Roman" w:cs="Times New Roman"/>
                      <w:highlight w:val="none"/>
                      <w:vertAlign w:val="baseline"/>
                      <w:lang w:val="en-US" w:eastAsia="zh-CN"/>
                    </w:rPr>
                  </w:pPr>
                </w:p>
              </w:tc>
              <w:tc>
                <w:tcPr>
                  <w:tcW w:w="1899"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A1.</w:t>
                  </w:r>
                  <w:r>
                    <w:rPr>
                      <w:rFonts w:hint="eastAsia" w:ascii="Times New Roman" w:hAnsi="Times New Roman" w:cs="Times New Roman"/>
                      <w:highlight w:val="none"/>
                      <w:vertAlign w:val="baseline"/>
                      <w:lang w:val="en-US" w:eastAsia="zh-CN"/>
                    </w:rPr>
                    <w:t>1</w:t>
                  </w:r>
                  <w:r>
                    <w:rPr>
                      <w:rFonts w:hint="default" w:ascii="Times New Roman" w:hAnsi="Times New Roman" w:cs="Times New Roman"/>
                      <w:highlight w:val="none"/>
                      <w:vertAlign w:val="baseline"/>
                      <w:lang w:val="en-US" w:eastAsia="zh-CN"/>
                    </w:rPr>
                    <w:t>-</w:t>
                  </w:r>
                  <w:r>
                    <w:rPr>
                      <w:rFonts w:hint="eastAsia" w:ascii="Times New Roman" w:hAnsi="Times New Roman" w:cs="Times New Roman"/>
                      <w:highlight w:val="none"/>
                      <w:vertAlign w:val="baseline"/>
                      <w:lang w:val="en-US" w:eastAsia="zh-CN"/>
                    </w:rPr>
                    <w:t>4</w:t>
                  </w:r>
                  <w:r>
                    <w:rPr>
                      <w:rFonts w:hint="default" w:ascii="Times New Roman" w:hAnsi="Times New Roman" w:cs="Times New Roman"/>
                      <w:highlight w:val="none"/>
                      <w:vertAlign w:val="baseline"/>
                      <w:lang w:val="en-US" w:eastAsia="zh-CN"/>
                    </w:rPr>
                    <w:t>禁止在水源涵养区、地下水源、饮用水源、自然保护区风景名胜区、森林公园、重要湿地及人群密集区等生态敏感区域内进行煤炭、石油、天然气开发。</w:t>
                  </w:r>
                </w:p>
              </w:tc>
              <w:tc>
                <w:tcPr>
                  <w:tcW w:w="2029" w:type="pct"/>
                  <w:vAlign w:val="center"/>
                </w:tcPr>
                <w:p>
                  <w:pPr>
                    <w:jc w:val="center"/>
                    <w:rPr>
                      <w:rFonts w:hint="default" w:ascii="Times New Roman" w:hAnsi="Times New Roman" w:eastAsia="宋体" w:cs="Times New Roman"/>
                      <w:highlight w:val="none"/>
                      <w:vertAlign w:val="baseline"/>
                      <w:lang w:val="en-US" w:eastAsia="zh-CN"/>
                    </w:rPr>
                  </w:pPr>
                  <w:r>
                    <w:rPr>
                      <w:rFonts w:hint="eastAsia" w:ascii="Times New Roman" w:hAnsi="Times New Roman" w:cs="Times New Roman"/>
                      <w:highlight w:val="none"/>
                      <w:vertAlign w:val="baseline"/>
                      <w:lang w:val="en-US" w:eastAsia="zh-CN"/>
                    </w:rPr>
                    <w:t>本项目为</w:t>
                  </w:r>
                  <w:r>
                    <w:rPr>
                      <w:rFonts w:hint="eastAsia" w:cs="Times New Roman"/>
                      <w:highlight w:val="none"/>
                      <w:lang w:val="en-US" w:eastAsia="zh-CN"/>
                    </w:rPr>
                    <w:t>铜多金属</w:t>
                  </w:r>
                  <w:r>
                    <w:rPr>
                      <w:rFonts w:hint="eastAsia" w:ascii="Times New Roman" w:hAnsi="Times New Roman" w:eastAsia="宋体" w:cs="Times New Roman"/>
                      <w:highlight w:val="none"/>
                      <w:lang w:val="en-US" w:eastAsia="zh-CN"/>
                    </w:rPr>
                    <w:t>矿</w:t>
                  </w:r>
                  <w:r>
                    <w:rPr>
                      <w:rFonts w:hint="eastAsia" w:ascii="Times New Roman" w:hAnsi="Times New Roman" w:cs="Times New Roman"/>
                      <w:highlight w:val="none"/>
                      <w:lang w:val="en-US" w:eastAsia="zh-CN"/>
                    </w:rPr>
                    <w:t>勘探，勘探区域不属于</w:t>
                  </w:r>
                  <w:r>
                    <w:rPr>
                      <w:rFonts w:hint="default" w:ascii="Times New Roman" w:hAnsi="Times New Roman" w:cs="Times New Roman"/>
                      <w:highlight w:val="none"/>
                      <w:vertAlign w:val="baseline"/>
                      <w:lang w:val="en-US" w:eastAsia="zh-CN"/>
                    </w:rPr>
                    <w:t>水源涵养区、地下水源、饮用水源、自然保护区风景名胜区、森林公园、重要湿地及人群密集区等生态敏感区域</w:t>
                  </w:r>
                  <w:r>
                    <w:rPr>
                      <w:rFonts w:hint="eastAsia" w:ascii="Times New Roman" w:hAnsi="Times New Roman" w:cs="Times New Roman"/>
                      <w:highlight w:val="none"/>
                      <w:vertAlign w:val="baseline"/>
                      <w:lang w:val="en-US" w:eastAsia="zh-CN"/>
                    </w:rPr>
                    <w:t>，符合相关要求。</w:t>
                  </w:r>
                </w:p>
              </w:tc>
              <w:tc>
                <w:tcPr>
                  <w:tcW w:w="305"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vMerge w:val="continue"/>
                  <w:vAlign w:val="center"/>
                </w:tcPr>
                <w:p>
                  <w:pPr>
                    <w:jc w:val="center"/>
                    <w:rPr>
                      <w:rFonts w:hint="default" w:ascii="Times New Roman" w:hAnsi="Times New Roman" w:cs="Times New Roman"/>
                      <w:highlight w:val="none"/>
                      <w:vertAlign w:val="baseline"/>
                      <w:lang w:val="en-US" w:eastAsia="zh-CN"/>
                    </w:rPr>
                  </w:pPr>
                </w:p>
              </w:tc>
              <w:tc>
                <w:tcPr>
                  <w:tcW w:w="455"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A1.2限制开发建设的活动</w:t>
                  </w:r>
                </w:p>
              </w:tc>
              <w:tc>
                <w:tcPr>
                  <w:tcW w:w="1899" w:type="pct"/>
                  <w:vAlign w:val="center"/>
                </w:tcPr>
                <w:p>
                  <w:pPr>
                    <w:jc w:val="center"/>
                    <w:rPr>
                      <w:rFonts w:hint="default" w:ascii="Times New Roman" w:hAnsi="Times New Roman" w:cs="Times New Roman"/>
                      <w:highlight w:val="none"/>
                      <w:vertAlign w:val="baseline"/>
                      <w:lang w:val="en-US" w:eastAsia="zh-CN"/>
                    </w:rPr>
                  </w:pPr>
                  <w:r>
                    <w:rPr>
                      <w:rFonts w:hint="eastAsia" w:ascii="Times New Roman" w:hAnsi="Times New Roman" w:cs="Times New Roman"/>
                      <w:highlight w:val="none"/>
                      <w:vertAlign w:val="baseline"/>
                      <w:lang w:val="en-US" w:eastAsia="zh-CN"/>
                    </w:rPr>
                    <w:t>A1.2-5</w:t>
                  </w:r>
                  <w:r>
                    <w:rPr>
                      <w:rFonts w:hint="default" w:ascii="Times New Roman" w:hAnsi="Times New Roman" w:cs="Times New Roman"/>
                      <w:highlight w:val="none"/>
                      <w:vertAlign w:val="baseline"/>
                      <w:lang w:val="en-US" w:eastAsia="zh-CN"/>
                    </w:rPr>
                    <w:t>严格管控自然保护地范围内非生态活动，稳妥推进核心区内居民、耕地有序退出，矿权依法依规退出</w:t>
                  </w:r>
                  <w:r>
                    <w:rPr>
                      <w:rFonts w:hint="eastAsia" w:ascii="Times New Roman" w:hAnsi="Times New Roman" w:cs="Times New Roman"/>
                      <w:highlight w:val="none"/>
                      <w:vertAlign w:val="baseline"/>
                      <w:lang w:val="en-US" w:eastAsia="zh-CN"/>
                    </w:rPr>
                    <w:t>。</w:t>
                  </w:r>
                </w:p>
              </w:tc>
              <w:tc>
                <w:tcPr>
                  <w:tcW w:w="2029" w:type="pct"/>
                  <w:vAlign w:val="center"/>
                </w:tcPr>
                <w:p>
                  <w:pPr>
                    <w:jc w:val="center"/>
                    <w:rPr>
                      <w:rFonts w:hint="default" w:ascii="Times New Roman" w:hAnsi="Times New Roman" w:cs="Times New Roman"/>
                      <w:highlight w:val="none"/>
                      <w:vertAlign w:val="baseline"/>
                      <w:lang w:val="en-US" w:eastAsia="zh-CN"/>
                    </w:rPr>
                  </w:pPr>
                  <w:r>
                    <w:rPr>
                      <w:rFonts w:hint="eastAsia" w:ascii="Times New Roman" w:hAnsi="Times New Roman" w:cs="Times New Roman"/>
                      <w:highlight w:val="none"/>
                      <w:vertAlign w:val="baseline"/>
                      <w:lang w:val="en-US" w:eastAsia="zh-CN"/>
                    </w:rPr>
                    <w:t>本项目位于</w:t>
                  </w:r>
                  <w:r>
                    <w:rPr>
                      <w:rFonts w:hint="eastAsia" w:cs="Times New Roman"/>
                      <w:highlight w:val="none"/>
                      <w:vertAlign w:val="baseline"/>
                      <w:lang w:val="en-US" w:eastAsia="zh-CN"/>
                    </w:rPr>
                    <w:t>且末县城西南219°方向，直线距离约195km处</w:t>
                  </w:r>
                  <w:r>
                    <w:rPr>
                      <w:rFonts w:hint="eastAsia" w:ascii="Times New Roman" w:hAnsi="Times New Roman" w:cs="Times New Roman"/>
                      <w:highlight w:val="none"/>
                      <w:vertAlign w:val="baseline"/>
                      <w:lang w:val="en-US" w:eastAsia="zh-CN"/>
                    </w:rPr>
                    <w:t>，不属于自然保护地范围内，在矿产资源勘探过程中落实报告提出的环保措施要求，对周边环境影响不大。</w:t>
                  </w:r>
                </w:p>
              </w:tc>
              <w:tc>
                <w:tcPr>
                  <w:tcW w:w="305" w:type="pct"/>
                  <w:vAlign w:val="center"/>
                </w:tcPr>
                <w:p>
                  <w:pPr>
                    <w:jc w:val="center"/>
                    <w:rPr>
                      <w:rFonts w:hint="default" w:ascii="Times New Roman" w:hAnsi="Times New Roman" w:cs="Times New Roman"/>
                      <w:highlight w:val="none"/>
                      <w:vertAlign w:val="baseline"/>
                      <w:lang w:val="en-US" w:eastAsia="zh-CN"/>
                    </w:rPr>
                  </w:pPr>
                  <w:r>
                    <w:rPr>
                      <w:rFonts w:hint="eastAsia" w:ascii="Times New Roman" w:hAnsi="Times New Roman" w:cs="Times New Roman"/>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A2污染物排放管控</w:t>
                  </w:r>
                </w:p>
              </w:tc>
              <w:tc>
                <w:tcPr>
                  <w:tcW w:w="455"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A2.2污染控制措施要求</w:t>
                  </w:r>
                </w:p>
              </w:tc>
              <w:tc>
                <w:tcPr>
                  <w:tcW w:w="1899"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A2.2-8严控土壤重金属污染，加强油</w:t>
                  </w:r>
                  <w:r>
                    <w:rPr>
                      <w:rFonts w:hint="eastAsia" w:cs="Times New Roman"/>
                      <w:highlight w:val="none"/>
                      <w:vertAlign w:val="baseline"/>
                      <w:lang w:val="en-US" w:eastAsia="zh-CN"/>
                    </w:rPr>
                    <w:t>（</w:t>
                  </w:r>
                  <w:r>
                    <w:rPr>
                      <w:rFonts w:hint="default" w:ascii="Times New Roman" w:hAnsi="Times New Roman" w:cs="Times New Roman"/>
                      <w:highlight w:val="none"/>
                      <w:vertAlign w:val="baseline"/>
                      <w:lang w:val="en-US" w:eastAsia="zh-CN"/>
                    </w:rPr>
                    <w:t>气</w:t>
                  </w:r>
                  <w:r>
                    <w:rPr>
                      <w:rFonts w:hint="eastAsia" w:cs="Times New Roman"/>
                      <w:highlight w:val="none"/>
                      <w:vertAlign w:val="baseline"/>
                      <w:lang w:val="en-US" w:eastAsia="zh-CN"/>
                    </w:rPr>
                    <w:t>）</w:t>
                  </w:r>
                  <w:r>
                    <w:rPr>
                      <w:rFonts w:hint="default" w:ascii="Times New Roman" w:hAnsi="Times New Roman" w:cs="Times New Roman"/>
                      <w:highlight w:val="none"/>
                      <w:vertAlign w:val="baseline"/>
                      <w:lang w:val="en-US" w:eastAsia="zh-CN"/>
                    </w:rPr>
                    <w:t>田开发土壤污染防治，以历史遗留工业企业污染场地为重点，开展土壤污染风险管控与修复工程</w:t>
                  </w:r>
                  <w:r>
                    <w:rPr>
                      <w:rFonts w:hint="eastAsia" w:ascii="Times New Roman" w:hAnsi="Times New Roman" w:cs="Times New Roman"/>
                      <w:highlight w:val="none"/>
                      <w:vertAlign w:val="baseline"/>
                      <w:lang w:val="en-US" w:eastAsia="zh-CN"/>
                    </w:rPr>
                    <w:t>。</w:t>
                  </w:r>
                </w:p>
              </w:tc>
              <w:tc>
                <w:tcPr>
                  <w:tcW w:w="2029" w:type="pct"/>
                  <w:vAlign w:val="center"/>
                </w:tcPr>
                <w:p>
                  <w:pPr>
                    <w:keepNext w:val="0"/>
                    <w:keepLines w:val="0"/>
                    <w:widowControl/>
                    <w:suppressLineNumbers w:val="0"/>
                    <w:jc w:val="center"/>
                    <w:rPr>
                      <w:rFonts w:hint="default" w:ascii="Times New Roman" w:hAnsi="Times New Roman" w:eastAsia="宋体" w:cs="Times New Roman"/>
                      <w:highlight w:val="none"/>
                      <w:vertAlign w:val="baseline"/>
                      <w:lang w:val="en-US" w:eastAsia="zh-CN"/>
                    </w:rPr>
                  </w:pPr>
                  <w:r>
                    <w:rPr>
                      <w:rFonts w:hint="eastAsia" w:ascii="Times New Roman" w:hAnsi="Times New Roman" w:eastAsia="宋体" w:cs="Times New Roman"/>
                      <w:color w:val="auto"/>
                      <w:kern w:val="0"/>
                      <w:sz w:val="21"/>
                      <w:szCs w:val="21"/>
                      <w:highlight w:val="none"/>
                      <w:lang w:val="en-US" w:eastAsia="zh-CN" w:bidi="ar"/>
                    </w:rPr>
                    <w:t>建议本项目勘查期间</w:t>
                  </w:r>
                  <w:r>
                    <w:rPr>
                      <w:rFonts w:hint="eastAsia" w:cs="Times New Roman"/>
                      <w:color w:val="auto"/>
                      <w:kern w:val="0"/>
                      <w:sz w:val="21"/>
                      <w:szCs w:val="21"/>
                      <w:highlight w:val="none"/>
                      <w:lang w:val="en-US" w:eastAsia="zh-CN" w:bidi="ar"/>
                    </w:rPr>
                    <w:t>加强日常监管巡查</w:t>
                  </w:r>
                  <w:r>
                    <w:rPr>
                      <w:rFonts w:hint="eastAsia" w:ascii="Times New Roman" w:hAnsi="Times New Roman" w:eastAsia="宋体" w:cs="Times New Roman"/>
                      <w:color w:val="auto"/>
                      <w:kern w:val="0"/>
                      <w:sz w:val="21"/>
                      <w:szCs w:val="21"/>
                      <w:highlight w:val="none"/>
                      <w:lang w:val="en-US" w:eastAsia="zh-CN" w:bidi="ar"/>
                    </w:rPr>
                    <w:t>，防止因勘探过程中柴油及生活污水</w:t>
                  </w:r>
                  <w:r>
                    <w:rPr>
                      <w:rFonts w:hint="eastAsia" w:cs="Times New Roman"/>
                      <w:color w:val="auto"/>
                      <w:kern w:val="0"/>
                      <w:sz w:val="21"/>
                      <w:szCs w:val="21"/>
                      <w:highlight w:val="none"/>
                      <w:lang w:val="en-US" w:eastAsia="zh-CN" w:bidi="ar"/>
                    </w:rPr>
                    <w:t>泄漏</w:t>
                  </w:r>
                  <w:r>
                    <w:rPr>
                      <w:rFonts w:hint="eastAsia" w:ascii="Times New Roman" w:hAnsi="Times New Roman" w:eastAsia="宋体" w:cs="Times New Roman"/>
                      <w:color w:val="auto"/>
                      <w:kern w:val="0"/>
                      <w:sz w:val="21"/>
                      <w:szCs w:val="21"/>
                      <w:highlight w:val="none"/>
                      <w:lang w:val="en-US" w:eastAsia="zh-CN" w:bidi="ar"/>
                    </w:rPr>
                    <w:t>造成土壤污染等情况的发生，一旦发现此类污染情况，立即展开修复工作。</w:t>
                  </w:r>
                  <w:r>
                    <w:rPr>
                      <w:rFonts w:hint="eastAsia" w:ascii="Times New Roman" w:hAnsi="Times New Roman" w:cs="Times New Roman"/>
                      <w:color w:val="auto"/>
                      <w:kern w:val="0"/>
                      <w:sz w:val="21"/>
                      <w:szCs w:val="21"/>
                      <w:highlight w:val="none"/>
                      <w:lang w:val="en-US" w:eastAsia="zh-CN" w:bidi="ar"/>
                    </w:rPr>
                    <w:t>本项目为新建项目，不存在</w:t>
                  </w:r>
                  <w:r>
                    <w:rPr>
                      <w:rFonts w:hint="default" w:ascii="Times New Roman" w:hAnsi="Times New Roman" w:cs="Times New Roman"/>
                      <w:highlight w:val="none"/>
                      <w:vertAlign w:val="baseline"/>
                      <w:lang w:val="en-US" w:eastAsia="zh-CN"/>
                    </w:rPr>
                    <w:t>历史遗留工业企业污染场</w:t>
                  </w:r>
                  <w:r>
                    <w:rPr>
                      <w:rFonts w:hint="eastAsia" w:ascii="Times New Roman" w:hAnsi="Times New Roman" w:cs="Times New Roman"/>
                      <w:highlight w:val="none"/>
                      <w:vertAlign w:val="baseline"/>
                      <w:lang w:val="en-US" w:eastAsia="zh-CN"/>
                    </w:rPr>
                    <w:t>地。</w:t>
                  </w:r>
                </w:p>
              </w:tc>
              <w:tc>
                <w:tcPr>
                  <w:tcW w:w="305"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A4资源利用要求</w:t>
                  </w:r>
                </w:p>
              </w:tc>
              <w:tc>
                <w:tcPr>
                  <w:tcW w:w="455"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A4.</w:t>
                  </w:r>
                  <w:r>
                    <w:rPr>
                      <w:rFonts w:hint="eastAsia" w:ascii="Times New Roman" w:hAnsi="Times New Roman" w:cs="Times New Roman"/>
                      <w:highlight w:val="none"/>
                      <w:vertAlign w:val="baseline"/>
                      <w:lang w:val="en-US" w:eastAsia="zh-CN"/>
                    </w:rPr>
                    <w:t>5资源综合利用</w:t>
                  </w:r>
                </w:p>
              </w:tc>
              <w:tc>
                <w:tcPr>
                  <w:tcW w:w="1899"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A</w:t>
                  </w:r>
                  <w:r>
                    <w:rPr>
                      <w:rFonts w:hint="eastAsia" w:ascii="Times New Roman" w:hAnsi="Times New Roman" w:cs="Times New Roman"/>
                      <w:highlight w:val="none"/>
                      <w:vertAlign w:val="baseline"/>
                      <w:lang w:val="en-US" w:eastAsia="zh-CN"/>
                    </w:rPr>
                    <w:t>4.5-1</w:t>
                  </w:r>
                  <w:r>
                    <w:rPr>
                      <w:rFonts w:hint="default" w:ascii="Times New Roman" w:hAnsi="Times New Roman" w:cs="Times New Roman"/>
                      <w:highlight w:val="none"/>
                      <w:vertAlign w:val="baseline"/>
                      <w:lang w:val="en-US" w:eastAsia="zh-CN"/>
                    </w:rPr>
                    <w:t>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w:t>
                  </w:r>
                  <w:r>
                    <w:rPr>
                      <w:rFonts w:hint="eastAsia" w:cs="Times New Roman"/>
                      <w:highlight w:val="none"/>
                      <w:vertAlign w:val="baseline"/>
                      <w:lang w:val="en-US" w:eastAsia="zh-CN"/>
                    </w:rPr>
                    <w:t>（</w:t>
                  </w:r>
                  <w:r>
                    <w:rPr>
                      <w:rFonts w:hint="default" w:ascii="Times New Roman" w:hAnsi="Times New Roman" w:cs="Times New Roman"/>
                      <w:highlight w:val="none"/>
                      <w:vertAlign w:val="baseline"/>
                      <w:lang w:val="en-US" w:eastAsia="zh-CN"/>
                    </w:rPr>
                    <w:t>市</w:t>
                  </w:r>
                  <w:r>
                    <w:rPr>
                      <w:rFonts w:hint="eastAsia" w:cs="Times New Roman"/>
                      <w:highlight w:val="none"/>
                      <w:vertAlign w:val="baseline"/>
                      <w:lang w:val="en-US" w:eastAsia="zh-CN"/>
                    </w:rPr>
                    <w:t>）</w:t>
                  </w:r>
                  <w:r>
                    <w:rPr>
                      <w:rFonts w:hint="default" w:ascii="Times New Roman" w:hAnsi="Times New Roman" w:cs="Times New Roman"/>
                      <w:highlight w:val="none"/>
                      <w:vertAlign w:val="baseline"/>
                      <w:lang w:val="en-US" w:eastAsia="zh-CN"/>
                    </w:rPr>
                    <w:t>生活垃圾处理设施，到2025年，全疆城市生活垃圾无害化处理率达到99%以上。</w:t>
                  </w:r>
                </w:p>
              </w:tc>
              <w:tc>
                <w:tcPr>
                  <w:tcW w:w="2029" w:type="pct"/>
                  <w:vAlign w:val="center"/>
                </w:tcPr>
                <w:p>
                  <w:pPr>
                    <w:jc w:val="center"/>
                    <w:rPr>
                      <w:rFonts w:hint="default" w:ascii="Times New Roman" w:hAnsi="Times New Roman" w:cs="Times New Roman"/>
                      <w:highlight w:val="none"/>
                      <w:vertAlign w:val="baseline"/>
                      <w:lang w:val="en-US" w:eastAsia="zh-CN"/>
                    </w:rPr>
                  </w:pPr>
                  <w:r>
                    <w:rPr>
                      <w:rFonts w:hint="eastAsia" w:ascii="Times New Roman" w:hAnsi="Times New Roman" w:cs="Times New Roman"/>
                      <w:highlight w:val="none"/>
                      <w:vertAlign w:val="baseline"/>
                      <w:lang w:val="en-US" w:eastAsia="zh-CN"/>
                    </w:rPr>
                    <w:t>项目</w:t>
                  </w:r>
                  <w:r>
                    <w:rPr>
                      <w:rFonts w:hint="eastAsia" w:cs="Times New Roman"/>
                      <w:highlight w:val="none"/>
                      <w:vertAlign w:val="baseline"/>
                      <w:lang w:val="en-US" w:eastAsia="zh-CN"/>
                    </w:rPr>
                    <w:t>涉及</w:t>
                  </w:r>
                  <w:r>
                    <w:rPr>
                      <w:rFonts w:hint="eastAsia" w:ascii="Times New Roman" w:hAnsi="Times New Roman" w:cs="Times New Roman"/>
                      <w:highlight w:val="none"/>
                      <w:vertAlign w:val="baseline"/>
                      <w:lang w:val="en-US" w:eastAsia="zh-CN"/>
                    </w:rPr>
                    <w:t>固废主要由生活垃圾、开挖土石方以及钻井泥浆等，槽探、钻探土石方</w:t>
                  </w:r>
                  <w:r>
                    <w:rPr>
                      <w:rFonts w:hint="default" w:ascii="Times New Roman" w:hAnsi="Times New Roman" w:eastAsia="宋体" w:cs="Times New Roman"/>
                      <w:color w:val="auto"/>
                      <w:kern w:val="0"/>
                      <w:sz w:val="21"/>
                      <w:szCs w:val="21"/>
                      <w:highlight w:val="none"/>
                      <w:lang w:val="en-US" w:eastAsia="zh-CN" w:bidi="ar"/>
                    </w:rPr>
                    <w:t>在勘探期结束后全部回填至开挖地</w:t>
                  </w:r>
                  <w:r>
                    <w:rPr>
                      <w:rFonts w:hint="eastAsia" w:cs="Times New Roman"/>
                      <w:color w:val="auto"/>
                      <w:kern w:val="0"/>
                      <w:sz w:val="21"/>
                      <w:szCs w:val="21"/>
                      <w:highlight w:val="none"/>
                      <w:lang w:val="en-US" w:eastAsia="zh-CN" w:bidi="ar"/>
                    </w:rPr>
                    <w:t xml:space="preserve"> </w:t>
                  </w:r>
                  <w:r>
                    <w:rPr>
                      <w:rFonts w:hint="eastAsia" w:ascii="Times New Roman" w:hAnsi="Times New Roman" w:cs="Times New Roman"/>
                      <w:color w:val="auto"/>
                      <w:kern w:val="0"/>
                      <w:sz w:val="21"/>
                      <w:szCs w:val="21"/>
                      <w:highlight w:val="none"/>
                      <w:lang w:val="en-US" w:eastAsia="zh-CN" w:bidi="ar"/>
                    </w:rPr>
                    <w:t>，生活垃圾定期清运至附近生活垃圾填埋场，钻井泥浆</w:t>
                  </w:r>
                  <w:r>
                    <w:rPr>
                      <w:rFonts w:hint="eastAsia" w:cs="Times New Roman"/>
                      <w:color w:val="auto"/>
                      <w:kern w:val="0"/>
                      <w:sz w:val="21"/>
                      <w:szCs w:val="21"/>
                      <w:highlight w:val="none"/>
                      <w:lang w:val="en-US" w:eastAsia="zh-CN" w:bidi="ar"/>
                    </w:rPr>
                    <w:t>固化</w:t>
                  </w:r>
                  <w:r>
                    <w:rPr>
                      <w:rFonts w:hint="eastAsia" w:ascii="Times New Roman" w:hAnsi="Times New Roman" w:cs="Times New Roman"/>
                      <w:color w:val="auto"/>
                      <w:kern w:val="0"/>
                      <w:sz w:val="21"/>
                      <w:szCs w:val="21"/>
                      <w:highlight w:val="none"/>
                      <w:lang w:val="en-US" w:eastAsia="zh-CN" w:bidi="ar"/>
                    </w:rPr>
                    <w:t>后</w:t>
                  </w:r>
                  <w:r>
                    <w:rPr>
                      <w:rFonts w:hint="eastAsia" w:cs="Times New Roman"/>
                      <w:color w:val="auto"/>
                      <w:kern w:val="0"/>
                      <w:sz w:val="21"/>
                      <w:szCs w:val="21"/>
                      <w:highlight w:val="none"/>
                      <w:lang w:val="en-US" w:eastAsia="zh-CN" w:bidi="ar"/>
                    </w:rPr>
                    <w:t>交</w:t>
                  </w:r>
                  <w:r>
                    <w:rPr>
                      <w:rFonts w:hint="eastAsia" w:cs="Times New Roman"/>
                      <w:szCs w:val="21"/>
                      <w:highlight w:val="none"/>
                      <w:lang w:val="en-US" w:eastAsia="zh-CN"/>
                    </w:rPr>
                    <w:t>一般固废处置单位统一处理。</w:t>
                  </w:r>
                  <w:r>
                    <w:rPr>
                      <w:rFonts w:hint="eastAsia" w:ascii="Times New Roman" w:hAnsi="Times New Roman" w:cs="Times New Roman"/>
                      <w:color w:val="auto"/>
                      <w:kern w:val="0"/>
                      <w:sz w:val="21"/>
                      <w:szCs w:val="21"/>
                      <w:highlight w:val="none"/>
                      <w:lang w:val="en-US" w:eastAsia="zh-CN" w:bidi="ar"/>
                    </w:rPr>
                    <w:t>项目固体废物的处置满足资源综合利用要求。</w:t>
                  </w:r>
                </w:p>
              </w:tc>
              <w:tc>
                <w:tcPr>
                  <w:tcW w:w="305" w:type="pct"/>
                  <w:vAlign w:val="center"/>
                </w:tcPr>
                <w:p>
                  <w:pPr>
                    <w:jc w:val="center"/>
                    <w:rPr>
                      <w:rFonts w:hint="default" w:ascii="Times New Roman" w:hAnsi="Times New Roman" w:cs="Times New Roman"/>
                      <w:highlight w:val="none"/>
                      <w:vertAlign w:val="baseline"/>
                      <w:lang w:val="en-US" w:eastAsia="zh-CN"/>
                    </w:rPr>
                  </w:pPr>
                  <w:r>
                    <w:rPr>
                      <w:rFonts w:hint="default" w:ascii="Times New Roman" w:hAnsi="Times New Roman" w:cs="Times New Roman"/>
                      <w:highlight w:val="none"/>
                      <w:vertAlign w:val="baseline"/>
                      <w:lang w:val="en-US" w:eastAsia="zh-CN"/>
                    </w:rPr>
                    <w:t>符合</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2.3与《巴音郭楞蒙古自治州“三线一单”生态环境分区管控方案》符合性分析</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项目位于且末县城西南219°方向，直线距离约195km处。根据《巴音郭楞蒙古自治州“三线一单”生态环境分区管控动态更新成果（2023年）》（巴政办发〔2024〕32号），项目地点不属于生态保护红线区范围内，不涉及环境敏感区，属于且末县一般管控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表1-5  《巴音郭楞蒙古自治州“三线一单”生态环境分区管控动态更新成果（2023）》相符性分析</w:t>
            </w:r>
          </w:p>
          <w:tbl>
            <w:tblPr>
              <w:tblStyle w:val="18"/>
              <w:tblW w:w="0" w:type="auto"/>
              <w:tblInd w:w="1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937"/>
              <w:gridCol w:w="658"/>
              <w:gridCol w:w="2811"/>
              <w:gridCol w:w="2273"/>
              <w:gridCol w:w="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环境管控单元名称</w:t>
                  </w:r>
                </w:p>
              </w:tc>
              <w:tc>
                <w:tcPr>
                  <w:tcW w:w="937"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环境管控单元类别</w:t>
                  </w:r>
                </w:p>
              </w:tc>
              <w:tc>
                <w:tcPr>
                  <w:tcW w:w="3469" w:type="dxa"/>
                  <w:gridSpan w:val="2"/>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管控要求</w:t>
                  </w:r>
                </w:p>
              </w:tc>
              <w:tc>
                <w:tcPr>
                  <w:tcW w:w="227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本项目情况</w:t>
                  </w:r>
                </w:p>
              </w:tc>
              <w:tc>
                <w:tcPr>
                  <w:tcW w:w="40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 w:type="dxa"/>
                  <w:vMerge w:val="restart"/>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且末县一般管控区</w:t>
                  </w:r>
                  <w:r>
                    <w:rPr>
                      <w:rFonts w:hint="eastAsia" w:ascii="宋体" w:hAnsi="宋体" w:cs="宋体"/>
                      <w:b w:val="0"/>
                      <w:bCs w:val="0"/>
                      <w:color w:val="auto"/>
                      <w:sz w:val="21"/>
                      <w:szCs w:val="21"/>
                      <w:highlight w:val="none"/>
                      <w:vertAlign w:val="baseline"/>
                      <w:lang w:val="en-US" w:eastAsia="zh-CN"/>
                    </w:rPr>
                    <w:t>（</w:t>
                  </w:r>
                  <w:r>
                    <w:rPr>
                      <w:rFonts w:hint="eastAsia" w:ascii="宋体" w:hAnsi="宋体" w:eastAsia="宋体" w:cs="宋体"/>
                      <w:b w:val="0"/>
                      <w:bCs w:val="0"/>
                      <w:color w:val="auto"/>
                      <w:sz w:val="21"/>
                      <w:szCs w:val="21"/>
                      <w:highlight w:val="none"/>
                      <w:vertAlign w:val="baseline"/>
                      <w:lang w:val="en-US" w:eastAsia="zh-CN"/>
                    </w:rPr>
                    <w:t>ZH65282530001</w:t>
                  </w:r>
                  <w:r>
                    <w:rPr>
                      <w:rFonts w:hint="eastAsia" w:ascii="宋体" w:hAnsi="宋体" w:cs="宋体"/>
                      <w:b w:val="0"/>
                      <w:bCs w:val="0"/>
                      <w:color w:val="auto"/>
                      <w:sz w:val="21"/>
                      <w:szCs w:val="21"/>
                      <w:highlight w:val="none"/>
                      <w:vertAlign w:val="baseline"/>
                      <w:lang w:val="en-US" w:eastAsia="zh-CN"/>
                    </w:rPr>
                    <w:t>）</w:t>
                  </w:r>
                </w:p>
              </w:tc>
              <w:tc>
                <w:tcPr>
                  <w:tcW w:w="937" w:type="dxa"/>
                  <w:vMerge w:val="restart"/>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一般管控区</w:t>
                  </w:r>
                </w:p>
              </w:tc>
              <w:tc>
                <w:tcPr>
                  <w:tcW w:w="658"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空间布局约束</w:t>
                  </w:r>
                </w:p>
              </w:tc>
              <w:tc>
                <w:tcPr>
                  <w:tcW w:w="2811"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1.建设项目用地原则上不得占用基本农田，确需占用基本农田的建设项目须符合《中华人民共和国基本农田保护条例》中相关要求，占用耕地、林地或草地的建设项目须按照国家、自治区相关补偿要求进行补偿。</w:t>
                  </w:r>
                </w:p>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5.禁止向沙漠、滩涂、盐碱地、沼泽地等非法排污、倾倒有毒有害物质。</w:t>
                  </w:r>
                </w:p>
              </w:tc>
              <w:tc>
                <w:tcPr>
                  <w:tcW w:w="2273"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本项目属于</w:t>
                  </w:r>
                  <w:r>
                    <w:rPr>
                      <w:rFonts w:hint="default" w:ascii="Times New Roman" w:hAnsi="Times New Roman" w:eastAsia="宋体" w:cs="Times New Roman"/>
                      <w:kern w:val="2"/>
                      <w:sz w:val="21"/>
                      <w:szCs w:val="21"/>
                      <w:highlight w:val="none"/>
                      <w:lang w:val="en-US" w:eastAsia="zh-CN" w:bidi="ar-SA"/>
                    </w:rPr>
                    <w:t>陆地矿产资源地质勘查（含油气资源勘探）</w:t>
                  </w:r>
                  <w:r>
                    <w:rPr>
                      <w:rFonts w:hint="eastAsia" w:ascii="Times New Roman" w:hAnsi="Times New Roman" w:eastAsia="宋体" w:cs="Times New Roman"/>
                      <w:kern w:val="2"/>
                      <w:sz w:val="21"/>
                      <w:szCs w:val="21"/>
                      <w:highlight w:val="none"/>
                      <w:lang w:val="en-US" w:eastAsia="zh-CN" w:bidi="ar-SA"/>
                    </w:rPr>
                    <w:t>类项目，所在区域主要为裸岩石砾地及低覆盖度草地，不涉及占用基本农田。本项目主要工作内容为矿产资源勘探，不涉及有毒有害物质，各类固废去</w:t>
                  </w:r>
                  <w:r>
                    <w:rPr>
                      <w:rFonts w:hint="eastAsia" w:cs="Times New Roman"/>
                      <w:kern w:val="2"/>
                      <w:sz w:val="21"/>
                      <w:szCs w:val="21"/>
                      <w:highlight w:val="none"/>
                      <w:lang w:val="en-US" w:eastAsia="zh-CN" w:bidi="ar-SA"/>
                    </w:rPr>
                    <w:t>处</w:t>
                  </w:r>
                  <w:r>
                    <w:rPr>
                      <w:rFonts w:hint="eastAsia" w:ascii="Times New Roman" w:hAnsi="Times New Roman" w:eastAsia="宋体" w:cs="Times New Roman"/>
                      <w:kern w:val="2"/>
                      <w:sz w:val="21"/>
                      <w:szCs w:val="21"/>
                      <w:highlight w:val="none"/>
                      <w:lang w:val="en-US" w:eastAsia="zh-CN" w:bidi="ar-SA"/>
                    </w:rPr>
                    <w:t>明确。</w:t>
                  </w:r>
                </w:p>
              </w:tc>
              <w:tc>
                <w:tcPr>
                  <w:tcW w:w="40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 w:type="dxa"/>
                  <w:vMerge w:val="continue"/>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937" w:type="dxa"/>
                  <w:vMerge w:val="continue"/>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eastAsia" w:ascii="Times New Roman" w:hAnsi="Times New Roman" w:eastAsia="宋体" w:cs="Times New Roman"/>
                      <w:kern w:val="2"/>
                      <w:sz w:val="21"/>
                      <w:szCs w:val="21"/>
                      <w:highlight w:val="none"/>
                      <w:lang w:val="en-US" w:eastAsia="zh-CN" w:bidi="ar-SA"/>
                    </w:rPr>
                  </w:pPr>
                </w:p>
              </w:tc>
              <w:tc>
                <w:tcPr>
                  <w:tcW w:w="658"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color w:val="auto"/>
                      <w:kern w:val="0"/>
                      <w:sz w:val="21"/>
                      <w:szCs w:val="21"/>
                      <w:highlight w:val="none"/>
                      <w:lang w:val="en-US" w:eastAsia="zh-CN" w:bidi="ar"/>
                    </w:rPr>
                    <w:t>污染物排放管控</w:t>
                  </w:r>
                </w:p>
              </w:tc>
              <w:tc>
                <w:tcPr>
                  <w:tcW w:w="2811" w:type="dxa"/>
                  <w:shd w:val="clear" w:color="auto" w:fill="auto"/>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ind w:left="0" w:lef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5.严控土壤重金属污染，加强油</w:t>
                  </w:r>
                  <w:r>
                    <w:rPr>
                      <w:rFonts w:hint="eastAsia"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气</w:t>
                  </w:r>
                  <w:r>
                    <w:rPr>
                      <w:rFonts w:hint="eastAsia"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田开发土壤污染防治，以历史遗留工业企业污染场地为重点，开展土壤污染风险管控与修复工程。</w:t>
                  </w:r>
                </w:p>
              </w:tc>
              <w:tc>
                <w:tcPr>
                  <w:tcW w:w="2273" w:type="dxa"/>
                  <w:shd w:val="clear" w:color="auto" w:fill="auto"/>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ind w:left="0" w:lef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本项目不属于油气开发项目，不涉及历史遗留工业企业污染场地</w:t>
                  </w:r>
                  <w:r>
                    <w:rPr>
                      <w:rFonts w:hint="eastAsia" w:ascii="Times New Roman" w:hAnsi="Times New Roman" w:eastAsia="宋体" w:cs="Times New Roman"/>
                      <w:color w:val="auto"/>
                      <w:kern w:val="0"/>
                      <w:sz w:val="21"/>
                      <w:szCs w:val="21"/>
                      <w:highlight w:val="none"/>
                      <w:lang w:val="en-US" w:eastAsia="zh-CN" w:bidi="ar"/>
                    </w:rPr>
                    <w:t>。</w:t>
                  </w:r>
                </w:p>
              </w:tc>
              <w:tc>
                <w:tcPr>
                  <w:tcW w:w="40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 w:type="dxa"/>
                  <w:vMerge w:val="continue"/>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宋体" w:hAnsi="宋体" w:eastAsia="宋体" w:cs="宋体"/>
                      <w:b w:val="0"/>
                      <w:bCs w:val="0"/>
                      <w:color w:val="auto"/>
                      <w:sz w:val="21"/>
                      <w:szCs w:val="21"/>
                      <w:highlight w:val="none"/>
                      <w:vertAlign w:val="baseline"/>
                      <w:lang w:val="en-US" w:eastAsia="zh-CN"/>
                    </w:rPr>
                  </w:pPr>
                </w:p>
              </w:tc>
              <w:tc>
                <w:tcPr>
                  <w:tcW w:w="937" w:type="dxa"/>
                  <w:vMerge w:val="continue"/>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eastAsia" w:ascii="Times New Roman" w:hAnsi="Times New Roman" w:eastAsia="宋体" w:cs="Times New Roman"/>
                      <w:kern w:val="2"/>
                      <w:sz w:val="21"/>
                      <w:szCs w:val="21"/>
                      <w:highlight w:val="none"/>
                      <w:lang w:val="en-US" w:eastAsia="zh-CN" w:bidi="ar-SA"/>
                    </w:rPr>
                  </w:pPr>
                </w:p>
              </w:tc>
              <w:tc>
                <w:tcPr>
                  <w:tcW w:w="658"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cs="Times New Roman"/>
                      <w:color w:val="auto"/>
                      <w:kern w:val="0"/>
                      <w:sz w:val="21"/>
                      <w:szCs w:val="21"/>
                      <w:highlight w:val="none"/>
                      <w:lang w:val="en-US" w:eastAsia="zh-CN" w:bidi="ar"/>
                    </w:rPr>
                    <w:t>环境风险防控</w:t>
                  </w:r>
                </w:p>
              </w:tc>
              <w:tc>
                <w:tcPr>
                  <w:tcW w:w="2811" w:type="dxa"/>
                  <w:shd w:val="clear" w:color="auto" w:fill="auto"/>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ind w:left="0" w:lef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1.加强对矿山、油田等矿产资源开采影响区域内未利用地的环境监管</w:t>
                  </w:r>
                  <w:r>
                    <w:rPr>
                      <w:rFonts w:hint="eastAsia"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发现土壤污染问题的要坚决查处，并及时督促有关单位采取有效防治措施消除或减轻污染。</w:t>
                  </w:r>
                </w:p>
              </w:tc>
              <w:tc>
                <w:tcPr>
                  <w:tcW w:w="2273" w:type="dxa"/>
                  <w:shd w:val="clear" w:color="auto" w:fill="auto"/>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ind w:left="0" w:leftChars="0"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建议本项目勘查期间</w:t>
                  </w:r>
                  <w:r>
                    <w:rPr>
                      <w:rFonts w:hint="eastAsia" w:cs="Times New Roman"/>
                      <w:color w:val="auto"/>
                      <w:kern w:val="0"/>
                      <w:sz w:val="21"/>
                      <w:szCs w:val="21"/>
                      <w:highlight w:val="none"/>
                      <w:lang w:val="en-US" w:eastAsia="zh-CN" w:bidi="ar"/>
                    </w:rPr>
                    <w:t>加强日常监管巡查</w:t>
                  </w:r>
                  <w:r>
                    <w:rPr>
                      <w:rFonts w:hint="eastAsia" w:ascii="Times New Roman" w:hAnsi="Times New Roman" w:eastAsia="宋体" w:cs="Times New Roman"/>
                      <w:color w:val="auto"/>
                      <w:kern w:val="0"/>
                      <w:sz w:val="21"/>
                      <w:szCs w:val="21"/>
                      <w:highlight w:val="none"/>
                      <w:lang w:val="en-US" w:eastAsia="zh-CN" w:bidi="ar"/>
                    </w:rPr>
                    <w:t>，防止因勘探过程中柴油及生活污水</w:t>
                  </w:r>
                  <w:r>
                    <w:rPr>
                      <w:rFonts w:hint="eastAsia" w:cs="Times New Roman"/>
                      <w:color w:val="auto"/>
                      <w:kern w:val="0"/>
                      <w:sz w:val="21"/>
                      <w:szCs w:val="21"/>
                      <w:highlight w:val="none"/>
                      <w:lang w:val="en-US" w:eastAsia="zh-CN" w:bidi="ar"/>
                    </w:rPr>
                    <w:t>泄漏</w:t>
                  </w:r>
                  <w:r>
                    <w:rPr>
                      <w:rFonts w:hint="eastAsia" w:ascii="Times New Roman" w:hAnsi="Times New Roman" w:eastAsia="宋体" w:cs="Times New Roman"/>
                      <w:color w:val="auto"/>
                      <w:kern w:val="0"/>
                      <w:sz w:val="21"/>
                      <w:szCs w:val="21"/>
                      <w:highlight w:val="none"/>
                      <w:lang w:val="en-US" w:eastAsia="zh-CN" w:bidi="ar"/>
                    </w:rPr>
                    <w:t>造成土壤污染等情况的发生，一旦发现此类污染情况，立即展开修复工作。</w:t>
                  </w:r>
                </w:p>
              </w:tc>
              <w:tc>
                <w:tcPr>
                  <w:tcW w:w="40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vMerge w:val="continue"/>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p>
              </w:tc>
              <w:tc>
                <w:tcPr>
                  <w:tcW w:w="937" w:type="dxa"/>
                  <w:vMerge w:val="continue"/>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p>
              </w:tc>
              <w:tc>
                <w:tcPr>
                  <w:tcW w:w="658"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资源利用效率</w:t>
                  </w:r>
                </w:p>
              </w:tc>
              <w:tc>
                <w:tcPr>
                  <w:tcW w:w="2811"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4.</w:t>
                  </w:r>
                  <w:r>
                    <w:rPr>
                      <w:rFonts w:hint="eastAsia" w:ascii="Times New Roman" w:hAnsi="Times New Roman" w:eastAsia="宋体" w:cs="Times New Roman"/>
                      <w:kern w:val="2"/>
                      <w:sz w:val="21"/>
                      <w:szCs w:val="21"/>
                      <w:highlight w:val="none"/>
                      <w:lang w:val="en-US" w:eastAsia="zh-CN" w:bidi="ar-SA"/>
                    </w:rPr>
                    <w:t>废石综合回用、尾矿砂利用率参考《新疆维吾尔自治区重点行业</w:t>
                  </w:r>
                  <w:r>
                    <w:rPr>
                      <w:rFonts w:hint="eastAsia" w:cs="Times New Roman"/>
                      <w:kern w:val="2"/>
                      <w:sz w:val="21"/>
                      <w:szCs w:val="21"/>
                      <w:highlight w:val="none"/>
                      <w:lang w:val="en-US" w:eastAsia="zh-CN" w:bidi="ar-SA"/>
                    </w:rPr>
                    <w:t>生态</w:t>
                  </w:r>
                  <w:r>
                    <w:rPr>
                      <w:rFonts w:hint="eastAsia" w:ascii="Times New Roman" w:hAnsi="Times New Roman" w:eastAsia="宋体" w:cs="Times New Roman"/>
                      <w:kern w:val="2"/>
                      <w:sz w:val="21"/>
                      <w:szCs w:val="21"/>
                      <w:highlight w:val="none"/>
                      <w:lang w:val="en-US" w:eastAsia="zh-CN" w:bidi="ar-SA"/>
                    </w:rPr>
                    <w:t>环境准入条件（</w:t>
                  </w:r>
                  <w:r>
                    <w:rPr>
                      <w:rFonts w:hint="eastAsia" w:cs="Times New Roman"/>
                      <w:kern w:val="2"/>
                      <w:sz w:val="21"/>
                      <w:szCs w:val="21"/>
                      <w:highlight w:val="none"/>
                      <w:lang w:val="en-US" w:eastAsia="zh-CN" w:bidi="ar-SA"/>
                    </w:rPr>
                    <w:t>2024年</w:t>
                  </w:r>
                  <w:r>
                    <w:rPr>
                      <w:rFonts w:hint="eastAsia" w:ascii="Times New Roman" w:hAnsi="Times New Roman" w:eastAsia="宋体" w:cs="Times New Roman"/>
                      <w:kern w:val="2"/>
                      <w:sz w:val="21"/>
                      <w:szCs w:val="21"/>
                      <w:highlight w:val="none"/>
                      <w:lang w:val="en-US" w:eastAsia="zh-CN" w:bidi="ar-SA"/>
                    </w:rPr>
                    <w:t>）》等相关文件要求。</w:t>
                  </w:r>
                </w:p>
              </w:tc>
              <w:tc>
                <w:tcPr>
                  <w:tcW w:w="2273" w:type="dxa"/>
                  <w:vAlign w:val="center"/>
                </w:tcPr>
                <w:p>
                  <w:pPr>
                    <w:keepNext w:val="0"/>
                    <w:keepLines w:val="0"/>
                    <w:pageBreakBefore w:val="0"/>
                    <w:widowControl/>
                    <w:numPr>
                      <w:ilvl w:val="0"/>
                      <w:numId w:val="0"/>
                    </w:numPr>
                    <w:suppressLineNumbers w:val="0"/>
                    <w:kinsoku/>
                    <w:wordWrap/>
                    <w:overflowPunct/>
                    <w:topLinePunct w:val="0"/>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本项目槽探开挖产生的土石方</w:t>
                  </w:r>
                  <w:r>
                    <w:rPr>
                      <w:rFonts w:hint="eastAsia" w:cs="Times New Roman"/>
                      <w:kern w:val="2"/>
                      <w:sz w:val="21"/>
                      <w:szCs w:val="21"/>
                      <w:highlight w:val="none"/>
                      <w:lang w:val="en-US" w:eastAsia="zh-CN" w:bidi="ar-SA"/>
                    </w:rPr>
                    <w:t>和钻探产生的岩屑</w:t>
                  </w:r>
                  <w:r>
                    <w:rPr>
                      <w:rFonts w:hint="default" w:ascii="Times New Roman" w:hAnsi="Times New Roman" w:eastAsia="宋体" w:cs="Times New Roman"/>
                      <w:kern w:val="2"/>
                      <w:sz w:val="21"/>
                      <w:szCs w:val="21"/>
                      <w:highlight w:val="none"/>
                      <w:lang w:val="en-US" w:eastAsia="zh-CN" w:bidi="ar-SA"/>
                    </w:rPr>
                    <w:t>在勘探期结束后全部回填</w:t>
                  </w:r>
                  <w:r>
                    <w:rPr>
                      <w:rFonts w:hint="eastAsia" w:cs="Times New Roman"/>
                      <w:kern w:val="2"/>
                      <w:sz w:val="21"/>
                      <w:szCs w:val="21"/>
                      <w:highlight w:val="none"/>
                      <w:lang w:val="en-US" w:eastAsia="zh-CN" w:bidi="ar-SA"/>
                    </w:rPr>
                    <w:t>探槽及钻孔</w:t>
                  </w:r>
                  <w:r>
                    <w:rPr>
                      <w:rFonts w:hint="default" w:ascii="Times New Roman" w:hAnsi="Times New Roman" w:eastAsia="宋体" w:cs="Times New Roman"/>
                      <w:kern w:val="2"/>
                      <w:sz w:val="21"/>
                      <w:szCs w:val="21"/>
                      <w:highlight w:val="none"/>
                      <w:lang w:val="en-US" w:eastAsia="zh-CN" w:bidi="ar-SA"/>
                    </w:rPr>
                    <w:t>。符合该管控单元资源利用效率要求。</w:t>
                  </w:r>
                </w:p>
              </w:tc>
              <w:tc>
                <w:tcPr>
                  <w:tcW w:w="403" w:type="dxa"/>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宋体" w:hAnsi="宋体" w:eastAsia="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符合</w:t>
                  </w:r>
                </w:p>
              </w:tc>
            </w:tr>
          </w:tbl>
          <w:p>
            <w:pPr>
              <w:keepNext w:val="0"/>
              <w:keepLines w:val="0"/>
              <w:pageBreakBefore w:val="0"/>
              <w:widowControl w:val="0"/>
              <w:kinsoku/>
              <w:wordWrap/>
              <w:overflowPunct/>
              <w:topLinePunct w:val="0"/>
              <w:autoSpaceDE w:val="0"/>
              <w:autoSpaceDN w:val="0"/>
              <w:bidi w:val="0"/>
              <w:adjustRightInd/>
              <w:snapToGrid/>
              <w:spacing w:line="520" w:lineRule="exact"/>
              <w:jc w:val="both"/>
              <w:textAlignment w:val="auto"/>
              <w:rPr>
                <w:rFonts w:hint="default" w:ascii="Times New Roman" w:hAnsi="Times New Roman" w:cs="Times New Roman"/>
                <w:b/>
                <w:kern w:val="0"/>
                <w:sz w:val="24"/>
                <w:szCs w:val="24"/>
                <w:highlight w:val="none"/>
              </w:rPr>
            </w:pPr>
            <w:r>
              <w:rPr>
                <w:rFonts w:hint="eastAsia" w:cs="Times New Roman"/>
                <w:b/>
                <w:kern w:val="0"/>
                <w:sz w:val="24"/>
                <w:szCs w:val="24"/>
                <w:highlight w:val="none"/>
                <w:lang w:val="en-US" w:eastAsia="zh-CN"/>
              </w:rPr>
              <w:t>3.</w:t>
            </w:r>
            <w:r>
              <w:rPr>
                <w:rFonts w:hint="default" w:ascii="Times New Roman" w:hAnsi="Times New Roman" w:cs="Times New Roman"/>
                <w:b/>
                <w:kern w:val="0"/>
                <w:sz w:val="24"/>
                <w:szCs w:val="24"/>
                <w:highlight w:val="none"/>
              </w:rPr>
              <w:t>环境管理政策相符性分析</w:t>
            </w:r>
          </w:p>
          <w:p>
            <w:pPr>
              <w:keepNext w:val="0"/>
              <w:keepLines w:val="0"/>
              <w:pageBreakBefore w:val="0"/>
              <w:widowControl w:val="0"/>
              <w:kinsoku/>
              <w:wordWrap/>
              <w:overflowPunct/>
              <w:topLinePunct w:val="0"/>
              <w:bidi w:val="0"/>
              <w:adjustRightInd/>
              <w:snapToGrid/>
              <w:spacing w:line="520" w:lineRule="exact"/>
              <w:ind w:firstLine="482" w:firstLineChars="200"/>
              <w:jc w:val="both"/>
              <w:textAlignment w:val="auto"/>
              <w:rPr>
                <w:rFonts w:hint="default" w:ascii="Times New Roman" w:hAnsi="Times New Roman" w:cs="Times New Roman"/>
                <w:bCs/>
                <w:sz w:val="24"/>
                <w:szCs w:val="24"/>
                <w:highlight w:val="none"/>
              </w:rPr>
            </w:pPr>
            <w:r>
              <w:rPr>
                <w:rFonts w:hint="eastAsia" w:cs="Times New Roman"/>
                <w:b/>
                <w:bCs w:val="0"/>
                <w:sz w:val="24"/>
                <w:szCs w:val="24"/>
                <w:highlight w:val="none"/>
                <w:lang w:val="en-US" w:eastAsia="zh-CN"/>
              </w:rPr>
              <w:t>3.1</w:t>
            </w:r>
            <w:r>
              <w:rPr>
                <w:rFonts w:hint="default" w:ascii="Times New Roman" w:hAnsi="Times New Roman" w:cs="Times New Roman"/>
                <w:b/>
                <w:bCs w:val="0"/>
                <w:sz w:val="24"/>
                <w:szCs w:val="24"/>
                <w:highlight w:val="none"/>
              </w:rPr>
              <w:t>与《新疆维吾尔自治区重点行业</w:t>
            </w:r>
            <w:r>
              <w:rPr>
                <w:rFonts w:hint="eastAsia" w:cs="Times New Roman"/>
                <w:b/>
                <w:bCs w:val="0"/>
                <w:sz w:val="24"/>
                <w:szCs w:val="24"/>
                <w:highlight w:val="none"/>
                <w:lang w:val="en-US" w:eastAsia="zh-CN"/>
              </w:rPr>
              <w:t>生态</w:t>
            </w:r>
            <w:r>
              <w:rPr>
                <w:rFonts w:hint="default" w:ascii="Times New Roman" w:hAnsi="Times New Roman" w:cs="Times New Roman"/>
                <w:b/>
                <w:bCs w:val="0"/>
                <w:sz w:val="24"/>
                <w:szCs w:val="24"/>
                <w:highlight w:val="none"/>
              </w:rPr>
              <w:t>环境准入条件（</w:t>
            </w:r>
            <w:r>
              <w:rPr>
                <w:rFonts w:hint="eastAsia" w:cs="Times New Roman"/>
                <w:b/>
                <w:bCs w:val="0"/>
                <w:sz w:val="24"/>
                <w:szCs w:val="24"/>
                <w:highlight w:val="none"/>
                <w:lang w:val="en-US" w:eastAsia="zh-CN"/>
              </w:rPr>
              <w:t>2024年</w:t>
            </w:r>
            <w:r>
              <w:rPr>
                <w:rFonts w:hint="default" w:ascii="Times New Roman" w:hAnsi="Times New Roman" w:cs="Times New Roman"/>
                <w:b/>
                <w:bCs w:val="0"/>
                <w:sz w:val="24"/>
                <w:szCs w:val="24"/>
                <w:highlight w:val="none"/>
              </w:rPr>
              <w:t>）》符合性分析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根据《新疆维吾尔自治区重点行业</w:t>
            </w:r>
            <w:r>
              <w:rPr>
                <w:rFonts w:hint="eastAsia" w:cs="Times New Roman"/>
                <w:sz w:val="24"/>
                <w:szCs w:val="24"/>
                <w:highlight w:val="none"/>
                <w:lang w:val="en-US" w:eastAsia="zh-CN"/>
              </w:rPr>
              <w:t>生态</w:t>
            </w:r>
            <w:r>
              <w:rPr>
                <w:rFonts w:hint="default" w:ascii="Times New Roman" w:hAnsi="Times New Roman" w:cs="Times New Roman"/>
                <w:sz w:val="24"/>
                <w:szCs w:val="24"/>
                <w:highlight w:val="none"/>
              </w:rPr>
              <w:t>环境准入条件（</w:t>
            </w:r>
            <w:r>
              <w:rPr>
                <w:rFonts w:hint="eastAsia" w:cs="Times New Roman"/>
                <w:sz w:val="24"/>
                <w:szCs w:val="24"/>
                <w:highlight w:val="none"/>
                <w:lang w:val="en-US" w:eastAsia="zh-CN"/>
              </w:rPr>
              <w:t>2024年</w:t>
            </w:r>
            <w:r>
              <w:rPr>
                <w:rFonts w:hint="default" w:ascii="Times New Roman" w:hAnsi="Times New Roman" w:cs="Times New Roman"/>
                <w:sz w:val="24"/>
                <w:szCs w:val="24"/>
                <w:highlight w:val="none"/>
              </w:rPr>
              <w:t>）》</w:t>
            </w:r>
            <w:r>
              <w:rPr>
                <w:rFonts w:hint="default" w:ascii="Times New Roman" w:hAnsi="Times New Roman" w:cs="Times New Roman"/>
                <w:sz w:val="24"/>
                <w:szCs w:val="24"/>
                <w:highlight w:val="none"/>
                <w:lang w:eastAsia="zh-CN"/>
              </w:rPr>
              <w:t>：禁止在自然保护区、世界自然遗产地、风景名胜区、森林公园、地质公园、重要湿地、饮用水水源保护区等重点保护区域内</w:t>
            </w:r>
            <w:r>
              <w:rPr>
                <w:rFonts w:hint="eastAsia" w:cs="Times New Roman"/>
                <w:sz w:val="24"/>
                <w:szCs w:val="24"/>
                <w:highlight w:val="none"/>
                <w:lang w:eastAsia="zh-CN"/>
              </w:rPr>
              <w:t>及其他</w:t>
            </w:r>
            <w:r>
              <w:rPr>
                <w:rFonts w:hint="default" w:ascii="Times New Roman" w:hAnsi="Times New Roman" w:cs="Times New Roman"/>
                <w:sz w:val="24"/>
                <w:szCs w:val="24"/>
                <w:highlight w:val="none"/>
                <w:lang w:eastAsia="zh-CN"/>
              </w:rPr>
              <w:t>法律法规禁止的区域进行污染环境的任何开发活动。</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根据现场勘查，</w:t>
            </w:r>
            <w:r>
              <w:rPr>
                <w:rFonts w:hint="default" w:ascii="Times New Roman" w:hAnsi="Times New Roman" w:cs="Times New Roman"/>
                <w:sz w:val="24"/>
                <w:szCs w:val="24"/>
                <w:highlight w:val="none"/>
                <w:lang w:eastAsia="zh-CN"/>
              </w:rPr>
              <w:t>勘探</w:t>
            </w:r>
            <w:r>
              <w:rPr>
                <w:rFonts w:hint="default" w:ascii="Times New Roman" w:hAnsi="Times New Roman" w:cs="Times New Roman"/>
                <w:sz w:val="24"/>
                <w:szCs w:val="24"/>
                <w:highlight w:val="none"/>
              </w:rPr>
              <w:t>区</w:t>
            </w:r>
            <w:r>
              <w:rPr>
                <w:rFonts w:hint="default" w:ascii="Times New Roman" w:hAnsi="Times New Roman" w:cs="Times New Roman"/>
                <w:sz w:val="24"/>
                <w:szCs w:val="24"/>
                <w:highlight w:val="none"/>
                <w:lang w:eastAsia="zh-CN"/>
              </w:rPr>
              <w:t>不涉及自然保护区、世界自然遗产地、风景名胜区、森林公园、地质公园、重要湿地、饮用水水源保护区等重点保护区域，</w:t>
            </w:r>
            <w:r>
              <w:rPr>
                <w:rFonts w:hint="default" w:ascii="Times New Roman" w:hAnsi="Times New Roman" w:cs="Times New Roman"/>
                <w:sz w:val="24"/>
                <w:szCs w:val="24"/>
                <w:highlight w:val="none"/>
              </w:rPr>
              <w:t>因此本项目选址符合《新疆维吾尔自治区重点行业</w:t>
            </w:r>
            <w:r>
              <w:rPr>
                <w:rFonts w:hint="eastAsia" w:cs="Times New Roman"/>
                <w:sz w:val="24"/>
                <w:szCs w:val="24"/>
                <w:highlight w:val="none"/>
                <w:lang w:val="en-US" w:eastAsia="zh-CN"/>
              </w:rPr>
              <w:t>生态</w:t>
            </w:r>
            <w:r>
              <w:rPr>
                <w:rFonts w:hint="default" w:ascii="Times New Roman" w:hAnsi="Times New Roman" w:cs="Times New Roman"/>
                <w:sz w:val="24"/>
                <w:szCs w:val="24"/>
                <w:highlight w:val="none"/>
              </w:rPr>
              <w:t>环境准入条件（</w:t>
            </w:r>
            <w:r>
              <w:rPr>
                <w:rFonts w:hint="eastAsia" w:cs="Times New Roman"/>
                <w:sz w:val="24"/>
                <w:szCs w:val="24"/>
                <w:highlight w:val="none"/>
                <w:lang w:val="en-US" w:eastAsia="zh-CN"/>
              </w:rPr>
              <w:t>2024年</w:t>
            </w:r>
            <w:r>
              <w:rPr>
                <w:rFonts w:hint="default" w:ascii="Times New Roman" w:hAnsi="Times New Roman" w:cs="Times New Roman"/>
                <w:sz w:val="24"/>
                <w:szCs w:val="24"/>
                <w:highlight w:val="none"/>
              </w:rPr>
              <w:t>）》的相关要求。</w:t>
            </w:r>
          </w:p>
          <w:p>
            <w:pPr>
              <w:keepNext w:val="0"/>
              <w:keepLines w:val="0"/>
              <w:pageBreakBefore w:val="0"/>
              <w:widowControl w:val="0"/>
              <w:kinsoku/>
              <w:wordWrap/>
              <w:overflowPunct/>
              <w:topLinePunct w:val="0"/>
              <w:bidi w:val="0"/>
              <w:adjustRightInd/>
              <w:snapToGrid/>
              <w:spacing w:line="520" w:lineRule="exact"/>
              <w:ind w:firstLine="482" w:firstLineChars="200"/>
              <w:jc w:val="both"/>
              <w:textAlignment w:val="auto"/>
              <w:rPr>
                <w:rFonts w:hint="default" w:ascii="Times New Roman" w:hAnsi="Times New Roman" w:cs="Times New Roman"/>
                <w:b/>
                <w:bCs w:val="0"/>
                <w:sz w:val="24"/>
                <w:szCs w:val="24"/>
                <w:highlight w:val="none"/>
              </w:rPr>
            </w:pPr>
            <w:r>
              <w:rPr>
                <w:rFonts w:hint="eastAsia" w:cs="Times New Roman"/>
                <w:b/>
                <w:bCs w:val="0"/>
                <w:sz w:val="24"/>
                <w:szCs w:val="24"/>
                <w:highlight w:val="none"/>
                <w:lang w:val="en-US" w:eastAsia="zh-CN"/>
              </w:rPr>
              <w:t>3.2</w:t>
            </w:r>
            <w:r>
              <w:rPr>
                <w:rFonts w:hint="default" w:ascii="Times New Roman" w:hAnsi="Times New Roman" w:cs="Times New Roman"/>
                <w:b/>
                <w:bCs w:val="0"/>
                <w:sz w:val="24"/>
                <w:szCs w:val="24"/>
                <w:highlight w:val="none"/>
              </w:rPr>
              <w:t>与《新疆维吾尔自治区</w:t>
            </w:r>
            <w:r>
              <w:rPr>
                <w:rFonts w:hint="default" w:ascii="Times New Roman" w:hAnsi="Times New Roman" w:cs="Times New Roman"/>
                <w:b/>
                <w:bCs w:val="0"/>
                <w:sz w:val="24"/>
                <w:szCs w:val="24"/>
                <w:highlight w:val="none"/>
                <w:lang w:eastAsia="zh-CN"/>
              </w:rPr>
              <w:t>巴音郭楞蒙古自治</w:t>
            </w:r>
            <w:r>
              <w:rPr>
                <w:rFonts w:hint="default" w:ascii="Times New Roman" w:hAnsi="Times New Roman" w:cs="Times New Roman"/>
                <w:b/>
                <w:bCs w:val="0"/>
                <w:sz w:val="24"/>
                <w:szCs w:val="24"/>
                <w:highlight w:val="none"/>
              </w:rPr>
              <w:t>州水土保持规划（2021-2030年）</w:t>
            </w:r>
            <w:r>
              <w:rPr>
                <w:rFonts w:hint="default" w:ascii="Times New Roman" w:hAnsi="Times New Roman" w:cs="Times New Roman"/>
                <w:b/>
                <w:bCs w:val="0"/>
                <w:sz w:val="24"/>
                <w:szCs w:val="24"/>
                <w:highlight w:val="none"/>
                <w:lang w:eastAsia="zh-CN"/>
              </w:rPr>
              <w:t>》</w:t>
            </w:r>
            <w:r>
              <w:rPr>
                <w:rFonts w:hint="default" w:ascii="Times New Roman" w:hAnsi="Times New Roman" w:cs="Times New Roman"/>
                <w:b/>
                <w:bCs w:val="0"/>
                <w:sz w:val="24"/>
                <w:szCs w:val="24"/>
                <w:highlight w:val="none"/>
              </w:rPr>
              <w:t>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依据《新疆维吾尔自治区</w:t>
            </w:r>
            <w:r>
              <w:rPr>
                <w:rFonts w:hint="default" w:ascii="Times New Roman" w:hAnsi="Times New Roman" w:cs="Times New Roman"/>
                <w:sz w:val="24"/>
                <w:szCs w:val="24"/>
                <w:highlight w:val="none"/>
                <w:lang w:eastAsia="zh-CN"/>
              </w:rPr>
              <w:t>巴音郭楞蒙古自治</w:t>
            </w:r>
            <w:r>
              <w:rPr>
                <w:rFonts w:hint="default" w:ascii="Times New Roman" w:hAnsi="Times New Roman" w:cs="Times New Roman"/>
                <w:sz w:val="24"/>
                <w:szCs w:val="24"/>
                <w:highlight w:val="none"/>
              </w:rPr>
              <w:t>州水土保持规划（2021-2030年）</w:t>
            </w:r>
            <w:r>
              <w:rPr>
                <w:rFonts w:hint="eastAsia"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关于印发新疆自治区级水土流失重点预防保护区和重点治理区复核划分成果的通知》（新水水保</w:t>
            </w:r>
            <w:r>
              <w:rPr>
                <w:rFonts w:hint="eastAsia" w:cs="Times New Roman"/>
                <w:sz w:val="24"/>
                <w:szCs w:val="24"/>
                <w:highlight w:val="none"/>
                <w:lang w:eastAsia="zh-CN"/>
              </w:rPr>
              <w:t>〔2019〕4号</w:t>
            </w:r>
            <w:r>
              <w:rPr>
                <w:rFonts w:hint="default" w:ascii="Times New Roman" w:hAnsi="Times New Roman" w:cs="Times New Roman"/>
                <w:sz w:val="24"/>
                <w:szCs w:val="24"/>
                <w:highlight w:val="none"/>
              </w:rPr>
              <w:t>）</w:t>
            </w:r>
            <w:r>
              <w:rPr>
                <w:rFonts w:hint="eastAsia" w:cs="Times New Roman"/>
                <w:sz w:val="24"/>
                <w:szCs w:val="24"/>
                <w:highlight w:val="none"/>
                <w:lang w:val="en-US" w:eastAsia="zh-CN"/>
              </w:rPr>
              <w:t>以及《水利部办公厅关于印发〈全国水土保持规划国家级水土流失重点预防区和重点治理区复核划分成果〉的通知》（办水保</w:t>
            </w:r>
            <w:r>
              <w:rPr>
                <w:rFonts w:hint="eastAsia" w:cs="Times New Roman"/>
                <w:sz w:val="24"/>
                <w:szCs w:val="24"/>
                <w:highlight w:val="none"/>
                <w:lang w:eastAsia="zh-CN"/>
              </w:rPr>
              <w:t>〔20</w:t>
            </w:r>
            <w:r>
              <w:rPr>
                <w:rFonts w:hint="eastAsia" w:cs="Times New Roman"/>
                <w:sz w:val="24"/>
                <w:szCs w:val="24"/>
                <w:highlight w:val="none"/>
                <w:lang w:val="en-US" w:eastAsia="zh-CN"/>
              </w:rPr>
              <w:t>13</w:t>
            </w:r>
            <w:r>
              <w:rPr>
                <w:rFonts w:hint="eastAsia" w:cs="Times New Roman"/>
                <w:sz w:val="24"/>
                <w:szCs w:val="24"/>
                <w:highlight w:val="none"/>
                <w:lang w:eastAsia="zh-CN"/>
              </w:rPr>
              <w:t>〕</w:t>
            </w:r>
            <w:r>
              <w:rPr>
                <w:rFonts w:hint="eastAsia" w:cs="Times New Roman"/>
                <w:sz w:val="24"/>
                <w:szCs w:val="24"/>
                <w:highlight w:val="none"/>
                <w:lang w:val="en-US" w:eastAsia="zh-CN"/>
              </w:rPr>
              <w:t>188</w:t>
            </w:r>
            <w:r>
              <w:rPr>
                <w:rFonts w:hint="eastAsia" w:cs="Times New Roman"/>
                <w:sz w:val="24"/>
                <w:szCs w:val="24"/>
                <w:highlight w:val="none"/>
                <w:lang w:eastAsia="zh-CN"/>
              </w:rPr>
              <w:t>号</w:t>
            </w:r>
            <w:r>
              <w:rPr>
                <w:rFonts w:hint="eastAsia" w:cs="Times New Roman"/>
                <w:sz w:val="24"/>
                <w:szCs w:val="24"/>
                <w:highlight w:val="none"/>
                <w:lang w:val="en-US" w:eastAsia="zh-CN"/>
              </w:rPr>
              <w:t>）</w:t>
            </w:r>
            <w:r>
              <w:rPr>
                <w:rFonts w:hint="default" w:ascii="Times New Roman" w:hAnsi="Times New Roman" w:cs="Times New Roman"/>
                <w:sz w:val="24"/>
                <w:szCs w:val="24"/>
                <w:highlight w:val="none"/>
              </w:rPr>
              <w:t>，项目</w:t>
            </w:r>
            <w:r>
              <w:rPr>
                <w:rFonts w:hint="default" w:ascii="Times New Roman" w:hAnsi="Times New Roman" w:cs="Times New Roman"/>
                <w:sz w:val="24"/>
                <w:szCs w:val="24"/>
                <w:highlight w:val="none"/>
                <w:lang w:val="en-US" w:eastAsia="zh-CN"/>
              </w:rPr>
              <w:t>所在区域属于</w:t>
            </w:r>
            <w:r>
              <w:rPr>
                <w:rFonts w:hint="eastAsia" w:cs="Times New Roman"/>
                <w:sz w:val="24"/>
                <w:szCs w:val="24"/>
                <w:highlight w:val="none"/>
                <w:lang w:val="en-US" w:eastAsia="zh-CN"/>
              </w:rPr>
              <w:t>阿尔金山国家级水土流失重点预防区</w:t>
            </w:r>
            <w:r>
              <w:rPr>
                <w:rFonts w:hint="default" w:ascii="Times New Roman" w:hAnsi="Times New Roman" w:cs="Times New Roman"/>
                <w:sz w:val="24"/>
                <w:szCs w:val="24"/>
                <w:highlight w:val="none"/>
              </w:rPr>
              <w:t>。</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rPr>
              <w:t>项目开发过程中须加强水土保持工作，控制人为活动造成新的水土流失。</w:t>
            </w:r>
            <w:r>
              <w:rPr>
                <w:rFonts w:hint="default" w:ascii="Times New Roman" w:hAnsi="Times New Roman" w:eastAsia="宋体" w:cs="Times New Roman"/>
                <w:sz w:val="24"/>
                <w:szCs w:val="24"/>
                <w:highlight w:val="none"/>
                <w:lang w:eastAsia="zh-CN"/>
              </w:rPr>
              <w:t>勘查区位于新疆维吾尔自治区</w:t>
            </w:r>
            <w:r>
              <w:rPr>
                <w:rFonts w:hint="eastAsia" w:cs="Times New Roman"/>
                <w:sz w:val="24"/>
                <w:szCs w:val="24"/>
                <w:highlight w:val="none"/>
                <w:lang w:val="en-US" w:eastAsia="zh-CN"/>
              </w:rPr>
              <w:t>且末</w:t>
            </w:r>
            <w:r>
              <w:rPr>
                <w:rFonts w:hint="eastAsia" w:ascii="Times New Roman" w:hAnsi="Times New Roman" w:eastAsia="宋体" w:cs="Times New Roman"/>
                <w:sz w:val="24"/>
                <w:szCs w:val="24"/>
                <w:highlight w:val="none"/>
              </w:rPr>
              <w:t>县</w:t>
            </w:r>
            <w:r>
              <w:rPr>
                <w:rFonts w:hint="eastAsia" w:cs="Times New Roman"/>
                <w:sz w:val="24"/>
                <w:szCs w:val="24"/>
                <w:highlight w:val="none"/>
                <w:lang w:val="en-US" w:eastAsia="zh-CN"/>
              </w:rPr>
              <w:t>西南219°</w:t>
            </w:r>
            <w:r>
              <w:rPr>
                <w:rFonts w:hint="eastAsia" w:ascii="Times New Roman" w:hAnsi="Times New Roman" w:eastAsia="宋体" w:cs="Times New Roman"/>
                <w:sz w:val="24"/>
                <w:szCs w:val="24"/>
                <w:highlight w:val="none"/>
              </w:rPr>
              <w:t>方向</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rPr>
              <w:t>直线距离</w:t>
            </w:r>
            <w:r>
              <w:rPr>
                <w:rFonts w:hint="eastAsia" w:cs="Times New Roman"/>
                <w:sz w:val="24"/>
                <w:szCs w:val="24"/>
                <w:highlight w:val="none"/>
                <w:lang w:val="en-US" w:eastAsia="zh-CN"/>
              </w:rPr>
              <w:t>195</w:t>
            </w:r>
            <w:r>
              <w:rPr>
                <w:rFonts w:hint="eastAsia" w:ascii="Times New Roman" w:hAnsi="Times New Roman" w:eastAsia="宋体" w:cs="Times New Roman"/>
                <w:sz w:val="24"/>
                <w:szCs w:val="24"/>
                <w:highlight w:val="none"/>
              </w:rPr>
              <w:t>千米</w:t>
            </w:r>
            <w:r>
              <w:rPr>
                <w:rFonts w:hint="eastAsia" w:ascii="Times New Roman" w:hAnsi="Times New Roman" w:eastAsia="宋体" w:cs="Times New Roman"/>
                <w:sz w:val="24"/>
                <w:szCs w:val="24"/>
                <w:highlight w:val="none"/>
                <w:lang w:val="en-US" w:eastAsia="zh-CN"/>
              </w:rPr>
              <w:t>处</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eastAsia="zh-CN"/>
              </w:rPr>
              <w:t>勘探</w:t>
            </w:r>
            <w:r>
              <w:rPr>
                <w:rFonts w:hint="default" w:ascii="Times New Roman" w:hAnsi="Times New Roman" w:eastAsia="宋体" w:cs="Times New Roman"/>
                <w:sz w:val="24"/>
                <w:szCs w:val="24"/>
                <w:highlight w:val="none"/>
              </w:rPr>
              <w:t>区降雨量较低，</w:t>
            </w:r>
            <w:r>
              <w:rPr>
                <w:rFonts w:hint="default" w:ascii="Times New Roman" w:hAnsi="Times New Roman" w:cs="Times New Roman"/>
                <w:sz w:val="24"/>
                <w:szCs w:val="24"/>
                <w:highlight w:val="none"/>
              </w:rPr>
              <w:t>基本无法形成无组织的径流。故项目区的水土流失</w:t>
            </w:r>
            <w:r>
              <w:rPr>
                <w:rFonts w:hint="eastAsia" w:cs="Times New Roman"/>
                <w:sz w:val="24"/>
                <w:szCs w:val="24"/>
                <w:highlight w:val="none"/>
                <w:lang w:eastAsia="zh-CN"/>
              </w:rPr>
              <w:t>以风蚀为主</w:t>
            </w:r>
            <w:r>
              <w:rPr>
                <w:rFonts w:hint="default" w:ascii="Times New Roman" w:hAnsi="Times New Roman" w:cs="Times New Roman"/>
                <w:sz w:val="24"/>
                <w:szCs w:val="24"/>
                <w:highlight w:val="none"/>
              </w:rPr>
              <w:t>，</w:t>
            </w:r>
            <w:r>
              <w:rPr>
                <w:rFonts w:hint="eastAsia" w:ascii="Times New Roman" w:hAnsi="Times New Roman" w:cs="Times New Roman"/>
                <w:sz w:val="24"/>
                <w:szCs w:val="24"/>
                <w:highlight w:val="none"/>
                <w:lang w:eastAsia="zh-CN"/>
              </w:rPr>
              <w:t>勘探区</w:t>
            </w:r>
            <w:r>
              <w:rPr>
                <w:rFonts w:hint="default" w:ascii="Times New Roman" w:hAnsi="Times New Roman" w:cs="Times New Roman"/>
                <w:sz w:val="24"/>
                <w:szCs w:val="24"/>
                <w:highlight w:val="none"/>
              </w:rPr>
              <w:t>采用了边</w:t>
            </w:r>
            <w:r>
              <w:rPr>
                <w:rFonts w:hint="eastAsia" w:ascii="Times New Roman" w:hAnsi="Times New Roman" w:cs="Times New Roman"/>
                <w:sz w:val="24"/>
                <w:szCs w:val="24"/>
                <w:highlight w:val="none"/>
                <w:lang w:eastAsia="zh-CN"/>
              </w:rPr>
              <w:t>开挖</w:t>
            </w:r>
            <w:r>
              <w:rPr>
                <w:rFonts w:hint="default" w:ascii="Times New Roman" w:hAnsi="Times New Roman" w:cs="Times New Roman"/>
                <w:sz w:val="24"/>
                <w:szCs w:val="24"/>
                <w:highlight w:val="none"/>
              </w:rPr>
              <w:t>、边回填、边复垦的</w:t>
            </w:r>
            <w:r>
              <w:rPr>
                <w:rFonts w:hint="eastAsia" w:ascii="Times New Roman" w:hAnsi="Times New Roman" w:cs="Times New Roman"/>
                <w:sz w:val="24"/>
                <w:szCs w:val="24"/>
                <w:highlight w:val="none"/>
                <w:lang w:eastAsia="zh-CN"/>
              </w:rPr>
              <w:t>勘</w:t>
            </w:r>
            <w:r>
              <w:rPr>
                <w:rFonts w:hint="eastAsia" w:ascii="Times New Roman" w:hAnsi="Times New Roman" w:eastAsia="宋体" w:cs="Times New Roman"/>
                <w:sz w:val="24"/>
                <w:szCs w:val="24"/>
                <w:highlight w:val="none"/>
                <w:lang w:eastAsia="zh-CN"/>
              </w:rPr>
              <w:t>探</w:t>
            </w:r>
            <w:r>
              <w:rPr>
                <w:rFonts w:hint="default" w:ascii="Times New Roman" w:hAnsi="Times New Roman" w:eastAsia="宋体" w:cs="Times New Roman"/>
                <w:sz w:val="24"/>
                <w:szCs w:val="24"/>
                <w:highlight w:val="none"/>
                <w:lang w:eastAsia="zh-CN"/>
              </w:rPr>
              <w:t>方式，</w:t>
            </w:r>
            <w:r>
              <w:rPr>
                <w:rFonts w:hint="eastAsia" w:cs="Times New Roman"/>
                <w:sz w:val="24"/>
                <w:szCs w:val="24"/>
                <w:highlight w:val="none"/>
                <w:lang w:val="en-US" w:eastAsia="zh-CN"/>
              </w:rPr>
              <w:t>临时堆土采取彩条布苫盖措施，</w:t>
            </w:r>
            <w:r>
              <w:rPr>
                <w:rFonts w:hint="default" w:ascii="Times New Roman" w:hAnsi="Times New Roman" w:eastAsia="宋体" w:cs="Times New Roman"/>
                <w:sz w:val="24"/>
                <w:szCs w:val="24"/>
                <w:highlight w:val="none"/>
                <w:lang w:eastAsia="zh-CN"/>
              </w:rPr>
              <w:t>符合《新疆维吾尔自治区水土保持规划（2018</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lang w:eastAsia="zh-CN"/>
              </w:rPr>
              <w:t>2030年）》的相关要求。</w:t>
            </w:r>
          </w:p>
          <w:p>
            <w:pPr>
              <w:keepNext w:val="0"/>
              <w:keepLines w:val="0"/>
              <w:pageBreakBefore w:val="0"/>
              <w:widowControl w:val="0"/>
              <w:kinsoku/>
              <w:wordWrap/>
              <w:overflowPunct/>
              <w:topLinePunct w:val="0"/>
              <w:bidi w:val="0"/>
              <w:adjustRightInd/>
              <w:snapToGrid/>
              <w:spacing w:line="520" w:lineRule="exact"/>
              <w:ind w:firstLine="482" w:firstLineChars="200"/>
              <w:jc w:val="both"/>
              <w:textAlignment w:val="auto"/>
              <w:rPr>
                <w:rFonts w:hint="default" w:ascii="Times New Roman" w:hAnsi="Times New Roman" w:eastAsia="宋体" w:cs="Times New Roman"/>
                <w:sz w:val="24"/>
                <w:szCs w:val="24"/>
                <w:highlight w:val="none"/>
                <w:lang w:eastAsia="zh-CN"/>
              </w:rPr>
            </w:pPr>
            <w:r>
              <w:rPr>
                <w:rFonts w:hint="eastAsia" w:cs="Times New Roman"/>
                <w:b/>
                <w:bCs/>
                <w:sz w:val="24"/>
                <w:szCs w:val="24"/>
                <w:highlight w:val="none"/>
                <w:lang w:val="en-US" w:eastAsia="zh-CN"/>
              </w:rPr>
              <w:t>3.3</w:t>
            </w:r>
            <w:r>
              <w:rPr>
                <w:rFonts w:hint="default" w:ascii="Times New Roman" w:hAnsi="Times New Roman" w:eastAsia="宋体" w:cs="Times New Roman"/>
                <w:b/>
                <w:bCs/>
                <w:sz w:val="24"/>
                <w:szCs w:val="24"/>
                <w:highlight w:val="none"/>
                <w:lang w:eastAsia="zh-CN"/>
              </w:rPr>
              <w:t>《巴音郭楞蒙古自治州国民经济和社会发展第十四个五年规划和二〇三五年远景目标纲要》符合性分析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健全完善主体功能区战略和制度，科学划定生态保护红线、永久基本农田、城镇开发边界三条控制线，精</w:t>
            </w:r>
            <w:r>
              <w:rPr>
                <w:rFonts w:hint="default" w:ascii="Times New Roman" w:hAnsi="Times New Roman" w:cs="Times New Roman"/>
                <w:sz w:val="24"/>
                <w:szCs w:val="24"/>
                <w:highlight w:val="none"/>
              </w:rPr>
              <w:t>准把握生态、农业、城镇三类空间平衡点，实施细化管控措施和配套政策，推动主体功能区战略格局在县域精准落地，高标准守牢“三条红线”，推动空间治理由指标管控向质量管控和功能管控转变，提高国土空间开发保护的精细化程度。坚决守好生态保护红线，以昆仑山、阿尔金山生态环境建设与保护区、巴音布鲁克草原水源涵养保护与建设功能区、塔里木河流域防沙固沙安全隔离带为重点，确保生态功能不降低、面积不减少、性质不改变，显著提升生态系统功能。严格保护永久基本农田，确保基本农田总量不减少、用途不改变、质量有提高。实行农村居民点建设规模总量和强度双控，推进村庄集中布局、集聚发展，提升乡村建设用地集约节约利用水平。强化城镇开发边界管控，科学引导城镇开发布局，集约发展工业空间，优化提升生活空间，促进城镇土地集约利用。高效率实现“多规合一”，建立分级管控、逐级传导的规划实施机制，实现“一张蓝图干到底”。</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本项目</w:t>
            </w:r>
            <w:r>
              <w:rPr>
                <w:rFonts w:hint="default" w:ascii="Times New Roman" w:hAnsi="Times New Roman" w:eastAsia="宋体" w:cs="Times New Roman"/>
                <w:sz w:val="24"/>
                <w:szCs w:val="24"/>
                <w:highlight w:val="none"/>
                <w:lang w:eastAsia="zh-CN"/>
              </w:rPr>
              <w:t>为</w:t>
            </w:r>
            <w:r>
              <w:rPr>
                <w:rFonts w:hint="default" w:ascii="Times New Roman" w:hAnsi="Times New Roman" w:eastAsia="宋体" w:cs="Times New Roman"/>
                <w:sz w:val="24"/>
                <w:szCs w:val="24"/>
                <w:highlight w:val="none"/>
                <w:lang w:val="en-US" w:eastAsia="zh-CN"/>
              </w:rPr>
              <w:t>陆地矿产资源地质</w:t>
            </w:r>
            <w:r>
              <w:rPr>
                <w:rFonts w:hint="eastAsia" w:cs="Times New Roman"/>
                <w:sz w:val="24"/>
                <w:szCs w:val="24"/>
                <w:highlight w:val="none"/>
                <w:lang w:val="en-US" w:eastAsia="zh-CN"/>
              </w:rPr>
              <w:t>勘探</w:t>
            </w:r>
            <w:r>
              <w:rPr>
                <w:rFonts w:hint="default" w:ascii="Times New Roman" w:hAnsi="Times New Roman" w:eastAsia="宋体" w:cs="Times New Roman"/>
                <w:sz w:val="24"/>
                <w:szCs w:val="24"/>
                <w:highlight w:val="none"/>
                <w:lang w:eastAsia="zh-CN"/>
              </w:rPr>
              <w:t>项目，已取得探矿权，</w:t>
            </w:r>
            <w:r>
              <w:rPr>
                <w:rFonts w:hint="eastAsia" w:ascii="Times New Roman" w:hAnsi="Times New Roman" w:eastAsia="宋体" w:cs="Times New Roman"/>
                <w:sz w:val="24"/>
                <w:szCs w:val="24"/>
                <w:highlight w:val="none"/>
                <w:lang w:eastAsia="zh-CN"/>
              </w:rPr>
              <w:t>项目用地不在生态保护红线内</w:t>
            </w:r>
            <w:r>
              <w:rPr>
                <w:rFonts w:hint="default" w:ascii="Times New Roman" w:hAnsi="Times New Roman" w:eastAsia="宋体" w:cs="Times New Roman"/>
                <w:sz w:val="24"/>
                <w:szCs w:val="24"/>
                <w:highlight w:val="none"/>
                <w:lang w:eastAsia="zh-CN"/>
              </w:rPr>
              <w:t>，占地均为临时占地，待勘探完成后恢复原有地形地貌，</w:t>
            </w:r>
            <w:r>
              <w:rPr>
                <w:rFonts w:hint="default" w:ascii="Times New Roman" w:hAnsi="Times New Roman" w:eastAsia="宋体" w:cs="Times New Roman"/>
                <w:sz w:val="24"/>
                <w:szCs w:val="24"/>
                <w:highlight w:val="none"/>
              </w:rPr>
              <w:t>符合《巴音郭楞蒙古自治州国民经济和社会发展第十四个五年规划和二〇三五年远景目标纲要》的要求。</w:t>
            </w:r>
          </w:p>
          <w:p>
            <w:pPr>
              <w:keepNext w:val="0"/>
              <w:keepLines w:val="0"/>
              <w:pageBreakBefore w:val="0"/>
              <w:widowControl w:val="0"/>
              <w:kinsoku/>
              <w:wordWrap/>
              <w:overflowPunct/>
              <w:topLinePunct w:val="0"/>
              <w:bidi w:val="0"/>
              <w:adjustRightInd/>
              <w:snapToGrid/>
              <w:spacing w:line="520" w:lineRule="exact"/>
              <w:ind w:firstLine="482" w:firstLineChars="200"/>
              <w:jc w:val="both"/>
              <w:textAlignment w:val="auto"/>
              <w:rPr>
                <w:rFonts w:hint="default" w:ascii="Times New Roman" w:hAnsi="Times New Roman" w:eastAsia="宋体" w:cs="Times New Roman"/>
                <w:b/>
                <w:bCs/>
                <w:sz w:val="24"/>
                <w:szCs w:val="24"/>
                <w:highlight w:val="none"/>
                <w:lang w:eastAsia="zh-CN"/>
              </w:rPr>
            </w:pPr>
            <w:r>
              <w:rPr>
                <w:rFonts w:hint="eastAsia" w:cs="Times New Roman"/>
                <w:b/>
                <w:bCs/>
                <w:sz w:val="24"/>
                <w:szCs w:val="24"/>
                <w:highlight w:val="none"/>
                <w:lang w:val="en-US" w:eastAsia="zh-CN"/>
              </w:rPr>
              <w:t>3.4</w:t>
            </w:r>
            <w:r>
              <w:rPr>
                <w:rFonts w:hint="default" w:ascii="Times New Roman" w:hAnsi="Times New Roman" w:eastAsia="宋体" w:cs="Times New Roman"/>
                <w:b/>
                <w:bCs/>
                <w:sz w:val="24"/>
                <w:szCs w:val="24"/>
                <w:highlight w:val="none"/>
              </w:rPr>
              <w:t>《矿山生态环境保护与污染防治技术政策》符合性分析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pPr>
            <w:r>
              <w:rPr>
                <w:rFonts w:hint="eastAsia" w:ascii="Times New Roman" w:hAnsi="Times New Roman" w:eastAsia="宋体" w:cs="Times New Roman"/>
                <w:sz w:val="24"/>
                <w:szCs w:val="24"/>
                <w:highlight w:val="none"/>
                <w:lang w:val="en-US" w:eastAsia="zh-CN"/>
              </w:rPr>
              <w:t>根据</w:t>
            </w:r>
            <w:r>
              <w:rPr>
                <w:rFonts w:hint="default" w:ascii="Times New Roman" w:hAnsi="Times New Roman" w:eastAsia="宋体" w:cs="Times New Roman"/>
                <w:sz w:val="24"/>
                <w:szCs w:val="24"/>
                <w:highlight w:val="none"/>
              </w:rPr>
              <w:t>《矿山生态环境保护与污染防治技术政策》</w:t>
            </w:r>
            <w:r>
              <w:rPr>
                <w:rFonts w:hint="eastAsia"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矿产资源的开发应贯彻</w:t>
            </w:r>
            <w:r>
              <w:rPr>
                <w:rFonts w:hint="eastAsia"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污染防治与生态环境保护并重，生态环境保护与生态环境建设并举；以及预防为主、防治结合、过程控制、综合治理</w:t>
            </w:r>
            <w:r>
              <w:rPr>
                <w:rFonts w:hint="eastAsia"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的指导方针。矿产资源的开发应推行循环经济的</w:t>
            </w:r>
            <w:r>
              <w:rPr>
                <w:rFonts w:hint="eastAsia"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污染物减量、资源再利用和循环利用</w:t>
            </w:r>
            <w:r>
              <w:rPr>
                <w:rFonts w:hint="eastAsia"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的技术原则</w:t>
            </w:r>
            <w:r>
              <w:rPr>
                <w:rFonts w:hint="eastAsia" w:ascii="Times New Roman" w:hAnsi="Times New Roman" w:eastAsia="宋体" w:cs="Times New Roman"/>
                <w:sz w:val="24"/>
                <w:szCs w:val="24"/>
                <w:highlight w:val="none"/>
                <w:lang w:eastAsia="zh-CN"/>
              </w:rPr>
              <w:t>。</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本项目属于矿产资源</w:t>
            </w:r>
            <w:r>
              <w:rPr>
                <w:rFonts w:hint="eastAsia" w:cs="Times New Roman"/>
                <w:sz w:val="24"/>
                <w:szCs w:val="24"/>
                <w:highlight w:val="none"/>
                <w:lang w:val="en-US" w:eastAsia="zh-CN"/>
              </w:rPr>
              <w:t>勘探</w:t>
            </w:r>
            <w:r>
              <w:rPr>
                <w:rFonts w:hint="eastAsia" w:ascii="Times New Roman" w:hAnsi="Times New Roman" w:eastAsia="宋体" w:cs="Times New Roman"/>
                <w:sz w:val="24"/>
                <w:szCs w:val="24"/>
                <w:highlight w:val="none"/>
                <w:lang w:val="en-US" w:eastAsia="zh-CN"/>
              </w:rPr>
              <w:t>项目，不涉及矿产资源的开采，</w:t>
            </w:r>
            <w:r>
              <w:rPr>
                <w:rFonts w:hint="eastAsia" w:ascii="Times New Roman" w:hAnsi="Times New Roman" w:cs="Times New Roman"/>
                <w:sz w:val="24"/>
                <w:szCs w:val="24"/>
                <w:highlight w:val="none"/>
                <w:lang w:eastAsia="zh-CN"/>
              </w:rPr>
              <w:t>勘探区</w:t>
            </w:r>
            <w:r>
              <w:rPr>
                <w:rFonts w:hint="default" w:ascii="Times New Roman" w:hAnsi="Times New Roman" w:cs="Times New Roman"/>
                <w:sz w:val="24"/>
                <w:szCs w:val="24"/>
                <w:highlight w:val="none"/>
              </w:rPr>
              <w:t>采用了边</w:t>
            </w:r>
            <w:r>
              <w:rPr>
                <w:rFonts w:hint="eastAsia" w:ascii="Times New Roman" w:hAnsi="Times New Roman" w:cs="Times New Roman"/>
                <w:sz w:val="24"/>
                <w:szCs w:val="24"/>
                <w:highlight w:val="none"/>
                <w:lang w:eastAsia="zh-CN"/>
              </w:rPr>
              <w:t>开挖</w:t>
            </w:r>
            <w:r>
              <w:rPr>
                <w:rFonts w:hint="default" w:ascii="Times New Roman" w:hAnsi="Times New Roman" w:cs="Times New Roman"/>
                <w:sz w:val="24"/>
                <w:szCs w:val="24"/>
                <w:highlight w:val="none"/>
              </w:rPr>
              <w:t>、边回填、边复垦的</w:t>
            </w:r>
            <w:r>
              <w:rPr>
                <w:rFonts w:hint="eastAsia" w:ascii="Times New Roman" w:hAnsi="Times New Roman" w:cs="Times New Roman"/>
                <w:sz w:val="24"/>
                <w:szCs w:val="24"/>
                <w:highlight w:val="none"/>
                <w:lang w:eastAsia="zh-CN"/>
              </w:rPr>
              <w:t>勘</w:t>
            </w:r>
            <w:r>
              <w:rPr>
                <w:rFonts w:hint="eastAsia" w:ascii="Times New Roman" w:hAnsi="Times New Roman" w:eastAsia="宋体" w:cs="Times New Roman"/>
                <w:sz w:val="24"/>
                <w:szCs w:val="24"/>
                <w:highlight w:val="none"/>
                <w:lang w:eastAsia="zh-CN"/>
              </w:rPr>
              <w:t>探</w:t>
            </w:r>
            <w:r>
              <w:rPr>
                <w:rFonts w:hint="default" w:ascii="Times New Roman" w:hAnsi="Times New Roman" w:eastAsia="宋体" w:cs="Times New Roman"/>
                <w:sz w:val="24"/>
                <w:szCs w:val="24"/>
                <w:highlight w:val="none"/>
                <w:lang w:eastAsia="zh-CN"/>
              </w:rPr>
              <w:t>方式，</w:t>
            </w:r>
            <w:r>
              <w:rPr>
                <w:rFonts w:hint="eastAsia" w:cs="Times New Roman"/>
                <w:sz w:val="24"/>
                <w:szCs w:val="24"/>
                <w:highlight w:val="none"/>
                <w:lang w:val="en-US" w:eastAsia="zh-CN"/>
              </w:rPr>
              <w:t>槽探</w:t>
            </w:r>
            <w:r>
              <w:rPr>
                <w:rFonts w:hint="default" w:ascii="Times New Roman" w:hAnsi="Times New Roman" w:eastAsia="宋体" w:cs="Times New Roman"/>
                <w:sz w:val="24"/>
                <w:szCs w:val="24"/>
                <w:highlight w:val="none"/>
                <w:lang w:eastAsia="zh-CN"/>
              </w:rPr>
              <w:t>开挖的</w:t>
            </w:r>
            <w:r>
              <w:rPr>
                <w:rFonts w:hint="eastAsia" w:cs="Times New Roman"/>
                <w:sz w:val="24"/>
                <w:szCs w:val="24"/>
                <w:highlight w:val="none"/>
                <w:lang w:val="en-US" w:eastAsia="zh-CN"/>
              </w:rPr>
              <w:t>土石方</w:t>
            </w:r>
            <w:r>
              <w:rPr>
                <w:rFonts w:hint="default" w:ascii="Times New Roman" w:hAnsi="Times New Roman" w:eastAsia="宋体" w:cs="Times New Roman"/>
                <w:sz w:val="24"/>
                <w:szCs w:val="24"/>
                <w:highlight w:val="none"/>
                <w:lang w:eastAsia="zh-CN"/>
              </w:rPr>
              <w:t>就地堆放在探槽两侧，并用彩条布</w:t>
            </w:r>
            <w:r>
              <w:rPr>
                <w:rFonts w:hint="eastAsia" w:cs="Times New Roman"/>
                <w:sz w:val="24"/>
                <w:szCs w:val="24"/>
                <w:highlight w:val="none"/>
                <w:lang w:val="en-US" w:eastAsia="zh-CN"/>
              </w:rPr>
              <w:t>苫盖</w:t>
            </w:r>
            <w:r>
              <w:rPr>
                <w:rFonts w:hint="default" w:ascii="Times New Roman" w:hAnsi="Times New Roman" w:eastAsia="宋体" w:cs="Times New Roman"/>
                <w:sz w:val="24"/>
                <w:szCs w:val="24"/>
                <w:highlight w:val="none"/>
                <w:lang w:eastAsia="zh-CN"/>
              </w:rPr>
              <w:t>，工程完成后立即回填。</w:t>
            </w:r>
            <w:r>
              <w:rPr>
                <w:rFonts w:hint="eastAsia" w:ascii="Times New Roman" w:hAnsi="Times New Roman" w:eastAsia="宋体" w:cs="Times New Roman"/>
                <w:sz w:val="24"/>
                <w:szCs w:val="24"/>
                <w:highlight w:val="none"/>
                <w:lang w:val="en-US" w:eastAsia="zh-CN"/>
              </w:rPr>
              <w:t>符合</w:t>
            </w:r>
            <w:r>
              <w:rPr>
                <w:rFonts w:hint="default" w:ascii="Times New Roman" w:hAnsi="Times New Roman" w:eastAsia="宋体" w:cs="Times New Roman"/>
                <w:sz w:val="24"/>
                <w:szCs w:val="24"/>
                <w:highlight w:val="none"/>
              </w:rPr>
              <w:t>《矿山生态环境保护与污染防治技术政策》</w:t>
            </w:r>
            <w:r>
              <w:rPr>
                <w:rFonts w:hint="eastAsia" w:ascii="Times New Roman" w:hAnsi="Times New Roman" w:eastAsia="宋体" w:cs="Times New Roman"/>
                <w:sz w:val="24"/>
                <w:szCs w:val="24"/>
                <w:highlight w:val="none"/>
                <w:lang w:val="en-US" w:eastAsia="zh-CN"/>
              </w:rPr>
              <w:t>的要求。</w:t>
            </w:r>
          </w:p>
          <w:p>
            <w:pPr>
              <w:keepNext w:val="0"/>
              <w:keepLines w:val="0"/>
              <w:pageBreakBefore w:val="0"/>
              <w:widowControl w:val="0"/>
              <w:kinsoku/>
              <w:wordWrap/>
              <w:overflowPunct/>
              <w:topLinePunct w:val="0"/>
              <w:bidi w:val="0"/>
              <w:adjustRightInd/>
              <w:snapToGrid/>
              <w:spacing w:line="520" w:lineRule="exact"/>
              <w:ind w:firstLine="482" w:firstLineChars="200"/>
              <w:jc w:val="both"/>
              <w:textAlignment w:val="auto"/>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3.5</w:t>
            </w:r>
            <w:r>
              <w:rPr>
                <w:rFonts w:hint="eastAsia" w:ascii="Times New Roman" w:hAnsi="Times New Roman" w:eastAsia="宋体" w:cs="Times New Roman"/>
                <w:b/>
                <w:bCs/>
                <w:sz w:val="24"/>
                <w:szCs w:val="24"/>
                <w:highlight w:val="none"/>
                <w:lang w:val="en-US" w:eastAsia="zh-CN"/>
              </w:rPr>
              <w:t>《新疆生态环境保护“十四五”规划》符合性分析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本项目已依法取得探矿权，在探矿权属范围内开展勘探活动，</w:t>
            </w:r>
            <w:r>
              <w:rPr>
                <w:rFonts w:hint="eastAsia" w:ascii="Times New Roman" w:hAnsi="Times New Roman" w:eastAsia="宋体" w:cs="Times New Roman"/>
                <w:sz w:val="24"/>
                <w:szCs w:val="24"/>
                <w:highlight w:val="none"/>
                <w:lang w:eastAsia="zh-CN"/>
              </w:rPr>
              <w:t>项目用地不在生态保护红线内，</w:t>
            </w:r>
            <w:r>
              <w:rPr>
                <w:rFonts w:hint="default" w:ascii="Times New Roman" w:hAnsi="Times New Roman" w:eastAsia="宋体" w:cs="Times New Roman"/>
                <w:sz w:val="24"/>
                <w:szCs w:val="24"/>
                <w:highlight w:val="none"/>
                <w:lang w:eastAsia="zh-CN"/>
              </w:rPr>
              <w:t>占地均为临时占地，</w:t>
            </w:r>
            <w:r>
              <w:rPr>
                <w:rFonts w:hint="eastAsia" w:ascii="Times New Roman" w:hAnsi="Times New Roman" w:eastAsia="宋体" w:cs="Times New Roman"/>
                <w:sz w:val="24"/>
                <w:szCs w:val="24"/>
                <w:highlight w:val="none"/>
                <w:lang w:val="en-US" w:eastAsia="zh-CN"/>
              </w:rPr>
              <w:t>待勘探工程结束后，恢复原有地形地貌。符合《新疆生态环境保护“十四五”规划》的要求。</w:t>
            </w:r>
          </w:p>
          <w:p>
            <w:pPr>
              <w:keepNext w:val="0"/>
              <w:keepLines w:val="0"/>
              <w:pageBreakBefore w:val="0"/>
              <w:widowControl w:val="0"/>
              <w:kinsoku/>
              <w:wordWrap/>
              <w:overflowPunct/>
              <w:topLinePunct w:val="0"/>
              <w:bidi w:val="0"/>
              <w:adjustRightInd/>
              <w:snapToGrid/>
              <w:spacing w:line="520" w:lineRule="exact"/>
              <w:ind w:firstLine="482" w:firstLineChars="200"/>
              <w:jc w:val="both"/>
              <w:textAlignment w:val="auto"/>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3.6</w:t>
            </w:r>
            <w:r>
              <w:rPr>
                <w:rFonts w:hint="eastAsia" w:ascii="Times New Roman" w:hAnsi="Times New Roman" w:eastAsia="宋体" w:cs="Times New Roman"/>
                <w:b/>
                <w:bCs/>
                <w:sz w:val="24"/>
                <w:szCs w:val="24"/>
                <w:highlight w:val="none"/>
                <w:lang w:val="en-US" w:eastAsia="zh-CN"/>
              </w:rPr>
              <w:t>《巴音郭楞蒙古自治州生态环境“十四五”规划》符合性分析</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严格执行能源、矿产资源开发自治区人民政府“一支笔”审批制度、环境保护“一票否决”制度，守住生态保护红线、环境质量底线和自然资源利用上线</w:t>
            </w:r>
            <w:r>
              <w:rPr>
                <w:rFonts w:hint="eastAsia" w:cs="Times New Roman"/>
                <w:sz w:val="24"/>
                <w:szCs w:val="24"/>
                <w:highlight w:val="none"/>
                <w:lang w:val="en-US" w:eastAsia="zh-CN"/>
              </w:rPr>
              <w:t>。</w:t>
            </w:r>
          </w:p>
          <w:p>
            <w:pPr>
              <w:keepNext w:val="0"/>
              <w:keepLines w:val="0"/>
              <w:pageBreakBefore w:val="0"/>
              <w:widowControl w:val="0"/>
              <w:kinsoku/>
              <w:wordWrap/>
              <w:overflowPunct/>
              <w:topLinePunct w:val="0"/>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本项目已依法取得探矿权，在探矿权属范围内开展勘探活动，</w:t>
            </w:r>
            <w:r>
              <w:rPr>
                <w:rFonts w:hint="eastAsia" w:ascii="Times New Roman" w:hAnsi="Times New Roman" w:eastAsia="宋体" w:cs="Times New Roman"/>
                <w:sz w:val="24"/>
                <w:szCs w:val="24"/>
                <w:highlight w:val="none"/>
                <w:lang w:eastAsia="zh-CN"/>
              </w:rPr>
              <w:t>项目用地不在生态保护红线内，</w:t>
            </w:r>
            <w:r>
              <w:rPr>
                <w:rFonts w:hint="eastAsia"/>
                <w:sz w:val="24"/>
                <w:szCs w:val="32"/>
                <w:lang w:val="en-US" w:eastAsia="zh-CN"/>
              </w:rPr>
              <w:t>符合生态环境分区管控要求，</w:t>
            </w:r>
            <w:r>
              <w:rPr>
                <w:rFonts w:hint="eastAsia" w:ascii="Times New Roman" w:hAnsi="Times New Roman" w:eastAsia="宋体" w:cs="Times New Roman"/>
                <w:sz w:val="24"/>
                <w:szCs w:val="24"/>
                <w:highlight w:val="none"/>
                <w:lang w:val="en-US" w:eastAsia="zh-CN"/>
              </w:rPr>
              <w:t>符合</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巴音郭楞蒙古自治州生态环境“十四五”规划》的要求。</w:t>
            </w:r>
          </w:p>
          <w:p>
            <w:pPr>
              <w:pStyle w:val="52"/>
              <w:bidi w:val="0"/>
              <w:rPr>
                <w:rFonts w:hint="eastAsia"/>
                <w:b/>
                <w:bCs/>
                <w:color w:val="auto"/>
                <w:lang w:eastAsia="zh-CN"/>
              </w:rPr>
            </w:pPr>
            <w:r>
              <w:rPr>
                <w:rFonts w:hint="eastAsia"/>
                <w:b/>
                <w:bCs/>
                <w:color w:val="auto"/>
                <w:lang w:val="en-US" w:eastAsia="zh-CN"/>
              </w:rPr>
              <w:t>3.7</w:t>
            </w:r>
            <w:r>
              <w:rPr>
                <w:rFonts w:hint="eastAsia"/>
                <w:b/>
                <w:bCs/>
                <w:color w:val="auto"/>
                <w:lang w:eastAsia="zh-CN"/>
              </w:rPr>
              <w:t>自然资源部、国家林草局《关于〈在新一轮找矿突破战略行动中全面实施绿色勘查〉的通知》符合性分析</w:t>
            </w:r>
          </w:p>
          <w:p>
            <w:pPr>
              <w:pStyle w:val="52"/>
              <w:bidi w:val="0"/>
              <w:rPr>
                <w:rFonts w:hint="eastAsia"/>
                <w:color w:val="auto"/>
                <w:lang w:eastAsia="zh-CN"/>
              </w:rPr>
            </w:pPr>
            <w:r>
              <w:rPr>
                <w:rFonts w:hint="eastAsia"/>
                <w:color w:val="auto"/>
                <w:lang w:val="en-US" w:eastAsia="zh-CN"/>
              </w:rPr>
              <w:t>①</w:t>
            </w:r>
            <w:r>
              <w:rPr>
                <w:rFonts w:hint="eastAsia"/>
                <w:color w:val="auto"/>
                <w:lang w:eastAsia="zh-CN"/>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52"/>
              <w:bidi w:val="0"/>
              <w:rPr>
                <w:rFonts w:hint="eastAsia"/>
                <w:color w:val="auto"/>
                <w:lang w:eastAsia="zh-CN"/>
              </w:rPr>
            </w:pPr>
            <w:r>
              <w:rPr>
                <w:rFonts w:hint="eastAsia"/>
                <w:color w:val="auto"/>
                <w:lang w:val="en-US" w:eastAsia="zh-CN"/>
              </w:rPr>
              <w:t>②</w:t>
            </w:r>
            <w:r>
              <w:rPr>
                <w:rFonts w:hint="eastAsia"/>
                <w:color w:val="auto"/>
                <w:lang w:eastAsia="zh-CN"/>
              </w:rPr>
              <w:t>新出让的探矿权，要将矿业权人绿色勘查义务在合同中载明，并在勘查实施方案评审中，对绿色勘查措施进行严格把关，促进矿业权人落实绿色勘查各项规定和要求。</w:t>
            </w:r>
          </w:p>
          <w:p>
            <w:pPr>
              <w:pStyle w:val="52"/>
              <w:bidi w:val="0"/>
              <w:rPr>
                <w:rFonts w:hint="eastAsia"/>
                <w:color w:val="auto"/>
                <w:lang w:eastAsia="zh-CN"/>
              </w:rPr>
            </w:pPr>
            <w:r>
              <w:rPr>
                <w:rFonts w:hint="eastAsia"/>
                <w:color w:val="auto"/>
                <w:lang w:val="en-US" w:eastAsia="zh-CN"/>
              </w:rPr>
              <w:t>③</w:t>
            </w:r>
            <w:r>
              <w:rPr>
                <w:rFonts w:hint="eastAsia"/>
                <w:color w:val="auto"/>
                <w:lang w:eastAsia="zh-CN"/>
              </w:rPr>
              <w:t>地勘单位和矿山企业要在新一轮找矿突破战略行动有关地质勘查项目实施中，优先采用遥感、化探等对环境影响小的地质勘查方法，必要的坑探、槽探、钻探、硐探要符合绿色勘查有关标准规范。在森林、草原、湿地地区尽可能减少使用坑探、槽探，鼓励使用以钻代槽、一基多孔等探矿手段。</w:t>
            </w:r>
          </w:p>
          <w:p>
            <w:pPr>
              <w:pStyle w:val="52"/>
              <w:bidi w:val="0"/>
              <w:rPr>
                <w:rFonts w:hint="eastAsia"/>
                <w:color w:val="auto"/>
                <w:lang w:eastAsia="zh-CN"/>
              </w:rPr>
            </w:pPr>
            <w:r>
              <w:rPr>
                <w:rFonts w:hint="eastAsia"/>
                <w:color w:val="auto"/>
                <w:lang w:val="en-US" w:eastAsia="zh-CN"/>
              </w:rPr>
              <w:t>④</w:t>
            </w:r>
            <w:r>
              <w:rPr>
                <w:rFonts w:hint="eastAsia"/>
                <w:color w:val="auto"/>
                <w:lang w:eastAsia="zh-CN"/>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新建道路、施工产生的坑、沟等，严格按照森林、草原、湿地、防沙治沙有关法律法规和标准规范在规定时间内做好复绿、复植等。</w:t>
            </w:r>
          </w:p>
          <w:p>
            <w:pPr>
              <w:pStyle w:val="52"/>
              <w:bidi w:val="0"/>
              <w:rPr>
                <w:rFonts w:hint="default"/>
                <w:color w:val="auto"/>
                <w:lang w:val="en-US" w:eastAsia="zh-CN"/>
              </w:rPr>
            </w:pPr>
            <w:r>
              <w:rPr>
                <w:rFonts w:hint="eastAsia"/>
                <w:color w:val="auto"/>
                <w:lang w:val="en-US" w:eastAsia="zh-CN"/>
              </w:rPr>
              <w:t>本项目施工布置及施工遵循“从已知到未知，由表及里，由浅入深，由稀到密”原则。前期充分收集已有地质资料，运用地理信息系统（GIS）、遥感（RS）等技术，进行综合分析和研究，优化勘查工作布局，减少不必要的勘查活动对环境的影响。采用地质测量、槽探等工作手段开展详查评价。通过运用高效、环保的方法、技术、设备等，在地质勘查各方面和全过程中减少或控制对生态环境的影响。在勘查结束后按照相关要求撤除各项设施，清理施工现场各种废物、垃圾，及时对开挖工程进行回填，开展植被恢复工作，最大限度减少人为破坏，践行“绿水青山就是金山银山”的理念，实现绿色勘查。符合绿色勘查要求。</w:t>
            </w:r>
          </w:p>
          <w:p>
            <w:pPr>
              <w:pStyle w:val="52"/>
              <w:rPr>
                <w:rFonts w:hint="eastAsia" w:cs="宋体"/>
                <w:b/>
                <w:bCs/>
                <w:color w:val="auto"/>
                <w:sz w:val="24"/>
                <w:szCs w:val="24"/>
                <w:lang w:val="en-US" w:eastAsia="zh-CN"/>
              </w:rPr>
            </w:pPr>
            <w:r>
              <w:rPr>
                <w:rFonts w:hint="eastAsia" w:cs="宋体"/>
                <w:b/>
                <w:bCs/>
                <w:color w:val="auto"/>
                <w:sz w:val="24"/>
                <w:szCs w:val="24"/>
                <w:lang w:val="en-US" w:eastAsia="zh-CN"/>
              </w:rPr>
              <w:t>3.8《绿色地质勘查工作规范》（DZ/T0374-2021）符合性分析</w:t>
            </w:r>
          </w:p>
          <w:p>
            <w:pPr>
              <w:pStyle w:val="16"/>
              <w:spacing w:before="0" w:after="0" w:line="520" w:lineRule="exact"/>
              <w:ind w:firstLine="480" w:firstLineChars="200"/>
              <w:jc w:val="left"/>
              <w:rPr>
                <w:rFonts w:hint="eastAsia" w:ascii="Times New Roman" w:hAnsi="Times New Roman" w:cs="宋体"/>
                <w:b w:val="0"/>
                <w:color w:val="auto"/>
                <w:kern w:val="0"/>
                <w:sz w:val="24"/>
                <w:lang w:val="en-US" w:eastAsia="zh-CN"/>
              </w:rPr>
            </w:pPr>
            <w:r>
              <w:rPr>
                <w:rFonts w:hint="eastAsia" w:ascii="Times New Roman" w:hAnsi="Times New Roman" w:cs="宋体"/>
                <w:b w:val="0"/>
                <w:color w:val="auto"/>
                <w:kern w:val="0"/>
                <w:sz w:val="24"/>
                <w:lang w:val="en-US" w:eastAsia="zh-CN"/>
              </w:rPr>
              <w:t>地质勘查工作前，应对工作人员进行绿色勘查培训，强化生态环境保护意识，掌握绿色勘查要求，地质调查工作实施中应保留绿色勘查相关记录。新修道路、驻地及探矿工程场地平整施工。绿色勘查工作质量检查应与项目工作质量检查同步开展，发现问题及时整改。地质勘查工作施工后，应按照地质勘查设计中绿色勘查内容要求，开展环境修复工作。地质勘察单位应对其开展勘查工作受影响的区域生态环境修复负责。</w:t>
            </w:r>
          </w:p>
          <w:p>
            <w:pPr>
              <w:pStyle w:val="16"/>
              <w:spacing w:before="0" w:after="0" w:line="520" w:lineRule="exact"/>
              <w:ind w:firstLine="480" w:firstLineChars="200"/>
              <w:jc w:val="left"/>
              <w:rPr>
                <w:rFonts w:hint="eastAsia" w:ascii="Times New Roman" w:hAnsi="Times New Roman" w:cs="宋体"/>
                <w:b w:val="0"/>
                <w:color w:val="auto"/>
                <w:kern w:val="0"/>
                <w:sz w:val="24"/>
                <w:lang w:val="en-US" w:eastAsia="zh-CN"/>
              </w:rPr>
            </w:pPr>
            <w:r>
              <w:rPr>
                <w:rFonts w:hint="eastAsia" w:ascii="Times New Roman" w:hAnsi="Times New Roman" w:cs="宋体"/>
                <w:b w:val="0"/>
                <w:color w:val="auto"/>
                <w:kern w:val="0"/>
                <w:sz w:val="24"/>
                <w:lang w:val="en-US" w:eastAsia="zh-CN"/>
              </w:rPr>
              <w:t>本项目在勘查工作前对工作人员进行绿色勘查培训。勘查过程中加强监督管理，提高勘查水平，本着谁施工、谁恢复、谁治理的原则。勘查完成后，对所破坏的环境进行恢复治理。符合绿色地质勘查工作规范。</w:t>
            </w:r>
          </w:p>
          <w:p>
            <w:pPr>
              <w:pStyle w:val="16"/>
              <w:rPr>
                <w:rFonts w:hint="default"/>
                <w:lang w:val="en-US" w:eastAsia="zh-CN"/>
              </w:rPr>
            </w:pPr>
          </w:p>
        </w:tc>
      </w:tr>
    </w:tbl>
    <w:p>
      <w:pPr>
        <w:spacing w:line="360" w:lineRule="auto"/>
        <w:outlineLvl w:val="0"/>
        <w:rPr>
          <w:rFonts w:eastAsia="黑体"/>
          <w:sz w:val="30"/>
          <w:highlight w:val="none"/>
        </w:rPr>
        <w:sectPr>
          <w:footerReference r:id="rId3" w:type="default"/>
          <w:pgSz w:w="11906" w:h="16838"/>
          <w:pgMar w:top="1701" w:right="1531" w:bottom="1701" w:left="1531" w:header="851" w:footer="1077" w:gutter="0"/>
          <w:pgNumType w:fmt="decimal" w:start="1"/>
          <w:cols w:space="720" w:num="1"/>
          <w:docGrid w:linePitch="312" w:charSpace="0"/>
        </w:sectPr>
      </w:pPr>
    </w:p>
    <w:p>
      <w:pPr>
        <w:pStyle w:val="15"/>
        <w:spacing w:line="360" w:lineRule="auto"/>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二、建设内容</w:t>
      </w:r>
    </w:p>
    <w:tbl>
      <w:tblPr>
        <w:tblStyle w:val="1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0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10" w:hRule="atLeast"/>
          <w:jc w:val="center"/>
        </w:trPr>
        <w:tc>
          <w:tcPr>
            <w:tcW w:w="248" w:type="pct"/>
            <w:noWrap w:val="0"/>
            <w:vAlign w:val="center"/>
          </w:tcPr>
          <w:p>
            <w:pPr>
              <w:adjustRightInd w:val="0"/>
              <w:snapToGrid w:val="0"/>
              <w:spacing w:line="240" w:lineRule="auto"/>
              <w:jc w:val="center"/>
              <w:rPr>
                <w:rFonts w:ascii="宋体" w:hAnsi="宋体" w:cs="宋体"/>
                <w:kern w:val="0"/>
                <w:szCs w:val="21"/>
                <w:highlight w:val="none"/>
              </w:rPr>
            </w:pPr>
            <w:r>
              <w:rPr>
                <w:rFonts w:hint="eastAsia" w:ascii="宋体" w:hAnsi="宋体" w:cs="宋体"/>
                <w:kern w:val="0"/>
                <w:szCs w:val="21"/>
                <w:highlight w:val="none"/>
              </w:rPr>
              <w:t>地理位置</w:t>
            </w:r>
          </w:p>
        </w:tc>
        <w:tc>
          <w:tcPr>
            <w:tcW w:w="4751" w:type="pct"/>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本项目</w:t>
            </w:r>
            <w:r>
              <w:rPr>
                <w:rFonts w:hint="default" w:ascii="Times New Roman" w:hAnsi="Times New Roman" w:cs="Times New Roman"/>
                <w:sz w:val="24"/>
                <w:szCs w:val="24"/>
                <w:highlight w:val="none"/>
              </w:rPr>
              <w:t>位于</w:t>
            </w:r>
            <w:r>
              <w:rPr>
                <w:rFonts w:hint="eastAsia" w:cs="Times New Roman"/>
                <w:sz w:val="24"/>
                <w:szCs w:val="24"/>
                <w:highlight w:val="none"/>
                <w:lang w:val="en-US" w:eastAsia="zh-CN"/>
              </w:rPr>
              <w:t>且末县城西南219°方向</w:t>
            </w:r>
            <w:r>
              <w:rPr>
                <w:rFonts w:hint="default" w:ascii="Times New Roman" w:hAnsi="Times New Roman" w:cs="Times New Roman"/>
                <w:sz w:val="24"/>
                <w:szCs w:val="24"/>
                <w:highlight w:val="none"/>
              </w:rPr>
              <w:t>，</w:t>
            </w:r>
            <w:r>
              <w:rPr>
                <w:rFonts w:hint="eastAsia" w:cs="Times New Roman"/>
                <w:sz w:val="24"/>
                <w:szCs w:val="24"/>
                <w:highlight w:val="none"/>
                <w:lang w:val="en-US" w:eastAsia="zh-CN"/>
              </w:rPr>
              <w:t>距且末县县城直线距离约195km，</w:t>
            </w:r>
            <w:r>
              <w:rPr>
                <w:rFonts w:hint="default" w:ascii="Times New Roman" w:hAnsi="Times New Roman" w:cs="Times New Roman"/>
                <w:sz w:val="24"/>
                <w:szCs w:val="24"/>
                <w:highlight w:val="none"/>
              </w:rPr>
              <w:t>隶属新疆</w:t>
            </w:r>
            <w:r>
              <w:rPr>
                <w:rFonts w:hint="eastAsia" w:ascii="Times New Roman" w:hAnsi="Times New Roman" w:cs="Times New Roman"/>
                <w:sz w:val="24"/>
                <w:szCs w:val="24"/>
                <w:highlight w:val="none"/>
                <w:lang w:eastAsia="zh-CN"/>
              </w:rPr>
              <w:t>巴音郭楞</w:t>
            </w:r>
            <w:r>
              <w:rPr>
                <w:rFonts w:hint="default" w:ascii="Times New Roman" w:hAnsi="Times New Roman" w:cs="Times New Roman"/>
                <w:sz w:val="24"/>
                <w:szCs w:val="24"/>
                <w:highlight w:val="none"/>
              </w:rPr>
              <w:t>蒙古自治州</w:t>
            </w:r>
            <w:r>
              <w:rPr>
                <w:rFonts w:hint="eastAsia" w:cs="Times New Roman"/>
                <w:sz w:val="24"/>
                <w:szCs w:val="24"/>
                <w:highlight w:val="none"/>
                <w:lang w:val="en-US" w:eastAsia="zh-CN"/>
              </w:rPr>
              <w:t>且末</w:t>
            </w:r>
            <w:r>
              <w:rPr>
                <w:rFonts w:hint="default" w:ascii="Times New Roman" w:hAnsi="Times New Roman" w:cs="Times New Roman"/>
                <w:sz w:val="24"/>
                <w:szCs w:val="24"/>
                <w:highlight w:val="none"/>
              </w:rPr>
              <w:t>县管辖。</w:t>
            </w:r>
            <w:r>
              <w:rPr>
                <w:rFonts w:hint="eastAsia" w:ascii="Times New Roman" w:hAnsi="Times New Roman" w:cs="Times New Roman"/>
                <w:sz w:val="24"/>
                <w:szCs w:val="24"/>
                <w:highlight w:val="none"/>
                <w:lang w:val="en-US" w:eastAsia="zh-CN"/>
              </w:rPr>
              <w:t>探矿权</w:t>
            </w:r>
            <w:r>
              <w:rPr>
                <w:rFonts w:hint="default" w:ascii="Times New Roman" w:hAnsi="Times New Roman" w:cs="Times New Roman"/>
                <w:sz w:val="24"/>
                <w:szCs w:val="24"/>
                <w:highlight w:val="none"/>
              </w:rPr>
              <w:t>范围</w:t>
            </w:r>
            <w:r>
              <w:rPr>
                <w:rFonts w:hint="eastAsia" w:cs="Times New Roman"/>
                <w:sz w:val="24"/>
                <w:szCs w:val="24"/>
                <w:highlight w:val="none"/>
                <w:lang w:val="en-US" w:eastAsia="zh-CN"/>
              </w:rPr>
              <w:t>由6个拐点圈定</w:t>
            </w:r>
            <w:r>
              <w:rPr>
                <w:rFonts w:hint="default" w:ascii="Times New Roman" w:hAnsi="Times New Roman" w:cs="Times New Roman"/>
                <w:sz w:val="24"/>
                <w:szCs w:val="24"/>
                <w:highlight w:val="none"/>
              </w:rPr>
              <w:t>，面积</w:t>
            </w:r>
            <w:r>
              <w:rPr>
                <w:rFonts w:hint="eastAsia" w:cs="Times New Roman"/>
                <w:sz w:val="24"/>
                <w:szCs w:val="24"/>
                <w:highlight w:val="none"/>
                <w:lang w:val="en-US" w:eastAsia="zh-CN"/>
              </w:rPr>
              <w:t>为24.4046</w:t>
            </w:r>
            <w:r>
              <w:rPr>
                <w:rFonts w:hint="eastAsia" w:ascii="Times New Roman" w:hAnsi="Times New Roman" w:cs="Times New Roman"/>
                <w:sz w:val="24"/>
                <w:szCs w:val="24"/>
                <w:highlight w:val="none"/>
                <w:lang w:val="en-US" w:eastAsia="zh-CN"/>
              </w:rPr>
              <w:t>km</w:t>
            </w:r>
            <w:r>
              <w:rPr>
                <w:rFonts w:hint="eastAsia" w:ascii="Times New Roman" w:hAnsi="Times New Roman" w:cs="Times New Roman"/>
                <w:sz w:val="24"/>
                <w:szCs w:val="24"/>
                <w:highlight w:val="none"/>
                <w:vertAlign w:val="superscript"/>
                <w:lang w:val="en-US" w:eastAsia="zh-CN"/>
              </w:rPr>
              <w:t>2</w:t>
            </w:r>
            <w:r>
              <w:rPr>
                <w:rFonts w:hint="default" w:ascii="Times New Roman" w:hAnsi="Times New Roman" w:cs="Times New Roman"/>
                <w:sz w:val="24"/>
                <w:szCs w:val="24"/>
                <w:highlight w:val="none"/>
              </w:rPr>
              <w:t>。</w:t>
            </w:r>
            <w:r>
              <w:rPr>
                <w:rFonts w:hint="eastAsia" w:cs="Times New Roman"/>
                <w:sz w:val="24"/>
                <w:szCs w:val="24"/>
                <w:highlight w:val="none"/>
                <w:lang w:val="en-US" w:eastAsia="zh-CN"/>
              </w:rPr>
              <w:t>地理位置示意图见附图1。</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sz w:val="24"/>
                <w:szCs w:val="24"/>
                <w:highlight w:val="none"/>
              </w:rPr>
            </w:pPr>
            <w:r>
              <w:rPr>
                <w:rFonts w:hint="default" w:ascii="Times New Roman" w:hAnsi="Times New Roman" w:cs="Times New Roman"/>
                <w:b/>
                <w:bCs/>
                <w:sz w:val="24"/>
                <w:szCs w:val="24"/>
                <w:highlight w:val="none"/>
              </w:rPr>
              <w:t>表</w:t>
            </w:r>
            <w:r>
              <w:rPr>
                <w:rFonts w:hint="default" w:ascii="Times New Roman" w:hAnsi="Times New Roman" w:cs="Times New Roman"/>
                <w:b/>
                <w:bCs/>
                <w:sz w:val="24"/>
                <w:szCs w:val="24"/>
                <w:highlight w:val="none"/>
                <w:lang w:val="en-US" w:eastAsia="zh-CN"/>
              </w:rPr>
              <w:t>2</w:t>
            </w:r>
            <w:r>
              <w:rPr>
                <w:rFonts w:hint="default" w:ascii="Times New Roman" w:hAnsi="Times New Roman" w:cs="Times New Roman"/>
                <w:b/>
                <w:bCs/>
                <w:sz w:val="24"/>
                <w:szCs w:val="24"/>
                <w:highlight w:val="none"/>
              </w:rPr>
              <w:t>-</w:t>
            </w:r>
            <w:r>
              <w:rPr>
                <w:rFonts w:hint="default" w:ascii="Times New Roman" w:hAnsi="Times New Roman" w:cs="Times New Roman"/>
                <w:b/>
                <w:bCs/>
                <w:sz w:val="24"/>
                <w:szCs w:val="24"/>
                <w:highlight w:val="none"/>
                <w:lang w:val="en-US" w:eastAsia="zh-CN"/>
              </w:rPr>
              <w:t xml:space="preserve">1  </w:t>
            </w:r>
            <w:r>
              <w:rPr>
                <w:rFonts w:hint="default" w:ascii="Times New Roman" w:hAnsi="Times New Roman" w:cs="Times New Roman"/>
                <w:b/>
                <w:bCs/>
                <w:sz w:val="24"/>
                <w:szCs w:val="24"/>
                <w:highlight w:val="none"/>
              </w:rPr>
              <w:t>探矿权范围拐点坐标一览表</w:t>
            </w:r>
          </w:p>
          <w:tbl>
            <w:tblPr>
              <w:tblStyle w:val="1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33"/>
              <w:gridCol w:w="3141"/>
              <w:gridCol w:w="34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6"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default" w:ascii="Times New Roman" w:hAnsi="Times New Roman" w:cs="Times New Roman" w:eastAsiaTheme="minorEastAsia"/>
                      <w:b/>
                      <w:bCs/>
                      <w:i w:val="0"/>
                      <w:iCs w:val="0"/>
                      <w:color w:val="auto"/>
                      <w:kern w:val="0"/>
                      <w:sz w:val="21"/>
                      <w:szCs w:val="21"/>
                      <w:highlight w:val="none"/>
                      <w:u w:val="none"/>
                      <w:lang w:val="en-US" w:eastAsia="zh-CN" w:bidi="ar"/>
                    </w:rPr>
                    <w:t>拐点坐标</w:t>
                  </w:r>
                </w:p>
              </w:tc>
              <w:tc>
                <w:tcPr>
                  <w:tcW w:w="4153"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default" w:ascii="Times New Roman" w:hAnsi="Times New Roman" w:cs="Times New Roman" w:eastAsiaTheme="minorEastAsia"/>
                      <w:b/>
                      <w:bCs/>
                      <w:i w:val="0"/>
                      <w:iCs w:val="0"/>
                      <w:color w:val="auto"/>
                      <w:kern w:val="0"/>
                      <w:sz w:val="21"/>
                      <w:szCs w:val="21"/>
                      <w:highlight w:val="none"/>
                      <w:u w:val="none"/>
                      <w:lang w:val="en-US" w:eastAsia="zh-CN" w:bidi="ar"/>
                    </w:rPr>
                    <w:t>经纬度</w:t>
                  </w:r>
                  <w:r>
                    <w:rPr>
                      <w:rFonts w:hint="eastAsia" w:cs="Times New Roman" w:eastAsiaTheme="minorEastAsia"/>
                      <w:b/>
                      <w:bCs/>
                      <w:i w:val="0"/>
                      <w:iCs w:val="0"/>
                      <w:color w:val="auto"/>
                      <w:kern w:val="0"/>
                      <w:sz w:val="21"/>
                      <w:szCs w:val="21"/>
                      <w:highlight w:val="none"/>
                      <w:u w:val="none"/>
                      <w:lang w:val="en-US" w:eastAsia="zh-CN" w:bidi="ar"/>
                    </w:rPr>
                    <w:t>（</w:t>
                  </w:r>
                  <w:r>
                    <w:rPr>
                      <w:rFonts w:hint="default" w:ascii="Times New Roman" w:hAnsi="Times New Roman" w:cs="Times New Roman" w:eastAsiaTheme="minorEastAsia"/>
                      <w:b/>
                      <w:bCs/>
                      <w:i w:val="0"/>
                      <w:iCs w:val="0"/>
                      <w:color w:val="auto"/>
                      <w:kern w:val="0"/>
                      <w:sz w:val="21"/>
                      <w:szCs w:val="21"/>
                      <w:highlight w:val="none"/>
                      <w:u w:val="none"/>
                      <w:lang w:val="en-US" w:eastAsia="zh-CN" w:bidi="ar"/>
                    </w:rPr>
                    <w:t>CGS2000</w:t>
                  </w:r>
                  <w:r>
                    <w:rPr>
                      <w:rFonts w:hint="eastAsia" w:cs="Times New Roman" w:eastAsiaTheme="minorEastAsia"/>
                      <w:b/>
                      <w:bCs/>
                      <w:i w:val="0"/>
                      <w:iCs w:val="0"/>
                      <w:color w:val="auto"/>
                      <w:kern w:val="0"/>
                      <w:sz w:val="21"/>
                      <w:szCs w:val="21"/>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46" w:type="pct"/>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cs="Times New Roman" w:eastAsiaTheme="minorEastAsia"/>
                      <w:b/>
                      <w:bCs/>
                      <w:i w:val="0"/>
                      <w:iCs w:val="0"/>
                      <w:color w:val="auto"/>
                      <w:sz w:val="21"/>
                      <w:szCs w:val="21"/>
                      <w:highlight w:val="none"/>
                      <w:u w:val="none"/>
                    </w:rPr>
                  </w:pPr>
                </w:p>
              </w:tc>
              <w:tc>
                <w:tcPr>
                  <w:tcW w:w="199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b/>
                      <w:bCs/>
                      <w:i w:val="0"/>
                      <w:iCs w:val="0"/>
                      <w:color w:val="auto"/>
                      <w:kern w:val="0"/>
                      <w:sz w:val="21"/>
                      <w:szCs w:val="21"/>
                      <w:highlight w:val="none"/>
                      <w:u w:val="none"/>
                      <w:lang w:val="en-US" w:eastAsia="zh-CN" w:bidi="ar"/>
                    </w:rPr>
                  </w:pPr>
                  <w:r>
                    <w:rPr>
                      <w:rFonts w:hint="default" w:ascii="Times New Roman" w:hAnsi="Times New Roman" w:cs="Times New Roman" w:eastAsiaTheme="minorEastAsia"/>
                      <w:b/>
                      <w:bCs/>
                      <w:i w:val="0"/>
                      <w:iCs w:val="0"/>
                      <w:color w:val="auto"/>
                      <w:kern w:val="0"/>
                      <w:sz w:val="21"/>
                      <w:szCs w:val="21"/>
                      <w:highlight w:val="none"/>
                      <w:u w:val="none"/>
                      <w:lang w:val="en-US" w:eastAsia="zh-CN" w:bidi="ar"/>
                    </w:rPr>
                    <w:t>东经</w:t>
                  </w:r>
                </w:p>
              </w:tc>
              <w:tc>
                <w:tcPr>
                  <w:tcW w:w="21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b/>
                      <w:bCs/>
                      <w:i w:val="0"/>
                      <w:iCs w:val="0"/>
                      <w:color w:val="auto"/>
                      <w:kern w:val="0"/>
                      <w:sz w:val="21"/>
                      <w:szCs w:val="21"/>
                      <w:highlight w:val="none"/>
                      <w:u w:val="none"/>
                      <w:lang w:val="en-US" w:eastAsia="zh-CN" w:bidi="ar"/>
                    </w:rPr>
                  </w:pPr>
                  <w:r>
                    <w:rPr>
                      <w:rFonts w:hint="default" w:ascii="Times New Roman" w:hAnsi="Times New Roman" w:cs="Times New Roman" w:eastAsiaTheme="minorEastAsia"/>
                      <w:b/>
                      <w:bCs/>
                      <w:i w:val="0"/>
                      <w:iCs w:val="0"/>
                      <w:color w:val="auto"/>
                      <w:kern w:val="0"/>
                      <w:sz w:val="21"/>
                      <w:szCs w:val="21"/>
                      <w:highlight w:val="none"/>
                      <w:u w:val="none"/>
                      <w:lang w:val="en-US" w:eastAsia="zh-CN" w:bidi="ar"/>
                    </w:rPr>
                    <w:t>北纬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b/>
                      <w:bCs/>
                      <w:i w:val="0"/>
                      <w:iCs w:val="0"/>
                      <w:color w:val="auto"/>
                      <w:kern w:val="0"/>
                      <w:sz w:val="21"/>
                      <w:szCs w:val="21"/>
                      <w:highlight w:val="none"/>
                      <w:u w:val="none"/>
                      <w:lang w:val="en-US" w:eastAsia="zh-CN" w:bidi="ar"/>
                    </w:rPr>
                  </w:pPr>
                  <w:r>
                    <w:rPr>
                      <w:rFonts w:hint="eastAsia" w:cs="Times New Roman" w:eastAsiaTheme="minorEastAsia"/>
                      <w:b/>
                      <w:bCs/>
                      <w:i w:val="0"/>
                      <w:iCs w:val="0"/>
                      <w:color w:val="auto"/>
                      <w:kern w:val="0"/>
                      <w:sz w:val="21"/>
                      <w:szCs w:val="21"/>
                      <w:highlight w:val="none"/>
                      <w:u w:val="none"/>
                      <w:lang w:val="en-US" w:eastAsia="zh-CN" w:bidi="ar"/>
                    </w:rPr>
                    <w:t>范围坐标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cs="Times New Roman" w:eastAsiaTheme="minorEastAsia"/>
                      <w:i w:val="0"/>
                      <w:iCs w:val="0"/>
                      <w:color w:val="auto"/>
                      <w:kern w:val="0"/>
                      <w:sz w:val="21"/>
                      <w:szCs w:val="21"/>
                      <w:highlight w:val="none"/>
                      <w:u w:val="none"/>
                      <w:lang w:val="en-US" w:eastAsia="zh-CN" w:bidi="ar"/>
                    </w:rPr>
                    <w:t>1</w:t>
                  </w:r>
                </w:p>
              </w:tc>
              <w:tc>
                <w:tcPr>
                  <w:tcW w:w="199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84°07'44.553"</w:t>
                  </w:r>
                </w:p>
              </w:tc>
              <w:tc>
                <w:tcPr>
                  <w:tcW w:w="21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36°46'20.461"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cs="Times New Roman" w:eastAsiaTheme="minorEastAsia"/>
                      <w:i w:val="0"/>
                      <w:iCs w:val="0"/>
                      <w:color w:val="auto"/>
                      <w:kern w:val="0"/>
                      <w:sz w:val="21"/>
                      <w:szCs w:val="21"/>
                      <w:highlight w:val="none"/>
                      <w:u w:val="none"/>
                      <w:lang w:val="en-US" w:eastAsia="zh-CN" w:bidi="ar"/>
                    </w:rPr>
                    <w:t>2</w:t>
                  </w:r>
                </w:p>
              </w:tc>
              <w:tc>
                <w:tcPr>
                  <w:tcW w:w="199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84°07'43.552"</w:t>
                  </w:r>
                </w:p>
              </w:tc>
              <w:tc>
                <w:tcPr>
                  <w:tcW w:w="21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36°48'11.288"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3</w:t>
                  </w:r>
                </w:p>
              </w:tc>
              <w:tc>
                <w:tcPr>
                  <w:tcW w:w="199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84°10'48.275"</w:t>
                  </w:r>
                </w:p>
              </w:tc>
              <w:tc>
                <w:tcPr>
                  <w:tcW w:w="21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36°48'12.092"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4</w:t>
                  </w:r>
                </w:p>
              </w:tc>
              <w:tc>
                <w:tcPr>
                  <w:tcW w:w="199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84°10'48.275"</w:t>
                  </w:r>
                </w:p>
              </w:tc>
              <w:tc>
                <w:tcPr>
                  <w:tcW w:w="21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36°48'38.646"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eastAsia" w:cs="Times New Roman" w:eastAsiaTheme="minorEastAsia"/>
                      <w:i w:val="0"/>
                      <w:iCs w:val="0"/>
                      <w:color w:val="auto"/>
                      <w:kern w:val="0"/>
                      <w:sz w:val="21"/>
                      <w:szCs w:val="21"/>
                      <w:highlight w:val="none"/>
                      <w:u w:val="none"/>
                      <w:lang w:val="en-US" w:eastAsia="zh-CN" w:bidi="ar"/>
                    </w:rPr>
                    <w:t>5</w:t>
                  </w:r>
                </w:p>
              </w:tc>
              <w:tc>
                <w:tcPr>
                  <w:tcW w:w="199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84°12'11.240"</w:t>
                  </w:r>
                </w:p>
              </w:tc>
              <w:tc>
                <w:tcPr>
                  <w:tcW w:w="21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36°48'38.824"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5" w:hRule="atLeast"/>
              </w:trPr>
              <w:tc>
                <w:tcPr>
                  <w:tcW w:w="84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eastAsia" w:cs="Times New Roman" w:eastAsiaTheme="minorEastAsia"/>
                      <w:i w:val="0"/>
                      <w:iCs w:val="0"/>
                      <w:color w:val="auto"/>
                      <w:kern w:val="0"/>
                      <w:sz w:val="21"/>
                      <w:szCs w:val="21"/>
                      <w:highlight w:val="none"/>
                      <w:u w:val="none"/>
                      <w:lang w:val="en-US" w:eastAsia="zh-CN" w:bidi="ar"/>
                    </w:rPr>
                    <w:t>6</w:t>
                  </w:r>
                </w:p>
              </w:tc>
              <w:tc>
                <w:tcPr>
                  <w:tcW w:w="199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84°12'11.240"</w:t>
                  </w:r>
                </w:p>
              </w:tc>
              <w:tc>
                <w:tcPr>
                  <w:tcW w:w="21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default" w:ascii="Times New Roman" w:hAnsi="Times New Roman" w:cs="Times New Roman" w:eastAsiaTheme="minorEastAsia"/>
                      <w:i w:val="0"/>
                      <w:iCs w:val="0"/>
                      <w:color w:val="auto"/>
                      <w:kern w:val="0"/>
                      <w:sz w:val="21"/>
                      <w:szCs w:val="21"/>
                      <w:highlight w:val="none"/>
                      <w:u w:val="none"/>
                      <w:lang w:val="en-US" w:eastAsia="zh-CN" w:bidi="ar"/>
                    </w:rPr>
                  </w:pPr>
                  <w:r>
                    <w:rPr>
                      <w:rFonts w:hint="default" w:ascii="Times New Roman" w:hAnsi="Times New Roman" w:cs="Times New Roman" w:eastAsiaTheme="minorEastAsia"/>
                      <w:i w:val="0"/>
                      <w:iCs w:val="0"/>
                      <w:color w:val="auto"/>
                      <w:kern w:val="0"/>
                      <w:sz w:val="21"/>
                      <w:szCs w:val="21"/>
                      <w:highlight w:val="none"/>
                      <w:u w:val="none"/>
                      <w:lang w:val="en-US" w:eastAsia="zh-CN" w:bidi="ar"/>
                    </w:rPr>
                    <w:t>36°46'20.699"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0" w:hRule="atLeast"/>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cs="Times New Roman" w:eastAsiaTheme="minorEastAsia"/>
                      <w:b/>
                      <w:bCs/>
                      <w:i w:val="0"/>
                      <w:iCs w:val="0"/>
                      <w:color w:val="auto"/>
                      <w:kern w:val="0"/>
                      <w:sz w:val="21"/>
                      <w:szCs w:val="21"/>
                      <w:highlight w:val="none"/>
                      <w:u w:val="none"/>
                      <w:lang w:val="en-US" w:eastAsia="zh-CN" w:bidi="ar"/>
                    </w:rPr>
                    <w:t>勘查区面积</w:t>
                  </w:r>
                  <w:r>
                    <w:rPr>
                      <w:rFonts w:hint="eastAsia" w:cs="Times New Roman" w:eastAsiaTheme="minorEastAsia"/>
                      <w:b/>
                      <w:bCs/>
                      <w:i w:val="0"/>
                      <w:iCs w:val="0"/>
                      <w:color w:val="auto"/>
                      <w:kern w:val="0"/>
                      <w:sz w:val="21"/>
                      <w:szCs w:val="21"/>
                      <w:highlight w:val="none"/>
                      <w:u w:val="none"/>
                      <w:lang w:val="en-US" w:eastAsia="zh-CN" w:bidi="ar"/>
                    </w:rPr>
                    <w:t>24.4046</w:t>
                  </w:r>
                  <w:r>
                    <w:rPr>
                      <w:rFonts w:hint="default" w:ascii="Times New Roman" w:hAnsi="Times New Roman" w:cs="Times New Roman" w:eastAsiaTheme="minorEastAsia"/>
                      <w:b/>
                      <w:bCs/>
                      <w:i w:val="0"/>
                      <w:iCs w:val="0"/>
                      <w:color w:val="auto"/>
                      <w:kern w:val="0"/>
                      <w:sz w:val="21"/>
                      <w:szCs w:val="21"/>
                      <w:highlight w:val="none"/>
                      <w:u w:val="none"/>
                      <w:lang w:val="en-US" w:eastAsia="zh-CN" w:bidi="ar"/>
                    </w:rPr>
                    <w:t>km</w:t>
                  </w:r>
                  <w:r>
                    <w:rPr>
                      <w:rFonts w:hint="default" w:ascii="Times New Roman" w:hAnsi="Times New Roman" w:cs="Times New Roman" w:eastAsiaTheme="minorEastAsia"/>
                      <w:b/>
                      <w:bCs/>
                      <w:i w:val="0"/>
                      <w:iCs w:val="0"/>
                      <w:color w:val="auto"/>
                      <w:kern w:val="0"/>
                      <w:sz w:val="21"/>
                      <w:szCs w:val="21"/>
                      <w:highlight w:val="none"/>
                      <w:u w:val="none"/>
                      <w:vertAlign w:val="superscript"/>
                      <w:lang w:val="en-US" w:eastAsia="zh-CN" w:bidi="ar"/>
                    </w:rPr>
                    <w:t>2</w:t>
                  </w:r>
                </w:p>
              </w:tc>
            </w:tr>
          </w:tbl>
          <w:p>
            <w:pPr>
              <w:spacing w:line="360" w:lineRule="auto"/>
              <w:jc w:val="both"/>
              <w:rPr>
                <w:rFonts w:hint="default" w:ascii="Times New Roman" w:hAnsi="Times New Roman" w:eastAsia="宋体" w:cs="Times New Roman"/>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8" w:type="pct"/>
            <w:noWrap w:val="0"/>
            <w:vAlign w:val="center"/>
          </w:tcPr>
          <w:p>
            <w:pPr>
              <w:adjustRightInd w:val="0"/>
              <w:snapToGrid w:val="0"/>
              <w:spacing w:line="240" w:lineRule="auto"/>
              <w:jc w:val="center"/>
              <w:rPr>
                <w:rFonts w:ascii="宋体" w:hAnsi="宋体" w:cs="宋体"/>
                <w:kern w:val="0"/>
                <w:szCs w:val="21"/>
                <w:highlight w:val="none"/>
              </w:rPr>
            </w:pPr>
            <w:r>
              <w:rPr>
                <w:rFonts w:hint="eastAsia" w:ascii="宋体" w:hAnsi="宋体" w:cs="宋体"/>
                <w:kern w:val="0"/>
                <w:szCs w:val="21"/>
                <w:highlight w:val="none"/>
              </w:rPr>
              <w:t>项目组成及规模</w:t>
            </w:r>
          </w:p>
        </w:tc>
        <w:tc>
          <w:tcPr>
            <w:tcW w:w="4751" w:type="pct"/>
            <w:noWrap w:val="0"/>
            <w:vAlign w:val="center"/>
          </w:tcPr>
          <w:p>
            <w:pPr>
              <w:keepNext w:val="0"/>
              <w:keepLines w:val="0"/>
              <w:pageBreakBefore w:val="0"/>
              <w:widowControl w:val="0"/>
              <w:numPr>
                <w:ilvl w:val="0"/>
                <w:numId w:val="0"/>
              </w:numPr>
              <w:kinsoku/>
              <w:wordWrap/>
              <w:overflowPunct/>
              <w:topLinePunct w:val="0"/>
              <w:bidi w:val="0"/>
              <w:adjustRightInd/>
              <w:snapToGrid/>
              <w:spacing w:line="520" w:lineRule="exact"/>
              <w:textAlignment w:val="auto"/>
              <w:rPr>
                <w:rFonts w:hint="default" w:ascii="Times New Roman" w:hAnsi="Times New Roman" w:cs="Times New Roman"/>
                <w:b/>
                <w:kern w:val="0"/>
                <w:sz w:val="24"/>
                <w:highlight w:val="none"/>
              </w:rPr>
            </w:pPr>
            <w:r>
              <w:rPr>
                <w:rFonts w:hint="eastAsia" w:cs="Times New Roman"/>
                <w:b/>
                <w:kern w:val="0"/>
                <w:sz w:val="24"/>
                <w:highlight w:val="none"/>
                <w:lang w:val="en-US" w:eastAsia="zh-CN"/>
              </w:rPr>
              <w:t>1.</w:t>
            </w:r>
            <w:r>
              <w:rPr>
                <w:rFonts w:hint="default" w:ascii="Times New Roman" w:hAnsi="Times New Roman" w:cs="Times New Roman"/>
                <w:b/>
                <w:kern w:val="0"/>
                <w:sz w:val="24"/>
                <w:highlight w:val="none"/>
              </w:rPr>
              <w:t>项目基本情况</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contextualSpacing/>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202</w:t>
            </w:r>
            <w:r>
              <w:rPr>
                <w:rFonts w:hint="eastAsia" w:cs="Times New Roman"/>
                <w:sz w:val="24"/>
                <w:szCs w:val="24"/>
                <w:highlight w:val="none"/>
                <w:lang w:val="en-US" w:eastAsia="zh-CN"/>
              </w:rPr>
              <w:t>6</w:t>
            </w:r>
            <w:r>
              <w:rPr>
                <w:rFonts w:hint="eastAsia" w:ascii="Times New Roman" w:hAnsi="Times New Roman" w:eastAsia="宋体" w:cs="Times New Roman"/>
                <w:sz w:val="24"/>
                <w:szCs w:val="24"/>
                <w:highlight w:val="none"/>
                <w:lang w:val="en-US" w:eastAsia="zh-CN"/>
              </w:rPr>
              <w:t>年</w:t>
            </w:r>
            <w:r>
              <w:rPr>
                <w:rFonts w:hint="eastAsia" w:cs="Times New Roman"/>
                <w:sz w:val="24"/>
                <w:szCs w:val="24"/>
                <w:highlight w:val="none"/>
                <w:lang w:val="en-US" w:eastAsia="zh-CN"/>
              </w:rPr>
              <w:t>3</w:t>
            </w:r>
            <w:r>
              <w:rPr>
                <w:rFonts w:hint="eastAsia" w:ascii="Times New Roman" w:hAnsi="Times New Roman" w:eastAsia="宋体" w:cs="Times New Roman"/>
                <w:sz w:val="24"/>
                <w:szCs w:val="24"/>
                <w:highlight w:val="none"/>
                <w:lang w:val="en-US" w:eastAsia="zh-CN"/>
              </w:rPr>
              <w:t>月</w:t>
            </w:r>
            <w:r>
              <w:rPr>
                <w:rFonts w:hint="eastAsia" w:cs="Times New Roman"/>
                <w:sz w:val="24"/>
                <w:szCs w:val="24"/>
                <w:highlight w:val="none"/>
                <w:lang w:val="en-US" w:eastAsia="zh-CN"/>
              </w:rPr>
              <w:t>3</w:t>
            </w:r>
            <w:r>
              <w:rPr>
                <w:rFonts w:hint="eastAsia" w:ascii="Times New Roman" w:hAnsi="Times New Roman" w:eastAsia="宋体" w:cs="Times New Roman"/>
                <w:sz w:val="24"/>
                <w:szCs w:val="24"/>
                <w:highlight w:val="none"/>
                <w:lang w:val="en-US" w:eastAsia="zh-CN"/>
              </w:rPr>
              <w:t>日</w:t>
            </w:r>
            <w:r>
              <w:rPr>
                <w:rFonts w:hint="eastAsia" w:cs="Times New Roman"/>
                <w:sz w:val="24"/>
                <w:szCs w:val="24"/>
                <w:highlight w:val="none"/>
                <w:lang w:val="en-US" w:eastAsia="zh-CN"/>
              </w:rPr>
              <w:t>新疆利捷矿业投资有限公司</w:t>
            </w:r>
            <w:r>
              <w:rPr>
                <w:rFonts w:hint="default" w:ascii="Times New Roman" w:hAnsi="Times New Roman" w:eastAsia="宋体" w:cs="Times New Roman"/>
                <w:sz w:val="24"/>
                <w:szCs w:val="24"/>
                <w:highlight w:val="none"/>
                <w:lang w:val="en-US" w:eastAsia="zh-CN"/>
              </w:rPr>
              <w:t>取得该</w:t>
            </w:r>
            <w:r>
              <w:rPr>
                <w:rFonts w:hint="eastAsia" w:cs="Times New Roman"/>
                <w:sz w:val="24"/>
                <w:szCs w:val="24"/>
                <w:highlight w:val="none"/>
                <w:lang w:val="en-US" w:eastAsia="zh-CN"/>
              </w:rPr>
              <w:t>项目探</w:t>
            </w:r>
            <w:r>
              <w:rPr>
                <w:rFonts w:hint="default" w:ascii="Times New Roman" w:hAnsi="Times New Roman" w:eastAsia="宋体" w:cs="Times New Roman"/>
                <w:sz w:val="24"/>
                <w:szCs w:val="24"/>
                <w:highlight w:val="none"/>
                <w:lang w:val="en-US" w:eastAsia="zh-CN"/>
              </w:rPr>
              <w:t>矿权</w:t>
            </w:r>
            <w:r>
              <w:rPr>
                <w:rFonts w:hint="default" w:ascii="Times New Roman" w:hAnsi="Times New Roman" w:eastAsia="宋体" w:cs="Times New Roman"/>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探矿权基本信息如下（探矿权拐点坐标见表</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rPr>
              <w:t>）</w:t>
            </w:r>
            <w:r>
              <w:rPr>
                <w:rFonts w:hint="eastAsia" w:cs="Times New Roman"/>
                <w:sz w:val="24"/>
                <w:szCs w:val="24"/>
                <w:highlight w:val="none"/>
                <w:lang w:eastAsia="zh-CN"/>
              </w:rPr>
              <w:t>；</w:t>
            </w:r>
          </w:p>
          <w:p>
            <w:pPr>
              <w:pStyle w:val="28"/>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rPr>
              <w:t>探矿证号：</w:t>
            </w:r>
            <w:r>
              <w:rPr>
                <w:rFonts w:hint="eastAsia" w:ascii="Times New Roman" w:hAnsi="Times New Roman" w:cs="Times New Roman"/>
                <w:sz w:val="24"/>
                <w:szCs w:val="24"/>
                <w:highlight w:val="none"/>
                <w:lang w:val="en-US" w:eastAsia="zh-CN"/>
              </w:rPr>
              <w:t>DT6500002026033000000144；</w:t>
            </w:r>
          </w:p>
          <w:p>
            <w:pPr>
              <w:pStyle w:val="28"/>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highlight w:val="none"/>
              </w:rPr>
            </w:pPr>
            <w:r>
              <w:rPr>
                <w:rFonts w:hint="eastAsia" w:ascii="Times New Roman" w:hAnsi="Times New Roman" w:cs="Times New Roman"/>
                <w:sz w:val="24"/>
                <w:szCs w:val="24"/>
                <w:highlight w:val="none"/>
                <w:lang w:val="en-US" w:eastAsia="zh-CN"/>
              </w:rPr>
              <w:t>勘查</w:t>
            </w:r>
            <w:r>
              <w:rPr>
                <w:rFonts w:hint="default" w:ascii="Times New Roman" w:hAnsi="Times New Roman" w:cs="Times New Roman"/>
                <w:sz w:val="24"/>
                <w:szCs w:val="24"/>
                <w:highlight w:val="none"/>
              </w:rPr>
              <w:t>项目名称：</w:t>
            </w:r>
            <w:r>
              <w:rPr>
                <w:rFonts w:hint="eastAsia" w:ascii="Times New Roman" w:hAnsi="Times New Roman" w:cs="Times New Roman"/>
                <w:sz w:val="24"/>
                <w:szCs w:val="24"/>
                <w:highlight w:val="none"/>
                <w:lang w:val="en-US" w:eastAsia="zh-CN"/>
              </w:rPr>
              <w:t>新疆且末县纳其能卡铺铜矿多金属矿普查；</w:t>
            </w:r>
          </w:p>
          <w:p>
            <w:pPr>
              <w:pStyle w:val="28"/>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rPr>
              <w:t>探矿权人：</w:t>
            </w:r>
            <w:r>
              <w:rPr>
                <w:rFonts w:hint="eastAsia" w:ascii="Times New Roman" w:hAnsi="Times New Roman" w:cs="Times New Roman"/>
                <w:sz w:val="24"/>
                <w:szCs w:val="24"/>
                <w:highlight w:val="none"/>
                <w:lang w:val="en-US" w:eastAsia="zh-CN"/>
              </w:rPr>
              <w:t>新疆利捷矿业投资有限公司；</w:t>
            </w:r>
          </w:p>
          <w:p>
            <w:pPr>
              <w:pStyle w:val="28"/>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rPr>
              <w:t>地理位置：新疆维吾尔自治区巴音郭楞蒙古自治州</w:t>
            </w:r>
            <w:r>
              <w:rPr>
                <w:rFonts w:hint="eastAsia" w:ascii="Times New Roman" w:hAnsi="Times New Roman" w:cs="Times New Roman"/>
                <w:sz w:val="24"/>
                <w:szCs w:val="24"/>
                <w:highlight w:val="none"/>
                <w:lang w:val="en-US" w:eastAsia="zh-CN"/>
              </w:rPr>
              <w:t>且末</w:t>
            </w:r>
            <w:r>
              <w:rPr>
                <w:rFonts w:hint="default" w:ascii="Times New Roman" w:hAnsi="Times New Roman" w:cs="Times New Roman"/>
                <w:sz w:val="24"/>
                <w:szCs w:val="24"/>
                <w:highlight w:val="none"/>
              </w:rPr>
              <w:t>县</w:t>
            </w:r>
            <w:r>
              <w:rPr>
                <w:rFonts w:hint="eastAsia" w:ascii="Times New Roman" w:hAnsi="Times New Roman" w:cs="Times New Roman"/>
                <w:sz w:val="24"/>
                <w:szCs w:val="24"/>
                <w:highlight w:val="none"/>
                <w:lang w:eastAsia="zh-CN"/>
              </w:rPr>
              <w:t>；</w:t>
            </w:r>
          </w:p>
          <w:p>
            <w:pPr>
              <w:pStyle w:val="28"/>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rPr>
              <w:t>勘查面积：</w:t>
            </w:r>
            <w:r>
              <w:rPr>
                <w:rFonts w:hint="eastAsia" w:ascii="Times New Roman" w:hAnsi="Times New Roman" w:cs="Times New Roman"/>
                <w:sz w:val="24"/>
                <w:szCs w:val="24"/>
                <w:highlight w:val="none"/>
                <w:lang w:val="en-US" w:eastAsia="zh-CN"/>
              </w:rPr>
              <w:t>24.4046</w:t>
            </w:r>
            <w:r>
              <w:rPr>
                <w:rFonts w:hint="default" w:ascii="Times New Roman" w:hAnsi="Times New Roman" w:cs="Times New Roman"/>
                <w:sz w:val="24"/>
                <w:szCs w:val="24"/>
                <w:highlight w:val="none"/>
              </w:rPr>
              <w:t>平方千米</w:t>
            </w:r>
            <w:r>
              <w:rPr>
                <w:rFonts w:hint="eastAsia" w:ascii="Times New Roman" w:hAnsi="Times New Roman" w:cs="Times New Roman"/>
                <w:sz w:val="24"/>
                <w:szCs w:val="24"/>
                <w:highlight w:val="none"/>
                <w:lang w:eastAsia="zh-CN"/>
              </w:rPr>
              <w:t>；</w:t>
            </w:r>
          </w:p>
          <w:p>
            <w:pPr>
              <w:pStyle w:val="28"/>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rPr>
              <w:t>有效期限：</w:t>
            </w:r>
            <w:r>
              <w:rPr>
                <w:rFonts w:hint="default" w:ascii="Times New Roman" w:hAnsi="Times New Roman" w:cs="Times New Roman"/>
                <w:sz w:val="24"/>
                <w:szCs w:val="24"/>
                <w:highlight w:val="none"/>
                <w:lang w:val="en-US" w:eastAsia="zh-CN"/>
              </w:rPr>
              <w:t>202</w:t>
            </w:r>
            <w:r>
              <w:rPr>
                <w:rFonts w:hint="eastAsia" w:ascii="Times New Roman" w:hAnsi="Times New Roman" w:cs="Times New Roman"/>
                <w:sz w:val="24"/>
                <w:szCs w:val="24"/>
                <w:highlight w:val="none"/>
                <w:lang w:val="en-US" w:eastAsia="zh-CN"/>
              </w:rPr>
              <w:t>6</w:t>
            </w:r>
            <w:r>
              <w:rPr>
                <w:rFonts w:hint="default" w:ascii="Times New Roman" w:hAnsi="Times New Roman" w:cs="Times New Roman"/>
                <w:sz w:val="24"/>
                <w:szCs w:val="24"/>
                <w:highlight w:val="none"/>
                <w:lang w:val="en-US" w:eastAsia="zh-CN"/>
              </w:rPr>
              <w:t>年</w:t>
            </w:r>
            <w:r>
              <w:rPr>
                <w:rFonts w:hint="eastAsia"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lang w:val="en-US" w:eastAsia="zh-CN"/>
              </w:rPr>
              <w:t>月</w:t>
            </w:r>
            <w:r>
              <w:rPr>
                <w:rFonts w:hint="eastAsia"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lang w:val="en-US" w:eastAsia="zh-CN"/>
              </w:rPr>
              <w:t>日</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20</w:t>
            </w:r>
            <w:r>
              <w:rPr>
                <w:rFonts w:hint="eastAsia" w:ascii="Times New Roman" w:hAnsi="Times New Roman" w:cs="Times New Roman"/>
                <w:sz w:val="24"/>
                <w:szCs w:val="24"/>
                <w:highlight w:val="none"/>
                <w:lang w:val="en-US" w:eastAsia="zh-CN"/>
              </w:rPr>
              <w:t>31</w:t>
            </w:r>
            <w:r>
              <w:rPr>
                <w:rFonts w:hint="default" w:ascii="Times New Roman" w:hAnsi="Times New Roman" w:cs="Times New Roman"/>
                <w:sz w:val="24"/>
                <w:szCs w:val="24"/>
                <w:highlight w:val="none"/>
                <w:lang w:val="en-US" w:eastAsia="zh-CN"/>
              </w:rPr>
              <w:t>年</w:t>
            </w:r>
            <w:r>
              <w:rPr>
                <w:rFonts w:hint="eastAsia"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lang w:val="en-US" w:eastAsia="zh-CN"/>
              </w:rPr>
              <w:t>月</w:t>
            </w:r>
            <w:r>
              <w:rPr>
                <w:rFonts w:hint="eastAsia"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lang w:val="en-US" w:eastAsia="zh-CN"/>
              </w:rPr>
              <w:t>日</w:t>
            </w:r>
            <w:r>
              <w:rPr>
                <w:rFonts w:hint="eastAsia" w:ascii="Times New Roman" w:hAnsi="Times New Roman" w:cs="Times New Roman"/>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default" w:ascii="Times New Roman" w:hAnsi="Times New Roman" w:cs="Times New Roman"/>
                <w:b/>
                <w:kern w:val="0"/>
                <w:sz w:val="24"/>
                <w:szCs w:val="24"/>
                <w:highlight w:val="none"/>
              </w:rPr>
            </w:pPr>
            <w:r>
              <w:rPr>
                <w:rFonts w:hint="eastAsia" w:cs="Times New Roman"/>
                <w:b/>
                <w:kern w:val="0"/>
                <w:sz w:val="24"/>
                <w:szCs w:val="24"/>
                <w:highlight w:val="none"/>
                <w:lang w:val="en-US" w:eastAsia="zh-CN"/>
              </w:rPr>
              <w:t>2.</w:t>
            </w:r>
            <w:r>
              <w:rPr>
                <w:rFonts w:hint="default" w:ascii="Times New Roman" w:hAnsi="Times New Roman" w:cs="Times New Roman"/>
                <w:b/>
                <w:kern w:val="0"/>
                <w:sz w:val="24"/>
                <w:szCs w:val="24"/>
                <w:highlight w:val="none"/>
              </w:rPr>
              <w:t>项目主要建设内容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项目主要建设内容见表</w:t>
            </w:r>
            <w:r>
              <w:rPr>
                <w:rFonts w:hint="default" w:ascii="Times New Roman" w:hAnsi="Times New Roman" w:eastAsia="宋体" w:cs="Times New Roman"/>
                <w:sz w:val="24"/>
                <w:szCs w:val="24"/>
                <w:highlight w:val="none"/>
                <w:lang w:val="en-US" w:eastAsia="zh-CN"/>
              </w:rPr>
              <w:t>2-2</w:t>
            </w:r>
            <w:r>
              <w:rPr>
                <w:rFonts w:hint="default" w:ascii="Times New Roman" w:hAnsi="Times New Roman" w:eastAsia="宋体" w:cs="Times New Roman"/>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rPr>
              <w:t>表</w:t>
            </w:r>
            <w:r>
              <w:rPr>
                <w:rFonts w:hint="default" w:ascii="Times New Roman" w:hAnsi="Times New Roman" w:eastAsia="宋体" w:cs="Times New Roman"/>
                <w:b/>
                <w:bCs/>
                <w:sz w:val="24"/>
                <w:szCs w:val="24"/>
                <w:highlight w:val="none"/>
                <w:lang w:val="en-US" w:eastAsia="zh-CN"/>
              </w:rPr>
              <w:t>2-2</w:t>
            </w:r>
            <w:r>
              <w:rPr>
                <w:rFonts w:hint="default" w:ascii="Times New Roman" w:hAnsi="Times New Roman" w:eastAsia="宋体" w:cs="Times New Roman"/>
                <w:b/>
                <w:bCs/>
                <w:sz w:val="24"/>
                <w:szCs w:val="24"/>
                <w:highlight w:val="none"/>
              </w:rPr>
              <w:t xml:space="preserve">    主要建设内容一览表</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686"/>
              <w:gridCol w:w="1500"/>
              <w:gridCol w:w="1250"/>
              <w:gridCol w:w="1119"/>
              <w:gridCol w:w="932"/>
              <w:gridCol w:w="1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32"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类别</w:t>
                  </w:r>
                </w:p>
              </w:tc>
              <w:tc>
                <w:tcPr>
                  <w:tcW w:w="1747"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建设内容</w:t>
                  </w:r>
                </w:p>
              </w:tc>
              <w:tc>
                <w:tcPr>
                  <w:tcW w:w="71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计量单位</w:t>
                  </w:r>
                </w:p>
              </w:tc>
              <w:tc>
                <w:tcPr>
                  <w:tcW w:w="59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设计总工作量</w:t>
                  </w:r>
                </w:p>
              </w:tc>
              <w:tc>
                <w:tcPr>
                  <w:tcW w:w="111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主体工程</w:t>
                  </w:r>
                </w:p>
              </w:tc>
              <w:tc>
                <w:tcPr>
                  <w:tcW w:w="435"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地质测量</w:t>
                  </w:r>
                </w:p>
              </w:tc>
              <w:tc>
                <w:tcPr>
                  <w:tcW w:w="1747"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r>
                    <w:rPr>
                      <w:rFonts w:hint="eastAsia" w:cs="Times New Roman"/>
                      <w:sz w:val="21"/>
                      <w:szCs w:val="21"/>
                      <w:highlight w:val="none"/>
                      <w:lang w:val="en-US" w:eastAsia="zh-CN"/>
                    </w:rPr>
                    <w:t>10000地质测量</w:t>
                  </w:r>
                </w:p>
              </w:tc>
              <w:tc>
                <w:tcPr>
                  <w:tcW w:w="71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km</w:t>
                  </w:r>
                  <w:r>
                    <w:rPr>
                      <w:rFonts w:hint="default" w:ascii="Times New Roman" w:hAnsi="Times New Roman" w:eastAsia="宋体" w:cs="Times New Roman"/>
                      <w:sz w:val="21"/>
                      <w:szCs w:val="21"/>
                      <w:highlight w:val="none"/>
                      <w:vertAlign w:val="superscript"/>
                      <w:lang w:val="en-US" w:eastAsia="zh-CN"/>
                    </w:rPr>
                    <w:t>2</w:t>
                  </w:r>
                </w:p>
              </w:tc>
              <w:tc>
                <w:tcPr>
                  <w:tcW w:w="59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24.4046</w:t>
                  </w:r>
                </w:p>
              </w:tc>
              <w:tc>
                <w:tcPr>
                  <w:tcW w:w="111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747"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r>
                    <w:rPr>
                      <w:rFonts w:hint="eastAsia" w:cs="Times New Roman"/>
                      <w:sz w:val="21"/>
                      <w:szCs w:val="21"/>
                      <w:highlight w:val="none"/>
                      <w:lang w:val="en-US" w:eastAsia="zh-CN"/>
                    </w:rPr>
                    <w:t>10000低空航磁测量</w:t>
                  </w:r>
                </w:p>
              </w:tc>
              <w:tc>
                <w:tcPr>
                  <w:tcW w:w="71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km</w:t>
                  </w:r>
                  <w:r>
                    <w:rPr>
                      <w:rFonts w:hint="default" w:ascii="Times New Roman" w:hAnsi="Times New Roman" w:eastAsia="宋体" w:cs="Times New Roman"/>
                      <w:sz w:val="21"/>
                      <w:szCs w:val="21"/>
                      <w:highlight w:val="none"/>
                      <w:vertAlign w:val="superscript"/>
                      <w:lang w:val="en-US" w:eastAsia="zh-CN"/>
                    </w:rPr>
                    <w:t>2</w:t>
                  </w:r>
                </w:p>
              </w:tc>
              <w:tc>
                <w:tcPr>
                  <w:tcW w:w="59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24.4046</w:t>
                  </w:r>
                </w:p>
              </w:tc>
              <w:tc>
                <w:tcPr>
                  <w:tcW w:w="111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747"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1:10000土壤地球化学测量</w:t>
                  </w:r>
                </w:p>
              </w:tc>
              <w:tc>
                <w:tcPr>
                  <w:tcW w:w="711"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km</w:t>
                  </w:r>
                  <w:r>
                    <w:rPr>
                      <w:rFonts w:hint="default" w:ascii="Times New Roman" w:hAnsi="Times New Roman" w:eastAsia="宋体" w:cs="Times New Roman"/>
                      <w:sz w:val="21"/>
                      <w:szCs w:val="21"/>
                      <w:highlight w:val="none"/>
                      <w:vertAlign w:val="superscript"/>
                      <w:lang w:val="en-US" w:eastAsia="zh-CN"/>
                    </w:rPr>
                    <w:t>2</w:t>
                  </w:r>
                </w:p>
              </w:tc>
              <w:tc>
                <w:tcPr>
                  <w:tcW w:w="592"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24.4046</w:t>
                  </w:r>
                </w:p>
              </w:tc>
              <w:tc>
                <w:tcPr>
                  <w:tcW w:w="1116"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747"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cs="Times New Roman"/>
                      <w:sz w:val="21"/>
                      <w:szCs w:val="21"/>
                      <w:highlight w:val="none"/>
                      <w:lang w:val="en-US" w:eastAsia="zh-CN"/>
                    </w:rPr>
                  </w:pPr>
                  <w:r>
                    <w:rPr>
                      <w:rFonts w:hint="eastAsia" w:cs="Times New Roman"/>
                      <w:sz w:val="21"/>
                      <w:szCs w:val="21"/>
                      <w:highlight w:val="none"/>
                      <w:lang w:val="en-US" w:eastAsia="zh-CN"/>
                    </w:rPr>
                    <w:t>1:10000激电剖面测量</w:t>
                  </w:r>
                </w:p>
              </w:tc>
              <w:tc>
                <w:tcPr>
                  <w:tcW w:w="711"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km</w:t>
                  </w:r>
                </w:p>
              </w:tc>
              <w:tc>
                <w:tcPr>
                  <w:tcW w:w="592"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cs="Times New Roman"/>
                      <w:sz w:val="21"/>
                      <w:szCs w:val="21"/>
                      <w:highlight w:val="none"/>
                      <w:lang w:val="en-US" w:eastAsia="zh-CN"/>
                    </w:rPr>
                  </w:pPr>
                  <w:r>
                    <w:rPr>
                      <w:rFonts w:hint="eastAsia" w:cs="Times New Roman"/>
                      <w:sz w:val="21"/>
                      <w:szCs w:val="21"/>
                      <w:highlight w:val="none"/>
                      <w:lang w:val="en-US" w:eastAsia="zh-CN"/>
                    </w:rPr>
                    <w:t>30</w:t>
                  </w:r>
                </w:p>
              </w:tc>
              <w:tc>
                <w:tcPr>
                  <w:tcW w:w="1116"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cs="Times New Roman"/>
                      <w:sz w:val="21"/>
                      <w:szCs w:val="21"/>
                      <w:highlight w:val="none"/>
                      <w:lang w:val="en-US" w:eastAsia="zh-CN"/>
                    </w:rPr>
                  </w:pPr>
                  <w:r>
                    <w:rPr>
                      <w:rFonts w:hint="eastAsia" w:cs="Times New Roman"/>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探矿工程</w:t>
                  </w:r>
                </w:p>
              </w:tc>
              <w:tc>
                <w:tcPr>
                  <w:tcW w:w="1747"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钻探</w:t>
                  </w:r>
                </w:p>
              </w:tc>
              <w:tc>
                <w:tcPr>
                  <w:tcW w:w="71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m</w:t>
                  </w:r>
                </w:p>
              </w:tc>
              <w:tc>
                <w:tcPr>
                  <w:tcW w:w="59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2500</w:t>
                  </w:r>
                </w:p>
              </w:tc>
              <w:tc>
                <w:tcPr>
                  <w:tcW w:w="111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终孔直径75mm。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p>
              </w:tc>
              <w:tc>
                <w:tcPr>
                  <w:tcW w:w="1747"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槽探</w:t>
                  </w:r>
                </w:p>
              </w:tc>
              <w:tc>
                <w:tcPr>
                  <w:tcW w:w="71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m</w:t>
                  </w:r>
                  <w:r>
                    <w:rPr>
                      <w:rFonts w:hint="eastAsia" w:cs="Times New Roman"/>
                      <w:kern w:val="2"/>
                      <w:sz w:val="21"/>
                      <w:szCs w:val="21"/>
                      <w:highlight w:val="none"/>
                      <w:vertAlign w:val="superscript"/>
                      <w:lang w:val="en-US" w:eastAsia="zh-CN" w:bidi="ar-SA"/>
                    </w:rPr>
                    <w:t>3</w:t>
                  </w:r>
                </w:p>
              </w:tc>
              <w:tc>
                <w:tcPr>
                  <w:tcW w:w="59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3000</w:t>
                  </w:r>
                </w:p>
              </w:tc>
              <w:tc>
                <w:tcPr>
                  <w:tcW w:w="111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747"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化探样品</w:t>
                  </w:r>
                </w:p>
              </w:tc>
              <w:tc>
                <w:tcPr>
                  <w:tcW w:w="71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件</w:t>
                  </w:r>
                </w:p>
              </w:tc>
              <w:tc>
                <w:tcPr>
                  <w:tcW w:w="59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5702</w:t>
                  </w:r>
                </w:p>
              </w:tc>
              <w:tc>
                <w:tcPr>
                  <w:tcW w:w="111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747" w:type="pct"/>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auto"/>
                      <w:kern w:val="0"/>
                      <w:sz w:val="21"/>
                      <w:szCs w:val="21"/>
                      <w:highlight w:val="none"/>
                      <w:u w:val="none"/>
                      <w:lang w:val="en-US" w:eastAsia="zh-CN" w:bidi="ar"/>
                    </w:rPr>
                  </w:pPr>
                  <w:r>
                    <w:rPr>
                      <w:rFonts w:hint="eastAsia" w:cs="Times New Roman"/>
                      <w:i w:val="0"/>
                      <w:color w:val="auto"/>
                      <w:kern w:val="0"/>
                      <w:sz w:val="21"/>
                      <w:szCs w:val="21"/>
                      <w:highlight w:val="none"/>
                      <w:u w:val="none"/>
                      <w:lang w:val="en-US" w:eastAsia="zh-CN" w:bidi="ar"/>
                    </w:rPr>
                    <w:t>其他各类样品</w:t>
                  </w:r>
                </w:p>
              </w:tc>
              <w:tc>
                <w:tcPr>
                  <w:tcW w:w="71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件</w:t>
                  </w:r>
                </w:p>
              </w:tc>
              <w:tc>
                <w:tcPr>
                  <w:tcW w:w="59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800</w:t>
                  </w:r>
                </w:p>
              </w:tc>
              <w:tc>
                <w:tcPr>
                  <w:tcW w:w="111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9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辅助工程</w:t>
                  </w:r>
                </w:p>
              </w:tc>
              <w:tc>
                <w:tcPr>
                  <w:tcW w:w="435"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生活营地</w:t>
                  </w:r>
                </w:p>
              </w:tc>
              <w:tc>
                <w:tcPr>
                  <w:tcW w:w="4167" w:type="pct"/>
                  <w:gridSpan w:val="5"/>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设有</w:t>
                  </w:r>
                  <w:r>
                    <w:rPr>
                      <w:rFonts w:hint="eastAsia" w:cs="Times New Roman"/>
                      <w:kern w:val="0"/>
                      <w:sz w:val="21"/>
                      <w:szCs w:val="21"/>
                      <w:highlight w:val="none"/>
                      <w:lang w:val="en-US" w:eastAsia="zh-CN"/>
                    </w:rPr>
                    <w:t>1</w:t>
                  </w:r>
                  <w:r>
                    <w:rPr>
                      <w:rFonts w:hint="default" w:ascii="Times New Roman" w:hAnsi="Times New Roman" w:eastAsia="宋体" w:cs="Times New Roman"/>
                      <w:kern w:val="0"/>
                      <w:sz w:val="21"/>
                      <w:szCs w:val="21"/>
                      <w:highlight w:val="none"/>
                      <w:lang w:val="en-US" w:eastAsia="zh-CN"/>
                    </w:rPr>
                    <w:t>个临时生活营地，</w:t>
                  </w:r>
                  <w:r>
                    <w:rPr>
                      <w:rFonts w:hint="eastAsia" w:cs="Times New Roman"/>
                      <w:kern w:val="0"/>
                      <w:sz w:val="21"/>
                      <w:szCs w:val="21"/>
                      <w:highlight w:val="none"/>
                      <w:lang w:val="en-US" w:eastAsia="zh-CN"/>
                    </w:rPr>
                    <w:t>总</w:t>
                  </w:r>
                  <w:r>
                    <w:rPr>
                      <w:rFonts w:hint="default" w:ascii="Times New Roman" w:hAnsi="Times New Roman" w:eastAsia="宋体" w:cs="Times New Roman"/>
                      <w:kern w:val="0"/>
                      <w:sz w:val="21"/>
                      <w:szCs w:val="21"/>
                      <w:highlight w:val="none"/>
                      <w:lang w:val="en-US" w:eastAsia="zh-CN"/>
                    </w:rPr>
                    <w:t>占地约</w:t>
                  </w:r>
                  <w:r>
                    <w:rPr>
                      <w:rFonts w:hint="eastAsia" w:cs="Times New Roman"/>
                      <w:kern w:val="0"/>
                      <w:sz w:val="21"/>
                      <w:szCs w:val="21"/>
                      <w:highlight w:val="none"/>
                      <w:lang w:val="en-US" w:eastAsia="zh-CN"/>
                    </w:rPr>
                    <w:t>1</w:t>
                  </w:r>
                  <w:r>
                    <w:rPr>
                      <w:rFonts w:hint="default" w:ascii="Times New Roman" w:hAnsi="Times New Roman" w:eastAsia="宋体" w:cs="Times New Roman"/>
                      <w:kern w:val="0"/>
                      <w:sz w:val="21"/>
                      <w:szCs w:val="21"/>
                      <w:highlight w:val="none"/>
                      <w:lang w:val="en-US" w:eastAsia="zh-CN"/>
                    </w:rPr>
                    <w:t>00m</w:t>
                  </w:r>
                  <w:r>
                    <w:rPr>
                      <w:rFonts w:hint="default" w:ascii="Times New Roman" w:hAnsi="Times New Roman" w:eastAsia="宋体" w:cs="Times New Roman"/>
                      <w:kern w:val="0"/>
                      <w:sz w:val="21"/>
                      <w:szCs w:val="21"/>
                      <w:highlight w:val="none"/>
                      <w:vertAlign w:val="superscript"/>
                      <w:lang w:val="en-US" w:eastAsia="zh-CN"/>
                    </w:rPr>
                    <w:t>2</w:t>
                  </w:r>
                  <w:r>
                    <w:rPr>
                      <w:rFonts w:hint="default" w:ascii="Times New Roman" w:hAnsi="Times New Roman" w:eastAsia="宋体" w:cs="Times New Roman"/>
                      <w:kern w:val="0"/>
                      <w:sz w:val="21"/>
                      <w:szCs w:val="21"/>
                      <w:highlight w:val="none"/>
                      <w:vertAlign w:val="baseline"/>
                      <w:lang w:val="en-US" w:eastAsia="zh-CN"/>
                    </w:rPr>
                    <w:t>，</w:t>
                  </w:r>
                  <w:r>
                    <w:rPr>
                      <w:rFonts w:hint="default" w:ascii="Times New Roman" w:hAnsi="Times New Roman" w:eastAsia="宋体" w:cs="Times New Roman"/>
                      <w:kern w:val="0"/>
                      <w:sz w:val="21"/>
                      <w:szCs w:val="21"/>
                      <w:highlight w:val="none"/>
                      <w:lang w:val="en-US" w:eastAsia="zh-CN"/>
                    </w:rPr>
                    <w:t>待勘探工作完成后，拆除生活营地</w:t>
                  </w:r>
                  <w:r>
                    <w:rPr>
                      <w:rFonts w:hint="eastAsia" w:cs="Times New Roman"/>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396"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储运</w:t>
                  </w:r>
                  <w:r>
                    <w:rPr>
                      <w:rFonts w:hint="default" w:ascii="Times New Roman" w:hAnsi="Times New Roman" w:eastAsia="宋体" w:cs="Times New Roman"/>
                      <w:sz w:val="21"/>
                      <w:szCs w:val="21"/>
                      <w:highlight w:val="none"/>
                    </w:rPr>
                    <w:t>工程</w:t>
                  </w:r>
                </w:p>
              </w:tc>
              <w:tc>
                <w:tcPr>
                  <w:tcW w:w="435" w:type="pct"/>
                  <w:noWrap w:val="0"/>
                  <w:vAlign w:val="center"/>
                </w:tcPr>
                <w:p>
                  <w:pPr>
                    <w:pStyle w:val="29"/>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临时</w:t>
                  </w:r>
                  <w:r>
                    <w:rPr>
                      <w:rFonts w:hint="eastAsia" w:cs="Times New Roman"/>
                      <w:sz w:val="21"/>
                      <w:szCs w:val="21"/>
                      <w:highlight w:val="none"/>
                      <w:lang w:val="en-US" w:eastAsia="zh-CN"/>
                    </w:rPr>
                    <w:t>堆场</w:t>
                  </w:r>
                </w:p>
              </w:tc>
              <w:tc>
                <w:tcPr>
                  <w:tcW w:w="4167" w:type="pct"/>
                  <w:gridSpan w:val="5"/>
                  <w:noWrap w:val="0"/>
                  <w:vAlign w:val="center"/>
                </w:tcPr>
                <w:p>
                  <w:pPr>
                    <w:pStyle w:val="29"/>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cs="Times New Roman"/>
                      <w:sz w:val="21"/>
                      <w:szCs w:val="21"/>
                      <w:highlight w:val="none"/>
                      <w:lang w:val="en-US" w:eastAsia="zh-CN"/>
                    </w:rPr>
                  </w:pPr>
                  <w:r>
                    <w:rPr>
                      <w:rFonts w:hint="eastAsia" w:cs="Times New Roman"/>
                      <w:sz w:val="21"/>
                      <w:szCs w:val="21"/>
                      <w:highlight w:val="none"/>
                      <w:lang w:val="en-US" w:eastAsia="zh-CN"/>
                    </w:rPr>
                    <w:t>槽探</w:t>
                  </w:r>
                  <w:r>
                    <w:rPr>
                      <w:rFonts w:hint="default" w:ascii="Times New Roman" w:hAnsi="Times New Roman" w:eastAsia="宋体" w:cs="Times New Roman"/>
                      <w:sz w:val="21"/>
                      <w:szCs w:val="21"/>
                      <w:highlight w:val="none"/>
                    </w:rPr>
                    <w:t>区附近</w:t>
                  </w:r>
                  <w:r>
                    <w:rPr>
                      <w:rFonts w:hint="eastAsia" w:cs="Times New Roman"/>
                      <w:sz w:val="21"/>
                      <w:szCs w:val="21"/>
                      <w:highlight w:val="none"/>
                      <w:lang w:val="en-US" w:eastAsia="zh-CN"/>
                    </w:rPr>
                    <w:t>设置2000</w:t>
                  </w:r>
                  <w:r>
                    <w:rPr>
                      <w:rFonts w:hint="default" w:ascii="Times New Roman" w:hAnsi="Times New Roman" w:eastAsia="宋体" w:cs="Times New Roman"/>
                      <w:sz w:val="21"/>
                      <w:szCs w:val="21"/>
                      <w:highlight w:val="none"/>
                    </w:rPr>
                    <w:t>m</w:t>
                  </w:r>
                  <w:r>
                    <w:rPr>
                      <w:rFonts w:hint="default" w:ascii="Times New Roman" w:hAnsi="Times New Roman" w:eastAsia="宋体" w:cs="Times New Roman"/>
                      <w:sz w:val="21"/>
                      <w:szCs w:val="21"/>
                      <w:highlight w:val="none"/>
                      <w:vertAlign w:val="superscript"/>
                    </w:rPr>
                    <w:t>2</w:t>
                  </w:r>
                  <w:r>
                    <w:rPr>
                      <w:rFonts w:hint="eastAsia" w:cs="Times New Roman"/>
                      <w:sz w:val="21"/>
                      <w:szCs w:val="21"/>
                      <w:highlight w:val="none"/>
                      <w:vertAlign w:val="baseline"/>
                      <w:lang w:val="en-US" w:eastAsia="zh-CN"/>
                    </w:rPr>
                    <w:t>临时堆土场，用于堆存槽探过程中开挖的土石方。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noWrap w:val="0"/>
                  <w:vAlign w:val="center"/>
                </w:tcPr>
                <w:p>
                  <w:pPr>
                    <w:pStyle w:val="29"/>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柴油贮存区</w:t>
                  </w:r>
                </w:p>
              </w:tc>
              <w:tc>
                <w:tcPr>
                  <w:tcW w:w="4167" w:type="pct"/>
                  <w:gridSpan w:val="5"/>
                  <w:noWrap w:val="0"/>
                  <w:vAlign w:val="center"/>
                </w:tcPr>
                <w:p>
                  <w:pPr>
                    <w:pStyle w:val="29"/>
                    <w:keepNext w:val="0"/>
                    <w:keepLines w:val="0"/>
                    <w:pageBreakBefore w:val="0"/>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生活营地</w:t>
                  </w:r>
                  <w:r>
                    <w:rPr>
                      <w:rFonts w:hint="eastAsia" w:cs="Times New Roman"/>
                      <w:sz w:val="21"/>
                      <w:szCs w:val="21"/>
                      <w:highlight w:val="none"/>
                      <w:lang w:val="en-US" w:eastAsia="zh-CN"/>
                    </w:rPr>
                    <w:t>旁</w:t>
                  </w:r>
                  <w:r>
                    <w:rPr>
                      <w:rFonts w:hint="default" w:ascii="Times New Roman" w:hAnsi="Times New Roman" w:eastAsia="宋体" w:cs="Times New Roman"/>
                      <w:sz w:val="21"/>
                      <w:szCs w:val="21"/>
                      <w:highlight w:val="none"/>
                      <w:lang w:val="en-US" w:eastAsia="zh-CN"/>
                    </w:rPr>
                    <w:t>设有</w:t>
                  </w:r>
                  <w:r>
                    <w:rPr>
                      <w:rFonts w:hint="eastAsia" w:cs="Times New Roman"/>
                      <w:sz w:val="21"/>
                      <w:szCs w:val="21"/>
                      <w:highlight w:val="none"/>
                      <w:lang w:val="en-US" w:eastAsia="zh-CN"/>
                    </w:rPr>
                    <w:t>10</w:t>
                  </w: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2</w:t>
                  </w:r>
                  <w:r>
                    <w:rPr>
                      <w:rFonts w:hint="default" w:ascii="Times New Roman" w:hAnsi="Times New Roman" w:eastAsia="宋体" w:cs="Times New Roman"/>
                      <w:sz w:val="21"/>
                      <w:szCs w:val="21"/>
                      <w:highlight w:val="none"/>
                      <w:vertAlign w:val="baseline"/>
                      <w:lang w:val="en-US" w:eastAsia="zh-CN"/>
                    </w:rPr>
                    <w:t>柴油</w:t>
                  </w:r>
                  <w:r>
                    <w:rPr>
                      <w:rFonts w:hint="default" w:ascii="Times New Roman" w:hAnsi="Times New Roman" w:eastAsia="宋体" w:cs="Times New Roman"/>
                      <w:sz w:val="21"/>
                      <w:szCs w:val="21"/>
                      <w:highlight w:val="none"/>
                      <w:lang w:val="en-US" w:eastAsia="zh-CN"/>
                    </w:rPr>
                    <w:t>贮存区放置柴油</w:t>
                  </w:r>
                  <w:r>
                    <w:rPr>
                      <w:rFonts w:hint="eastAsia" w:cs="Times New Roman"/>
                      <w:sz w:val="21"/>
                      <w:szCs w:val="21"/>
                      <w:highlight w:val="none"/>
                      <w:lang w:val="en-US" w:eastAsia="zh-CN"/>
                    </w:rPr>
                    <w:t>，柴油贮存区底部铺设防渗地膜，采用不锈钢油桶盛装柴油堆放在柴油贮存点，油桶下方设置专用防渗托盘，贮存点做好防日晒、防雨淋、防渗漏措施。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公用工程</w:t>
                  </w:r>
                </w:p>
              </w:tc>
              <w:tc>
                <w:tcPr>
                  <w:tcW w:w="435"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供水</w:t>
                  </w:r>
                </w:p>
              </w:tc>
              <w:tc>
                <w:tcPr>
                  <w:tcW w:w="4167" w:type="pct"/>
                  <w:gridSpan w:val="5"/>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由拉水车定期从</w:t>
                  </w:r>
                  <w:r>
                    <w:rPr>
                      <w:rFonts w:hint="eastAsia" w:cs="Times New Roman"/>
                      <w:kern w:val="0"/>
                      <w:sz w:val="21"/>
                      <w:szCs w:val="21"/>
                      <w:highlight w:val="none"/>
                      <w:lang w:val="en-US" w:eastAsia="zh-CN"/>
                    </w:rPr>
                    <w:t>附近村镇</w:t>
                  </w:r>
                  <w:r>
                    <w:rPr>
                      <w:rFonts w:hint="default" w:ascii="Times New Roman" w:hAnsi="Times New Roman" w:eastAsia="宋体" w:cs="Times New Roman"/>
                      <w:kern w:val="0"/>
                      <w:sz w:val="21"/>
                      <w:szCs w:val="21"/>
                      <w:highlight w:val="none"/>
                      <w:lang w:val="en-US" w:eastAsia="zh-CN"/>
                    </w:rPr>
                    <w:t>拉运至生活营地内储水箱储存</w:t>
                  </w:r>
                  <w:r>
                    <w:rPr>
                      <w:rFonts w:hint="eastAsia" w:cs="Times New Roman"/>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排水</w:t>
                  </w:r>
                </w:p>
              </w:tc>
              <w:tc>
                <w:tcPr>
                  <w:tcW w:w="4167" w:type="pct"/>
                  <w:gridSpan w:val="5"/>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eastAsia="zh-CN"/>
                    </w:rPr>
                    <w:t>生活污水</w:t>
                  </w:r>
                  <w:r>
                    <w:rPr>
                      <w:rFonts w:hint="eastAsia" w:ascii="Times New Roman" w:hAnsi="Times New Roman" w:eastAsia="宋体" w:cs="Times New Roman"/>
                      <w:sz w:val="21"/>
                      <w:szCs w:val="21"/>
                      <w:highlight w:val="none"/>
                      <w:lang w:val="en-US" w:eastAsia="zh-CN"/>
                    </w:rPr>
                    <w:t>经一体化污水处理设施处理完成后用于周边</w:t>
                  </w:r>
                  <w:r>
                    <w:rPr>
                      <w:rFonts w:hint="eastAsia" w:cs="Times New Roman"/>
                      <w:sz w:val="21"/>
                      <w:szCs w:val="21"/>
                      <w:highlight w:val="none"/>
                      <w:lang w:val="en-US" w:eastAsia="zh-CN"/>
                    </w:rPr>
                    <w:t>绿化</w:t>
                  </w:r>
                  <w:r>
                    <w:rPr>
                      <w:rFonts w:hint="eastAsia" w:ascii="Times New Roman" w:hAnsi="Times New Roman" w:eastAsia="宋体" w:cs="Times New Roman"/>
                      <w:sz w:val="21"/>
                      <w:szCs w:val="21"/>
                      <w:highlight w:val="none"/>
                      <w:lang w:val="en-US" w:eastAsia="zh-CN"/>
                    </w:rPr>
                    <w:t>，不外排</w:t>
                  </w:r>
                  <w:r>
                    <w:rPr>
                      <w:rFonts w:hint="default" w:ascii="Times New Roman" w:hAnsi="Times New Roman" w:eastAsia="宋体" w:cs="Times New Roman"/>
                      <w:sz w:val="21"/>
                      <w:szCs w:val="21"/>
                      <w:highlight w:val="none"/>
                      <w:lang w:val="en-US" w:eastAsia="zh-CN"/>
                    </w:rPr>
                    <w:t>；</w:t>
                  </w:r>
                  <w:r>
                    <w:rPr>
                      <w:rFonts w:hint="eastAsia" w:ascii="Times New Roman" w:hAnsi="Times New Roman" w:cs="Times New Roman"/>
                      <w:kern w:val="0"/>
                      <w:sz w:val="21"/>
                      <w:szCs w:val="21"/>
                      <w:highlight w:val="none"/>
                      <w:vertAlign w:val="baseline"/>
                      <w:lang w:val="en-US" w:eastAsia="zh-CN"/>
                    </w:rPr>
                    <w:t>设备冲洗水经沉淀池沉淀后</w:t>
                  </w:r>
                  <w:r>
                    <w:rPr>
                      <w:rFonts w:hint="eastAsia" w:cs="Times New Roman"/>
                      <w:kern w:val="0"/>
                      <w:sz w:val="21"/>
                      <w:szCs w:val="21"/>
                      <w:highlight w:val="none"/>
                      <w:vertAlign w:val="baseline"/>
                      <w:lang w:val="en-US" w:eastAsia="zh-CN"/>
                    </w:rPr>
                    <w:t>循环使用，</w:t>
                  </w:r>
                  <w:r>
                    <w:rPr>
                      <w:rFonts w:hint="eastAsia" w:ascii="Times New Roman" w:hAnsi="Times New Roman" w:cs="Times New Roman"/>
                      <w:kern w:val="0"/>
                      <w:sz w:val="21"/>
                      <w:szCs w:val="21"/>
                      <w:highlight w:val="none"/>
                      <w:vertAlign w:val="baseline"/>
                      <w:lang w:val="en-US" w:eastAsia="zh-CN"/>
                    </w:rPr>
                    <w:t>泥浆调配水</w:t>
                  </w:r>
                  <w:r>
                    <w:rPr>
                      <w:rFonts w:hint="eastAsia" w:cs="Times New Roman"/>
                      <w:kern w:val="0"/>
                      <w:sz w:val="21"/>
                      <w:szCs w:val="21"/>
                      <w:highlight w:val="none"/>
                      <w:vertAlign w:val="baseline"/>
                      <w:lang w:val="en-US" w:eastAsia="zh-CN"/>
                    </w:rPr>
                    <w:t>随配置泥浆循环使用，</w:t>
                  </w:r>
                  <w:r>
                    <w:rPr>
                      <w:rFonts w:hint="eastAsia" w:ascii="Times New Roman" w:hAnsi="Times New Roman" w:cs="Times New Roman"/>
                      <w:kern w:val="0"/>
                      <w:sz w:val="21"/>
                      <w:szCs w:val="21"/>
                      <w:highlight w:val="none"/>
                      <w:vertAlign w:val="baseline"/>
                      <w:lang w:val="en-US" w:eastAsia="zh-CN"/>
                    </w:rPr>
                    <w:t>不与地表</w:t>
                  </w:r>
                  <w:r>
                    <w:rPr>
                      <w:rFonts w:hint="eastAsia" w:eastAsia="宋体" w:cs="Times New Roman"/>
                      <w:highlight w:val="none"/>
                      <w:lang w:val="en-US" w:eastAsia="zh-CN"/>
                    </w:rPr>
                    <w:t>水体发生水力关系</w:t>
                  </w:r>
                  <w:r>
                    <w:rPr>
                      <w:rFonts w:hint="eastAsia" w:cs="Times New Roman"/>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供电</w:t>
                  </w:r>
                </w:p>
              </w:tc>
              <w:tc>
                <w:tcPr>
                  <w:tcW w:w="4167" w:type="pct"/>
                  <w:gridSpan w:val="5"/>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柴油发电机发电</w:t>
                  </w:r>
                  <w:r>
                    <w:rPr>
                      <w:rFonts w:hint="eastAsia" w:cs="Times New Roman"/>
                      <w:kern w:val="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96"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环保工程</w:t>
                  </w:r>
                </w:p>
              </w:tc>
              <w:tc>
                <w:tcPr>
                  <w:tcW w:w="435"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废气治理</w:t>
                  </w: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扬尘</w:t>
                  </w:r>
                </w:p>
              </w:tc>
              <w:tc>
                <w:tcPr>
                  <w:tcW w:w="321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道路洒水抑尘，开挖土石方使用彩条布覆盖</w:t>
                  </w:r>
                  <w:r>
                    <w:rPr>
                      <w:rFonts w:hint="eastAsia" w:ascii="Times New Roman" w:hAnsi="Times New Roman" w:eastAsia="宋体" w:cs="Times New Roman"/>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燃油废气</w:t>
                  </w:r>
                </w:p>
              </w:tc>
              <w:tc>
                <w:tcPr>
                  <w:tcW w:w="321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cs="Times New Roman"/>
                      <w:sz w:val="21"/>
                      <w:szCs w:val="21"/>
                      <w:highlight w:val="none"/>
                      <w:lang w:val="en-US" w:eastAsia="zh-CN"/>
                    </w:rPr>
                  </w:pPr>
                  <w:r>
                    <w:rPr>
                      <w:rFonts w:hint="eastAsia" w:cs="Times New Roman"/>
                      <w:sz w:val="21"/>
                      <w:szCs w:val="21"/>
                      <w:highlight w:val="none"/>
                      <w:lang w:val="en-US" w:eastAsia="zh-CN"/>
                    </w:rPr>
                    <w:t>选用性能优异的燃油设备及品质较好的柴油，定期对燃油设备进行保养维护。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废水</w:t>
                  </w:r>
                  <w:r>
                    <w:rPr>
                      <w:rFonts w:hint="default" w:ascii="Times New Roman" w:hAnsi="Times New Roman" w:eastAsia="宋体" w:cs="Times New Roman"/>
                      <w:sz w:val="21"/>
                      <w:szCs w:val="21"/>
                      <w:highlight w:val="none"/>
                      <w:lang w:val="en-US" w:eastAsia="zh-CN"/>
                    </w:rPr>
                    <w:t>治理</w:t>
                  </w: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生活污水</w:t>
                  </w:r>
                </w:p>
              </w:tc>
              <w:tc>
                <w:tcPr>
                  <w:tcW w:w="321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生活污水</w:t>
                  </w:r>
                  <w:r>
                    <w:rPr>
                      <w:rFonts w:hint="eastAsia" w:ascii="Times New Roman" w:hAnsi="Times New Roman" w:eastAsia="宋体" w:cs="Times New Roman"/>
                      <w:sz w:val="21"/>
                      <w:szCs w:val="21"/>
                      <w:highlight w:val="none"/>
                      <w:lang w:val="en-US" w:eastAsia="zh-CN"/>
                    </w:rPr>
                    <w:t>经一体化污水处理设施处理完成后用于周边</w:t>
                  </w:r>
                  <w:r>
                    <w:rPr>
                      <w:rFonts w:hint="eastAsia" w:cs="Times New Roman"/>
                      <w:sz w:val="21"/>
                      <w:szCs w:val="21"/>
                      <w:highlight w:val="none"/>
                      <w:lang w:val="en-US" w:eastAsia="zh-CN"/>
                    </w:rPr>
                    <w:t>绿化</w:t>
                  </w:r>
                  <w:r>
                    <w:rPr>
                      <w:rFonts w:hint="eastAsia" w:ascii="Times New Roman" w:hAnsi="Times New Roman" w:eastAsia="宋体" w:cs="Times New Roman"/>
                      <w:sz w:val="21"/>
                      <w:szCs w:val="21"/>
                      <w:highlight w:val="none"/>
                      <w:lang w:val="en-US"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rPr>
                  </w:pPr>
                  <w:r>
                    <w:rPr>
                      <w:rFonts w:hint="eastAsia" w:cs="Times New Roman"/>
                      <w:sz w:val="21"/>
                      <w:szCs w:val="21"/>
                      <w:highlight w:val="none"/>
                      <w:lang w:val="en-US" w:eastAsia="zh-CN"/>
                    </w:rPr>
                    <w:t>设备冲洗废水</w:t>
                  </w:r>
                </w:p>
              </w:tc>
              <w:tc>
                <w:tcPr>
                  <w:tcW w:w="321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cs="Times New Roman"/>
                      <w:sz w:val="21"/>
                      <w:szCs w:val="21"/>
                      <w:highlight w:val="none"/>
                      <w:lang w:val="en-US" w:eastAsia="zh-CN"/>
                    </w:rPr>
                  </w:pPr>
                  <w:r>
                    <w:rPr>
                      <w:rFonts w:hint="eastAsia" w:cs="Times New Roman"/>
                      <w:sz w:val="21"/>
                      <w:szCs w:val="21"/>
                      <w:highlight w:val="none"/>
                      <w:lang w:val="en-US" w:eastAsia="zh-CN"/>
                    </w:rPr>
                    <w:t>经</w:t>
                  </w:r>
                  <w:r>
                    <w:rPr>
                      <w:rFonts w:hint="default" w:ascii="Times New Roman" w:hAnsi="Times New Roman" w:eastAsia="宋体" w:cs="Times New Roman"/>
                      <w:sz w:val="21"/>
                      <w:szCs w:val="21"/>
                      <w:highlight w:val="none"/>
                      <w:lang w:eastAsia="zh-CN"/>
                    </w:rPr>
                    <w:t>沉淀池收集</w:t>
                  </w:r>
                  <w:r>
                    <w:rPr>
                      <w:rFonts w:hint="eastAsia" w:cs="Times New Roman"/>
                      <w:sz w:val="21"/>
                      <w:szCs w:val="21"/>
                      <w:highlight w:val="none"/>
                      <w:lang w:val="en-US" w:eastAsia="zh-CN"/>
                    </w:rPr>
                    <w:t>沉淀后循环使用。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泥浆废水</w:t>
                  </w:r>
                </w:p>
              </w:tc>
              <w:tc>
                <w:tcPr>
                  <w:tcW w:w="3214" w:type="pct"/>
                  <w:gridSpan w:val="4"/>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设置一个1m</w:t>
                  </w:r>
                  <w:r>
                    <w:rPr>
                      <w:rFonts w:hint="eastAsia" w:ascii="Times New Roman" w:hAnsi="Times New Roman" w:cs="Times New Roman"/>
                      <w:sz w:val="21"/>
                      <w:szCs w:val="21"/>
                      <w:highlight w:val="none"/>
                      <w:vertAlign w:val="superscript"/>
                      <w:lang w:val="en-US" w:eastAsia="zh-CN"/>
                    </w:rPr>
                    <w:t>3</w:t>
                  </w:r>
                  <w:r>
                    <w:rPr>
                      <w:rFonts w:hint="eastAsia" w:ascii="Times New Roman" w:hAnsi="Times New Roman" w:cs="Times New Roman"/>
                      <w:sz w:val="21"/>
                      <w:szCs w:val="21"/>
                      <w:highlight w:val="none"/>
                      <w:lang w:val="en-US" w:eastAsia="zh-CN"/>
                    </w:rPr>
                    <w:t>移动式泥浆沉淀池（沉淀池采用</w:t>
                  </w:r>
                  <w:r>
                    <w:rPr>
                      <w:rFonts w:hint="eastAsia" w:cs="Times New Roman"/>
                      <w:sz w:val="21"/>
                      <w:szCs w:val="21"/>
                      <w:highlight w:val="none"/>
                      <w:lang w:val="en-US" w:eastAsia="zh-CN"/>
                    </w:rPr>
                    <w:t>撬装玻璃钢结构</w:t>
                  </w:r>
                  <w:r>
                    <w:rPr>
                      <w:rFonts w:hint="eastAsia" w:ascii="Times New Roman" w:hAnsi="Times New Roman" w:cs="Times New Roman"/>
                      <w:sz w:val="21"/>
                      <w:szCs w:val="21"/>
                      <w:highlight w:val="none"/>
                      <w:lang w:val="en-US" w:eastAsia="zh-CN"/>
                    </w:rPr>
                    <w:t>，满足等效粘土防渗层Mb≥1.5m，渗透系数K≤1×10</w:t>
                  </w:r>
                  <w:r>
                    <w:rPr>
                      <w:rFonts w:hint="eastAsia" w:ascii="Times New Roman" w:hAnsi="Times New Roman" w:cs="Times New Roman"/>
                      <w:sz w:val="21"/>
                      <w:szCs w:val="21"/>
                      <w:highlight w:val="none"/>
                      <w:vertAlign w:val="superscript"/>
                      <w:lang w:val="en-US" w:eastAsia="zh-CN"/>
                    </w:rPr>
                    <w:t>-7</w:t>
                  </w:r>
                  <w:r>
                    <w:rPr>
                      <w:rFonts w:hint="eastAsia" w:ascii="Times New Roman" w:hAnsi="Times New Roman" w:cs="Times New Roman"/>
                      <w:sz w:val="21"/>
                      <w:szCs w:val="21"/>
                      <w:highlight w:val="none"/>
                      <w:lang w:val="en-US" w:eastAsia="zh-CN"/>
                    </w:rPr>
                    <w:t>cm/s）。含泥浆水经沉淀池处理后全部回用于钻孔泥浆配制，循环使用，不外排。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固废治理</w:t>
                  </w: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eastAsia="zh-CN"/>
                    </w:rPr>
                    <w:t>生活垃圾</w:t>
                  </w:r>
                </w:p>
              </w:tc>
              <w:tc>
                <w:tcPr>
                  <w:tcW w:w="321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集中收集，定期带至山下交由环卫部门处置</w:t>
                  </w:r>
                  <w:r>
                    <w:rPr>
                      <w:rFonts w:hint="eastAsia" w:cs="Times New Roman"/>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开挖土石方</w:t>
                  </w:r>
                </w:p>
              </w:tc>
              <w:tc>
                <w:tcPr>
                  <w:tcW w:w="321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属于一般固废，</w:t>
                  </w:r>
                  <w:r>
                    <w:rPr>
                      <w:rFonts w:hint="eastAsia" w:cs="Times New Roman"/>
                      <w:sz w:val="21"/>
                      <w:szCs w:val="21"/>
                      <w:highlight w:val="none"/>
                      <w:lang w:val="en-US" w:eastAsia="zh-CN"/>
                    </w:rPr>
                    <w:t>堆存于槽探范围的一侧，堆存过程中使用彩条布覆盖，并定期洒水降尘，待槽探结束后，</w:t>
                  </w:r>
                  <w:r>
                    <w:rPr>
                      <w:rFonts w:hint="default" w:ascii="Times New Roman" w:hAnsi="Times New Roman" w:eastAsia="宋体" w:cs="Times New Roman"/>
                      <w:sz w:val="21"/>
                      <w:szCs w:val="21"/>
                      <w:highlight w:val="none"/>
                      <w:lang w:eastAsia="zh-CN"/>
                    </w:rPr>
                    <w:t>全部回填</w:t>
                  </w:r>
                  <w:r>
                    <w:rPr>
                      <w:rFonts w:hint="eastAsia" w:cs="Times New Roman"/>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eastAsia="zh-CN"/>
                    </w:rPr>
                    <w:t>钻井泥浆</w:t>
                  </w:r>
                </w:p>
              </w:tc>
              <w:tc>
                <w:tcPr>
                  <w:tcW w:w="321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项目使用的钻井泥浆为</w:t>
                  </w:r>
                  <w:r>
                    <w:rPr>
                      <w:rFonts w:hint="default" w:ascii="Times New Roman" w:hAnsi="Times New Roman" w:eastAsia="宋体" w:cs="Times New Roman"/>
                      <w:sz w:val="21"/>
                      <w:szCs w:val="21"/>
                      <w:highlight w:val="none"/>
                      <w:lang w:val="en-US" w:eastAsia="zh-CN"/>
                    </w:rPr>
                    <w:t>水基</w:t>
                  </w:r>
                  <w:r>
                    <w:rPr>
                      <w:rFonts w:hint="default" w:ascii="Times New Roman" w:hAnsi="Times New Roman" w:eastAsia="宋体" w:cs="Times New Roman"/>
                      <w:sz w:val="21"/>
                      <w:szCs w:val="21"/>
                      <w:highlight w:val="none"/>
                      <w:lang w:eastAsia="zh-CN"/>
                    </w:rPr>
                    <w:t>泥浆，</w:t>
                  </w:r>
                  <w:r>
                    <w:rPr>
                      <w:rFonts w:hint="default" w:ascii="Times New Roman" w:hAnsi="Times New Roman" w:eastAsia="宋体" w:cs="Times New Roman"/>
                      <w:sz w:val="21"/>
                      <w:szCs w:val="21"/>
                      <w:highlight w:val="none"/>
                      <w:lang w:val="en-US" w:eastAsia="zh-CN"/>
                    </w:rPr>
                    <w:t>泥浆固化</w:t>
                  </w:r>
                  <w:r>
                    <w:rPr>
                      <w:rFonts w:hint="eastAsia" w:cs="Times New Roman"/>
                      <w:sz w:val="21"/>
                      <w:szCs w:val="21"/>
                      <w:highlight w:val="none"/>
                      <w:lang w:val="en-US" w:eastAsia="zh-CN"/>
                    </w:rPr>
                    <w:t>交</w:t>
                  </w:r>
                  <w:r>
                    <w:rPr>
                      <w:rFonts w:hint="default" w:ascii="Times New Roman" w:hAnsi="Times New Roman" w:eastAsia="宋体" w:cs="Times New Roman"/>
                      <w:sz w:val="21"/>
                      <w:szCs w:val="21"/>
                      <w:highlight w:val="none"/>
                      <w:lang w:val="en-US" w:eastAsia="zh-CN"/>
                    </w:rPr>
                    <w:t>一般固废处置单位统一处理</w:t>
                  </w:r>
                  <w:r>
                    <w:rPr>
                      <w:rFonts w:hint="eastAsia" w:cs="Times New Roman"/>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污泥</w:t>
                  </w:r>
                </w:p>
              </w:tc>
              <w:tc>
                <w:tcPr>
                  <w:tcW w:w="321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一体化污水处理设施产生的污泥定期清掏，与生活垃圾一同带至山下交由环卫部门处置。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35"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53"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rPr>
                  </w:pPr>
                  <w:r>
                    <w:rPr>
                      <w:rFonts w:hint="eastAsia" w:cs="Times New Roman"/>
                      <w:sz w:val="21"/>
                      <w:szCs w:val="21"/>
                      <w:highlight w:val="none"/>
                      <w:lang w:val="en-US" w:eastAsia="zh-CN"/>
                    </w:rPr>
                    <w:t>岩屑</w:t>
                  </w:r>
                </w:p>
              </w:tc>
              <w:tc>
                <w:tcPr>
                  <w:tcW w:w="3214"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cs="Times New Roman"/>
                      <w:sz w:val="21"/>
                      <w:szCs w:val="21"/>
                      <w:highlight w:val="none"/>
                      <w:lang w:val="en-US" w:eastAsia="zh-CN"/>
                    </w:rPr>
                  </w:pPr>
                  <w:r>
                    <w:rPr>
                      <w:rFonts w:hint="eastAsia" w:cs="Times New Roman"/>
                      <w:sz w:val="21"/>
                      <w:szCs w:val="21"/>
                      <w:highlight w:val="none"/>
                      <w:lang w:val="en-US" w:eastAsia="zh-CN"/>
                    </w:rPr>
                    <w:t>用于钻孔回填。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785" w:type="pct"/>
                  <w:gridSpan w:val="3"/>
                  <w:shd w:val="clear" w:color="auto" w:fill="auto"/>
                  <w:noWrap w:val="0"/>
                  <w:vAlign w:val="center"/>
                </w:tcPr>
                <w:p>
                  <w:pPr>
                    <w:pStyle w:val="47"/>
                    <w:bidi w:val="0"/>
                    <w:rPr>
                      <w:rFonts w:hint="eastAsia" w:ascii="Times New Roman" w:hAnsi="Times New Roman" w:eastAsia="宋体" w:cs="Times New Roman"/>
                      <w:color w:val="auto"/>
                      <w:kern w:val="2"/>
                      <w:sz w:val="21"/>
                      <w:szCs w:val="21"/>
                      <w:lang w:val="en-US" w:eastAsia="zh-CN" w:bidi="ar-SA"/>
                    </w:rPr>
                  </w:pPr>
                  <w:r>
                    <w:rPr>
                      <w:rFonts w:hint="eastAsia" w:cs="Times New Roman"/>
                      <w:color w:val="auto"/>
                      <w:highlight w:val="none"/>
                      <w:lang w:val="en-US" w:eastAsia="zh-CN"/>
                    </w:rPr>
                    <w:t>生态保护与恢复工程</w:t>
                  </w:r>
                </w:p>
              </w:tc>
              <w:tc>
                <w:tcPr>
                  <w:tcW w:w="3214" w:type="pct"/>
                  <w:gridSpan w:val="4"/>
                  <w:shd w:val="clear" w:color="auto" w:fill="auto"/>
                  <w:noWrap w:val="0"/>
                  <w:vAlign w:val="center"/>
                </w:tcPr>
                <w:p>
                  <w:pPr>
                    <w:pStyle w:val="47"/>
                    <w:bidi w:val="0"/>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lang w:val="en-US" w:eastAsia="zh-CN"/>
                    </w:rPr>
                    <w:t>勘探工作完成后，拆除临时设施，及时回填并恢复原有地貌，后期采取自然恢复</w:t>
                  </w:r>
                  <w:r>
                    <w:rPr>
                      <w:rFonts w:hint="eastAsia"/>
                      <w:lang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default" w:ascii="Times New Roman" w:hAnsi="Times New Roman" w:eastAsia="宋体" w:cs="Times New Roman"/>
                <w:b/>
                <w:kern w:val="0"/>
                <w:sz w:val="24"/>
                <w:szCs w:val="24"/>
                <w:highlight w:val="none"/>
                <w:lang w:eastAsia="zh-CN"/>
              </w:rPr>
            </w:pPr>
            <w:r>
              <w:rPr>
                <w:rFonts w:hint="eastAsia" w:cs="Times New Roman"/>
                <w:b/>
                <w:kern w:val="0"/>
                <w:sz w:val="24"/>
                <w:szCs w:val="24"/>
                <w:highlight w:val="none"/>
                <w:lang w:val="en-US" w:eastAsia="zh-CN"/>
              </w:rPr>
              <w:t>3.</w:t>
            </w:r>
            <w:r>
              <w:rPr>
                <w:rFonts w:hint="default" w:ascii="Times New Roman" w:hAnsi="Times New Roman" w:eastAsia="宋体" w:cs="Times New Roman"/>
                <w:b/>
                <w:kern w:val="0"/>
                <w:sz w:val="24"/>
                <w:szCs w:val="24"/>
                <w:highlight w:val="none"/>
                <w:lang w:eastAsia="zh-CN"/>
              </w:rPr>
              <w:t>主要勘探设备及原、辅材料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本项目所需主要勘探设备见</w:t>
            </w:r>
            <w:r>
              <w:rPr>
                <w:rFonts w:hint="default" w:ascii="Times New Roman" w:hAnsi="Times New Roman" w:cs="Times New Roman"/>
                <w:kern w:val="0"/>
                <w:sz w:val="24"/>
                <w:highlight w:val="none"/>
                <w:lang w:val="en-US" w:eastAsia="zh-CN"/>
              </w:rPr>
              <w:t>2-3</w:t>
            </w:r>
            <w:r>
              <w:rPr>
                <w:rFonts w:hint="default" w:ascii="Times New Roman" w:hAnsi="Times New Roman" w:cs="Times New Roman"/>
                <w:kern w:val="0"/>
                <w:sz w:val="24"/>
                <w:highlight w:val="none"/>
              </w:rPr>
              <w:t>，原辅材料消耗见</w:t>
            </w:r>
            <w:r>
              <w:rPr>
                <w:rFonts w:hint="default" w:ascii="Times New Roman" w:hAnsi="Times New Roman" w:cs="Times New Roman"/>
                <w:kern w:val="0"/>
                <w:sz w:val="24"/>
                <w:highlight w:val="none"/>
                <w:lang w:val="en-US" w:eastAsia="zh-CN"/>
              </w:rPr>
              <w:t>2-4</w:t>
            </w:r>
            <w:r>
              <w:rPr>
                <w:rFonts w:hint="default" w:ascii="Times New Roman" w:hAnsi="Times New Roman" w:cs="Times New Roman"/>
                <w:kern w:val="0"/>
                <w:sz w:val="24"/>
                <w:highlight w:val="none"/>
              </w:rPr>
              <w:t>。</w:t>
            </w:r>
          </w:p>
          <w:p>
            <w:pPr>
              <w:pStyle w:val="8"/>
              <w:keepNext/>
              <w:spacing w:before="0" w:after="0" w:line="240" w:lineRule="auto"/>
              <w:rPr>
                <w:rFonts w:hint="default" w:ascii="Times New Roman" w:hAnsi="Times New Roman" w:cs="Times New Roman"/>
                <w:b/>
                <w:sz w:val="24"/>
                <w:szCs w:val="24"/>
                <w:highlight w:val="none"/>
              </w:rPr>
            </w:pPr>
            <w:bookmarkStart w:id="1" w:name="_Ref351905789"/>
            <w:r>
              <w:rPr>
                <w:rFonts w:hint="default" w:ascii="Times New Roman" w:hAnsi="Times New Roman" w:cs="Times New Roman"/>
                <w:b/>
                <w:sz w:val="24"/>
                <w:szCs w:val="24"/>
                <w:highlight w:val="none"/>
              </w:rPr>
              <w:t>表</w:t>
            </w:r>
            <w:bookmarkEnd w:id="1"/>
            <w:r>
              <w:rPr>
                <w:rFonts w:hint="default" w:ascii="Times New Roman" w:hAnsi="Times New Roman" w:cs="Times New Roman"/>
                <w:b/>
                <w:sz w:val="24"/>
                <w:szCs w:val="24"/>
                <w:highlight w:val="none"/>
                <w:lang w:val="en-US" w:eastAsia="zh-CN"/>
              </w:rPr>
              <w:t>2-3</w:t>
            </w:r>
            <w:r>
              <w:rPr>
                <w:rFonts w:hint="default" w:ascii="Times New Roman" w:hAnsi="Times New Roman" w:cs="Times New Roman"/>
                <w:b/>
                <w:sz w:val="24"/>
                <w:szCs w:val="24"/>
                <w:highlight w:val="none"/>
              </w:rPr>
              <w:t xml:space="preserve">    工程主要设备一览表</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4440"/>
              <w:gridCol w:w="1083"/>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4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序号</w:t>
                  </w:r>
                </w:p>
              </w:tc>
              <w:tc>
                <w:tcPr>
                  <w:tcW w:w="282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技术装备名称</w:t>
                  </w:r>
                </w:p>
              </w:tc>
              <w:tc>
                <w:tcPr>
                  <w:tcW w:w="688"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单位</w:t>
                  </w:r>
                </w:p>
              </w:tc>
              <w:tc>
                <w:tcPr>
                  <w:tcW w:w="74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越野车</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Cs w:val="21"/>
                      <w:highlight w:val="none"/>
                      <w:lang w:eastAsia="zh-CN"/>
                    </w:rPr>
                  </w:pPr>
                  <w:r>
                    <w:rPr>
                      <w:rFonts w:hint="default" w:ascii="Times New Roman" w:hAnsi="Times New Roman" w:eastAsia="宋体" w:cs="Times New Roman"/>
                      <w:sz w:val="21"/>
                      <w:szCs w:val="21"/>
                      <w:highlight w:val="none"/>
                      <w:lang w:val="en-US" w:eastAsia="zh-CN"/>
                    </w:rPr>
                    <w:t>辆</w:t>
                  </w:r>
                </w:p>
              </w:tc>
              <w:tc>
                <w:tcPr>
                  <w:tcW w:w="7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全液压</w:t>
                  </w:r>
                  <w:r>
                    <w:rPr>
                      <w:rFonts w:hint="eastAsia" w:cs="Times New Roman"/>
                      <w:color w:val="auto"/>
                      <w:sz w:val="21"/>
                      <w:szCs w:val="21"/>
                      <w:highlight w:val="none"/>
                      <w:lang w:eastAsia="zh-CN"/>
                    </w:rPr>
                    <w:t>岩芯</w:t>
                  </w:r>
                  <w:r>
                    <w:rPr>
                      <w:rFonts w:hint="default" w:ascii="Times New Roman" w:hAnsi="Times New Roman" w:eastAsia="宋体" w:cs="Times New Roman"/>
                      <w:color w:val="auto"/>
                      <w:sz w:val="21"/>
                      <w:szCs w:val="21"/>
                      <w:highlight w:val="none"/>
                    </w:rPr>
                    <w:t>钻机</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Cs w:val="21"/>
                      <w:highlight w:val="none"/>
                      <w:lang w:eastAsia="zh-CN"/>
                    </w:rPr>
                  </w:pPr>
                  <w:r>
                    <w:rPr>
                      <w:rFonts w:hint="default" w:ascii="Times New Roman" w:hAnsi="Times New Roman" w:eastAsia="宋体" w:cs="Times New Roman"/>
                      <w:sz w:val="21"/>
                      <w:szCs w:val="21"/>
                      <w:highlight w:val="none"/>
                      <w:lang w:val="en-US" w:eastAsia="zh-CN"/>
                    </w:rPr>
                    <w:t>台</w:t>
                  </w:r>
                </w:p>
              </w:tc>
              <w:tc>
                <w:tcPr>
                  <w:tcW w:w="7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柴油</w:t>
                  </w:r>
                  <w:r>
                    <w:rPr>
                      <w:rFonts w:hint="default" w:ascii="Times New Roman" w:hAnsi="Times New Roman" w:eastAsia="宋体" w:cs="Times New Roman"/>
                      <w:color w:val="auto"/>
                      <w:sz w:val="21"/>
                      <w:szCs w:val="21"/>
                      <w:highlight w:val="none"/>
                      <w:lang w:val="en-US" w:eastAsia="zh-CN"/>
                    </w:rPr>
                    <w:t>发电</w:t>
                  </w:r>
                  <w:r>
                    <w:rPr>
                      <w:rFonts w:hint="default" w:ascii="Times New Roman" w:hAnsi="Times New Roman" w:eastAsia="宋体" w:cs="Times New Roman"/>
                      <w:color w:val="auto"/>
                      <w:sz w:val="21"/>
                      <w:szCs w:val="21"/>
                      <w:highlight w:val="none"/>
                    </w:rPr>
                    <w:t>机</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Cs w:val="21"/>
                      <w:highlight w:val="none"/>
                      <w:lang w:eastAsia="zh-CN"/>
                    </w:rPr>
                  </w:pPr>
                  <w:r>
                    <w:rPr>
                      <w:rFonts w:hint="default" w:ascii="Times New Roman" w:hAnsi="Times New Roman" w:eastAsia="宋体" w:cs="Times New Roman"/>
                      <w:sz w:val="21"/>
                      <w:szCs w:val="21"/>
                      <w:highlight w:val="none"/>
                      <w:lang w:val="en-US" w:eastAsia="zh-CN"/>
                    </w:rPr>
                    <w:t>台</w:t>
                  </w:r>
                </w:p>
              </w:tc>
              <w:tc>
                <w:tcPr>
                  <w:tcW w:w="747"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数字测井系统</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台</w:t>
                  </w:r>
                </w:p>
              </w:tc>
              <w:tc>
                <w:tcPr>
                  <w:tcW w:w="7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kern w:val="2"/>
                      <w:sz w:val="21"/>
                      <w:szCs w:val="21"/>
                      <w:highlight w:val="none"/>
                      <w:lang w:val="en-US" w:eastAsia="zh-CN" w:bidi="ar-SA"/>
                    </w:rPr>
                  </w:pPr>
                  <w:bookmarkStart w:id="2" w:name="_Ref351905866"/>
                  <w:r>
                    <w:rPr>
                      <w:rFonts w:hint="eastAsia" w:cs="Times New Roman"/>
                      <w:kern w:val="2"/>
                      <w:sz w:val="21"/>
                      <w:szCs w:val="21"/>
                      <w:highlight w:val="none"/>
                      <w:lang w:val="en-US" w:eastAsia="zh-CN" w:bidi="ar-SA"/>
                    </w:rPr>
                    <w:t>5</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高精度测斜仪</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台</w:t>
                  </w:r>
                </w:p>
              </w:tc>
              <w:tc>
                <w:tcPr>
                  <w:tcW w:w="7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6</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笔记本电脑</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台</w:t>
                  </w:r>
                </w:p>
              </w:tc>
              <w:tc>
                <w:tcPr>
                  <w:tcW w:w="7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74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7</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GPS卫星定位仪</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台</w:t>
                  </w:r>
                </w:p>
              </w:tc>
              <w:tc>
                <w:tcPr>
                  <w:tcW w:w="747"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74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8</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便携式矿石元素分析仪</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台</w:t>
                  </w:r>
                </w:p>
              </w:tc>
              <w:tc>
                <w:tcPr>
                  <w:tcW w:w="7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9</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刻槽取样机</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台</w:t>
                  </w:r>
                </w:p>
              </w:tc>
              <w:tc>
                <w:tcPr>
                  <w:tcW w:w="747"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10</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岩心切割机</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台</w:t>
                  </w:r>
                </w:p>
              </w:tc>
              <w:tc>
                <w:tcPr>
                  <w:tcW w:w="747"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11</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对讲机</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台</w:t>
                  </w:r>
                </w:p>
              </w:tc>
              <w:tc>
                <w:tcPr>
                  <w:tcW w:w="747"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12</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帐篷</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顶</w:t>
                  </w:r>
                </w:p>
              </w:tc>
              <w:tc>
                <w:tcPr>
                  <w:tcW w:w="747"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13</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打印机</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台</w:t>
                  </w:r>
                </w:p>
              </w:tc>
              <w:tc>
                <w:tcPr>
                  <w:tcW w:w="747"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74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cs="Times New Roman"/>
                      <w:kern w:val="2"/>
                      <w:sz w:val="21"/>
                      <w:szCs w:val="21"/>
                      <w:highlight w:val="none"/>
                      <w:lang w:val="en-US" w:eastAsia="zh-CN" w:bidi="ar-SA"/>
                    </w:rPr>
                  </w:pPr>
                  <w:r>
                    <w:rPr>
                      <w:rFonts w:hint="eastAsia" w:cs="Times New Roman"/>
                      <w:kern w:val="2"/>
                      <w:sz w:val="21"/>
                      <w:szCs w:val="21"/>
                      <w:highlight w:val="none"/>
                      <w:lang w:val="en-US" w:eastAsia="zh-CN" w:bidi="ar-SA"/>
                    </w:rPr>
                    <w:t>14</w:t>
                  </w:r>
                </w:p>
              </w:tc>
              <w:tc>
                <w:tcPr>
                  <w:tcW w:w="282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挖掘机</w:t>
                  </w:r>
                </w:p>
              </w:tc>
              <w:tc>
                <w:tcPr>
                  <w:tcW w:w="68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台</w:t>
                  </w:r>
                </w:p>
              </w:tc>
              <w:tc>
                <w:tcPr>
                  <w:tcW w:w="747"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bl>
          <w:p>
            <w:pPr>
              <w:pStyle w:val="8"/>
              <w:keepNext/>
              <w:spacing w:before="0" w:after="0" w:line="240" w:lineRule="auto"/>
              <w:rPr>
                <w:rFonts w:hint="eastAsia" w:ascii="Times New Roman" w:hAnsi="Times New Roman" w:eastAsia="宋体" w:cs="Times New Roman"/>
                <w:b/>
                <w:sz w:val="24"/>
                <w:szCs w:val="24"/>
                <w:highlight w:val="none"/>
                <w:lang w:eastAsia="zh-CN"/>
              </w:rPr>
            </w:pPr>
            <w:r>
              <w:rPr>
                <w:rFonts w:hint="default" w:ascii="Times New Roman" w:hAnsi="Times New Roman" w:cs="Times New Roman"/>
                <w:b/>
                <w:sz w:val="24"/>
                <w:szCs w:val="24"/>
                <w:highlight w:val="none"/>
              </w:rPr>
              <w:t>表</w:t>
            </w:r>
            <w:bookmarkEnd w:id="2"/>
            <w:r>
              <w:rPr>
                <w:rFonts w:hint="default" w:ascii="Times New Roman" w:hAnsi="Times New Roman" w:cs="Times New Roman"/>
                <w:b/>
                <w:sz w:val="24"/>
                <w:szCs w:val="24"/>
                <w:highlight w:val="none"/>
                <w:lang w:val="en-US" w:eastAsia="zh-CN"/>
              </w:rPr>
              <w:t>2-4</w:t>
            </w:r>
            <w:r>
              <w:rPr>
                <w:rFonts w:hint="default" w:ascii="Times New Roman" w:hAnsi="Times New Roman" w:cs="Times New Roman"/>
                <w:b/>
                <w:sz w:val="24"/>
                <w:szCs w:val="24"/>
                <w:highlight w:val="none"/>
              </w:rPr>
              <w:t xml:space="preserve">   工程主要原、辅材料一览表</w:t>
            </w:r>
            <w:r>
              <w:rPr>
                <w:rFonts w:hint="eastAsia" w:cs="Times New Roman"/>
                <w:b/>
                <w:sz w:val="24"/>
                <w:szCs w:val="24"/>
                <w:highlight w:val="none"/>
                <w:lang w:eastAsia="zh-CN"/>
              </w:rPr>
              <w:t>（</w:t>
            </w:r>
            <w:r>
              <w:rPr>
                <w:rFonts w:hint="eastAsia" w:cs="Times New Roman"/>
                <w:b/>
                <w:sz w:val="24"/>
                <w:szCs w:val="24"/>
                <w:highlight w:val="none"/>
                <w:lang w:val="en-US" w:eastAsia="zh-CN"/>
              </w:rPr>
              <w:t>探矿期</w:t>
            </w:r>
            <w:r>
              <w:rPr>
                <w:rFonts w:hint="eastAsia" w:cs="Times New Roman"/>
                <w:b/>
                <w:sz w:val="24"/>
                <w:szCs w:val="24"/>
                <w:highlight w:val="none"/>
                <w:lang w:eastAsia="zh-CN"/>
              </w:rPr>
              <w:t>）</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1192"/>
              <w:gridCol w:w="880"/>
              <w:gridCol w:w="1124"/>
              <w:gridCol w:w="1294"/>
              <w:gridCol w:w="2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4" w:hRule="atLeast"/>
                <w:jc w:val="center"/>
              </w:trPr>
              <w:tc>
                <w:tcPr>
                  <w:tcW w:w="45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序号</w:t>
                  </w:r>
                </w:p>
              </w:tc>
              <w:tc>
                <w:tcPr>
                  <w:tcW w:w="75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名称</w:t>
                  </w:r>
                </w:p>
              </w:tc>
              <w:tc>
                <w:tcPr>
                  <w:tcW w:w="559"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单位</w:t>
                  </w:r>
                </w:p>
              </w:tc>
              <w:tc>
                <w:tcPr>
                  <w:tcW w:w="71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用量</w:t>
                  </w:r>
                </w:p>
              </w:tc>
              <w:tc>
                <w:tcPr>
                  <w:tcW w:w="8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来源</w:t>
                  </w:r>
                </w:p>
              </w:tc>
              <w:tc>
                <w:tcPr>
                  <w:tcW w:w="169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452" w:type="pct"/>
                  <w:vMerge w:val="restar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辅料</w:t>
                  </w:r>
                </w:p>
              </w:tc>
              <w:tc>
                <w:tcPr>
                  <w:tcW w:w="75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彩条布</w:t>
                  </w:r>
                </w:p>
              </w:tc>
              <w:tc>
                <w:tcPr>
                  <w:tcW w:w="559"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m</w:t>
                  </w:r>
                  <w:r>
                    <w:rPr>
                      <w:rFonts w:hint="eastAsia" w:cs="Times New Roman"/>
                      <w:szCs w:val="21"/>
                      <w:highlight w:val="none"/>
                      <w:vertAlign w:val="superscript"/>
                      <w:lang w:val="en-US" w:eastAsia="zh-CN"/>
                    </w:rPr>
                    <w:t>2</w:t>
                  </w:r>
                </w:p>
              </w:tc>
              <w:tc>
                <w:tcPr>
                  <w:tcW w:w="71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w:t>
                  </w:r>
                  <w:r>
                    <w:rPr>
                      <w:rFonts w:hint="default" w:ascii="Times New Roman" w:hAnsi="Times New Roman" w:eastAsia="宋体" w:cs="Times New Roman"/>
                      <w:szCs w:val="21"/>
                      <w:highlight w:val="none"/>
                      <w:lang w:val="en-US" w:eastAsia="zh-CN"/>
                    </w:rPr>
                    <w:t>000</w:t>
                  </w:r>
                </w:p>
              </w:tc>
              <w:tc>
                <w:tcPr>
                  <w:tcW w:w="8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外购</w:t>
                  </w:r>
                </w:p>
              </w:tc>
              <w:tc>
                <w:tcPr>
                  <w:tcW w:w="1694" w:type="pct"/>
                  <w:noWrap w:val="0"/>
                  <w:vAlign w:val="top"/>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对槽探开挖</w:t>
                  </w:r>
                  <w:r>
                    <w:rPr>
                      <w:rFonts w:hint="eastAsia" w:cs="Times New Roman"/>
                      <w:szCs w:val="21"/>
                      <w:highlight w:val="none"/>
                      <w:lang w:val="en-US" w:eastAsia="zh-CN"/>
                    </w:rPr>
                    <w:t>土石方</w:t>
                  </w:r>
                  <w:r>
                    <w:rPr>
                      <w:rFonts w:hint="default" w:ascii="Times New Roman" w:hAnsi="Times New Roman" w:eastAsia="宋体" w:cs="Times New Roman"/>
                      <w:szCs w:val="21"/>
                      <w:highlight w:val="none"/>
                      <w:lang w:val="en-US" w:eastAsia="zh-CN"/>
                    </w:rPr>
                    <w:t>进行</w:t>
                  </w:r>
                  <w:r>
                    <w:rPr>
                      <w:rFonts w:hint="eastAsia" w:cs="Times New Roman"/>
                      <w:szCs w:val="21"/>
                      <w:highlight w:val="none"/>
                      <w:lang w:val="en-US" w:eastAsia="zh-CN"/>
                    </w:rPr>
                    <w:t>苫盖，</w:t>
                  </w:r>
                  <w:r>
                    <w:rPr>
                      <w:rFonts w:hint="default" w:ascii="Times New Roman" w:hAnsi="Times New Roman" w:eastAsia="宋体" w:cs="Times New Roman"/>
                      <w:szCs w:val="21"/>
                      <w:highlight w:val="none"/>
                      <w:lang w:val="en-US" w:eastAsia="zh-CN"/>
                    </w:rPr>
                    <w:t>使用后回收并无害化处理</w:t>
                  </w: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52"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p>
              </w:tc>
              <w:tc>
                <w:tcPr>
                  <w:tcW w:w="75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膨润土</w:t>
                  </w:r>
                </w:p>
              </w:tc>
              <w:tc>
                <w:tcPr>
                  <w:tcW w:w="559"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t</w:t>
                  </w:r>
                </w:p>
              </w:tc>
              <w:tc>
                <w:tcPr>
                  <w:tcW w:w="71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0.5</w:t>
                  </w:r>
                </w:p>
              </w:tc>
              <w:tc>
                <w:tcPr>
                  <w:tcW w:w="8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外购</w:t>
                  </w:r>
                </w:p>
              </w:tc>
              <w:tc>
                <w:tcPr>
                  <w:tcW w:w="1694" w:type="pct"/>
                  <w:vMerge w:val="restar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泥浆配置</w:t>
                  </w: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52"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p>
              </w:tc>
              <w:tc>
                <w:tcPr>
                  <w:tcW w:w="75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cs="Times New Roman"/>
                      <w:szCs w:val="21"/>
                      <w:highlight w:val="none"/>
                      <w:lang w:val="en-US" w:eastAsia="zh-CN"/>
                    </w:rPr>
                    <w:t>聚合物、降失水剂等</w:t>
                  </w:r>
                </w:p>
              </w:tc>
              <w:tc>
                <w:tcPr>
                  <w:tcW w:w="559"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t</w:t>
                  </w:r>
                </w:p>
              </w:tc>
              <w:tc>
                <w:tcPr>
                  <w:tcW w:w="71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0.1</w:t>
                  </w:r>
                </w:p>
              </w:tc>
              <w:tc>
                <w:tcPr>
                  <w:tcW w:w="8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外购</w:t>
                  </w:r>
                </w:p>
              </w:tc>
              <w:tc>
                <w:tcPr>
                  <w:tcW w:w="1694"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52" w:type="pct"/>
                  <w:vMerge w:val="restar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资源</w:t>
                  </w:r>
                </w:p>
              </w:tc>
              <w:tc>
                <w:tcPr>
                  <w:tcW w:w="75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水</w:t>
                  </w:r>
                </w:p>
              </w:tc>
              <w:tc>
                <w:tcPr>
                  <w:tcW w:w="559"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m³</w:t>
                  </w:r>
                </w:p>
              </w:tc>
              <w:tc>
                <w:tcPr>
                  <w:tcW w:w="71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619.2</w:t>
                  </w:r>
                </w:p>
              </w:tc>
              <w:tc>
                <w:tcPr>
                  <w:tcW w:w="8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附近村镇</w:t>
                  </w:r>
                  <w:r>
                    <w:rPr>
                      <w:rFonts w:hint="eastAsia" w:ascii="Times New Roman" w:hAnsi="Times New Roman" w:eastAsia="宋体" w:cs="Times New Roman"/>
                      <w:szCs w:val="21"/>
                      <w:highlight w:val="none"/>
                      <w:lang w:val="en-US" w:eastAsia="zh-CN"/>
                    </w:rPr>
                    <w:t>定期拉运至项目区</w:t>
                  </w:r>
                </w:p>
              </w:tc>
              <w:tc>
                <w:tcPr>
                  <w:tcW w:w="169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探矿期</w:t>
                  </w:r>
                  <w:r>
                    <w:rPr>
                      <w:rFonts w:hint="default" w:ascii="Times New Roman" w:hAnsi="Times New Roman" w:eastAsia="宋体" w:cs="Times New Roman"/>
                      <w:szCs w:val="21"/>
                      <w:highlight w:val="none"/>
                      <w:lang w:val="en-US" w:eastAsia="zh-CN"/>
                    </w:rPr>
                    <w:t>生活</w:t>
                  </w:r>
                  <w:r>
                    <w:rPr>
                      <w:rFonts w:hint="eastAsia" w:ascii="Times New Roman" w:hAnsi="Times New Roman" w:eastAsia="宋体" w:cs="Times New Roman"/>
                      <w:szCs w:val="21"/>
                      <w:highlight w:val="none"/>
                      <w:lang w:val="en-US" w:eastAsia="zh-CN"/>
                    </w:rPr>
                    <w:t>总</w:t>
                  </w:r>
                  <w:r>
                    <w:rPr>
                      <w:rFonts w:hint="default" w:ascii="Times New Roman" w:hAnsi="Times New Roman" w:eastAsia="宋体" w:cs="Times New Roman"/>
                      <w:szCs w:val="21"/>
                      <w:highlight w:val="none"/>
                      <w:lang w:val="en-US" w:eastAsia="zh-CN"/>
                    </w:rPr>
                    <w:t>用水</w:t>
                  </w:r>
                  <w:r>
                    <w:rPr>
                      <w:rFonts w:hint="eastAsia" w:ascii="Times New Roman" w:hAnsi="Times New Roman" w:eastAsia="宋体" w:cs="Times New Roman"/>
                      <w:szCs w:val="21"/>
                      <w:highlight w:val="none"/>
                      <w:lang w:val="en-US" w:eastAsia="zh-CN"/>
                    </w:rPr>
                    <w:t>量</w:t>
                  </w:r>
                  <w:r>
                    <w:rPr>
                      <w:rFonts w:hint="default" w:ascii="Times New Roman" w:hAnsi="Times New Roman" w:eastAsia="宋体" w:cs="Times New Roman"/>
                      <w:szCs w:val="21"/>
                      <w:highlight w:val="none"/>
                      <w:lang w:val="en-US" w:eastAsia="zh-CN"/>
                    </w:rPr>
                    <w:t>：</w:t>
                  </w:r>
                  <w:r>
                    <w:rPr>
                      <w:rFonts w:hint="eastAsia" w:cs="Times New Roman"/>
                      <w:szCs w:val="21"/>
                      <w:highlight w:val="none"/>
                      <w:lang w:val="en-US" w:eastAsia="zh-CN"/>
                    </w:rPr>
                    <w:t>259.2</w:t>
                  </w:r>
                  <w:r>
                    <w:rPr>
                      <w:rFonts w:hint="default" w:ascii="Times New Roman" w:hAnsi="Times New Roman" w:eastAsia="宋体" w:cs="Times New Roman"/>
                      <w:szCs w:val="21"/>
                      <w:highlight w:val="none"/>
                      <w:lang w:val="en-US" w:eastAsia="zh-CN"/>
                    </w:rPr>
                    <w:t>m³</w:t>
                  </w:r>
                  <w:r>
                    <w:rPr>
                      <w:rFonts w:hint="eastAsia" w:ascii="Times New Roman" w:hAnsi="Times New Roman" w:eastAsia="宋体" w:cs="Times New Roman"/>
                      <w:szCs w:val="21"/>
                      <w:highlight w:val="none"/>
                      <w:lang w:val="en-US" w:eastAsia="zh-CN"/>
                    </w:rPr>
                    <w:t>；生产用水总量</w:t>
                  </w:r>
                  <w:r>
                    <w:rPr>
                      <w:rFonts w:hint="eastAsia" w:cs="Times New Roman"/>
                      <w:szCs w:val="21"/>
                      <w:highlight w:val="none"/>
                      <w:lang w:val="en-US" w:eastAsia="zh-CN"/>
                    </w:rPr>
                    <w:t>360</w:t>
                  </w:r>
                  <w:r>
                    <w:rPr>
                      <w:rFonts w:hint="default" w:ascii="Times New Roman" w:hAnsi="Times New Roman" w:eastAsia="宋体" w:cs="Times New Roman"/>
                      <w:szCs w:val="21"/>
                      <w:highlight w:val="none"/>
                      <w:lang w:val="en-US" w:eastAsia="zh-CN"/>
                    </w:rPr>
                    <w:t>m³</w:t>
                  </w:r>
                  <w:r>
                    <w:rPr>
                      <w:rFonts w:hint="eastAsia" w:cs="Times New Roman"/>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52"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p>
              </w:tc>
              <w:tc>
                <w:tcPr>
                  <w:tcW w:w="75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柴油</w:t>
                  </w:r>
                </w:p>
              </w:tc>
              <w:tc>
                <w:tcPr>
                  <w:tcW w:w="559"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t</w:t>
                  </w:r>
                </w:p>
              </w:tc>
              <w:tc>
                <w:tcPr>
                  <w:tcW w:w="71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10</w:t>
                  </w:r>
                </w:p>
              </w:tc>
              <w:tc>
                <w:tcPr>
                  <w:tcW w:w="82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定期从附近加油站运送至探矿区</w:t>
                  </w:r>
                </w:p>
              </w:tc>
              <w:tc>
                <w:tcPr>
                  <w:tcW w:w="169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油桶储存，最大储存量为</w:t>
                  </w:r>
                  <w:r>
                    <w:rPr>
                      <w:rFonts w:hint="eastAsia" w:cs="Times New Roman"/>
                      <w:szCs w:val="21"/>
                      <w:highlight w:val="none"/>
                      <w:lang w:val="en-US" w:eastAsia="zh-CN"/>
                    </w:rPr>
                    <w:t>0.5</w:t>
                  </w:r>
                  <w:r>
                    <w:rPr>
                      <w:rFonts w:hint="eastAsia" w:ascii="Times New Roman" w:hAnsi="Times New Roman" w:eastAsia="宋体" w:cs="Times New Roman"/>
                      <w:szCs w:val="21"/>
                      <w:highlight w:val="none"/>
                      <w:lang w:val="en-US" w:eastAsia="zh-CN"/>
                    </w:rPr>
                    <w:t>t</w:t>
                  </w:r>
                  <w:r>
                    <w:rPr>
                      <w:rFonts w:hint="eastAsia" w:cs="Times New Roman"/>
                      <w:szCs w:val="21"/>
                      <w:highlight w:val="none"/>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cs="Times New Roman"/>
                <w:b/>
                <w:bCs/>
                <w:kern w:val="0"/>
                <w:sz w:val="24"/>
                <w:szCs w:val="24"/>
                <w:highlight w:val="none"/>
                <w:lang w:eastAsia="zh-CN"/>
              </w:rPr>
            </w:pPr>
            <w:r>
              <w:rPr>
                <w:rFonts w:hint="eastAsia" w:cs="Times New Roman"/>
                <w:b/>
                <w:bCs/>
                <w:kern w:val="0"/>
                <w:sz w:val="24"/>
                <w:szCs w:val="24"/>
                <w:highlight w:val="none"/>
                <w:lang w:val="en-US" w:eastAsia="zh-CN"/>
              </w:rPr>
              <w:t>4.</w:t>
            </w:r>
            <w:r>
              <w:rPr>
                <w:rFonts w:hint="default" w:ascii="Times New Roman" w:hAnsi="Times New Roman" w:cs="Times New Roman"/>
                <w:b/>
                <w:bCs/>
                <w:kern w:val="0"/>
                <w:sz w:val="24"/>
                <w:szCs w:val="24"/>
                <w:highlight w:val="none"/>
                <w:lang w:eastAsia="zh-CN"/>
              </w:rPr>
              <w:t>公用工程</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b/>
                <w:bCs/>
                <w:sz w:val="24"/>
                <w:szCs w:val="24"/>
                <w:highlight w:val="none"/>
                <w:lang w:eastAsia="zh-CN"/>
              </w:rPr>
            </w:pPr>
            <w:r>
              <w:rPr>
                <w:rFonts w:hint="eastAsia" w:cs="Times New Roman"/>
                <w:b/>
                <w:bCs/>
                <w:sz w:val="24"/>
                <w:szCs w:val="24"/>
                <w:highlight w:val="none"/>
                <w:lang w:val="en-US" w:eastAsia="zh-CN"/>
              </w:rPr>
              <w:t>4.1</w:t>
            </w:r>
            <w:r>
              <w:rPr>
                <w:rFonts w:hint="default" w:ascii="Times New Roman" w:hAnsi="Times New Roman" w:eastAsia="宋体" w:cs="Times New Roman"/>
                <w:b/>
                <w:bCs/>
                <w:sz w:val="24"/>
                <w:szCs w:val="24"/>
                <w:highlight w:val="none"/>
                <w:lang w:eastAsia="zh-CN"/>
              </w:rPr>
              <w:t>给水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项目用水由</w:t>
            </w:r>
            <w:r>
              <w:rPr>
                <w:rFonts w:hint="default" w:ascii="Times New Roman" w:hAnsi="Times New Roman" w:eastAsia="宋体" w:cs="Times New Roman"/>
                <w:sz w:val="24"/>
                <w:szCs w:val="24"/>
                <w:highlight w:val="none"/>
                <w:lang w:val="en-US" w:eastAsia="zh-CN"/>
              </w:rPr>
              <w:t>附近</w:t>
            </w:r>
            <w:r>
              <w:rPr>
                <w:rFonts w:hint="eastAsia" w:cs="Times New Roman"/>
                <w:sz w:val="24"/>
                <w:szCs w:val="24"/>
                <w:highlight w:val="none"/>
                <w:lang w:val="en-US" w:eastAsia="zh-CN"/>
              </w:rPr>
              <w:t>村</w:t>
            </w:r>
            <w:r>
              <w:rPr>
                <w:rFonts w:hint="default" w:ascii="Times New Roman" w:hAnsi="Times New Roman" w:eastAsia="宋体" w:cs="Times New Roman"/>
                <w:sz w:val="24"/>
                <w:szCs w:val="24"/>
                <w:highlight w:val="none"/>
                <w:lang w:val="en-US" w:eastAsia="zh-CN"/>
              </w:rPr>
              <w:t>镇用汽车</w:t>
            </w:r>
            <w:r>
              <w:rPr>
                <w:rFonts w:hint="eastAsia" w:ascii="Times New Roman" w:hAnsi="Times New Roman" w:eastAsia="宋体" w:cs="Times New Roman"/>
                <w:sz w:val="24"/>
                <w:szCs w:val="24"/>
                <w:highlight w:val="none"/>
                <w:lang w:val="en-US" w:eastAsia="zh-CN"/>
              </w:rPr>
              <w:t>拉运至</w:t>
            </w:r>
            <w:r>
              <w:rPr>
                <w:rFonts w:hint="eastAsia" w:cs="Times New Roman"/>
                <w:sz w:val="24"/>
                <w:szCs w:val="24"/>
                <w:highlight w:val="none"/>
                <w:lang w:val="en-US" w:eastAsia="zh-CN"/>
              </w:rPr>
              <w:t>探矿区</w:t>
            </w:r>
            <w:r>
              <w:rPr>
                <w:rFonts w:hint="default" w:ascii="Times New Roman" w:hAnsi="Times New Roman" w:eastAsia="宋体" w:cs="Times New Roman"/>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（1）生活用水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本项目</w:t>
            </w:r>
            <w:r>
              <w:rPr>
                <w:rFonts w:hint="eastAsia" w:ascii="Times New Roman" w:hAnsi="Times New Roman" w:eastAsia="宋体" w:cs="Times New Roman"/>
                <w:sz w:val="24"/>
                <w:szCs w:val="24"/>
                <w:highlight w:val="none"/>
                <w:lang w:eastAsia="zh-CN"/>
              </w:rPr>
              <w:t>勘探过程中，劳动定员约为</w:t>
            </w:r>
            <w:r>
              <w:rPr>
                <w:rFonts w:hint="eastAsia" w:cs="Times New Roman"/>
                <w:sz w:val="24"/>
                <w:szCs w:val="24"/>
                <w:highlight w:val="none"/>
                <w:lang w:val="en-US" w:eastAsia="zh-CN"/>
              </w:rPr>
              <w:t>12</w:t>
            </w:r>
            <w:r>
              <w:rPr>
                <w:rFonts w:hint="eastAsia" w:ascii="Times New Roman" w:hAnsi="Times New Roman" w:eastAsia="宋体" w:cs="Times New Roman"/>
                <w:sz w:val="24"/>
                <w:szCs w:val="24"/>
                <w:highlight w:val="none"/>
                <w:lang w:val="en-US" w:eastAsia="zh-CN"/>
              </w:rPr>
              <w:t>人</w:t>
            </w:r>
            <w:r>
              <w:rPr>
                <w:rFonts w:hint="default" w:ascii="Times New Roman" w:hAnsi="Times New Roman" w:eastAsia="宋体" w:cs="Times New Roman"/>
                <w:sz w:val="24"/>
                <w:szCs w:val="24"/>
                <w:highlight w:val="none"/>
                <w:lang w:eastAsia="zh-CN"/>
              </w:rPr>
              <w:t>，职工</w:t>
            </w:r>
            <w:r>
              <w:rPr>
                <w:rFonts w:hint="eastAsia" w:ascii="Times New Roman" w:hAnsi="Times New Roman" w:eastAsia="宋体" w:cs="Times New Roman"/>
                <w:sz w:val="24"/>
                <w:szCs w:val="24"/>
                <w:highlight w:val="none"/>
                <w:lang w:eastAsia="zh-CN"/>
              </w:rPr>
              <w:t>均</w:t>
            </w:r>
            <w:r>
              <w:rPr>
                <w:rFonts w:hint="default" w:ascii="Times New Roman" w:hAnsi="Times New Roman" w:eastAsia="宋体" w:cs="Times New Roman"/>
                <w:sz w:val="24"/>
                <w:szCs w:val="24"/>
                <w:highlight w:val="none"/>
                <w:lang w:eastAsia="zh-CN"/>
              </w:rPr>
              <w:t>在矿区临时生活营地食宿，</w:t>
            </w:r>
            <w:r>
              <w:rPr>
                <w:rFonts w:hint="eastAsia" w:cs="Times New Roman"/>
                <w:sz w:val="24"/>
                <w:szCs w:val="24"/>
                <w:highlight w:val="none"/>
                <w:lang w:val="en-US" w:eastAsia="zh-CN"/>
              </w:rPr>
              <w:t>生</w:t>
            </w:r>
            <w:r>
              <w:rPr>
                <w:rFonts w:hint="default" w:ascii="Times New Roman" w:hAnsi="Times New Roman" w:eastAsia="宋体" w:cs="Times New Roman"/>
                <w:sz w:val="24"/>
                <w:szCs w:val="24"/>
                <w:highlight w:val="none"/>
                <w:lang w:eastAsia="zh-CN"/>
              </w:rPr>
              <w:t>活用水量根据《新疆维吾尔自治区生活用水定额》为</w:t>
            </w:r>
            <w:r>
              <w:rPr>
                <w:rFonts w:hint="eastAsia" w:cs="Times New Roman"/>
                <w:sz w:val="24"/>
                <w:szCs w:val="24"/>
                <w:highlight w:val="none"/>
                <w:lang w:val="en-US" w:eastAsia="zh-CN"/>
              </w:rPr>
              <w:t>30</w:t>
            </w:r>
            <w:r>
              <w:rPr>
                <w:rFonts w:hint="default" w:ascii="Times New Roman" w:hAnsi="Times New Roman" w:eastAsia="宋体" w:cs="Times New Roman"/>
                <w:sz w:val="24"/>
                <w:szCs w:val="24"/>
                <w:highlight w:val="none"/>
                <w:lang w:eastAsia="zh-CN"/>
              </w:rPr>
              <w:t>L/d·人，</w:t>
            </w:r>
            <w:r>
              <w:rPr>
                <w:rFonts w:hint="eastAsia" w:cs="Times New Roman"/>
                <w:sz w:val="24"/>
                <w:szCs w:val="24"/>
                <w:highlight w:val="none"/>
                <w:lang w:val="en-US" w:eastAsia="zh-CN"/>
              </w:rPr>
              <w:t>探矿期间勘探设计天数为720</w:t>
            </w:r>
            <w:r>
              <w:rPr>
                <w:rFonts w:hint="default" w:ascii="Times New Roman" w:hAnsi="Times New Roman" w:eastAsia="宋体" w:cs="Times New Roman"/>
                <w:sz w:val="24"/>
                <w:szCs w:val="24"/>
                <w:highlight w:val="none"/>
                <w:lang w:eastAsia="zh-CN"/>
              </w:rPr>
              <w:t>d</w:t>
            </w:r>
            <w:r>
              <w:rPr>
                <w:rFonts w:hint="eastAsia" w:cs="Times New Roman"/>
                <w:sz w:val="24"/>
                <w:szCs w:val="24"/>
                <w:highlight w:val="none"/>
                <w:lang w:eastAsia="zh-CN"/>
              </w:rPr>
              <w:t>（</w:t>
            </w:r>
            <w:r>
              <w:rPr>
                <w:rFonts w:hint="eastAsia" w:cs="Times New Roman"/>
                <w:sz w:val="24"/>
                <w:szCs w:val="24"/>
                <w:highlight w:val="none"/>
                <w:lang w:val="en-US" w:eastAsia="zh-CN"/>
              </w:rPr>
              <w:t>240d/a</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lang w:eastAsia="zh-CN"/>
              </w:rPr>
              <w:t>，则可知本项目生活</w:t>
            </w:r>
            <w:r>
              <w:rPr>
                <w:rFonts w:hint="eastAsia" w:cs="Times New Roman"/>
                <w:sz w:val="24"/>
                <w:szCs w:val="24"/>
                <w:highlight w:val="none"/>
                <w:lang w:val="en-US" w:eastAsia="zh-CN"/>
              </w:rPr>
              <w:t>日</w:t>
            </w:r>
            <w:r>
              <w:rPr>
                <w:rFonts w:hint="default" w:ascii="Times New Roman" w:hAnsi="Times New Roman" w:eastAsia="宋体" w:cs="Times New Roman"/>
                <w:sz w:val="24"/>
                <w:szCs w:val="24"/>
                <w:highlight w:val="none"/>
                <w:lang w:eastAsia="zh-CN"/>
              </w:rPr>
              <w:t>用水量为</w:t>
            </w:r>
            <w:r>
              <w:rPr>
                <w:rFonts w:hint="eastAsia" w:cs="Times New Roman"/>
                <w:sz w:val="24"/>
                <w:szCs w:val="24"/>
                <w:highlight w:val="none"/>
                <w:lang w:val="en-US" w:eastAsia="zh-CN"/>
              </w:rPr>
              <w:t>0.36</w:t>
            </w:r>
            <w:r>
              <w:rPr>
                <w:rFonts w:hint="default" w:ascii="Times New Roman" w:hAnsi="Times New Roman" w:eastAsia="宋体" w:cs="Times New Roman"/>
                <w:sz w:val="24"/>
                <w:szCs w:val="24"/>
                <w:highlight w:val="none"/>
                <w:lang w:eastAsia="zh-CN"/>
              </w:rPr>
              <w:t>m³/d</w:t>
            </w:r>
            <w:r>
              <w:rPr>
                <w:rFonts w:hint="eastAsia" w:cs="Times New Roman"/>
                <w:sz w:val="24"/>
                <w:szCs w:val="24"/>
                <w:highlight w:val="none"/>
                <w:lang w:eastAsia="zh-CN"/>
              </w:rPr>
              <w:t>，</w:t>
            </w:r>
            <w:r>
              <w:rPr>
                <w:rFonts w:hint="eastAsia" w:cs="Times New Roman"/>
                <w:sz w:val="24"/>
                <w:szCs w:val="24"/>
                <w:highlight w:val="none"/>
                <w:lang w:val="en-US" w:eastAsia="zh-CN"/>
              </w:rPr>
              <w:t>探矿期生活用水</w:t>
            </w:r>
            <w:r>
              <w:rPr>
                <w:rFonts w:hint="eastAsia"/>
                <w:lang w:val="en-US" w:eastAsia="zh-CN"/>
              </w:rPr>
              <w:t>总</w:t>
            </w:r>
            <w:r>
              <w:rPr>
                <w:rFonts w:hint="eastAsia" w:cs="Times New Roman"/>
                <w:sz w:val="24"/>
                <w:szCs w:val="24"/>
                <w:highlight w:val="none"/>
                <w:lang w:val="en-US" w:eastAsia="zh-CN"/>
              </w:rPr>
              <w:t>量为259.2</w:t>
            </w:r>
            <w:r>
              <w:rPr>
                <w:rFonts w:hint="default" w:ascii="Times New Roman" w:hAnsi="Times New Roman" w:eastAsia="宋体" w:cs="Times New Roman"/>
                <w:sz w:val="24"/>
                <w:szCs w:val="24"/>
                <w:highlight w:val="none"/>
                <w:lang w:eastAsia="zh-CN"/>
              </w:rPr>
              <w:t>m³。</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lang w:val="en-US" w:eastAsia="zh-CN"/>
              </w:rPr>
              <w:t>2）生产用水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4"/>
                <w:szCs w:val="24"/>
                <w:highlight w:val="none"/>
                <w:lang w:val="en-US" w:eastAsia="zh-CN"/>
              </w:rPr>
              <w:t>泥浆调配用水：项目钻</w:t>
            </w:r>
            <w:r>
              <w:rPr>
                <w:rFonts w:hint="eastAsia" w:cs="Times New Roman"/>
                <w:sz w:val="24"/>
                <w:szCs w:val="24"/>
                <w:highlight w:val="none"/>
                <w:lang w:val="en-US" w:eastAsia="zh-CN"/>
              </w:rPr>
              <w:t>探</w:t>
            </w:r>
            <w:r>
              <w:rPr>
                <w:rFonts w:hint="eastAsia" w:ascii="Times New Roman" w:hAnsi="Times New Roman" w:eastAsia="宋体" w:cs="Times New Roman"/>
                <w:sz w:val="24"/>
                <w:szCs w:val="24"/>
                <w:highlight w:val="none"/>
                <w:lang w:val="en-US" w:eastAsia="zh-CN"/>
              </w:rPr>
              <w:t>期间泥浆调配用水量约为</w:t>
            </w:r>
            <w:r>
              <w:rPr>
                <w:rFonts w:hint="eastAsia" w:cs="Times New Roman"/>
                <w:sz w:val="24"/>
                <w:szCs w:val="24"/>
                <w:highlight w:val="none"/>
                <w:lang w:val="en-US" w:eastAsia="zh-CN"/>
              </w:rPr>
              <w:t>120</w:t>
            </w:r>
            <w:r>
              <w:rPr>
                <w:rFonts w:hint="eastAsia" w:ascii="Times New Roman" w:hAnsi="Times New Roman" w:eastAsia="宋体" w:cs="Times New Roman"/>
                <w:sz w:val="24"/>
                <w:szCs w:val="24"/>
                <w:highlight w:val="none"/>
                <w:lang w:val="en-US" w:eastAsia="zh-CN"/>
              </w:rPr>
              <w:t>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vertAlign w:val="baseline"/>
                <w:lang w:val="en-US" w:eastAsia="zh-CN"/>
              </w:rPr>
              <w:t>，调配好的泥浆循环使用。</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钻</w:t>
            </w:r>
            <w:r>
              <w:rPr>
                <w:rFonts w:hint="eastAsia" w:cs="Times New Roman"/>
                <w:sz w:val="24"/>
                <w:szCs w:val="24"/>
                <w:highlight w:val="none"/>
                <w:lang w:val="en-US" w:eastAsia="zh-CN"/>
              </w:rPr>
              <w:t>探</w:t>
            </w:r>
            <w:r>
              <w:rPr>
                <w:rFonts w:hint="eastAsia" w:ascii="Times New Roman" w:hAnsi="Times New Roman" w:eastAsia="宋体" w:cs="Times New Roman"/>
                <w:sz w:val="24"/>
                <w:szCs w:val="24"/>
                <w:highlight w:val="none"/>
                <w:lang w:val="en-US" w:eastAsia="zh-CN"/>
              </w:rPr>
              <w:t>设备冲洗用水：根据业主提供资料，项目钻探工作天数约为</w:t>
            </w:r>
            <w:r>
              <w:rPr>
                <w:rFonts w:hint="eastAsia" w:cs="Times New Roman"/>
                <w:sz w:val="24"/>
                <w:szCs w:val="24"/>
                <w:highlight w:val="none"/>
                <w:lang w:val="en-US" w:eastAsia="zh-CN"/>
              </w:rPr>
              <w:t>240</w:t>
            </w:r>
            <w:r>
              <w:rPr>
                <w:rFonts w:hint="eastAsia" w:ascii="Times New Roman" w:hAnsi="Times New Roman" w:eastAsia="宋体" w:cs="Times New Roman"/>
                <w:sz w:val="24"/>
                <w:szCs w:val="24"/>
                <w:highlight w:val="none"/>
                <w:lang w:val="en-US" w:eastAsia="zh-CN"/>
              </w:rPr>
              <w:t>天，冲洗用水量</w:t>
            </w:r>
            <w:r>
              <w:rPr>
                <w:rFonts w:hint="eastAsia" w:cs="Times New Roman"/>
                <w:sz w:val="24"/>
                <w:szCs w:val="24"/>
                <w:highlight w:val="none"/>
                <w:lang w:val="en-US" w:eastAsia="zh-CN"/>
              </w:rPr>
              <w:t>1</w:t>
            </w:r>
            <w:r>
              <w:rPr>
                <w:rFonts w:hint="eastAsia" w:ascii="Times New Roman" w:hAnsi="Times New Roman" w:eastAsia="宋体" w:cs="Times New Roman"/>
                <w:sz w:val="24"/>
                <w:szCs w:val="24"/>
                <w:highlight w:val="none"/>
                <w:lang w:val="en-US" w:eastAsia="zh-CN"/>
              </w:rPr>
              <w:t>m</w:t>
            </w:r>
            <w:r>
              <w:rPr>
                <w:rFonts w:hint="eastAsia" w:ascii="Times New Roman" w:hAnsi="Times New Roman" w:eastAsia="宋体"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lang w:eastAsia="zh-CN"/>
              </w:rPr>
              <w:t>/d</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lang w:val="en-US" w:eastAsia="zh-CN"/>
              </w:rPr>
              <w:t>总用水量为</w:t>
            </w:r>
            <w:r>
              <w:rPr>
                <w:rFonts w:hint="eastAsia" w:cs="Times New Roman"/>
                <w:sz w:val="24"/>
                <w:szCs w:val="24"/>
                <w:highlight w:val="none"/>
                <w:lang w:val="en-US" w:eastAsia="zh-CN"/>
              </w:rPr>
              <w:t>240</w:t>
            </w:r>
            <w:r>
              <w:rPr>
                <w:rFonts w:hint="eastAsia" w:ascii="Times New Roman" w:hAnsi="Times New Roman" w:eastAsia="宋体" w:cs="Times New Roman"/>
                <w:sz w:val="24"/>
                <w:szCs w:val="24"/>
                <w:highlight w:val="none"/>
                <w:lang w:val="en-US" w:eastAsia="zh-CN"/>
              </w:rPr>
              <w:t>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b/>
                <w:bCs/>
                <w:sz w:val="24"/>
                <w:szCs w:val="24"/>
                <w:highlight w:val="none"/>
                <w:lang w:val="en-US" w:eastAsia="zh-CN"/>
              </w:rPr>
            </w:pPr>
            <w:r>
              <w:rPr>
                <w:rFonts w:hint="eastAsia" w:cs="Times New Roman"/>
                <w:b/>
                <w:bCs/>
                <w:sz w:val="24"/>
                <w:szCs w:val="24"/>
                <w:highlight w:val="none"/>
                <w:lang w:val="en-US" w:eastAsia="zh-CN"/>
              </w:rPr>
              <w:t>4.2</w:t>
            </w:r>
            <w:r>
              <w:rPr>
                <w:rFonts w:hint="default" w:ascii="Times New Roman" w:hAnsi="Times New Roman" w:eastAsia="宋体" w:cs="Times New Roman"/>
                <w:b/>
                <w:bCs/>
                <w:sz w:val="24"/>
                <w:szCs w:val="24"/>
                <w:highlight w:val="none"/>
                <w:lang w:val="en-US" w:eastAsia="zh-CN"/>
              </w:rPr>
              <w:t>排水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eastAsia="zh-CN"/>
              </w:rPr>
              <w:t>（1）生活</w:t>
            </w:r>
            <w:r>
              <w:rPr>
                <w:rFonts w:hint="eastAsia" w:ascii="Times New Roman" w:hAnsi="Times New Roman" w:eastAsia="宋体" w:cs="Times New Roman"/>
                <w:sz w:val="24"/>
                <w:szCs w:val="24"/>
                <w:highlight w:val="none"/>
                <w:lang w:val="en-US" w:eastAsia="zh-CN"/>
              </w:rPr>
              <w:t>污水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highlight w:val="none"/>
              </w:rPr>
            </w:pPr>
            <w:r>
              <w:rPr>
                <w:rFonts w:hint="default" w:ascii="Times New Roman" w:hAnsi="Times New Roman" w:eastAsia="宋体" w:cs="Times New Roman"/>
                <w:sz w:val="24"/>
                <w:szCs w:val="24"/>
                <w:highlight w:val="none"/>
              </w:rPr>
              <w:t>生</w:t>
            </w:r>
            <w:r>
              <w:rPr>
                <w:rFonts w:hint="default" w:ascii="Times New Roman" w:hAnsi="Times New Roman" w:eastAsia="宋体" w:cs="Times New Roman"/>
                <w:sz w:val="24"/>
                <w:szCs w:val="24"/>
                <w:highlight w:val="none"/>
                <w:lang w:eastAsia="zh-CN"/>
              </w:rPr>
              <w:t>活污</w:t>
            </w:r>
            <w:r>
              <w:rPr>
                <w:rFonts w:hint="default" w:ascii="Times New Roman" w:hAnsi="Times New Roman" w:eastAsia="宋体" w:cs="Times New Roman"/>
                <w:sz w:val="24"/>
                <w:szCs w:val="24"/>
                <w:highlight w:val="none"/>
              </w:rPr>
              <w:t>水</w:t>
            </w:r>
            <w:r>
              <w:rPr>
                <w:rFonts w:hint="eastAsia" w:cs="Times New Roman"/>
                <w:sz w:val="24"/>
                <w:szCs w:val="24"/>
                <w:highlight w:val="none"/>
                <w:lang w:val="en-US" w:eastAsia="zh-CN"/>
              </w:rPr>
              <w:t>经一体化污水处理设施处理完成后用于周边绿化，不外排，</w:t>
            </w:r>
            <w:r>
              <w:rPr>
                <w:rFonts w:hint="default" w:ascii="Times New Roman" w:hAnsi="Times New Roman" w:eastAsia="宋体" w:cs="Times New Roman"/>
                <w:sz w:val="24"/>
                <w:szCs w:val="24"/>
                <w:highlight w:val="none"/>
                <w:lang w:eastAsia="zh-CN"/>
              </w:rPr>
              <w:t>生活污水量以生活用水量的80%计，则可知本项目生活污水产生量为</w:t>
            </w:r>
            <w:r>
              <w:rPr>
                <w:rFonts w:hint="eastAsia" w:cs="Times New Roman"/>
                <w:sz w:val="24"/>
                <w:szCs w:val="24"/>
                <w:highlight w:val="none"/>
                <w:lang w:val="en-US" w:eastAsia="zh-CN"/>
              </w:rPr>
              <w:t>0.288</w:t>
            </w:r>
            <w:r>
              <w:rPr>
                <w:rFonts w:hint="default" w:ascii="Times New Roman" w:hAnsi="Times New Roman" w:eastAsia="宋体" w:cs="Times New Roman"/>
                <w:sz w:val="24"/>
                <w:szCs w:val="24"/>
                <w:highlight w:val="none"/>
                <w:lang w:eastAsia="zh-CN"/>
              </w:rPr>
              <w:t>m³/d</w:t>
            </w:r>
            <w:r>
              <w:rPr>
                <w:rFonts w:hint="eastAsia" w:cs="Times New Roman"/>
                <w:sz w:val="24"/>
                <w:szCs w:val="24"/>
                <w:highlight w:val="none"/>
                <w:lang w:eastAsia="zh-CN"/>
              </w:rPr>
              <w:t>（</w:t>
            </w:r>
            <w:r>
              <w:rPr>
                <w:rFonts w:hint="eastAsia" w:cs="Times New Roman"/>
                <w:sz w:val="24"/>
                <w:szCs w:val="24"/>
                <w:highlight w:val="none"/>
                <w:lang w:val="en-US" w:eastAsia="zh-CN"/>
              </w:rPr>
              <w:t>69.12</w:t>
            </w:r>
            <w:r>
              <w:rPr>
                <w:rFonts w:hint="default" w:ascii="Times New Roman" w:hAnsi="Times New Roman" w:eastAsia="宋体" w:cs="Times New Roman"/>
                <w:sz w:val="24"/>
                <w:szCs w:val="24"/>
                <w:highlight w:val="none"/>
                <w:lang w:eastAsia="zh-CN"/>
              </w:rPr>
              <w:t>m³/a</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lang w:val="en-US" w:eastAsia="zh-CN"/>
              </w:rPr>
              <w:t>2）生产废水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4"/>
                <w:szCs w:val="24"/>
                <w:highlight w:val="none"/>
                <w:lang w:val="en-US" w:eastAsia="zh-CN"/>
              </w:rPr>
              <w:t>泥浆调配</w:t>
            </w:r>
            <w:r>
              <w:rPr>
                <w:rFonts w:hint="eastAsia" w:cs="Times New Roman"/>
                <w:sz w:val="24"/>
                <w:szCs w:val="24"/>
                <w:highlight w:val="none"/>
                <w:lang w:val="en-US" w:eastAsia="zh-CN"/>
              </w:rPr>
              <w:t>废水</w:t>
            </w:r>
            <w:r>
              <w:rPr>
                <w:rFonts w:hint="eastAsia"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项目调配钻井泥浆补水量约0.5</w:t>
            </w:r>
            <w:r>
              <w:rPr>
                <w:rFonts w:hint="eastAsia" w:ascii="Times New Roman" w:hAnsi="Times New Roman" w:eastAsia="宋体" w:cs="Times New Roman"/>
                <w:sz w:val="24"/>
                <w:szCs w:val="24"/>
                <w:highlight w:val="none"/>
                <w:lang w:val="en-US" w:eastAsia="zh-CN"/>
              </w:rPr>
              <w:t>m</w:t>
            </w:r>
            <w:r>
              <w:rPr>
                <w:rFonts w:hint="eastAsia" w:ascii="Times New Roman" w:hAnsi="Times New Roman" w:eastAsia="宋体"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lang w:eastAsia="zh-CN"/>
              </w:rPr>
              <w:t>/d</w:t>
            </w:r>
            <w:r>
              <w:rPr>
                <w:rFonts w:hint="eastAsia" w:cs="Times New Roman"/>
                <w:sz w:val="24"/>
                <w:szCs w:val="24"/>
                <w:highlight w:val="none"/>
                <w:lang w:val="en-US" w:eastAsia="zh-CN"/>
              </w:rPr>
              <w:t>，含泥浆水经沉淀池处理后全部回用于钻孔泥浆配制，循环使用，不外排。</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4"/>
                <w:szCs w:val="24"/>
                <w:highlight w:val="none"/>
                <w:lang w:val="en-US" w:eastAsia="zh-CN"/>
              </w:rPr>
              <w:t>钻井设备冲洗</w:t>
            </w:r>
            <w:r>
              <w:rPr>
                <w:rFonts w:hint="eastAsia" w:cs="Times New Roman"/>
                <w:sz w:val="24"/>
                <w:szCs w:val="24"/>
                <w:highlight w:val="none"/>
                <w:lang w:val="en-US" w:eastAsia="zh-CN"/>
              </w:rPr>
              <w:t>废水</w:t>
            </w:r>
            <w:r>
              <w:rPr>
                <w:rFonts w:hint="eastAsia"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vertAlign w:val="baseline"/>
                <w:lang w:val="en-US" w:eastAsia="zh-CN"/>
              </w:rPr>
              <w:t>冲洗废水产生量</w:t>
            </w:r>
            <w:r>
              <w:rPr>
                <w:rFonts w:hint="eastAsia" w:ascii="Times New Roman" w:hAnsi="Times New Roman" w:eastAsia="宋体" w:cs="Times New Roman"/>
                <w:sz w:val="24"/>
                <w:szCs w:val="24"/>
                <w:highlight w:val="none"/>
                <w:lang w:val="en-US" w:eastAsia="zh-CN"/>
              </w:rPr>
              <w:t>0.</w:t>
            </w:r>
            <w:r>
              <w:rPr>
                <w:rFonts w:hint="eastAsia" w:cs="Times New Roman"/>
                <w:sz w:val="24"/>
                <w:szCs w:val="24"/>
                <w:highlight w:val="none"/>
                <w:lang w:val="en-US" w:eastAsia="zh-CN"/>
              </w:rPr>
              <w:t>8</w:t>
            </w:r>
            <w:r>
              <w:rPr>
                <w:rFonts w:hint="eastAsia" w:ascii="Times New Roman" w:hAnsi="Times New Roman" w:eastAsia="宋体" w:cs="Times New Roman"/>
                <w:sz w:val="24"/>
                <w:szCs w:val="24"/>
                <w:highlight w:val="none"/>
                <w:lang w:val="en-US" w:eastAsia="zh-CN"/>
              </w:rPr>
              <w:t>m</w:t>
            </w:r>
            <w:r>
              <w:rPr>
                <w:rFonts w:hint="eastAsia" w:ascii="Times New Roman" w:hAnsi="Times New Roman" w:eastAsia="宋体"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lang w:eastAsia="zh-CN"/>
              </w:rPr>
              <w:t>/d</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lang w:val="en-US" w:eastAsia="zh-CN"/>
              </w:rPr>
              <w:t>排入沉淀池进行处理，</w:t>
            </w:r>
            <w:r>
              <w:rPr>
                <w:rFonts w:hint="eastAsia" w:ascii="Times New Roman" w:hAnsi="Times New Roman" w:eastAsia="宋体" w:cs="Times New Roman"/>
                <w:sz w:val="24"/>
                <w:szCs w:val="24"/>
                <w:highlight w:val="none"/>
                <w:vertAlign w:val="baseline"/>
                <w:lang w:val="en-US" w:eastAsia="zh-CN"/>
              </w:rPr>
              <w:t>沉淀后的</w:t>
            </w:r>
            <w:r>
              <w:rPr>
                <w:rFonts w:hint="eastAsia" w:ascii="Times New Roman" w:hAnsi="Times New Roman" w:eastAsia="宋体" w:cs="Times New Roman"/>
                <w:sz w:val="24"/>
                <w:szCs w:val="24"/>
                <w:highlight w:val="none"/>
                <w:lang w:val="en-US" w:eastAsia="zh-CN"/>
              </w:rPr>
              <w:t>上清液</w:t>
            </w:r>
            <w:r>
              <w:rPr>
                <w:rFonts w:hint="eastAsia" w:cs="Times New Roman"/>
                <w:sz w:val="24"/>
                <w:szCs w:val="24"/>
                <w:highlight w:val="none"/>
                <w:lang w:val="en-US" w:eastAsia="zh-CN"/>
              </w:rPr>
              <w:t>用于周边洒水降尘，不外排</w:t>
            </w:r>
            <w:r>
              <w:rPr>
                <w:rFonts w:hint="eastAsia" w:ascii="Times New Roman" w:hAnsi="Times New Roman" w:eastAsia="宋体" w:cs="Times New Roman"/>
                <w:sz w:val="24"/>
                <w:szCs w:val="24"/>
                <w:highlight w:val="none"/>
                <w:vertAlign w:val="baseline"/>
                <w:lang w:val="en-US" w:eastAsia="zh-CN"/>
              </w:rPr>
              <w:t>。</w:t>
            </w: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eastAsia="宋体"/>
                <w:highlight w:val="none"/>
                <w:lang w:eastAsia="zh-CN"/>
              </w:rPr>
            </w:pPr>
            <w:r>
              <w:rPr>
                <w:rFonts w:hint="eastAsia" w:eastAsia="宋体"/>
                <w:highlight w:val="none"/>
                <w:lang w:eastAsia="zh-CN"/>
              </w:rPr>
              <w:drawing>
                <wp:inline distT="0" distB="0" distL="114300" distR="114300">
                  <wp:extent cx="4998085" cy="2101215"/>
                  <wp:effectExtent l="0" t="0" r="12065" b="13335"/>
                  <wp:docPr id="7" name="图片 7" descr="水平衡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水平衡图"/>
                          <pic:cNvPicPr>
                            <a:picLocks noChangeAspect="1"/>
                          </pic:cNvPicPr>
                        </pic:nvPicPr>
                        <pic:blipFill>
                          <a:blip r:embed="rId5"/>
                          <a:stretch>
                            <a:fillRect/>
                          </a:stretch>
                        </pic:blipFill>
                        <pic:spPr>
                          <a:xfrm>
                            <a:off x="0" y="0"/>
                            <a:ext cx="4998085" cy="2101215"/>
                          </a:xfrm>
                          <a:prstGeom prst="rect">
                            <a:avLst/>
                          </a:prstGeom>
                        </pic:spPr>
                      </pic:pic>
                    </a:graphicData>
                  </a:graphic>
                </wp:inline>
              </w:drawing>
            </w:r>
          </w:p>
          <w:p>
            <w:pPr>
              <w:pStyle w:val="2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sz w:val="24"/>
                <w:szCs w:val="24"/>
                <w:highlight w:val="none"/>
                <w:vertAlign w:val="baseline"/>
                <w:lang w:val="en-US" w:eastAsia="zh-CN"/>
              </w:rPr>
            </w:pPr>
            <w:r>
              <w:rPr>
                <w:rFonts w:hint="default" w:ascii="Times New Roman" w:hAnsi="Times New Roman" w:cs="Times New Roman"/>
                <w:b/>
                <w:sz w:val="24"/>
                <w:highlight w:val="none"/>
              </w:rPr>
              <w:t>图</w:t>
            </w:r>
            <w:r>
              <w:rPr>
                <w:rFonts w:hint="default" w:ascii="Times New Roman" w:hAnsi="Times New Roman" w:cs="Times New Roman"/>
                <w:b/>
                <w:sz w:val="24"/>
                <w:highlight w:val="none"/>
                <w:lang w:val="en-US" w:eastAsia="zh-CN"/>
              </w:rPr>
              <w:t>2-1</w:t>
            </w:r>
            <w:r>
              <w:rPr>
                <w:rFonts w:hint="default" w:ascii="Times New Roman" w:hAnsi="Times New Roman" w:cs="Times New Roman"/>
                <w:b/>
                <w:sz w:val="24"/>
                <w:highlight w:val="none"/>
              </w:rPr>
              <w:t xml:space="preserve">  </w:t>
            </w:r>
            <w:r>
              <w:rPr>
                <w:rFonts w:hint="default" w:ascii="Times New Roman" w:hAnsi="Times New Roman" w:cs="Times New Roman"/>
                <w:b/>
                <w:sz w:val="24"/>
                <w:highlight w:val="none"/>
                <w:lang w:val="en-US" w:eastAsia="zh-CN"/>
              </w:rPr>
              <w:t>探矿工作期水平衡</w:t>
            </w:r>
            <w:r>
              <w:rPr>
                <w:rFonts w:hint="default" w:ascii="Times New Roman" w:hAnsi="Times New Roman" w:cs="Times New Roman"/>
                <w:b/>
                <w:sz w:val="24"/>
                <w:szCs w:val="24"/>
                <w:highlight w:val="none"/>
              </w:rPr>
              <w:t>示意图</w:t>
            </w:r>
            <w:r>
              <w:rPr>
                <w:rFonts w:hint="default" w:ascii="Times New Roman" w:hAnsi="Times New Roman" w:cs="Times New Roman"/>
                <w:sz w:val="24"/>
                <w:szCs w:val="24"/>
                <w:highlight w:val="none"/>
                <w:lang w:eastAsia="zh-CN"/>
              </w:rPr>
              <w:t>（</w:t>
            </w:r>
            <w:r>
              <w:rPr>
                <w:rFonts w:hint="default" w:ascii="Times New Roman" w:hAnsi="Times New Roman" w:cs="Times New Roman"/>
                <w:b/>
                <w:bCs/>
                <w:sz w:val="24"/>
                <w:szCs w:val="24"/>
                <w:highlight w:val="none"/>
                <w:lang w:val="en-US" w:eastAsia="zh-CN"/>
              </w:rPr>
              <w:t>单位：m</w:t>
            </w:r>
            <w:r>
              <w:rPr>
                <w:rFonts w:hint="default" w:ascii="Times New Roman" w:hAnsi="Times New Roman" w:cs="Times New Roman"/>
                <w:b/>
                <w:bCs/>
                <w:sz w:val="24"/>
                <w:szCs w:val="24"/>
                <w:highlight w:val="none"/>
                <w:vertAlign w:val="superscript"/>
                <w:lang w:val="en-US" w:eastAsia="zh-CN"/>
              </w:rPr>
              <w:t>3</w:t>
            </w:r>
            <w:r>
              <w:rPr>
                <w:rFonts w:hint="eastAsia" w:ascii="Times New Roman" w:hAnsi="Times New Roman" w:cs="Times New Roman"/>
                <w:b/>
                <w:bCs/>
                <w:sz w:val="24"/>
                <w:szCs w:val="24"/>
                <w:highlight w:val="none"/>
                <w:vertAlign w:val="baseline"/>
                <w:lang w:val="en-US" w:eastAsia="zh-CN"/>
              </w:rPr>
              <w:t>/d</w:t>
            </w:r>
            <w:r>
              <w:rPr>
                <w:rFonts w:hint="default" w:ascii="Times New Roman" w:hAnsi="Times New Roman" w:cs="Times New Roman"/>
                <w:b/>
                <w:bCs/>
                <w:sz w:val="24"/>
                <w:szCs w:val="24"/>
                <w:highlight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b/>
                <w:bCs/>
                <w:sz w:val="24"/>
                <w:szCs w:val="24"/>
                <w:highlight w:val="none"/>
                <w:lang w:eastAsia="zh-CN"/>
              </w:rPr>
            </w:pPr>
            <w:r>
              <w:rPr>
                <w:rFonts w:hint="default" w:ascii="Times New Roman" w:hAnsi="Times New Roman" w:cs="Times New Roman"/>
                <w:b/>
                <w:bCs/>
                <w:sz w:val="24"/>
                <w:szCs w:val="24"/>
                <w:highlight w:val="none"/>
                <w:lang w:val="en-US" w:eastAsia="zh-CN"/>
              </w:rPr>
              <w:t>4.</w:t>
            </w:r>
            <w:r>
              <w:rPr>
                <w:rFonts w:hint="default"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lang w:eastAsia="zh-CN"/>
              </w:rPr>
              <w:t>供电</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cs="Times New Roman"/>
                <w:b/>
                <w:sz w:val="24"/>
                <w:highlight w:val="none"/>
                <w:lang w:val="en-US" w:eastAsia="zh-CN"/>
              </w:rPr>
            </w:pPr>
            <w:r>
              <w:rPr>
                <w:rFonts w:hint="eastAsia" w:ascii="Times New Roman" w:hAnsi="Times New Roman" w:eastAsia="宋体" w:cs="Times New Roman"/>
                <w:sz w:val="24"/>
                <w:szCs w:val="24"/>
                <w:highlight w:val="none"/>
                <w:lang w:eastAsia="zh-CN"/>
              </w:rPr>
              <w:t>使用</w:t>
            </w:r>
            <w:r>
              <w:rPr>
                <w:rFonts w:hint="eastAsia" w:ascii="Times New Roman" w:hAnsi="Times New Roman" w:eastAsia="宋体" w:cs="Times New Roman"/>
                <w:sz w:val="24"/>
                <w:szCs w:val="24"/>
                <w:highlight w:val="none"/>
                <w:lang w:val="en-US" w:eastAsia="zh-CN"/>
              </w:rPr>
              <w:t>柴油</w:t>
            </w:r>
            <w:r>
              <w:rPr>
                <w:rFonts w:hint="eastAsia" w:ascii="Times New Roman" w:hAnsi="Times New Roman" w:eastAsia="宋体" w:cs="Times New Roman"/>
                <w:sz w:val="24"/>
                <w:szCs w:val="24"/>
                <w:highlight w:val="none"/>
                <w:lang w:eastAsia="zh-CN"/>
              </w:rPr>
              <w:t>发电机供电。</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ascii="Times New Roman" w:hAnsi="Times New Roman" w:cs="Times New Roman"/>
                <w:b/>
                <w:sz w:val="24"/>
                <w:highlight w:val="none"/>
              </w:rPr>
            </w:pPr>
            <w:r>
              <w:rPr>
                <w:rFonts w:hint="eastAsia" w:cs="Times New Roman"/>
                <w:b/>
                <w:sz w:val="24"/>
                <w:highlight w:val="none"/>
                <w:lang w:val="en-US" w:eastAsia="zh-CN"/>
              </w:rPr>
              <w:t>5.</w:t>
            </w:r>
            <w:r>
              <w:rPr>
                <w:rFonts w:hint="eastAsia" w:ascii="Times New Roman" w:hAnsi="Times New Roman" w:cs="Times New Roman"/>
                <w:b/>
                <w:sz w:val="24"/>
                <w:highlight w:val="none"/>
                <w:lang w:val="en-US" w:eastAsia="zh-CN"/>
              </w:rPr>
              <w:t>劳动定员及工作</w:t>
            </w:r>
            <w:r>
              <w:rPr>
                <w:rFonts w:hint="default" w:ascii="Times New Roman" w:hAnsi="Times New Roman" w:cs="Times New Roman"/>
                <w:b/>
                <w:sz w:val="24"/>
                <w:highlight w:val="none"/>
              </w:rPr>
              <w:t>制度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highlight w:val="none"/>
                <w:lang w:eastAsia="zh-CN"/>
              </w:rPr>
            </w:pPr>
            <w:r>
              <w:rPr>
                <w:rFonts w:hint="default" w:ascii="Times New Roman" w:hAnsi="Times New Roman" w:cs="Times New Roman"/>
                <w:sz w:val="24"/>
                <w:highlight w:val="none"/>
              </w:rPr>
              <w:t>根据</w:t>
            </w:r>
            <w:r>
              <w:rPr>
                <w:rFonts w:hint="eastAsia" w:ascii="Times New Roman" w:hAnsi="Times New Roman" w:cs="Times New Roman"/>
                <w:sz w:val="24"/>
                <w:highlight w:val="none"/>
                <w:lang w:val="en-US" w:eastAsia="zh-CN"/>
              </w:rPr>
              <w:t>该探矿区</w:t>
            </w:r>
            <w:r>
              <w:rPr>
                <w:rFonts w:hint="default" w:ascii="Times New Roman" w:hAnsi="Times New Roman" w:cs="Times New Roman"/>
                <w:sz w:val="24"/>
                <w:highlight w:val="none"/>
              </w:rPr>
              <w:t>周边气候条件</w:t>
            </w:r>
            <w:r>
              <w:rPr>
                <w:rFonts w:hint="eastAsia" w:cs="Times New Roman"/>
                <w:sz w:val="24"/>
                <w:highlight w:val="none"/>
                <w:lang w:val="en-US" w:eastAsia="zh-CN"/>
              </w:rPr>
              <w:t>及设计方案</w:t>
            </w:r>
            <w:r>
              <w:rPr>
                <w:rFonts w:hint="default" w:ascii="Times New Roman" w:hAnsi="Times New Roman" w:cs="Times New Roman"/>
                <w:sz w:val="24"/>
                <w:highlight w:val="none"/>
              </w:rPr>
              <w:t>，</w:t>
            </w:r>
            <w:r>
              <w:rPr>
                <w:rFonts w:hint="eastAsia" w:cs="Times New Roman"/>
                <w:sz w:val="24"/>
                <w:highlight w:val="none"/>
                <w:lang w:val="en-US" w:eastAsia="zh-CN"/>
              </w:rPr>
              <w:t>本项目劳动定员为12人，设计</w:t>
            </w:r>
            <w:r>
              <w:rPr>
                <w:rFonts w:hint="default" w:ascii="Times New Roman" w:hAnsi="Times New Roman" w:eastAsia="宋体" w:cs="Times New Roman"/>
                <w:sz w:val="24"/>
                <w:szCs w:val="24"/>
                <w:highlight w:val="none"/>
              </w:rPr>
              <w:t>年工作</w:t>
            </w:r>
            <w:r>
              <w:rPr>
                <w:rFonts w:hint="eastAsia" w:ascii="Times New Roman" w:hAnsi="Times New Roman" w:eastAsia="宋体" w:cs="Times New Roman"/>
                <w:sz w:val="24"/>
                <w:szCs w:val="24"/>
                <w:highlight w:val="none"/>
                <w:lang w:val="en-US" w:eastAsia="zh-CN"/>
              </w:rPr>
              <w:t>约</w:t>
            </w:r>
            <w:r>
              <w:rPr>
                <w:rFonts w:hint="eastAsia" w:cs="Times New Roman"/>
                <w:sz w:val="24"/>
                <w:szCs w:val="24"/>
                <w:highlight w:val="none"/>
                <w:lang w:val="en-US" w:eastAsia="zh-CN"/>
              </w:rPr>
              <w:t>240</w:t>
            </w:r>
            <w:r>
              <w:rPr>
                <w:rFonts w:hint="default" w:ascii="Times New Roman" w:hAnsi="Times New Roman" w:eastAsia="宋体" w:cs="Times New Roman"/>
                <w:sz w:val="24"/>
                <w:szCs w:val="24"/>
                <w:highlight w:val="none"/>
              </w:rPr>
              <w:t>天，</w:t>
            </w:r>
            <w:r>
              <w:rPr>
                <w:rFonts w:hint="eastAsia" w:cs="Times New Roman"/>
                <w:sz w:val="24"/>
                <w:szCs w:val="24"/>
                <w:highlight w:val="none"/>
                <w:lang w:val="en-US" w:eastAsia="zh-CN"/>
              </w:rPr>
              <w:t>采取8小时工作制</w:t>
            </w:r>
            <w:r>
              <w:rPr>
                <w:rFonts w:hint="default" w:ascii="Times New Roman" w:hAnsi="Times New Roman" w:eastAsia="宋体" w:cs="Times New Roman"/>
                <w:sz w:val="24"/>
                <w:szCs w:val="24"/>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8" w:type="pct"/>
            <w:shd w:val="clear" w:color="auto" w:fill="auto"/>
            <w:noWrap w:val="0"/>
            <w:vAlign w:val="center"/>
          </w:tcPr>
          <w:p>
            <w:pPr>
              <w:adjustRightInd w:val="0"/>
              <w:snapToGrid w:val="0"/>
              <w:spacing w:line="240" w:lineRule="auto"/>
              <w:jc w:val="center"/>
              <w:rPr>
                <w:rFonts w:hint="eastAsia" w:ascii="Times New Roman" w:hAnsi="Times New Roman" w:eastAsia="仿宋_GB2312" w:cs="Times New Roman"/>
                <w:b/>
                <w:bCs/>
                <w:kern w:val="2"/>
                <w:sz w:val="21"/>
                <w:szCs w:val="24"/>
                <w:highlight w:val="none"/>
                <w:vertAlign w:val="baseline"/>
                <w:lang w:val="en-US" w:eastAsia="zh-CN" w:bidi="ar-SA"/>
              </w:rPr>
            </w:pPr>
            <w:r>
              <w:rPr>
                <w:rFonts w:hint="default" w:ascii="Times New Roman" w:hAnsi="Times New Roman" w:cs="Times New Roman"/>
                <w:kern w:val="0"/>
                <w:szCs w:val="21"/>
                <w:highlight w:val="none"/>
              </w:rPr>
              <w:t>总平面及现场布置</w:t>
            </w:r>
          </w:p>
        </w:tc>
        <w:tc>
          <w:tcPr>
            <w:tcW w:w="4751" w:type="pct"/>
            <w:shd w:val="clear" w:color="auto" w:fill="auto"/>
            <w:noWrap w:val="0"/>
            <w:vAlign w:val="center"/>
          </w:tcPr>
          <w:p>
            <w:pPr>
              <w:pStyle w:val="51"/>
              <w:keepNext w:val="0"/>
              <w:keepLines w:val="0"/>
              <w:pageBreakBefore w:val="0"/>
              <w:widowControl w:val="0"/>
              <w:numPr>
                <w:ilvl w:val="0"/>
                <w:numId w:val="0"/>
              </w:numPr>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1.总平面布置</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ascii="Times New Roman" w:hAnsi="Times New Roman" w:cs="Times New Roman"/>
                <w:bCs/>
                <w:kern w:val="0"/>
                <w:sz w:val="24"/>
                <w:highlight w:val="none"/>
                <w:lang w:eastAsia="zh-CN"/>
              </w:rPr>
            </w:pPr>
            <w:r>
              <w:rPr>
                <w:rFonts w:hint="eastAsia"/>
                <w:highlight w:val="none"/>
                <w:lang w:val="en-US" w:eastAsia="zh-CN"/>
              </w:rPr>
              <w:t>矿区布局包括</w:t>
            </w:r>
            <w:r>
              <w:rPr>
                <w:rFonts w:hint="default" w:ascii="Times New Roman" w:hAnsi="Times New Roman" w:cs="Times New Roman"/>
                <w:bCs/>
                <w:kern w:val="0"/>
                <w:sz w:val="24"/>
                <w:highlight w:val="none"/>
                <w:lang w:eastAsia="zh-CN"/>
              </w:rPr>
              <w:t>测量勘探场地</w:t>
            </w:r>
            <w:r>
              <w:rPr>
                <w:rFonts w:hint="default" w:ascii="Times New Roman" w:hAnsi="Times New Roman" w:cs="Times New Roman"/>
                <w:bCs/>
                <w:kern w:val="0"/>
                <w:sz w:val="24"/>
                <w:highlight w:val="none"/>
              </w:rPr>
              <w:t>、</w:t>
            </w:r>
            <w:r>
              <w:rPr>
                <w:rFonts w:hint="eastAsia" w:ascii="Times New Roman" w:hAnsi="Times New Roman" w:cs="Times New Roman"/>
                <w:bCs/>
                <w:kern w:val="0"/>
                <w:sz w:val="24"/>
                <w:highlight w:val="none"/>
                <w:lang w:val="en-US" w:eastAsia="zh-CN"/>
              </w:rPr>
              <w:t>临时生活营地、</w:t>
            </w:r>
            <w:r>
              <w:rPr>
                <w:rFonts w:hint="eastAsia" w:cs="Times New Roman"/>
                <w:bCs/>
                <w:kern w:val="0"/>
                <w:sz w:val="24"/>
                <w:highlight w:val="none"/>
                <w:lang w:val="en-US" w:eastAsia="zh-CN"/>
              </w:rPr>
              <w:t>进山道路</w:t>
            </w:r>
            <w:r>
              <w:rPr>
                <w:rFonts w:hint="default" w:ascii="Times New Roman" w:hAnsi="Times New Roman" w:cs="Times New Roman"/>
                <w:bCs/>
                <w:kern w:val="0"/>
                <w:sz w:val="24"/>
                <w:highlight w:val="none"/>
              </w:rPr>
              <w:t>等</w:t>
            </w:r>
            <w:r>
              <w:rPr>
                <w:rFonts w:hint="eastAsia" w:ascii="Times New Roman" w:hAnsi="Times New Roman" w:cs="Times New Roman"/>
                <w:bCs/>
                <w:kern w:val="0"/>
                <w:sz w:val="24"/>
                <w:highlight w:val="none"/>
                <w:lang w:eastAsia="zh-CN"/>
              </w:rPr>
              <w:t>。</w:t>
            </w:r>
          </w:p>
          <w:p>
            <w:pPr>
              <w:pStyle w:val="5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bCs/>
                <w:kern w:val="0"/>
                <w:sz w:val="24"/>
                <w:highlight w:val="none"/>
                <w:lang w:val="en-US" w:eastAsia="zh-CN"/>
              </w:rPr>
            </w:pPr>
            <w:r>
              <w:rPr>
                <w:rFonts w:hint="eastAsia" w:ascii="Times New Roman" w:hAnsi="Times New Roman" w:eastAsia="宋体" w:cs="Times New Roman"/>
                <w:bCs/>
                <w:kern w:val="0"/>
                <w:sz w:val="24"/>
                <w:szCs w:val="24"/>
                <w:highlight w:val="none"/>
                <w:lang w:val="en-US" w:eastAsia="zh-CN" w:bidi="ar-SA"/>
              </w:rPr>
              <w:t>（1）</w:t>
            </w:r>
            <w:r>
              <w:rPr>
                <w:rFonts w:hint="eastAsia" w:ascii="Times New Roman" w:hAnsi="Times New Roman" w:cs="Times New Roman"/>
                <w:bCs/>
                <w:kern w:val="0"/>
                <w:sz w:val="24"/>
                <w:highlight w:val="none"/>
                <w:lang w:val="en-US" w:eastAsia="zh-CN"/>
              </w:rPr>
              <w:t>进山道路</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勘查区北西部直线距离约90千米处有西和高速、G315国道，工作区西部直线距离约45千米处有G216国道，进山路线为“G315线安迪尔大桥-阿帕石棉矿资源路-简易公路-勘查区”。</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（2）临时营地</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在矿区内搭建1处临时生活营地作为勘查期工作人员休息的场所。营地为帐篷，布置在项目区域地势平缓植被稀疏处，勘探期结束后拆除帐篷。</w:t>
            </w:r>
          </w:p>
          <w:p>
            <w:pPr>
              <w:pStyle w:val="51"/>
              <w:keepNext w:val="0"/>
              <w:keepLines w:val="0"/>
              <w:pageBreakBefore w:val="0"/>
              <w:widowControl w:val="0"/>
              <w:numPr>
                <w:ilvl w:val="0"/>
                <w:numId w:val="0"/>
              </w:numPr>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2.总体工作部署</w:t>
            </w:r>
          </w:p>
          <w:p>
            <w:pPr>
              <w:pStyle w:val="51"/>
              <w:keepNext w:val="0"/>
              <w:keepLines w:val="0"/>
              <w:pageBreakBefore w:val="0"/>
              <w:widowControl w:val="0"/>
              <w:kinsoku/>
              <w:overflowPunct/>
              <w:topLinePunct w:val="0"/>
              <w:autoSpaceDE/>
              <w:autoSpaceDN/>
              <w:bidi w:val="0"/>
              <w:adjustRightInd/>
              <w:snapToGrid/>
              <w:spacing w:line="520" w:lineRule="exact"/>
              <w:ind w:firstLine="482" w:firstLineChars="200"/>
              <w:textAlignment w:val="auto"/>
              <w:rPr>
                <w:rFonts w:hint="eastAsia"/>
                <w:highlight w:val="none"/>
                <w:lang w:val="en-US" w:eastAsia="zh-CN"/>
              </w:rPr>
            </w:pPr>
            <w:r>
              <w:rPr>
                <w:rFonts w:hint="eastAsia"/>
                <w:highlight w:val="none"/>
                <w:lang w:val="en-US" w:eastAsia="zh-CN"/>
              </w:rPr>
              <w:t>2.1地质测量类工作部署</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default"/>
                <w:highlight w:val="none"/>
                <w:lang w:val="en-US" w:eastAsia="zh-CN"/>
              </w:rPr>
            </w:pPr>
            <w:r>
              <w:rPr>
                <w:rFonts w:hint="eastAsia"/>
                <w:highlight w:val="none"/>
                <w:lang w:val="en-US" w:eastAsia="zh-CN"/>
              </w:rPr>
              <w:t>（1）1∶10000地质测量</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default"/>
                <w:highlight w:val="none"/>
                <w:lang w:val="en-US" w:eastAsia="zh-CN"/>
              </w:rPr>
            </w:pPr>
            <w:r>
              <w:rPr>
                <w:rFonts w:hint="eastAsia"/>
                <w:highlight w:val="none"/>
                <w:lang w:val="en-US" w:eastAsia="zh-CN"/>
              </w:rPr>
              <w:t>针对全区开展1∶1万地质简测，面积为24.4046平方千米，初步查明区内地层、构造、矿化蚀变等成矿地质条件，研究区内地层层序、地质构造特征、矿层赋存部位、控矿地质条件等，优选找矿有利地段；对区内重要成矿地段、构造蚀变带进行查证。</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（2）1∶10000低空航磁测量</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针对全区开展1:1万低空航磁测量，面积为24.4046平方千米，选用无人机进行低空航磁测量，按照测区的范围及设计要求，布设无人机航磁测线77条，测线间距100m，测线方向135°，测线编号由南西向北东方向，按10的倍数递增，分别为L16～L60，重复线5条。控制线4条，测线方向95°，编号为T1011～T1022。</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（3）1:10000土壤地球化学测量</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针对全区开展1∶1万土壤地球化学测量，面积为24.4046平方千米，以岩屑为采样对象，采用100×40采样密度设计的方格和矩形格子为取样单元进行布设，其目的是检测与矿化和地质体有空间关系和成因联系的金元素或组份的含量及其分布特征，通过发现与矿或成矿有关的地球化学特征，进一步缩小找矿靶区，寻找矿化有利部位。</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 xml:space="preserve">（4）1:10000激电剖面测量 </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根据物、化探扫面成果，优选重点异常开展1∶1万中梯剖面测量工作，进一步解剖物、化探异常，寻找深部硫化物型金、铜、铅、锌等多金属矿产。设计工作量30千米，激电测深点50个。</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b/>
                <w:bCs/>
                <w:highlight w:val="none"/>
                <w:lang w:val="en-US" w:eastAsia="zh-CN"/>
              </w:rPr>
            </w:pPr>
            <w:r>
              <w:rPr>
                <w:rFonts w:hint="eastAsia"/>
                <w:b/>
                <w:bCs/>
                <w:highlight w:val="none"/>
                <w:lang w:val="en-US" w:eastAsia="zh-CN"/>
              </w:rPr>
              <w:t>2.2其他工程布置</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（1）槽探工程</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color w:val="auto"/>
                <w:highlight w:val="none"/>
                <w:lang w:val="en-US" w:eastAsia="zh-CN"/>
              </w:rPr>
              <w:t>本项目勘查工作布设</w:t>
            </w:r>
            <w:r>
              <w:rPr>
                <w:rFonts w:hint="default"/>
                <w:color w:val="auto"/>
                <w:highlight w:val="none"/>
                <w:lang w:val="en-US" w:eastAsia="zh-CN"/>
              </w:rPr>
              <w:t>探槽</w:t>
            </w:r>
            <w:r>
              <w:rPr>
                <w:rFonts w:hint="eastAsia"/>
                <w:color w:val="auto"/>
                <w:highlight w:val="none"/>
                <w:lang w:val="en-US" w:eastAsia="zh-CN"/>
              </w:rPr>
              <w:t>总工作量3000m³，探槽施工深度一般2-3米，本项目按2.5米计，故探槽占地1200m</w:t>
            </w:r>
            <w:r>
              <w:rPr>
                <w:rFonts w:hint="eastAsia"/>
                <w:color w:val="auto"/>
                <w:highlight w:val="none"/>
                <w:vertAlign w:val="superscript"/>
                <w:lang w:val="en-US" w:eastAsia="zh-CN"/>
              </w:rPr>
              <w:t>2</w:t>
            </w:r>
            <w:r>
              <w:rPr>
                <w:rFonts w:hint="eastAsia"/>
                <w:color w:val="auto"/>
                <w:highlight w:val="none"/>
                <w:lang w:val="en-US" w:eastAsia="zh-CN"/>
              </w:rPr>
              <w:t>。</w:t>
            </w:r>
            <w:r>
              <w:rPr>
                <w:rFonts w:hint="eastAsia"/>
                <w:highlight w:val="none"/>
                <w:lang w:val="en-US" w:eastAsia="zh-CN"/>
              </w:rPr>
              <w:t>探槽槽顶开口1～1.2米，个别覆盖较厚地段开口1.5～2.0米，槽底宽度不能小于0.8米，槽底见基岩0.3米以上。槽长度的设计以达到地质目的为原则，槽底平整，两壁坡度应按土质和槽深而定，1米以内为90°；1～3米探槽在结实土层内为75～80°，在松软的土层内为60～70°，野外施工过程中以保证安全，不易坍塌为原则。</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default"/>
                <w:highlight w:val="none"/>
                <w:lang w:val="en-US" w:eastAsia="zh-CN"/>
              </w:rPr>
            </w:pPr>
            <w:r>
              <w:rPr>
                <w:rFonts w:hint="eastAsia"/>
                <w:highlight w:val="none"/>
                <w:lang w:val="en-US" w:eastAsia="zh-CN"/>
              </w:rPr>
              <w:t>槽探工程采用刻槽取样，按自然分层取样，样品长度1米，取样断面规格一般为10×5厘米。工程完工验收合格后及时进行编录。编录采用皮尺基线法素描一壁一底，比例尺1∶100或1∶200。素描图要详细标定地质界线、产状要素、样品位置，力求文图一致。</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（2）钻探工程</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钻探工程主要目的是追索深部矿体，了解矿体深部的延伸情况及特征，在施工过程中，必须坚持以下质量标准：</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矿心采取率连续5米计算不低于80%，并应保证矿心结构面磨损小，矿心完整程度高，岩心采取率一般不低于70%；钻孔终孔口径不小于75mm。顶角与方位角每50米测一次，钻孔施工结束时，用XJL-42罗盘钻孔测斜仪测量钻孔孔斜及方位角，允许误差孔深100m＜2°。钻进中每次提钻后，下钻前均要进行简易水文观测。内容包括孔内静止水位、冲洗液消耗量、涌水位置、涌水量及水头高度、漏水位置和漏失量等。钻孔终孔后要冲孔观测静止水位。</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default"/>
                <w:highlight w:val="none"/>
                <w:lang w:val="en-US" w:eastAsia="zh-CN"/>
              </w:rPr>
            </w:pPr>
            <w:r>
              <w:rPr>
                <w:rFonts w:hint="eastAsia"/>
                <w:highlight w:val="none"/>
                <w:lang w:val="en-US" w:eastAsia="zh-CN"/>
              </w:rPr>
              <w:t>（3）采样采集与测试</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1）基本化学分析样</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目的是了解地质体含矿性及其品位变化情况，圈定矿体，划分矿石品级，并作为资源量估算的主要依据。</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探槽样品按自然类型分别采取，个别较薄的（小于30厘米的）可合并采取。探槽样用刻槽法采自槽底与槽壁交界处，样长1米，凡大于0.30米的矿脉均应单独采取。刻槽断面规格10×5厘米。</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钻孔采样采用劈心法，即用电动壁样机劈取岩心1/2作为样品，另一半保留。因矿体产状较陡，本次钻孔化学样样长初步确定为1.5米。</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采样时应注意：①应沿矿体厚度方向，即沿物质成分变化最大方向采取。②凡是矿体的直接顶底板、夹石均需采样，一般在矿化带顶底板围岩中至少取2-3 个样。③采样时必须按矿化强弱，岩性变化等特征分别采取。</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采样过程中严防样品污染和散失，采取的样品应及时编录、称重、登记、填写送样清单并及时送样，避免损坏和丢失。</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default"/>
                <w:highlight w:val="none"/>
                <w:lang w:val="en-US" w:eastAsia="zh-CN"/>
              </w:rPr>
            </w:pPr>
            <w:r>
              <w:rPr>
                <w:rFonts w:hint="eastAsia"/>
                <w:highlight w:val="none"/>
                <w:lang w:val="en-US" w:eastAsia="zh-CN"/>
              </w:rPr>
              <w:t>2）薄片及标本样</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工作中要重视岩矿鉴定工作，加强微观研究，采集有代表性的岩（矿）鉴定样品，样品力求新鲜，并做好野外观察描述，规格一般为3×6×9厘米，切片位置要用红铅笔或记号笔注明。</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3）组合分析样</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采样目的是查明矿体内具有综合回收利用的有益组分和影响选冶性能的有害组分。组合分析结果，可用于伴生有益组分的资源量计算，同时对矿体中有害组分的全面了解。</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组合分析样采用基本分析样副样组合而成，按单工程单矿体组合，注意参与同一个组合分析样品的各个基本分析样不得分布在不同资源量计算块段。组合方法为根据基本分析样品的代表长度，按比例进行组合，一般5-10个基本分样组合一件样品，重量不小于200克。</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4）矿石全分析样</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目的是全面了解各种矿石类型中各种元素及组分的含量。采样方法是按矿体、分类型在组合分析副样或单独采集有代表性样品，每种矿石类型采取2-3个样品，样品重量2-3kg，总数不少于2件。</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5）岩石全分析样</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是通过化学分析确定岩浆岩、火山岩种类、所取样品应有代表性。可在钻孔和地表露头中有目的采取闪长玢岩、安山岩、玄武岩等类岩石中采取。样品重量1-3kg，总件数不可少于5件。分析项目为硅酸盐13项。</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6）内、外检样</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default"/>
                <w:highlight w:val="none"/>
                <w:lang w:val="en-US" w:eastAsia="zh-CN"/>
              </w:rPr>
            </w:pPr>
            <w:r>
              <w:rPr>
                <w:rFonts w:hint="default"/>
                <w:highlight w:val="none"/>
                <w:lang w:val="en-US" w:eastAsia="zh-CN"/>
              </w:rPr>
              <w:t>基本分析内、外检样分别按照10%、5%比例提取，最少不少于30件。其它样品的采样要求按《金属矿产地质普查勘探采样规定及方法》执行。</w:t>
            </w:r>
          </w:p>
          <w:p>
            <w:pPr>
              <w:pStyle w:val="5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4</w:t>
            </w: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地质编录、室内综合整理工作</w:t>
            </w:r>
          </w:p>
          <w:p>
            <w:pPr>
              <w:pStyle w:val="5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1）地质编录工作</w:t>
            </w:r>
          </w:p>
          <w:p>
            <w:pPr>
              <w:pStyle w:val="5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本次工作所涉及编录工作主要有地质剖面编录等，要求按《固体矿产勘查工作规范》（GB/T 33444-2016）和《固体矿产勘查原始地质编录规程》（DZ/T 0078-2015）执行。</w:t>
            </w:r>
          </w:p>
          <w:p>
            <w:pPr>
              <w:pStyle w:val="5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2）资料整理</w:t>
            </w:r>
          </w:p>
          <w:p>
            <w:pPr>
              <w:pStyle w:val="5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各项工作的技术要求按《固体矿产勘查地质资料综合整理综合研究技术要求》（DZ/T0079-2015）、《地质图用标准及用色原则》（1∶5万）（DZ/T 0179-1997）、《区域地质图图例》（GB/T 958-2015）等要求执行。</w:t>
            </w:r>
          </w:p>
          <w:p>
            <w:pPr>
              <w:pStyle w:val="5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3）综合研究</w:t>
            </w:r>
          </w:p>
          <w:p>
            <w:pPr>
              <w:pStyle w:val="5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综合整理、综合研究应贯穿于地质勘查工作的始终。以深化总结成矿规律性，及时指导勘查工作，最终为报告编写提供素材。</w:t>
            </w:r>
          </w:p>
          <w:p>
            <w:pPr>
              <w:pStyle w:val="52"/>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textAlignment w:val="auto"/>
              <w:rPr>
                <w:rFonts w:hint="eastAsia"/>
                <w:highlight w:val="none"/>
                <w:lang w:val="en-US" w:eastAsia="zh-CN"/>
              </w:rPr>
            </w:pPr>
            <w:r>
              <w:rPr>
                <w:rFonts w:hint="eastAsia"/>
                <w:highlight w:val="none"/>
                <w:lang w:val="en-US" w:eastAsia="zh-CN"/>
              </w:rPr>
              <w:t>地质资料的综合研究是提高成果质量，指导野外施工的重要环节，应将综合分析研究工作自始至终地贯穿于整个地质工作中，综合研究工作的好坏将直接影响到本次异常查证工作的效果和成效，因此要求全体工程技术人员必须加强专业技术学习，熟悉掌握并消化前人已取得的成果，加强地质资料的衔接联系，通过与已有勘查区对比，注重本区成矿地质条件的研究，侧重于与岩浆活动有关的矿化类型和各阶段的成矿特点方面，切实把综合研究工作落实到实际工作中。</w:t>
            </w:r>
          </w:p>
          <w:p>
            <w:pPr>
              <w:pStyle w:val="52"/>
              <w:keepNext w:val="0"/>
              <w:keepLines w:val="0"/>
              <w:pageBreakBefore w:val="0"/>
              <w:widowControl w:val="0"/>
              <w:kinsoku/>
              <w:overflowPunct/>
              <w:topLinePunct w:val="0"/>
              <w:autoSpaceDE/>
              <w:autoSpaceDN/>
              <w:bidi w:val="0"/>
              <w:adjustRightInd/>
              <w:snapToGrid/>
              <w:spacing w:line="520" w:lineRule="exact"/>
              <w:ind w:left="0" w:leftChars="0" w:firstLine="0" w:firstLineChars="0"/>
              <w:textAlignment w:val="auto"/>
              <w:rPr>
                <w:rFonts w:hint="default"/>
                <w:b/>
                <w:bCs/>
                <w:highlight w:val="none"/>
                <w:lang w:val="en-US" w:eastAsia="zh-CN"/>
              </w:rPr>
            </w:pPr>
            <w:r>
              <w:rPr>
                <w:rFonts w:hint="eastAsia"/>
                <w:b/>
                <w:bCs/>
                <w:highlight w:val="none"/>
                <w:lang w:val="en-US" w:eastAsia="zh-CN"/>
              </w:rPr>
              <w:t>3.施工布置情况</w:t>
            </w:r>
          </w:p>
          <w:p>
            <w:pPr>
              <w:pStyle w:val="52"/>
              <w:keepNext w:val="0"/>
              <w:keepLines w:val="0"/>
              <w:pageBreakBefore w:val="0"/>
              <w:widowControl w:val="0"/>
              <w:kinsoku/>
              <w:overflowPunct/>
              <w:topLinePunct w:val="0"/>
              <w:autoSpaceDE/>
              <w:autoSpaceDN/>
              <w:bidi w:val="0"/>
              <w:adjustRightInd/>
              <w:snapToGrid/>
              <w:spacing w:line="520" w:lineRule="exact"/>
              <w:textAlignment w:val="auto"/>
              <w:rPr>
                <w:rFonts w:hint="default"/>
                <w:highlight w:val="none"/>
                <w:lang w:val="en-US" w:eastAsia="zh-CN"/>
              </w:rPr>
            </w:pPr>
            <w:r>
              <w:rPr>
                <w:rFonts w:hint="eastAsia"/>
                <w:highlight w:val="none"/>
                <w:lang w:val="en-US" w:eastAsia="zh-CN"/>
              </w:rPr>
              <w:t>施工布置应综合考虑工程规模、施工方案及工期、造价等因素，按照因地制宜、因时制宜、有利生产、方便生活、易于管理、安全可靠的原则，在满足环保与水保要求的条件下布置施工场地。</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eastAsia="宋体" w:cs="宋体"/>
                <w:highlight w:val="none"/>
                <w:lang w:val="en-US" w:eastAsia="zh-CN"/>
              </w:rPr>
            </w:pPr>
            <w:r>
              <w:rPr>
                <w:rFonts w:hint="eastAsia"/>
                <w:highlight w:val="none"/>
                <w:lang w:val="en-US" w:eastAsia="zh-CN"/>
              </w:rPr>
              <w:t>本项目土石方开挖量主要来源于槽探、钻探和生活营地，开挖土石方临时堆放槽探区一侧，并使用彩条布覆盖，以防止土石方扬尘及流失。部分回填后剩余土方用于项目区周边土地平整，不单独设置弃渣场。</w:t>
            </w:r>
          </w:p>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eastAsia="楷体_GB2312" w:cs="Times New Roman" w:asciiTheme="minorHAnsi" w:hAnsiTheme="minorHAnsi"/>
                <w:kern w:val="2"/>
                <w:sz w:val="28"/>
                <w:szCs w:val="28"/>
                <w:highlight w:val="none"/>
                <w:lang w:val="en-US" w:eastAsia="zh-CN" w:bidi="ar-SA"/>
              </w:rPr>
            </w:pPr>
            <w:r>
              <w:rPr>
                <w:rFonts w:hint="eastAsia" w:eastAsia="宋体" w:cs="宋体"/>
                <w:highlight w:val="none"/>
                <w:lang w:val="en-US" w:eastAsia="zh-CN"/>
              </w:rPr>
              <w:t>本项目临时占地情况见下表。</w:t>
            </w:r>
          </w:p>
          <w:p>
            <w:pPr>
              <w:pStyle w:val="8"/>
              <w:keepNext/>
              <w:spacing w:before="0" w:after="0" w:line="240" w:lineRule="auto"/>
              <w:rPr>
                <w:rFonts w:hint="eastAsia" w:ascii="Times New Roman" w:hAnsi="Times New Roman" w:cs="Times New Roman"/>
                <w:b/>
                <w:sz w:val="24"/>
                <w:szCs w:val="24"/>
                <w:highlight w:val="none"/>
                <w:lang w:val="en-US" w:eastAsia="zh-CN"/>
              </w:rPr>
            </w:pPr>
            <w:r>
              <w:rPr>
                <w:rFonts w:hint="eastAsia" w:ascii="Times New Roman" w:hAnsi="Times New Roman" w:cs="Times New Roman"/>
                <w:b/>
                <w:sz w:val="24"/>
                <w:szCs w:val="24"/>
                <w:highlight w:val="none"/>
                <w:lang w:val="en-US" w:eastAsia="zh-CN"/>
              </w:rPr>
              <w:t>表2-5  项目临时占地类型一览表</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539"/>
              <w:gridCol w:w="2064"/>
              <w:gridCol w:w="1593"/>
              <w:gridCol w:w="1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pct"/>
                  <w:gridSpan w:val="2"/>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名称</w:t>
                  </w:r>
                </w:p>
              </w:tc>
              <w:tc>
                <w:tcPr>
                  <w:tcW w:w="131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占地面积（m</w:t>
                  </w:r>
                  <w:r>
                    <w:rPr>
                      <w:rFonts w:hint="eastAsia" w:ascii="Times New Roman" w:hAnsi="Times New Roman" w:eastAsia="宋体" w:cs="Times New Roman"/>
                      <w:szCs w:val="21"/>
                      <w:highlight w:val="none"/>
                      <w:vertAlign w:val="superscript"/>
                      <w:lang w:val="en-US" w:eastAsia="zh-CN"/>
                    </w:rPr>
                    <w:t>2</w:t>
                  </w:r>
                  <w:r>
                    <w:rPr>
                      <w:rFonts w:hint="eastAsia" w:ascii="Times New Roman" w:hAnsi="Times New Roman" w:eastAsia="宋体" w:cs="Times New Roman"/>
                      <w:szCs w:val="21"/>
                      <w:highlight w:val="none"/>
                      <w:lang w:val="en-US" w:eastAsia="zh-CN"/>
                    </w:rPr>
                    <w:t>）</w:t>
                  </w:r>
                </w:p>
              </w:tc>
              <w:tc>
                <w:tcPr>
                  <w:tcW w:w="1012"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占地性质</w:t>
                  </w:r>
                </w:p>
              </w:tc>
              <w:tc>
                <w:tcPr>
                  <w:tcW w:w="122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pct"/>
                  <w:vMerge w:val="restar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探矿权范围内</w:t>
                  </w:r>
                </w:p>
              </w:tc>
              <w:tc>
                <w:tcPr>
                  <w:tcW w:w="97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槽探区</w:t>
                  </w:r>
                </w:p>
              </w:tc>
              <w:tc>
                <w:tcPr>
                  <w:tcW w:w="131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1200</w:t>
                  </w:r>
                </w:p>
              </w:tc>
              <w:tc>
                <w:tcPr>
                  <w:tcW w:w="1012"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临时占地</w:t>
                  </w:r>
                </w:p>
              </w:tc>
              <w:tc>
                <w:tcPr>
                  <w:tcW w:w="122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探矿权范围内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pct"/>
                  <w:vMerge w:val="continue"/>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97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钻探区</w:t>
                  </w:r>
                </w:p>
              </w:tc>
              <w:tc>
                <w:tcPr>
                  <w:tcW w:w="131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w:t>
                  </w:r>
                </w:p>
              </w:tc>
              <w:tc>
                <w:tcPr>
                  <w:tcW w:w="1012"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w:t>
                  </w:r>
                </w:p>
              </w:tc>
              <w:tc>
                <w:tcPr>
                  <w:tcW w:w="122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位于槽探区上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pct"/>
                  <w:vMerge w:val="continue"/>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97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沉淀池</w:t>
                  </w:r>
                </w:p>
              </w:tc>
              <w:tc>
                <w:tcPr>
                  <w:tcW w:w="131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5</w:t>
                  </w:r>
                </w:p>
              </w:tc>
              <w:tc>
                <w:tcPr>
                  <w:tcW w:w="1012"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临时占地</w:t>
                  </w:r>
                </w:p>
              </w:tc>
              <w:tc>
                <w:tcPr>
                  <w:tcW w:w="122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pct"/>
                  <w:vMerge w:val="continue"/>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97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临时堆场</w:t>
                  </w:r>
                </w:p>
              </w:tc>
              <w:tc>
                <w:tcPr>
                  <w:tcW w:w="131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2</w:t>
                  </w:r>
                  <w:r>
                    <w:rPr>
                      <w:rFonts w:hint="eastAsia" w:eastAsia="宋体" w:cs="Times New Roman"/>
                      <w:szCs w:val="21"/>
                      <w:highlight w:val="none"/>
                      <w:lang w:val="en-US" w:eastAsia="zh-CN"/>
                    </w:rPr>
                    <w:t>000</w:t>
                  </w:r>
                </w:p>
              </w:tc>
              <w:tc>
                <w:tcPr>
                  <w:tcW w:w="1012"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临时占地</w:t>
                  </w:r>
                </w:p>
              </w:tc>
              <w:tc>
                <w:tcPr>
                  <w:tcW w:w="122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位于槽探区一侧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pct"/>
                  <w:vMerge w:val="continue"/>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97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生活营地</w:t>
                  </w:r>
                </w:p>
              </w:tc>
              <w:tc>
                <w:tcPr>
                  <w:tcW w:w="131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w:t>
                  </w:r>
                  <w:r>
                    <w:rPr>
                      <w:rFonts w:hint="eastAsia" w:ascii="Times New Roman" w:hAnsi="Times New Roman" w:eastAsia="宋体" w:cs="Times New Roman"/>
                      <w:szCs w:val="21"/>
                      <w:highlight w:val="none"/>
                      <w:lang w:val="en-US" w:eastAsia="zh-CN"/>
                    </w:rPr>
                    <w:t>00</w:t>
                  </w:r>
                </w:p>
              </w:tc>
              <w:tc>
                <w:tcPr>
                  <w:tcW w:w="1012"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临时占地</w:t>
                  </w:r>
                </w:p>
              </w:tc>
              <w:tc>
                <w:tcPr>
                  <w:tcW w:w="122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pct"/>
                  <w:gridSpan w:val="2"/>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合计</w:t>
                  </w:r>
                </w:p>
              </w:tc>
              <w:tc>
                <w:tcPr>
                  <w:tcW w:w="1311"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3305</w:t>
                  </w:r>
                </w:p>
              </w:tc>
              <w:tc>
                <w:tcPr>
                  <w:tcW w:w="1012"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临时占地</w:t>
                  </w:r>
                </w:p>
              </w:tc>
              <w:tc>
                <w:tcPr>
                  <w:tcW w:w="1228" w:type="pct"/>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w:t>
                  </w:r>
                </w:p>
              </w:tc>
            </w:tr>
          </w:tbl>
          <w:p>
            <w:pPr>
              <w:pStyle w:val="52"/>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default"/>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8" w:type="pct"/>
            <w:shd w:val="clear" w:color="auto" w:fill="auto"/>
            <w:noWrap w:val="0"/>
            <w:vAlign w:val="center"/>
          </w:tcPr>
          <w:p>
            <w:pPr>
              <w:adjustRightInd w:val="0"/>
              <w:snapToGrid w:val="0"/>
              <w:spacing w:line="240" w:lineRule="auto"/>
              <w:jc w:val="center"/>
              <w:rPr>
                <w:rFonts w:hint="default" w:ascii="Times New Roman" w:hAnsi="Times New Roman" w:eastAsia="仿宋_GB2312" w:cs="Times New Roman"/>
                <w:b/>
                <w:bCs/>
                <w:kern w:val="2"/>
                <w:sz w:val="21"/>
                <w:szCs w:val="24"/>
                <w:highlight w:val="none"/>
                <w:vertAlign w:val="baseline"/>
                <w:lang w:val="en-US" w:eastAsia="zh-CN" w:bidi="ar-SA"/>
              </w:rPr>
            </w:pPr>
            <w:r>
              <w:rPr>
                <w:rFonts w:hint="default" w:ascii="Times New Roman" w:hAnsi="Times New Roman" w:cs="Times New Roman"/>
                <w:kern w:val="0"/>
                <w:szCs w:val="21"/>
                <w:highlight w:val="none"/>
              </w:rPr>
              <w:t>施工方案</w:t>
            </w:r>
          </w:p>
        </w:tc>
        <w:tc>
          <w:tcPr>
            <w:tcW w:w="4751"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sz w:val="24"/>
                <w:highlight w:val="none"/>
                <w:lang w:val="en-US" w:eastAsia="zh-CN"/>
              </w:rPr>
            </w:pPr>
            <w:r>
              <w:rPr>
                <w:rFonts w:hint="eastAsia"/>
                <w:b/>
                <w:sz w:val="24"/>
                <w:highlight w:val="none"/>
                <w:lang w:val="en-US" w:eastAsia="zh-CN"/>
              </w:rPr>
              <w:t>1.工艺流程简述</w:t>
            </w:r>
          </w:p>
          <w:p>
            <w:pPr>
              <w:pStyle w:val="22"/>
              <w:keepNext w:val="0"/>
              <w:keepLines w:val="0"/>
              <w:pageBreakBefore w:val="0"/>
              <w:widowControl w:val="0"/>
              <w:kinsoku/>
              <w:wordWrap/>
              <w:overflowPunct/>
              <w:topLinePunct w:val="0"/>
              <w:autoSpaceDE w:val="0"/>
              <w:autoSpaceDN w:val="0"/>
              <w:bidi w:val="0"/>
              <w:adjustRightInd w:val="0"/>
              <w:snapToGrid/>
              <w:spacing w:line="360" w:lineRule="auto"/>
              <w:ind w:left="0" w:firstLine="480" w:firstLineChars="200"/>
              <w:jc w:val="left"/>
              <w:textAlignment w:val="auto"/>
              <w:rPr>
                <w:rFonts w:hint="default" w:ascii="Times New Roman" w:hAnsi="Times New Roman" w:cs="Times New Roman"/>
                <w:b w:val="0"/>
                <w:bCs/>
                <w:highlight w:val="none"/>
              </w:rPr>
            </w:pPr>
            <w:r>
              <w:rPr>
                <w:rFonts w:hint="default" w:ascii="Times New Roman" w:hAnsi="Times New Roman" w:cs="Times New Roman"/>
                <w:b w:val="0"/>
                <w:bCs/>
                <w:highlight w:val="none"/>
              </w:rPr>
              <w:t>本项目为新建，主要</w:t>
            </w:r>
            <w:r>
              <w:rPr>
                <w:rFonts w:hint="eastAsia" w:ascii="Times New Roman" w:hAnsi="Times New Roman" w:cs="Times New Roman"/>
                <w:b w:val="0"/>
                <w:bCs/>
                <w:highlight w:val="none"/>
                <w:lang w:val="en-US" w:eastAsia="zh-CN"/>
              </w:rPr>
              <w:t>工作</w:t>
            </w:r>
            <w:r>
              <w:rPr>
                <w:rFonts w:hint="default" w:ascii="Times New Roman" w:hAnsi="Times New Roman" w:cs="Times New Roman"/>
                <w:b w:val="0"/>
                <w:bCs/>
                <w:highlight w:val="none"/>
              </w:rPr>
              <w:t>活动</w:t>
            </w:r>
            <w:r>
              <w:rPr>
                <w:rFonts w:hint="eastAsia" w:ascii="Times New Roman" w:cs="Times New Roman"/>
                <w:b w:val="0"/>
                <w:bCs/>
                <w:highlight w:val="none"/>
                <w:lang w:val="en-US" w:eastAsia="zh-CN"/>
              </w:rPr>
              <w:t>为临时生活营地以及探矿工作等</w:t>
            </w:r>
            <w:r>
              <w:rPr>
                <w:rFonts w:hint="default" w:ascii="Times New Roman" w:hAnsi="Times New Roman" w:cs="Times New Roman"/>
                <w:b w:val="0"/>
                <w:bCs/>
                <w:highlight w:val="none"/>
              </w:rPr>
              <w:t>，</w:t>
            </w:r>
            <w:r>
              <w:rPr>
                <w:rFonts w:hint="eastAsia" w:ascii="Times New Roman" w:hAnsi="Times New Roman" w:cs="Times New Roman"/>
                <w:b w:val="0"/>
                <w:bCs/>
                <w:highlight w:val="none"/>
                <w:lang w:eastAsia="zh-CN"/>
              </w:rPr>
              <w:t>在施工</w:t>
            </w:r>
            <w:r>
              <w:rPr>
                <w:rFonts w:hint="eastAsia" w:ascii="Times New Roman" w:hAnsi="Times New Roman" w:cs="Times New Roman"/>
                <w:b w:val="0"/>
                <w:bCs/>
                <w:highlight w:val="none"/>
                <w:lang w:val="en-US" w:eastAsia="zh-CN"/>
              </w:rPr>
              <w:t>建设</w:t>
            </w:r>
            <w:r>
              <w:rPr>
                <w:rFonts w:hint="eastAsia" w:ascii="Times New Roman" w:hAnsi="Times New Roman" w:cs="Times New Roman"/>
                <w:b w:val="0"/>
                <w:bCs/>
                <w:highlight w:val="none"/>
                <w:lang w:eastAsia="zh-CN"/>
              </w:rPr>
              <w:t>过程中会有</w:t>
            </w:r>
            <w:r>
              <w:rPr>
                <w:rFonts w:hint="default" w:ascii="Times New Roman" w:hAnsi="Times New Roman" w:cs="Times New Roman"/>
                <w:b w:val="0"/>
                <w:bCs/>
                <w:highlight w:val="none"/>
              </w:rPr>
              <w:t>施工废气、施工扬尘、施工噪声</w:t>
            </w:r>
            <w:r>
              <w:rPr>
                <w:rFonts w:hint="eastAsia" w:ascii="Times New Roman" w:cs="Times New Roman"/>
                <w:b w:val="0"/>
                <w:bCs/>
                <w:highlight w:val="none"/>
                <w:lang w:eastAsia="zh-CN"/>
              </w:rPr>
              <w:t>、</w:t>
            </w:r>
            <w:r>
              <w:rPr>
                <w:rFonts w:hint="eastAsia" w:ascii="Times New Roman" w:cs="Times New Roman"/>
                <w:b w:val="0"/>
                <w:bCs/>
                <w:highlight w:val="none"/>
                <w:lang w:val="en-US" w:eastAsia="zh-CN"/>
              </w:rPr>
              <w:t>开挖土石方</w:t>
            </w:r>
            <w:r>
              <w:rPr>
                <w:rFonts w:hint="default" w:ascii="Times New Roman" w:hAnsi="Times New Roman" w:cs="Times New Roman"/>
                <w:b w:val="0"/>
                <w:bCs/>
                <w:highlight w:val="none"/>
              </w:rPr>
              <w:t>等产生，</w:t>
            </w:r>
            <w:r>
              <w:rPr>
                <w:rFonts w:hint="eastAsia" w:ascii="Times New Roman" w:hAnsi="Times New Roman" w:cs="Times New Roman"/>
                <w:b w:val="0"/>
                <w:bCs/>
                <w:highlight w:val="none"/>
                <w:lang w:val="en-US" w:eastAsia="zh-CN"/>
              </w:rPr>
              <w:t>项目建设工程</w:t>
            </w:r>
            <w:r>
              <w:rPr>
                <w:rFonts w:hint="default" w:ascii="Times New Roman" w:hAnsi="Times New Roman" w:cs="Times New Roman"/>
                <w:b w:val="0"/>
                <w:bCs/>
                <w:highlight w:val="none"/>
              </w:rPr>
              <w:t>工艺流程图及产污环节见</w:t>
            </w:r>
            <w:r>
              <w:rPr>
                <w:rFonts w:hint="default" w:ascii="Times New Roman" w:hAnsi="Times New Roman" w:cs="Times New Roman"/>
                <w:b w:val="0"/>
                <w:bCs/>
                <w:highlight w:val="none"/>
                <w:lang w:eastAsia="zh-CN"/>
              </w:rPr>
              <w:t>图</w:t>
            </w:r>
            <w:r>
              <w:rPr>
                <w:rFonts w:hint="eastAsia" w:ascii="Times New Roman" w:cs="Times New Roman"/>
                <w:b w:val="0"/>
                <w:bCs/>
                <w:highlight w:val="none"/>
                <w:lang w:val="en-US" w:eastAsia="zh-CN"/>
              </w:rPr>
              <w:t>2-2、图2-3</w:t>
            </w:r>
            <w:r>
              <w:rPr>
                <w:rFonts w:hint="default" w:ascii="Times New Roman" w:hAnsi="Times New Roman" w:cs="Times New Roman"/>
                <w:b w:val="0"/>
                <w:bCs/>
                <w:highlight w:val="none"/>
              </w:rPr>
              <w:t>。</w:t>
            </w:r>
          </w:p>
          <w:p>
            <w:pPr>
              <w:pStyle w:val="31"/>
              <w:keepNext w:val="0"/>
              <w:keepLines w:val="0"/>
              <w:pageBreakBefore w:val="0"/>
              <w:widowControl w:val="0"/>
              <w:kinsoku/>
              <w:wordWrap/>
              <w:overflowPunct/>
              <w:topLinePunct w:val="0"/>
              <w:bidi w:val="0"/>
              <w:snapToGrid/>
              <w:spacing w:line="360" w:lineRule="auto"/>
              <w:ind w:left="0" w:leftChars="0" w:firstLine="0" w:firstLineChars="0"/>
              <w:jc w:val="center"/>
              <w:textAlignment w:val="auto"/>
              <w:rPr>
                <w:rFonts w:hint="eastAsia"/>
                <w:b/>
                <w:bCs/>
                <w:color w:val="000000"/>
                <w:highlight w:val="none"/>
              </w:rPr>
            </w:pPr>
            <w:r>
              <w:rPr>
                <w:highlight w:val="none"/>
              </w:rPr>
              <w:drawing>
                <wp:inline distT="0" distB="0" distL="114300" distR="114300">
                  <wp:extent cx="5003800" cy="1272540"/>
                  <wp:effectExtent l="0" t="0" r="0" b="0"/>
                  <wp:docPr id="2" name="ECB019B1-382A-4266-B25C-5B523AA43C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1"/>
                          <pic:cNvPicPr>
                            <a:picLocks noChangeAspect="1"/>
                          </pic:cNvPicPr>
                        </pic:nvPicPr>
                        <pic:blipFill>
                          <a:blip r:embed="rId6"/>
                          <a:stretch>
                            <a:fillRect/>
                          </a:stretch>
                        </pic:blipFill>
                        <pic:spPr>
                          <a:xfrm>
                            <a:off x="0" y="0"/>
                            <a:ext cx="5003800" cy="1272540"/>
                          </a:xfrm>
                          <a:prstGeom prst="rect">
                            <a:avLst/>
                          </a:prstGeom>
                        </pic:spPr>
                      </pic:pic>
                    </a:graphicData>
                  </a:graphic>
                </wp:inline>
              </w:drawing>
            </w:r>
            <w:r>
              <w:rPr>
                <w:rFonts w:hint="eastAsia"/>
                <w:b/>
                <w:bCs/>
                <w:color w:val="000000"/>
                <w:highlight w:val="none"/>
              </w:rPr>
              <w:t>图</w:t>
            </w:r>
            <w:r>
              <w:rPr>
                <w:rFonts w:hint="eastAsia"/>
                <w:b/>
                <w:bCs/>
                <w:color w:val="000000"/>
                <w:highlight w:val="none"/>
                <w:lang w:val="en-US" w:eastAsia="zh-CN"/>
              </w:rPr>
              <w:t>2-2</w:t>
            </w:r>
            <w:r>
              <w:rPr>
                <w:rFonts w:hint="eastAsia"/>
                <w:b/>
                <w:bCs/>
                <w:color w:val="000000"/>
                <w:highlight w:val="none"/>
              </w:rPr>
              <w:t xml:space="preserve">  </w:t>
            </w:r>
            <w:r>
              <w:rPr>
                <w:rFonts w:hint="eastAsia"/>
                <w:b/>
                <w:bCs/>
                <w:color w:val="000000"/>
                <w:highlight w:val="none"/>
                <w:lang w:val="en-US" w:eastAsia="zh-CN"/>
              </w:rPr>
              <w:t>生活营地建设</w:t>
            </w:r>
            <w:r>
              <w:rPr>
                <w:rFonts w:hint="eastAsia"/>
                <w:b/>
                <w:bCs/>
                <w:color w:val="000000"/>
                <w:highlight w:val="none"/>
              </w:rPr>
              <w:t>工艺及产污环节图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highlight w:val="none"/>
              </w:rPr>
            </w:pPr>
            <w:r>
              <w:rPr>
                <w:sz w:val="24"/>
                <w:highlight w:val="none"/>
              </w:rPr>
              <w:t>探矿工作主要包括</w:t>
            </w:r>
            <w:r>
              <w:rPr>
                <w:rFonts w:hint="eastAsia"/>
                <w:sz w:val="24"/>
                <w:highlight w:val="none"/>
                <w:lang w:val="en-US" w:eastAsia="zh-CN"/>
              </w:rPr>
              <w:t>地质测量</w:t>
            </w:r>
            <w:r>
              <w:rPr>
                <w:sz w:val="24"/>
                <w:highlight w:val="none"/>
              </w:rPr>
              <w:t>、槽探和</w:t>
            </w:r>
            <w:r>
              <w:rPr>
                <w:rFonts w:hint="eastAsia"/>
                <w:sz w:val="24"/>
                <w:highlight w:val="none"/>
              </w:rPr>
              <w:t>钻</w:t>
            </w:r>
            <w:r>
              <w:rPr>
                <w:sz w:val="24"/>
                <w:highlight w:val="none"/>
              </w:rPr>
              <w:t>探，工程实施过程中主要的污染来自槽探和</w:t>
            </w:r>
            <w:r>
              <w:rPr>
                <w:rFonts w:hint="eastAsia"/>
                <w:sz w:val="24"/>
                <w:highlight w:val="none"/>
              </w:rPr>
              <w:t>钻</w:t>
            </w:r>
            <w:r>
              <w:rPr>
                <w:sz w:val="24"/>
                <w:highlight w:val="none"/>
              </w:rPr>
              <w:t>探过程中扬尘、机械噪声、工程弃渣及工作人员生活过程中产生的生活污水和生活垃圾。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highlight w:val="none"/>
              </w:rPr>
            </w:pPr>
            <w:r>
              <w:rPr>
                <w:sz w:val="24"/>
                <w:highlight w:val="none"/>
              </w:rPr>
              <w:t>探矿</w:t>
            </w:r>
            <w:r>
              <w:rPr>
                <w:rFonts w:hint="eastAsia"/>
                <w:sz w:val="24"/>
                <w:highlight w:val="none"/>
                <w:lang w:val="en-US" w:eastAsia="zh-CN"/>
              </w:rPr>
              <w:t>工作</w:t>
            </w:r>
            <w:r>
              <w:rPr>
                <w:sz w:val="24"/>
                <w:highlight w:val="none"/>
              </w:rPr>
              <w:t>对环境的影响集中在槽探、</w:t>
            </w:r>
            <w:r>
              <w:rPr>
                <w:rFonts w:hint="eastAsia"/>
                <w:sz w:val="24"/>
                <w:highlight w:val="none"/>
              </w:rPr>
              <w:t>钻</w:t>
            </w:r>
            <w:r>
              <w:rPr>
                <w:sz w:val="24"/>
                <w:highlight w:val="none"/>
              </w:rPr>
              <w:t>探工作中，工艺流程和产污环节分别见图</w:t>
            </w:r>
            <w:r>
              <w:rPr>
                <w:rFonts w:hint="eastAsia"/>
                <w:sz w:val="24"/>
                <w:highlight w:val="none"/>
                <w:lang w:val="en-US" w:eastAsia="zh-CN"/>
              </w:rPr>
              <w:t>2-3</w:t>
            </w:r>
            <w:r>
              <w:rPr>
                <w:sz w:val="24"/>
                <w:highlight w:val="none"/>
              </w:rPr>
              <w:t>、图</w:t>
            </w:r>
            <w:r>
              <w:rPr>
                <w:rFonts w:hint="eastAsia"/>
                <w:sz w:val="24"/>
                <w:highlight w:val="none"/>
                <w:lang w:val="en-US" w:eastAsia="zh-CN"/>
              </w:rPr>
              <w:t>2-4</w:t>
            </w:r>
            <w:r>
              <w:rPr>
                <w:sz w:val="24"/>
                <w:highlight w:val="none"/>
              </w:rPr>
              <w:t>。</w:t>
            </w:r>
          </w:p>
          <w:p>
            <w:pPr>
              <w:spacing w:line="360" w:lineRule="auto"/>
              <w:ind w:firstLine="480"/>
              <w:jc w:val="center"/>
              <w:rPr>
                <w:b/>
                <w:sz w:val="24"/>
                <w:highlight w:val="none"/>
              </w:rPr>
            </w:pPr>
            <w:r>
              <w:rPr>
                <w:highlight w:val="none"/>
              </w:rPr>
              <w:drawing>
                <wp:anchor distT="0" distB="0" distL="114300" distR="114300" simplePos="0" relativeHeight="251660288" behindDoc="0" locked="0" layoutInCell="1" allowOverlap="1">
                  <wp:simplePos x="0" y="0"/>
                  <wp:positionH relativeFrom="column">
                    <wp:posOffset>73025</wp:posOffset>
                  </wp:positionH>
                  <wp:positionV relativeFrom="paragraph">
                    <wp:posOffset>132080</wp:posOffset>
                  </wp:positionV>
                  <wp:extent cx="4679315" cy="1154430"/>
                  <wp:effectExtent l="0" t="0" r="6985" b="7620"/>
                  <wp:wrapTopAndBottom/>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7"/>
                          <a:stretch>
                            <a:fillRect/>
                          </a:stretch>
                        </pic:blipFill>
                        <pic:spPr>
                          <a:xfrm>
                            <a:off x="0" y="0"/>
                            <a:ext cx="4679315" cy="1154430"/>
                          </a:xfrm>
                          <a:prstGeom prst="rect">
                            <a:avLst/>
                          </a:prstGeom>
                          <a:noFill/>
                          <a:ln>
                            <a:noFill/>
                          </a:ln>
                        </pic:spPr>
                      </pic:pic>
                    </a:graphicData>
                  </a:graphic>
                </wp:anchor>
              </w:drawing>
            </w:r>
            <w:r>
              <w:rPr>
                <w:b/>
                <w:sz w:val="24"/>
                <w:highlight w:val="none"/>
              </w:rPr>
              <w:t>图</w:t>
            </w:r>
            <w:r>
              <w:rPr>
                <w:rFonts w:hint="eastAsia"/>
                <w:b/>
                <w:sz w:val="24"/>
                <w:highlight w:val="none"/>
                <w:lang w:val="en-US" w:eastAsia="zh-CN"/>
              </w:rPr>
              <w:t xml:space="preserve">2-3 </w:t>
            </w:r>
            <w:r>
              <w:rPr>
                <w:b/>
                <w:sz w:val="24"/>
                <w:highlight w:val="none"/>
              </w:rPr>
              <w:t xml:space="preserve"> 槽探施工流程及产污环节示意图</w:t>
            </w:r>
          </w:p>
          <w:p>
            <w:pPr>
              <w:spacing w:line="360" w:lineRule="auto"/>
              <w:ind w:firstLine="480"/>
              <w:jc w:val="center"/>
              <w:rPr>
                <w:rFonts w:hint="default"/>
                <w:b/>
                <w:sz w:val="24"/>
                <w:highlight w:val="none"/>
                <w:lang w:val="en-US" w:eastAsia="zh-CN"/>
              </w:rPr>
            </w:pPr>
            <w:r>
              <w:rPr>
                <w:b/>
                <w:sz w:val="24"/>
                <w:highlight w:val="none"/>
              </w:rPr>
              <w:drawing>
                <wp:anchor distT="0" distB="0" distL="114300" distR="114300" simplePos="0" relativeHeight="251661312" behindDoc="0" locked="0" layoutInCell="1" allowOverlap="1">
                  <wp:simplePos x="0" y="0"/>
                  <wp:positionH relativeFrom="column">
                    <wp:posOffset>87630</wp:posOffset>
                  </wp:positionH>
                  <wp:positionV relativeFrom="paragraph">
                    <wp:posOffset>78740</wp:posOffset>
                  </wp:positionV>
                  <wp:extent cx="4688840" cy="1080135"/>
                  <wp:effectExtent l="0" t="0" r="16510" b="5715"/>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a:stretch>
                            <a:fillRect/>
                          </a:stretch>
                        </pic:blipFill>
                        <pic:spPr>
                          <a:xfrm>
                            <a:off x="0" y="0"/>
                            <a:ext cx="4688840" cy="1080135"/>
                          </a:xfrm>
                          <a:prstGeom prst="rect">
                            <a:avLst/>
                          </a:prstGeom>
                          <a:noFill/>
                          <a:ln>
                            <a:noFill/>
                          </a:ln>
                        </pic:spPr>
                      </pic:pic>
                    </a:graphicData>
                  </a:graphic>
                </wp:anchor>
              </w:drawing>
            </w:r>
            <w:r>
              <w:rPr>
                <w:rFonts w:hint="default"/>
                <w:b/>
                <w:sz w:val="24"/>
                <w:highlight w:val="none"/>
                <w:lang w:val="en-US" w:eastAsia="zh-CN"/>
              </w:rPr>
              <w:t>图2-</w:t>
            </w:r>
            <w:r>
              <w:rPr>
                <w:rFonts w:hint="eastAsia"/>
                <w:b/>
                <w:sz w:val="24"/>
                <w:highlight w:val="none"/>
                <w:lang w:val="en-US" w:eastAsia="zh-CN"/>
              </w:rPr>
              <w:t>4</w:t>
            </w:r>
            <w:r>
              <w:rPr>
                <w:rFonts w:hint="default"/>
                <w:b/>
                <w:sz w:val="24"/>
                <w:highlight w:val="none"/>
                <w:lang w:val="en-US" w:eastAsia="zh-CN"/>
              </w:rPr>
              <w:t xml:space="preserve">  </w:t>
            </w:r>
            <w:r>
              <w:rPr>
                <w:rFonts w:hint="eastAsia"/>
                <w:b/>
                <w:sz w:val="24"/>
                <w:highlight w:val="none"/>
                <w:lang w:val="en-US" w:eastAsia="zh-CN"/>
              </w:rPr>
              <w:t>钻探</w:t>
            </w:r>
            <w:r>
              <w:rPr>
                <w:rFonts w:hint="default"/>
                <w:b/>
                <w:sz w:val="24"/>
                <w:highlight w:val="none"/>
                <w:lang w:val="en-US" w:eastAsia="zh-CN"/>
              </w:rPr>
              <w:t>施工流程及产污环节示意图</w:t>
            </w:r>
          </w:p>
          <w:p>
            <w:pPr>
              <w:pStyle w:val="51"/>
              <w:bidi w:val="0"/>
              <w:spacing w:line="360" w:lineRule="auto"/>
              <w:rPr>
                <w:rFonts w:hint="default"/>
                <w:highlight w:val="none"/>
                <w:lang w:val="en-US" w:eastAsia="zh-CN"/>
              </w:rPr>
            </w:pPr>
            <w:r>
              <w:rPr>
                <w:rFonts w:hint="eastAsia"/>
                <w:highlight w:val="none"/>
                <w:lang w:val="en-US" w:eastAsia="zh-CN"/>
              </w:rPr>
              <w:t>2.工作进度安排</w:t>
            </w:r>
          </w:p>
          <w:p>
            <w:pPr>
              <w:pStyle w:val="52"/>
              <w:shd w:val="clear"/>
              <w:bidi w:val="0"/>
              <w:spacing w:line="360" w:lineRule="auto"/>
              <w:rPr>
                <w:rFonts w:hint="eastAsia"/>
                <w:highlight w:val="none"/>
                <w:shd w:val="clear" w:color="auto" w:fill="auto"/>
                <w:lang w:val="en-US" w:eastAsia="zh-CN"/>
              </w:rPr>
            </w:pPr>
            <w:r>
              <w:rPr>
                <w:rFonts w:hint="default" w:ascii="Times New Roman" w:hAnsi="Times New Roman" w:eastAsia="宋体" w:cs="Times New Roman"/>
                <w:color w:val="auto"/>
                <w:sz w:val="24"/>
              </w:rPr>
              <w:t>项目</w:t>
            </w:r>
            <w:r>
              <w:rPr>
                <w:rFonts w:hint="eastAsia" w:cs="Times New Roman"/>
                <w:color w:val="auto"/>
                <w:sz w:val="24"/>
                <w:lang w:val="en-US" w:eastAsia="zh-CN"/>
              </w:rPr>
              <w:t>地处山区，海拔较高，冬季无法开展勘探活动，具体工作计划与进度安排见下表</w:t>
            </w:r>
            <w:r>
              <w:rPr>
                <w:rFonts w:hint="eastAsia"/>
                <w:highlight w:val="none"/>
                <w:shd w:val="clear" w:color="auto" w:fill="auto"/>
                <w:lang w:val="en-US" w:eastAsia="zh-CN"/>
              </w:rPr>
              <w:t>。</w:t>
            </w:r>
          </w:p>
          <w:p>
            <w:pPr>
              <w:pStyle w:val="53"/>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sz w:val="24"/>
                <w:szCs w:val="24"/>
                <w:highlight w:val="none"/>
                <w:lang w:val="en-US" w:eastAsia="zh-CN"/>
              </w:rPr>
            </w:pPr>
            <w:r>
              <w:rPr>
                <w:rFonts w:hint="eastAsia"/>
                <w:sz w:val="24"/>
                <w:szCs w:val="24"/>
                <w:highlight w:val="none"/>
                <w:lang w:val="en-US" w:eastAsia="zh-CN"/>
              </w:rPr>
              <w:t>表2-6  工作计划与时间安排表</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4"/>
              <w:gridCol w:w="1591"/>
              <w:gridCol w:w="5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时段</w:t>
                  </w: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具体时间安排</w:t>
                  </w:r>
                </w:p>
              </w:tc>
              <w:tc>
                <w:tcPr>
                  <w:tcW w:w="3242"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施工期</w:t>
                  </w: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2026年6月1日~6月30日</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napToGrid w:val="0"/>
                      <w:color w:val="000000"/>
                      <w:kern w:val="0"/>
                      <w:sz w:val="21"/>
                      <w:szCs w:val="21"/>
                      <w:highlight w:val="none"/>
                      <w:lang w:val="en-US" w:eastAsia="zh-CN" w:bidi="ar-SA"/>
                    </w:rPr>
                    <w:t>准备项目所需相关技术资料、生产物资、营地建设，开展项目组人员安全生产、技术培训工作</w:t>
                  </w:r>
                  <w:r>
                    <w:rPr>
                      <w:rFonts w:hint="eastAsia" w:cs="Times New Roman"/>
                      <w:snapToGrid w:val="0"/>
                      <w:color w:val="000000"/>
                      <w:kern w:val="0"/>
                      <w:sz w:val="21"/>
                      <w:szCs w:val="21"/>
                      <w:highlight w:val="none"/>
                      <w:lang w:val="en-US" w:eastAsia="zh-CN" w:bidi="ar-SA"/>
                    </w:rPr>
                    <w:t>，为野外工作做准备</w:t>
                  </w:r>
                  <w:r>
                    <w:rPr>
                      <w:rFonts w:hint="default" w:ascii="Times New Roman" w:hAnsi="Times New Roman" w:eastAsia="宋体" w:cs="Times New Roman"/>
                      <w:snapToGrid w:val="0"/>
                      <w:color w:val="000000"/>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vMerge w:val="restar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勘探期</w:t>
                  </w: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rPr>
                  </w:pPr>
                  <w:r>
                    <w:rPr>
                      <w:rFonts w:hint="eastAsia" w:ascii="Times New Roman" w:hAnsi="Times New Roman" w:eastAsia="宋体" w:cs="Times New Roman"/>
                      <w:color w:val="000000"/>
                      <w:sz w:val="21"/>
                      <w:szCs w:val="21"/>
                      <w:highlight w:val="none"/>
                      <w:lang w:val="en-US" w:eastAsia="zh-CN"/>
                    </w:rPr>
                    <w:t>202</w:t>
                  </w:r>
                  <w:r>
                    <w:rPr>
                      <w:rFonts w:hint="eastAsia" w:cs="Times New Roman"/>
                      <w:color w:val="000000"/>
                      <w:sz w:val="21"/>
                      <w:szCs w:val="21"/>
                      <w:highlight w:val="none"/>
                      <w:lang w:val="en-US" w:eastAsia="zh-CN"/>
                    </w:rPr>
                    <w:t>6</w:t>
                  </w:r>
                  <w:r>
                    <w:rPr>
                      <w:rFonts w:hint="eastAsia" w:ascii="Times New Roman" w:hAnsi="Times New Roman" w:eastAsia="宋体" w:cs="Times New Roman"/>
                      <w:color w:val="000000"/>
                      <w:sz w:val="21"/>
                      <w:szCs w:val="21"/>
                      <w:highlight w:val="none"/>
                      <w:lang w:val="en-US" w:eastAsia="zh-CN"/>
                    </w:rPr>
                    <w:t>年</w:t>
                  </w:r>
                  <w:r>
                    <w:rPr>
                      <w:rFonts w:hint="eastAsia" w:cs="Times New Roman"/>
                      <w:color w:val="000000"/>
                      <w:sz w:val="21"/>
                      <w:szCs w:val="21"/>
                      <w:highlight w:val="none"/>
                      <w:lang w:val="en-US" w:eastAsia="zh-CN"/>
                    </w:rPr>
                    <w:t>7</w:t>
                  </w:r>
                  <w:r>
                    <w:rPr>
                      <w:rFonts w:hint="eastAsia" w:ascii="Times New Roman" w:hAnsi="Times New Roman" w:eastAsia="宋体" w:cs="Times New Roman"/>
                      <w:color w:val="000000"/>
                      <w:sz w:val="21"/>
                      <w:szCs w:val="21"/>
                      <w:highlight w:val="none"/>
                      <w:lang w:val="en-US" w:eastAsia="zh-CN"/>
                    </w:rPr>
                    <w:t>月</w:t>
                  </w:r>
                  <w:r>
                    <w:rPr>
                      <w:rFonts w:hint="eastAsia" w:cs="Times New Roman"/>
                      <w:color w:val="000000"/>
                      <w:sz w:val="21"/>
                      <w:szCs w:val="21"/>
                      <w:highlight w:val="none"/>
                      <w:lang w:val="en-US" w:eastAsia="zh-CN"/>
                    </w:rPr>
                    <w:t>~10</w:t>
                  </w:r>
                  <w:r>
                    <w:rPr>
                      <w:rFonts w:hint="eastAsia" w:eastAsia="宋体" w:cs="Times New Roman"/>
                      <w:color w:val="000000"/>
                      <w:sz w:val="21"/>
                      <w:szCs w:val="21"/>
                      <w:highlight w:val="none"/>
                      <w:lang w:val="en-US" w:eastAsia="zh-CN"/>
                    </w:rPr>
                    <w:t>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napToGrid w:val="0"/>
                      <w:color w:val="000000"/>
                      <w:kern w:val="0"/>
                      <w:sz w:val="21"/>
                      <w:szCs w:val="21"/>
                      <w:highlight w:val="none"/>
                      <w:lang w:val="en-US" w:eastAsia="zh-CN" w:bidi="ar-SA"/>
                    </w:rPr>
                    <w:t>设计编写及主要完成</w:t>
                  </w:r>
                  <w:r>
                    <w:rPr>
                      <w:rFonts w:hint="eastAsia" w:cs="Times New Roman"/>
                      <w:snapToGrid w:val="0"/>
                      <w:color w:val="000000"/>
                      <w:kern w:val="0"/>
                      <w:sz w:val="21"/>
                      <w:szCs w:val="21"/>
                      <w:highlight w:val="none"/>
                      <w:lang w:val="en-US" w:eastAsia="zh-CN" w:bidi="ar-SA"/>
                    </w:rPr>
                    <w:t>地形测量、地质测量、</w:t>
                  </w:r>
                  <w:r>
                    <w:rPr>
                      <w:rFonts w:hint="eastAsia" w:ascii="Times New Roman" w:hAnsi="Times New Roman" w:eastAsia="宋体" w:cs="Times New Roman"/>
                      <w:snapToGrid w:val="0"/>
                      <w:color w:val="000000"/>
                      <w:kern w:val="0"/>
                      <w:sz w:val="21"/>
                      <w:szCs w:val="21"/>
                      <w:highlight w:val="none"/>
                      <w:lang w:val="en-US" w:eastAsia="zh-CN" w:bidi="ar-SA"/>
                    </w:rPr>
                    <w:t>分析测试</w:t>
                  </w:r>
                  <w:r>
                    <w:rPr>
                      <w:rFonts w:hint="eastAsia" w:cs="Times New Roman"/>
                      <w:snapToGrid w:val="0"/>
                      <w:color w:val="000000"/>
                      <w:kern w:val="0"/>
                      <w:sz w:val="21"/>
                      <w:szCs w:val="21"/>
                      <w:highlight w:val="none"/>
                      <w:lang w:val="en-US" w:eastAsia="zh-CN" w:bidi="ar-SA"/>
                    </w:rPr>
                    <w:t>、槽探、钻探</w:t>
                  </w:r>
                  <w:r>
                    <w:rPr>
                      <w:rFonts w:hint="eastAsia" w:ascii="Times New Roman" w:hAnsi="Times New Roman" w:eastAsia="宋体" w:cs="Times New Roman"/>
                      <w:snapToGrid w:val="0"/>
                      <w:color w:val="000000"/>
                      <w:kern w:val="0"/>
                      <w:sz w:val="21"/>
                      <w:szCs w:val="21"/>
                      <w:highlight w:val="none"/>
                      <w:lang w:val="en-US" w:eastAsia="zh-CN" w:bidi="ar-SA"/>
                    </w:rPr>
                    <w:t>等</w:t>
                  </w:r>
                  <w:r>
                    <w:rPr>
                      <w:rFonts w:hint="eastAsia" w:cs="Times New Roman"/>
                      <w:snapToGrid w:val="0"/>
                      <w:color w:val="000000"/>
                      <w:kern w:val="0"/>
                      <w:sz w:val="21"/>
                      <w:szCs w:val="21"/>
                      <w:highlight w:val="none"/>
                      <w:lang w:val="en-US" w:eastAsia="zh-CN" w:bidi="ar-SA"/>
                    </w:rPr>
                    <w:t>工作</w:t>
                  </w:r>
                  <w:r>
                    <w:rPr>
                      <w:rFonts w:hint="default" w:ascii="Times New Roman" w:hAnsi="Times New Roman" w:eastAsia="宋体" w:cs="Times New Roman"/>
                      <w:snapToGrid w:val="0"/>
                      <w:color w:val="000000"/>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2026年11月~12月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napToGrid w:val="0"/>
                      <w:color w:val="000000"/>
                      <w:kern w:val="0"/>
                      <w:sz w:val="21"/>
                      <w:szCs w:val="21"/>
                      <w:highlight w:val="none"/>
                      <w:lang w:val="en-US" w:eastAsia="zh-CN" w:bidi="ar-SA"/>
                    </w:rPr>
                    <w:t>完成勘查区1:1000-1:2000地质剖面9.8千米</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测量1:1万地质简测面积24.4046平方千米</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1:1万航空磁法测量24.4046平方千米</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1:1万土壤地球化学测量24.4046平方千米</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择优开展少量探槽及钻探工作</w:t>
                  </w:r>
                  <w:r>
                    <w:rPr>
                      <w:rFonts w:hint="eastAsia" w:cs="Times New Roman"/>
                      <w:snapToGrid w:val="0"/>
                      <w:color w:val="000000"/>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2027年1月~3月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根据已有资料编制地址草图，编写年度工作方案及送审，并进行修改，为野外工作做准备。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2027年4月~10月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napToGrid w:val="0"/>
                      <w:color w:val="000000"/>
                      <w:kern w:val="0"/>
                      <w:sz w:val="21"/>
                      <w:szCs w:val="21"/>
                      <w:highlight w:val="none"/>
                      <w:lang w:val="en-US" w:eastAsia="zh-CN" w:bidi="ar-SA"/>
                    </w:rPr>
                    <w:t>根据上年工作成果的基础上，择优选择1:2000工作范围，完成勘查区1:500地质剖面1千米、1:2000地质简测面积2平方千米</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完成1:1万激电中梯剖面测量12千米、激电测深20个</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根据地物、化工作成果，系统开展探槽及钻探工作</w:t>
                  </w:r>
                  <w:r>
                    <w:rPr>
                      <w:rFonts w:hint="eastAsia" w:cs="Times New Roman"/>
                      <w:snapToGrid w:val="0"/>
                      <w:color w:val="000000"/>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2027年11月~2028年3月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napToGrid w:val="0"/>
                      <w:color w:val="000000"/>
                      <w:kern w:val="0"/>
                      <w:sz w:val="21"/>
                      <w:szCs w:val="21"/>
                      <w:highlight w:val="none"/>
                      <w:lang w:val="en-US" w:eastAsia="zh-CN" w:bidi="ar-SA"/>
                    </w:rPr>
                    <w:t>对野外资料进行整理和综合研究，并进行资料质量的项目检查和院级质量检查。并提交给空间生态公司进行检查</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编写年度工作总结。年度工作方案及评审，并进行修改。为野外工作做准备。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2028年4月~10月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napToGrid w:val="0"/>
                      <w:color w:val="000000"/>
                      <w:kern w:val="0"/>
                      <w:sz w:val="21"/>
                      <w:szCs w:val="21"/>
                      <w:highlight w:val="none"/>
                      <w:lang w:val="en-US" w:eastAsia="zh-CN" w:bidi="ar-SA"/>
                    </w:rPr>
                    <w:t>根据上年工作成果的基础上</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继续在1:2000工作范围，开展1:1万激电中梯剖面测量18千米、激电测深30个</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根据地、物工作成果，继续开展探槽及钻探工作</w:t>
                  </w:r>
                  <w:r>
                    <w:rPr>
                      <w:rFonts w:hint="eastAsia" w:cs="Times New Roman"/>
                      <w:snapToGrid w:val="0"/>
                      <w:color w:val="000000"/>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2028年11月~2029年3月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napToGrid w:val="0"/>
                      <w:color w:val="000000"/>
                      <w:kern w:val="0"/>
                      <w:sz w:val="21"/>
                      <w:szCs w:val="21"/>
                      <w:highlight w:val="none"/>
                      <w:lang w:val="en-US" w:eastAsia="zh-CN" w:bidi="ar-SA"/>
                    </w:rPr>
                    <w:t>对野外资料进行整理和综合研究，并进行资料质量的项目检查和院级质量检查。并提交给空间生态公司进行检查</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编写年度工作总结年度工作方案及评审，并进行修改。为野外工作做准备。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2029年4月~10月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根据工作情况及工作成果，继续在1:2000工作范围内，继续加密探槽及钻探工作。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2029年11月~2030年3月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napToGrid w:val="0"/>
                      <w:color w:val="000000"/>
                      <w:kern w:val="0"/>
                      <w:sz w:val="21"/>
                      <w:szCs w:val="21"/>
                      <w:highlight w:val="none"/>
                      <w:lang w:val="en-US" w:eastAsia="zh-CN" w:bidi="ar-SA"/>
                    </w:rPr>
                    <w:t>对野外资料进行整理和综合研究，并进行项目检查和院级质量检查。并提交给空间生态公司进行检查</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编写年度工作总结。年度工作方案及评审，并进行修改。为野外工作做准备。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2030年4月~6月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default" w:ascii="Times New Roman" w:hAnsi="Times New Roman" w:eastAsia="宋体" w:cs="Times New Roman"/>
                      <w:snapToGrid w:val="0"/>
                      <w:color w:val="000000"/>
                      <w:kern w:val="0"/>
                      <w:sz w:val="21"/>
                      <w:szCs w:val="21"/>
                      <w:highlight w:val="none"/>
                      <w:lang w:val="en-US" w:eastAsia="zh-CN" w:bidi="ar-SA"/>
                    </w:rPr>
                    <w:t>根据工作情况及工作成果，继续在1:2000工作范围内，补充和加密钻探工作，达到探求控制和推断金储量/资源量的要求</w:t>
                  </w:r>
                  <w:r>
                    <w:rPr>
                      <w:rFonts w:hint="eastAsia" w:cs="Times New Roman"/>
                      <w:snapToGrid w:val="0"/>
                      <w:color w:val="000000"/>
                      <w:kern w:val="0"/>
                      <w:sz w:val="21"/>
                      <w:szCs w:val="21"/>
                      <w:highlight w:val="none"/>
                      <w:lang w:val="en-US" w:eastAsia="zh-CN" w:bidi="ar-SA"/>
                    </w:rPr>
                    <w:t>；</w:t>
                  </w:r>
                  <w:r>
                    <w:rPr>
                      <w:rFonts w:hint="default" w:ascii="Times New Roman" w:hAnsi="Times New Roman" w:eastAsia="宋体" w:cs="Times New Roman"/>
                      <w:snapToGrid w:val="0"/>
                      <w:color w:val="000000"/>
                      <w:kern w:val="0"/>
                      <w:sz w:val="21"/>
                      <w:szCs w:val="21"/>
                      <w:highlight w:val="none"/>
                      <w:lang w:val="en-US" w:eastAsia="zh-CN" w:bidi="ar-SA"/>
                    </w:rPr>
                    <w:t>编写野外工作总结及相关图件。向空间生态公司</w:t>
                  </w:r>
                  <w:r>
                    <w:rPr>
                      <w:rFonts w:hint="eastAsia" w:cs="Times New Roman"/>
                      <w:snapToGrid w:val="0"/>
                      <w:color w:val="000000"/>
                      <w:kern w:val="0"/>
                      <w:sz w:val="21"/>
                      <w:szCs w:val="21"/>
                      <w:highlight w:val="none"/>
                      <w:lang w:val="en-US" w:eastAsia="zh-CN" w:bidi="ar-SA"/>
                    </w:rPr>
                    <w:t>申</w:t>
                  </w:r>
                  <w:r>
                    <w:rPr>
                      <w:rFonts w:hint="default" w:ascii="Times New Roman" w:hAnsi="Times New Roman" w:eastAsia="宋体" w:cs="Times New Roman"/>
                      <w:snapToGrid w:val="0"/>
                      <w:color w:val="000000"/>
                      <w:kern w:val="0"/>
                      <w:sz w:val="21"/>
                      <w:szCs w:val="21"/>
                      <w:highlight w:val="none"/>
                      <w:lang w:val="en-US" w:eastAsia="zh-CN" w:bidi="ar-SA"/>
                    </w:rPr>
                    <w:t>请野外预验收。预验收通过后向甲方提出野外验收。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2030年7月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完成野外验收后的复查补课，并对野外资料进行全面整理和综合研究。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2030年8月~11月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编写地址报告及相应的研究报告，并提交最终成果验收。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pct"/>
                  <w:vMerge w:val="continue"/>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color w:val="000000"/>
                      <w:sz w:val="21"/>
                      <w:szCs w:val="21"/>
                      <w:highlight w:val="none"/>
                      <w:lang w:val="en-US" w:eastAsia="zh-CN"/>
                    </w:rPr>
                  </w:pPr>
                </w:p>
              </w:tc>
              <w:tc>
                <w:tcPr>
                  <w:tcW w:w="1011" w:type="pct"/>
                  <w:noWrap w:val="0"/>
                  <w:vAlign w:val="center"/>
                </w:tcPr>
                <w:p>
                  <w:pPr>
                    <w:pStyle w:val="3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2030年12月</w:t>
                  </w:r>
                </w:p>
              </w:tc>
              <w:tc>
                <w:tcPr>
                  <w:tcW w:w="3242" w:type="pct"/>
                  <w:noWrap w:val="0"/>
                  <w:vAlign w:val="center"/>
                </w:tcPr>
                <w:p>
                  <w:pPr>
                    <w:pStyle w:val="4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snapToGrid w:val="0"/>
                      <w:color w:val="000000"/>
                      <w:kern w:val="0"/>
                      <w:sz w:val="21"/>
                      <w:szCs w:val="21"/>
                      <w:highlight w:val="none"/>
                      <w:lang w:val="en-US" w:eastAsia="zh-CN" w:bidi="ar-SA"/>
                    </w:rPr>
                  </w:pPr>
                  <w:r>
                    <w:rPr>
                      <w:rFonts w:hint="eastAsia" w:cs="Times New Roman"/>
                      <w:snapToGrid w:val="0"/>
                      <w:color w:val="000000"/>
                      <w:kern w:val="0"/>
                      <w:sz w:val="21"/>
                      <w:szCs w:val="21"/>
                      <w:highlight w:val="none"/>
                      <w:lang w:val="en-US" w:eastAsia="zh-CN" w:bidi="ar-SA"/>
                    </w:rPr>
                    <w:t>提交成果报告及资料归档。</w:t>
                  </w:r>
                </w:p>
              </w:tc>
            </w:tr>
          </w:tbl>
          <w:p>
            <w:pPr>
              <w:pStyle w:val="52"/>
              <w:keepNext w:val="0"/>
              <w:keepLines w:val="0"/>
              <w:pageBreakBefore w:val="0"/>
              <w:shd w:val="clear"/>
              <w:kinsoku/>
              <w:overflowPunct/>
              <w:topLinePunct w:val="0"/>
              <w:autoSpaceDE/>
              <w:autoSpaceDN/>
              <w:bidi w:val="0"/>
              <w:adjustRightInd/>
              <w:snapToGrid/>
              <w:spacing w:line="520" w:lineRule="exact"/>
              <w:textAlignment w:val="auto"/>
              <w:rPr>
                <w:rFonts w:hint="eastAsia"/>
                <w:highlight w:val="none"/>
                <w:shd w:val="clear"/>
                <w:lang w:val="en-US" w:eastAsia="zh-CN"/>
              </w:rPr>
            </w:pPr>
            <w:r>
              <w:rPr>
                <w:rFonts w:hint="eastAsia"/>
                <w:highlight w:val="none"/>
                <w:shd w:val="clear"/>
                <w:lang w:val="en-US" w:eastAsia="zh-CN"/>
              </w:rPr>
              <w:t>施工条件：</w:t>
            </w:r>
          </w:p>
          <w:p>
            <w:pPr>
              <w:pStyle w:val="52"/>
              <w:keepNext w:val="0"/>
              <w:keepLines w:val="0"/>
              <w:pageBreakBefore w:val="0"/>
              <w:numPr>
                <w:ilvl w:val="0"/>
                <w:numId w:val="1"/>
              </w:numPr>
              <w:shd w:val="clear"/>
              <w:kinsoku/>
              <w:overflowPunct/>
              <w:topLinePunct w:val="0"/>
              <w:autoSpaceDE/>
              <w:autoSpaceDN/>
              <w:bidi w:val="0"/>
              <w:adjustRightInd/>
              <w:snapToGrid/>
              <w:spacing w:line="520" w:lineRule="exact"/>
              <w:textAlignment w:val="auto"/>
              <w:rPr>
                <w:rFonts w:hint="eastAsia"/>
                <w:highlight w:val="none"/>
                <w:shd w:val="clear"/>
                <w:lang w:val="en-US" w:eastAsia="zh-CN"/>
              </w:rPr>
            </w:pPr>
            <w:r>
              <w:rPr>
                <w:rFonts w:hint="eastAsia"/>
                <w:highlight w:val="none"/>
                <w:shd w:val="clear"/>
                <w:lang w:val="en-US" w:eastAsia="zh-CN"/>
              </w:rPr>
              <w:t>项目前期资料准备齐全，包含工程设计图纸及相关文件、勘察资料和报告等；</w:t>
            </w:r>
          </w:p>
          <w:p>
            <w:pPr>
              <w:pStyle w:val="52"/>
              <w:keepNext w:val="0"/>
              <w:keepLines w:val="0"/>
              <w:pageBreakBefore w:val="0"/>
              <w:numPr>
                <w:ilvl w:val="0"/>
                <w:numId w:val="1"/>
              </w:numPr>
              <w:shd w:val="clear"/>
              <w:kinsoku/>
              <w:overflowPunct/>
              <w:topLinePunct w:val="0"/>
              <w:autoSpaceDE/>
              <w:autoSpaceDN/>
              <w:bidi w:val="0"/>
              <w:adjustRightInd/>
              <w:snapToGrid/>
              <w:spacing w:line="520" w:lineRule="exact"/>
              <w:ind w:left="0" w:leftChars="0" w:firstLine="480" w:firstLineChars="200"/>
              <w:textAlignment w:val="auto"/>
              <w:rPr>
                <w:rFonts w:hint="eastAsia"/>
                <w:highlight w:val="none"/>
                <w:shd w:val="clear"/>
                <w:lang w:val="en-US" w:eastAsia="zh-CN"/>
              </w:rPr>
            </w:pPr>
            <w:r>
              <w:rPr>
                <w:rFonts w:hint="eastAsia"/>
                <w:highlight w:val="none"/>
                <w:shd w:val="clear"/>
                <w:lang w:val="en-US" w:eastAsia="zh-CN"/>
              </w:rPr>
              <w:t>人员配置齐全，包含施工单位负责人及施工管理人员，工程监理人员、安全生产管理人员、现场施工队伍等；</w:t>
            </w:r>
          </w:p>
          <w:p>
            <w:pPr>
              <w:pStyle w:val="52"/>
              <w:keepNext w:val="0"/>
              <w:keepLines w:val="0"/>
              <w:pageBreakBefore w:val="0"/>
              <w:numPr>
                <w:ilvl w:val="0"/>
                <w:numId w:val="1"/>
              </w:numPr>
              <w:shd w:val="clear"/>
              <w:kinsoku/>
              <w:overflowPunct/>
              <w:topLinePunct w:val="0"/>
              <w:autoSpaceDE/>
              <w:autoSpaceDN/>
              <w:bidi w:val="0"/>
              <w:adjustRightInd/>
              <w:snapToGrid/>
              <w:spacing w:line="520" w:lineRule="exact"/>
              <w:ind w:left="0" w:leftChars="0" w:firstLine="480" w:firstLineChars="200"/>
              <w:textAlignment w:val="auto"/>
              <w:rPr>
                <w:rFonts w:hint="eastAsia"/>
                <w:highlight w:val="none"/>
                <w:shd w:val="clear"/>
                <w:lang w:val="en-US" w:eastAsia="zh-CN"/>
              </w:rPr>
            </w:pPr>
            <w:r>
              <w:rPr>
                <w:rFonts w:hint="eastAsia"/>
                <w:highlight w:val="none"/>
                <w:shd w:val="clear"/>
                <w:lang w:val="en-US" w:eastAsia="zh-CN"/>
              </w:rPr>
              <w:t>施工设备准备齐全，包含帐篷、挖掘机、运输车辆等；</w:t>
            </w:r>
          </w:p>
          <w:p>
            <w:pPr>
              <w:pStyle w:val="52"/>
              <w:keepNext w:val="0"/>
              <w:keepLines w:val="0"/>
              <w:pageBreakBefore w:val="0"/>
              <w:numPr>
                <w:ilvl w:val="0"/>
                <w:numId w:val="1"/>
              </w:numPr>
              <w:shd w:val="clear"/>
              <w:kinsoku/>
              <w:overflowPunct/>
              <w:topLinePunct w:val="0"/>
              <w:autoSpaceDE/>
              <w:autoSpaceDN/>
              <w:bidi w:val="0"/>
              <w:adjustRightInd/>
              <w:snapToGrid/>
              <w:spacing w:line="520" w:lineRule="exact"/>
              <w:ind w:left="0" w:leftChars="0" w:firstLine="480" w:firstLineChars="200"/>
              <w:textAlignment w:val="auto"/>
              <w:rPr>
                <w:rFonts w:hint="eastAsia"/>
                <w:highlight w:val="none"/>
                <w:shd w:val="clear"/>
                <w:lang w:val="en-US" w:eastAsia="zh-CN"/>
              </w:rPr>
            </w:pPr>
            <w:r>
              <w:rPr>
                <w:rFonts w:hint="eastAsia"/>
                <w:highlight w:val="none"/>
                <w:shd w:val="clear"/>
                <w:lang w:val="en-US" w:eastAsia="zh-CN"/>
              </w:rPr>
              <w:t>物资准备齐全，包含生活用品和安全生产用品等；</w:t>
            </w:r>
          </w:p>
          <w:p>
            <w:pPr>
              <w:pStyle w:val="52"/>
              <w:keepNext w:val="0"/>
              <w:keepLines w:val="0"/>
              <w:pageBreakBefore w:val="0"/>
              <w:numPr>
                <w:ilvl w:val="0"/>
                <w:numId w:val="1"/>
              </w:numPr>
              <w:shd w:val="clear"/>
              <w:kinsoku/>
              <w:overflowPunct/>
              <w:topLinePunct w:val="0"/>
              <w:autoSpaceDE/>
              <w:autoSpaceDN/>
              <w:bidi w:val="0"/>
              <w:adjustRightInd/>
              <w:snapToGrid/>
              <w:spacing w:line="520" w:lineRule="exact"/>
              <w:ind w:left="0" w:leftChars="0" w:firstLine="480" w:firstLineChars="200"/>
              <w:textAlignment w:val="auto"/>
              <w:rPr>
                <w:rFonts w:hint="eastAsia"/>
                <w:highlight w:val="none"/>
                <w:shd w:val="clear"/>
                <w:lang w:val="en-US" w:eastAsia="zh-CN"/>
              </w:rPr>
            </w:pPr>
            <w:r>
              <w:rPr>
                <w:rFonts w:hint="eastAsia"/>
                <w:highlight w:val="none"/>
                <w:shd w:val="clear"/>
                <w:lang w:val="en-US" w:eastAsia="zh-CN"/>
              </w:rPr>
              <w:t>施工现场布置清晰、对设备、人员等进行合理管理；</w:t>
            </w:r>
          </w:p>
          <w:p>
            <w:pPr>
              <w:pStyle w:val="52"/>
              <w:keepNext w:val="0"/>
              <w:keepLines w:val="0"/>
              <w:pageBreakBefore w:val="0"/>
              <w:numPr>
                <w:ilvl w:val="0"/>
                <w:numId w:val="1"/>
              </w:numPr>
              <w:shd w:val="clear"/>
              <w:kinsoku/>
              <w:overflowPunct/>
              <w:topLinePunct w:val="0"/>
              <w:autoSpaceDE/>
              <w:autoSpaceDN/>
              <w:bidi w:val="0"/>
              <w:adjustRightInd/>
              <w:snapToGrid/>
              <w:spacing w:line="520" w:lineRule="exact"/>
              <w:ind w:left="0" w:leftChars="0" w:firstLine="480" w:firstLineChars="200"/>
              <w:textAlignment w:val="auto"/>
              <w:rPr>
                <w:rFonts w:hint="default"/>
                <w:highlight w:val="none"/>
                <w:lang w:val="en-US" w:eastAsia="zh-CN"/>
              </w:rPr>
            </w:pPr>
            <w:r>
              <w:rPr>
                <w:rFonts w:hint="eastAsia"/>
                <w:highlight w:val="none"/>
                <w:shd w:val="clear"/>
                <w:lang w:val="en-US" w:eastAsia="zh-CN"/>
              </w:rPr>
              <w:t>明确施工环境保护措施。</w:t>
            </w:r>
          </w:p>
          <w:p>
            <w:pPr>
              <w:keepNext w:val="0"/>
              <w:keepLines w:val="0"/>
              <w:pageBreakBefore w:val="0"/>
              <w:widowControl w:val="0"/>
              <w:kinsoku/>
              <w:wordWrap/>
              <w:overflowPunct/>
              <w:topLinePunct w:val="0"/>
              <w:autoSpaceDE/>
              <w:autoSpaceDN/>
              <w:bidi w:val="0"/>
              <w:adjustRightInd/>
              <w:snapToGrid/>
              <w:spacing w:line="520" w:lineRule="exact"/>
              <w:textAlignment w:val="auto"/>
              <w:rPr>
                <w:b/>
                <w:bCs/>
                <w:sz w:val="24"/>
                <w:highlight w:val="none"/>
              </w:rPr>
            </w:pPr>
            <w:r>
              <w:rPr>
                <w:rFonts w:hint="eastAsia"/>
                <w:b/>
                <w:sz w:val="24"/>
                <w:highlight w:val="none"/>
                <w:lang w:eastAsia="zh-CN"/>
              </w:rPr>
              <w:t>三</w:t>
            </w:r>
            <w:r>
              <w:rPr>
                <w:rFonts w:hint="eastAsia"/>
                <w:b/>
                <w:sz w:val="24"/>
                <w:highlight w:val="none"/>
              </w:rPr>
              <w:t>、</w:t>
            </w:r>
            <w:r>
              <w:rPr>
                <w:b/>
                <w:bCs/>
                <w:sz w:val="24"/>
                <w:highlight w:val="none"/>
              </w:rPr>
              <w:t>土石方平衡分析</w:t>
            </w:r>
          </w:p>
          <w:p>
            <w:pPr>
              <w:keepNext w:val="0"/>
              <w:keepLines w:val="0"/>
              <w:pageBreakBefore w:val="0"/>
              <w:widowControl/>
              <w:suppressLineNumbers w:val="0"/>
              <w:kinsoku/>
              <w:overflowPunct/>
              <w:topLinePunct w:val="0"/>
              <w:autoSpaceDE/>
              <w:autoSpaceDN/>
              <w:bidi w:val="0"/>
              <w:adjustRightInd/>
              <w:snapToGrid/>
              <w:spacing w:line="520" w:lineRule="exact"/>
              <w:ind w:firstLine="480" w:firstLineChars="200"/>
              <w:jc w:val="left"/>
              <w:textAlignment w:val="auto"/>
              <w:rPr>
                <w:rFonts w:hint="eastAsia" w:ascii="Times New Roman" w:hAnsi="Times New Roman" w:eastAsia="宋体" w:cs="宋体"/>
                <w:kern w:val="0"/>
                <w:sz w:val="24"/>
                <w:szCs w:val="24"/>
                <w:highlight w:val="none"/>
                <w:shd w:val="clear"/>
                <w:lang w:val="en-US" w:eastAsia="zh-CN" w:bidi="ar-SA"/>
              </w:rPr>
            </w:pPr>
            <w:r>
              <w:rPr>
                <w:rFonts w:hint="eastAsia" w:ascii="Times New Roman" w:hAnsi="Times New Roman" w:eastAsia="宋体" w:cs="宋体"/>
                <w:kern w:val="0"/>
                <w:sz w:val="24"/>
                <w:szCs w:val="24"/>
                <w:highlight w:val="none"/>
                <w:shd w:val="clear"/>
                <w:lang w:val="en-US" w:eastAsia="zh-CN" w:bidi="ar-SA"/>
              </w:rPr>
              <w:t>本项目主要的土石方工程为</w:t>
            </w:r>
            <w:r>
              <w:rPr>
                <w:rFonts w:hint="eastAsia" w:cs="宋体"/>
                <w:kern w:val="0"/>
                <w:sz w:val="24"/>
                <w:szCs w:val="24"/>
                <w:highlight w:val="none"/>
                <w:shd w:val="clear"/>
                <w:lang w:val="en-US" w:eastAsia="zh-CN" w:bidi="ar-SA"/>
              </w:rPr>
              <w:t>生活营地、</w:t>
            </w:r>
            <w:r>
              <w:rPr>
                <w:rFonts w:hint="eastAsia" w:ascii="Times New Roman" w:hAnsi="Times New Roman" w:eastAsia="宋体" w:cs="宋体"/>
                <w:kern w:val="0"/>
                <w:sz w:val="24"/>
                <w:szCs w:val="24"/>
                <w:highlight w:val="none"/>
                <w:shd w:val="clear"/>
                <w:lang w:val="en-US" w:eastAsia="zh-CN" w:bidi="ar-SA"/>
              </w:rPr>
              <w:t>槽探、钻探期间开挖的土壤与风化岩石剥离、回填产生的土石方，项目所在地土壤类型为高山土。</w:t>
            </w:r>
          </w:p>
          <w:p>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eastAsia="宋体"/>
                <w:sz w:val="24"/>
                <w:szCs w:val="24"/>
                <w:highlight w:val="none"/>
                <w:lang w:val="en-US" w:eastAsia="zh-CN"/>
              </w:rPr>
            </w:pPr>
            <w:r>
              <w:rPr>
                <w:rFonts w:hint="eastAsia" w:eastAsia="宋体"/>
                <w:sz w:val="24"/>
                <w:szCs w:val="24"/>
                <w:highlight w:val="none"/>
                <w:lang w:val="en-US" w:eastAsia="zh-CN"/>
              </w:rPr>
              <w:t>本项目为</w:t>
            </w:r>
            <w:r>
              <w:rPr>
                <w:rFonts w:hint="eastAsia"/>
                <w:sz w:val="24"/>
                <w:szCs w:val="24"/>
                <w:highlight w:val="none"/>
                <w:lang w:val="en-US" w:eastAsia="zh-CN"/>
              </w:rPr>
              <w:t>槽探工作量为3000m³，钻探工作量为2500m，钻探孔径为75mm(φ75mm钻头，配备60mm岩心管），岩心产生的土石方量为7.07m³（</w:t>
            </w:r>
            <w:r>
              <w:rPr>
                <w:rFonts w:hint="eastAsia"/>
                <w:highlight w:val="none"/>
                <w:lang w:val="en-US" w:eastAsia="zh-CN"/>
              </w:rPr>
              <w:t>V=πr</w:t>
            </w:r>
            <w:r>
              <w:rPr>
                <w:rFonts w:hint="eastAsia"/>
                <w:highlight w:val="none"/>
                <w:vertAlign w:val="superscript"/>
                <w:lang w:val="en-US" w:eastAsia="zh-CN"/>
              </w:rPr>
              <w:t>2</w:t>
            </w:r>
            <w:r>
              <w:rPr>
                <w:rFonts w:hint="eastAsia"/>
                <w:highlight w:val="none"/>
                <w:lang w:val="en-US" w:eastAsia="zh-CN"/>
              </w:rPr>
              <w:t>*h</w:t>
            </w:r>
            <w:r>
              <w:rPr>
                <w:rFonts w:hint="eastAsia"/>
                <w:sz w:val="24"/>
                <w:szCs w:val="24"/>
                <w:highlight w:val="none"/>
                <w:lang w:val="en-US" w:eastAsia="zh-CN"/>
              </w:rPr>
              <w:t>），全部由地质勘探队收集后交至单位统一保管</w:t>
            </w:r>
            <w:r>
              <w:rPr>
                <w:rFonts w:hint="eastAsia" w:eastAsia="宋体"/>
                <w:sz w:val="24"/>
                <w:szCs w:val="24"/>
                <w:highlight w:val="none"/>
                <w:lang w:val="en-US" w:eastAsia="zh-CN"/>
              </w:rPr>
              <w:t>。</w:t>
            </w:r>
          </w:p>
          <w:p>
            <w:pPr>
              <w:pStyle w:val="8"/>
              <w:keepNext/>
              <w:keepLines w:val="0"/>
              <w:pageBreakBefore w:val="0"/>
              <w:widowControl w:val="0"/>
              <w:kinsoku/>
              <w:wordWrap/>
              <w:overflowPunct/>
              <w:topLinePunct w:val="0"/>
              <w:autoSpaceDE/>
              <w:autoSpaceDN/>
              <w:bidi w:val="0"/>
              <w:adjustRightInd/>
              <w:snapToGrid/>
              <w:spacing w:before="0" w:after="0" w:line="300" w:lineRule="exact"/>
              <w:jc w:val="center"/>
              <w:textAlignment w:val="auto"/>
              <w:rPr>
                <w:b/>
                <w:sz w:val="24"/>
                <w:szCs w:val="24"/>
                <w:highlight w:val="none"/>
              </w:rPr>
            </w:pPr>
            <w:r>
              <w:rPr>
                <w:b/>
                <w:sz w:val="24"/>
                <w:szCs w:val="24"/>
                <w:highlight w:val="none"/>
              </w:rPr>
              <w:t>表</w:t>
            </w:r>
            <w:r>
              <w:rPr>
                <w:rFonts w:hint="eastAsia"/>
                <w:b/>
                <w:sz w:val="24"/>
                <w:szCs w:val="24"/>
                <w:highlight w:val="none"/>
                <w:lang w:val="en-US" w:eastAsia="zh-CN"/>
              </w:rPr>
              <w:t>2-7</w:t>
            </w:r>
            <w:r>
              <w:rPr>
                <w:rFonts w:hint="eastAsia"/>
                <w:b/>
                <w:sz w:val="24"/>
                <w:szCs w:val="24"/>
                <w:highlight w:val="none"/>
              </w:rPr>
              <w:t xml:space="preserve">  </w:t>
            </w:r>
            <w:r>
              <w:rPr>
                <w:b/>
                <w:sz w:val="24"/>
                <w:szCs w:val="24"/>
                <w:highlight w:val="none"/>
              </w:rPr>
              <w:t>工程土石方平衡分析表</w:t>
            </w:r>
            <w:r>
              <w:rPr>
                <w:rFonts w:hint="eastAsia"/>
                <w:b/>
                <w:sz w:val="24"/>
                <w:szCs w:val="24"/>
                <w:highlight w:val="none"/>
              </w:rPr>
              <w:t xml:space="preserve">    </w:t>
            </w:r>
            <w:r>
              <w:rPr>
                <w:b/>
                <w:sz w:val="24"/>
                <w:szCs w:val="24"/>
                <w:highlight w:val="none"/>
              </w:rPr>
              <w:t>单位：m</w:t>
            </w:r>
            <w:r>
              <w:rPr>
                <w:b/>
                <w:sz w:val="24"/>
                <w:szCs w:val="24"/>
                <w:highlight w:val="none"/>
                <w:vertAlign w:val="superscript"/>
              </w:rPr>
              <w:t>3</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1552"/>
              <w:gridCol w:w="1229"/>
              <w:gridCol w:w="1177"/>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5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szCs w:val="21"/>
                      <w:highlight w:val="none"/>
                    </w:rPr>
                  </w:pPr>
                  <w:r>
                    <w:rPr>
                      <w:rFonts w:hint="eastAsia"/>
                      <w:szCs w:val="21"/>
                      <w:highlight w:val="none"/>
                    </w:rPr>
                    <w:t>工程分区</w:t>
                  </w:r>
                </w:p>
              </w:tc>
              <w:tc>
                <w:tcPr>
                  <w:tcW w:w="98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eastAsia="宋体"/>
                      <w:szCs w:val="21"/>
                      <w:highlight w:val="none"/>
                      <w:lang w:val="en-US" w:eastAsia="zh-CN"/>
                    </w:rPr>
                  </w:pPr>
                  <w:r>
                    <w:rPr>
                      <w:rFonts w:hint="eastAsia"/>
                      <w:szCs w:val="21"/>
                      <w:highlight w:val="none"/>
                      <w:lang w:val="en-US" w:eastAsia="zh-CN"/>
                    </w:rPr>
                    <w:t>挖方</w:t>
                  </w:r>
                </w:p>
              </w:tc>
              <w:tc>
                <w:tcPr>
                  <w:tcW w:w="78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eastAsia="宋体"/>
                      <w:szCs w:val="21"/>
                      <w:highlight w:val="none"/>
                      <w:lang w:val="en-US" w:eastAsia="zh-CN"/>
                    </w:rPr>
                  </w:pPr>
                  <w:r>
                    <w:rPr>
                      <w:rFonts w:hint="eastAsia"/>
                      <w:szCs w:val="21"/>
                      <w:highlight w:val="none"/>
                      <w:lang w:val="en-US" w:eastAsia="zh-CN"/>
                    </w:rPr>
                    <w:t>填方</w:t>
                  </w:r>
                </w:p>
              </w:tc>
              <w:tc>
                <w:tcPr>
                  <w:tcW w:w="74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调出</w:t>
                  </w:r>
                </w:p>
              </w:tc>
              <w:tc>
                <w:tcPr>
                  <w:tcW w:w="1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5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eastAsia="宋体"/>
                      <w:szCs w:val="21"/>
                      <w:highlight w:val="none"/>
                      <w:lang w:val="en-US" w:eastAsia="zh-CN"/>
                    </w:rPr>
                  </w:pPr>
                  <w:r>
                    <w:rPr>
                      <w:rFonts w:hint="eastAsia"/>
                      <w:szCs w:val="21"/>
                      <w:highlight w:val="none"/>
                      <w:lang w:val="en-US" w:eastAsia="zh-CN"/>
                    </w:rPr>
                    <w:t>生活营地</w:t>
                  </w:r>
                </w:p>
              </w:tc>
              <w:tc>
                <w:tcPr>
                  <w:tcW w:w="98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10</w:t>
                  </w:r>
                </w:p>
              </w:tc>
              <w:tc>
                <w:tcPr>
                  <w:tcW w:w="78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10</w:t>
                  </w:r>
                </w:p>
              </w:tc>
              <w:tc>
                <w:tcPr>
                  <w:tcW w:w="74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0</w:t>
                  </w:r>
                </w:p>
              </w:tc>
              <w:tc>
                <w:tcPr>
                  <w:tcW w:w="1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场地平整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95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eastAsia="宋体"/>
                      <w:szCs w:val="21"/>
                      <w:highlight w:val="none"/>
                      <w:lang w:val="en-US" w:eastAsia="zh-CN"/>
                    </w:rPr>
                  </w:pPr>
                  <w:r>
                    <w:rPr>
                      <w:rFonts w:hint="eastAsia" w:eastAsia="宋体"/>
                      <w:szCs w:val="21"/>
                      <w:highlight w:val="none"/>
                      <w:lang w:val="en-US" w:eastAsia="zh-CN"/>
                    </w:rPr>
                    <w:t>槽探区</w:t>
                  </w:r>
                </w:p>
              </w:tc>
              <w:tc>
                <w:tcPr>
                  <w:tcW w:w="98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3000</w:t>
                  </w:r>
                </w:p>
              </w:tc>
              <w:tc>
                <w:tcPr>
                  <w:tcW w:w="781"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kern w:val="2"/>
                      <w:sz w:val="21"/>
                      <w:szCs w:val="21"/>
                      <w:highlight w:val="none"/>
                      <w:lang w:val="en-US" w:eastAsia="zh-CN" w:bidi="ar-SA"/>
                    </w:rPr>
                  </w:pPr>
                  <w:r>
                    <w:rPr>
                      <w:rFonts w:hint="eastAsia"/>
                      <w:szCs w:val="21"/>
                      <w:highlight w:val="none"/>
                      <w:lang w:val="en-US" w:eastAsia="zh-CN"/>
                    </w:rPr>
                    <w:t>2992</w:t>
                  </w:r>
                </w:p>
              </w:tc>
              <w:tc>
                <w:tcPr>
                  <w:tcW w:w="74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8</w:t>
                  </w:r>
                </w:p>
              </w:tc>
              <w:tc>
                <w:tcPr>
                  <w:tcW w:w="1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探槽土石方大部分就地回填，剩余部分带回实验室分析。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95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eastAsia="宋体"/>
                      <w:szCs w:val="21"/>
                      <w:highlight w:val="none"/>
                      <w:lang w:val="en-US" w:eastAsia="zh-CN"/>
                    </w:rPr>
                  </w:pPr>
                  <w:r>
                    <w:rPr>
                      <w:rFonts w:hint="eastAsia"/>
                      <w:szCs w:val="21"/>
                      <w:highlight w:val="none"/>
                      <w:lang w:val="en-US" w:eastAsia="zh-CN"/>
                    </w:rPr>
                    <w:t>钻探岩芯</w:t>
                  </w:r>
                </w:p>
              </w:tc>
              <w:tc>
                <w:tcPr>
                  <w:tcW w:w="98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7.07</w:t>
                  </w:r>
                </w:p>
              </w:tc>
              <w:tc>
                <w:tcPr>
                  <w:tcW w:w="781"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w:t>
                  </w:r>
                </w:p>
              </w:tc>
              <w:tc>
                <w:tcPr>
                  <w:tcW w:w="74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7.07</w:t>
                  </w:r>
                </w:p>
              </w:tc>
              <w:tc>
                <w:tcPr>
                  <w:tcW w:w="1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szCs w:val="21"/>
                      <w:highlight w:val="none"/>
                      <w:lang w:val="en-US" w:eastAsia="zh-CN"/>
                    </w:rPr>
                  </w:pPr>
                  <w:r>
                    <w:rPr>
                      <w:rFonts w:hint="eastAsia" w:cs="Times New Roman"/>
                      <w:kern w:val="2"/>
                      <w:sz w:val="21"/>
                      <w:szCs w:val="21"/>
                      <w:lang w:val="en-US" w:eastAsia="zh-CN" w:bidi="ar-SA"/>
                    </w:rPr>
                    <w:t>收集后交至单位岩心库统一保管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95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eastAsia="宋体"/>
                      <w:szCs w:val="21"/>
                      <w:highlight w:val="none"/>
                      <w:lang w:val="en-US" w:eastAsia="zh-CN"/>
                    </w:rPr>
                  </w:pPr>
                  <w:r>
                    <w:rPr>
                      <w:rFonts w:hint="eastAsia"/>
                      <w:szCs w:val="21"/>
                      <w:highlight w:val="none"/>
                      <w:lang w:val="en-US" w:eastAsia="zh-CN"/>
                    </w:rPr>
                    <w:t>钻探岩屑</w:t>
                  </w:r>
                </w:p>
              </w:tc>
              <w:tc>
                <w:tcPr>
                  <w:tcW w:w="98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3.97</w:t>
                  </w:r>
                </w:p>
              </w:tc>
              <w:tc>
                <w:tcPr>
                  <w:tcW w:w="781" w:type="pct"/>
                  <w:shd w:val="clear" w:color="auto" w:fill="auto"/>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kern w:val="2"/>
                      <w:sz w:val="21"/>
                      <w:szCs w:val="21"/>
                      <w:highlight w:val="none"/>
                      <w:lang w:val="en-US" w:eastAsia="zh-CN" w:bidi="ar-SA"/>
                    </w:rPr>
                  </w:pPr>
                  <w:r>
                    <w:rPr>
                      <w:rFonts w:hint="eastAsia"/>
                      <w:szCs w:val="21"/>
                      <w:highlight w:val="none"/>
                      <w:lang w:val="en-US" w:eastAsia="zh-CN"/>
                    </w:rPr>
                    <w:t>3.97</w:t>
                  </w:r>
                </w:p>
              </w:tc>
              <w:tc>
                <w:tcPr>
                  <w:tcW w:w="74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w:t>
                  </w:r>
                </w:p>
              </w:tc>
              <w:tc>
                <w:tcPr>
                  <w:tcW w:w="152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szCs w:val="21"/>
                      <w:highlight w:val="none"/>
                      <w:lang w:val="en-US" w:eastAsia="zh-CN"/>
                    </w:rPr>
                  </w:pPr>
                  <w:r>
                    <w:rPr>
                      <w:rFonts w:hint="eastAsia"/>
                      <w:szCs w:val="21"/>
                      <w:highlight w:val="none"/>
                      <w:lang w:val="en-US" w:eastAsia="zh-CN"/>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95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总计</w:t>
                  </w:r>
                </w:p>
              </w:tc>
              <w:tc>
                <w:tcPr>
                  <w:tcW w:w="986"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eastAsia" w:cs="Times New Roman"/>
                      <w:szCs w:val="21"/>
                      <w:highlight w:val="none"/>
                      <w:lang w:val="en-US" w:eastAsia="zh-CN"/>
                    </w:rPr>
                    <w:t>3021.04</w:t>
                  </w:r>
                </w:p>
              </w:tc>
              <w:tc>
                <w:tcPr>
                  <w:tcW w:w="781"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eastAsia" w:cs="Times New Roman"/>
                      <w:szCs w:val="21"/>
                      <w:highlight w:val="none"/>
                      <w:lang w:val="en-US" w:eastAsia="zh-CN"/>
                    </w:rPr>
                    <w:t>3005.97</w:t>
                  </w:r>
                </w:p>
              </w:tc>
              <w:tc>
                <w:tcPr>
                  <w:tcW w:w="74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15.07</w:t>
                  </w:r>
                </w:p>
              </w:tc>
              <w:tc>
                <w:tcPr>
                  <w:tcW w:w="152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cs="Times New Roman"/>
                      <w:szCs w:val="21"/>
                      <w:highlight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b/>
                <w:bCs/>
                <w:kern w:val="2"/>
                <w:sz w:val="21"/>
                <w:szCs w:val="24"/>
                <w:highlight w:val="none"/>
                <w:vertAlign w:val="baseline"/>
                <w:lang w:val="en-US" w:eastAsia="zh-CN" w:bidi="ar-SA"/>
              </w:rPr>
            </w:pPr>
            <w:r>
              <w:rPr>
                <w:rFonts w:hint="eastAsia"/>
                <w:sz w:val="24"/>
                <w:szCs w:val="24"/>
                <w:highlight w:val="none"/>
                <w:lang w:val="en-US" w:eastAsia="zh-CN"/>
              </w:rPr>
              <w:t>根据上表可知，本工程挖方全部综合利用，无永久弃方产生。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8"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b/>
                <w:bCs/>
                <w:kern w:val="2"/>
                <w:sz w:val="21"/>
                <w:szCs w:val="24"/>
                <w:highlight w:val="none"/>
                <w:vertAlign w:val="baseline"/>
                <w:lang w:val="en-US" w:eastAsia="zh-CN" w:bidi="ar-SA"/>
              </w:rPr>
            </w:pPr>
            <w:r>
              <w:rPr>
                <w:rFonts w:hint="default" w:ascii="Times New Roman" w:hAnsi="Times New Roman" w:cs="Times New Roman"/>
                <w:kern w:val="0"/>
                <w:szCs w:val="21"/>
                <w:highlight w:val="none"/>
              </w:rPr>
              <w:t>其他</w:t>
            </w:r>
          </w:p>
        </w:tc>
        <w:tc>
          <w:tcPr>
            <w:tcW w:w="4751" w:type="pc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仿宋_GB2312" w:cs="Times New Roman"/>
                <w:b/>
                <w:bCs/>
                <w:kern w:val="2"/>
                <w:sz w:val="21"/>
                <w:szCs w:val="24"/>
                <w:highlight w:val="none"/>
                <w:vertAlign w:val="baseline"/>
                <w:lang w:val="en-US" w:eastAsia="zh-CN" w:bidi="ar-SA"/>
              </w:rPr>
            </w:pPr>
            <w:r>
              <w:rPr>
                <w:rFonts w:hint="eastAsia" w:ascii="宋体" w:hAnsi="宋体" w:eastAsia="宋体" w:cs="宋体"/>
                <w:b w:val="0"/>
                <w:bCs w:val="0"/>
                <w:sz w:val="24"/>
                <w:szCs w:val="24"/>
                <w:highlight w:val="none"/>
                <w:vertAlign w:val="baseline"/>
                <w:lang w:val="en-US" w:eastAsia="zh-CN"/>
              </w:rPr>
              <w:t>无</w:t>
            </w:r>
          </w:p>
        </w:tc>
      </w:tr>
    </w:tbl>
    <w:p>
      <w:pPr>
        <w:pStyle w:val="15"/>
        <w:spacing w:line="240" w:lineRule="auto"/>
        <w:jc w:val="center"/>
        <w:outlineLvl w:val="0"/>
        <w:rPr>
          <w:rFonts w:ascii="黑体" w:hAnsi="黑体" w:eastAsia="黑体"/>
          <w:snapToGrid w:val="0"/>
          <w:sz w:val="30"/>
          <w:szCs w:val="30"/>
          <w:highlight w:val="none"/>
        </w:rPr>
      </w:pPr>
      <w:r>
        <w:rPr>
          <w:rFonts w:eastAsia="仿宋_GB2312"/>
          <w:b/>
          <w:bCs/>
          <w:highlight w:val="none"/>
        </w:rPr>
        <w:br w:type="page"/>
      </w:r>
      <w:r>
        <w:rPr>
          <w:rFonts w:hint="eastAsia" w:ascii="黑体" w:hAnsi="黑体" w:eastAsia="黑体"/>
          <w:snapToGrid w:val="0"/>
          <w:sz w:val="30"/>
          <w:szCs w:val="30"/>
          <w:highlight w:val="none"/>
        </w:rPr>
        <w:t>三、生态环境现状、保护目标及评价标准</w:t>
      </w:r>
    </w:p>
    <w:tbl>
      <w:tblPr>
        <w:tblStyle w:val="17"/>
        <w:tblW w:w="91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840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noWrap w:val="0"/>
            <w:vAlign w:val="center"/>
          </w:tcPr>
          <w:p>
            <w:pPr>
              <w:adjustRightInd w:val="0"/>
              <w:snapToGrid w:val="0"/>
              <w:spacing w:line="240" w:lineRule="auto"/>
              <w:jc w:val="center"/>
              <w:rPr>
                <w:rFonts w:ascii="宋体" w:hAnsi="宋体" w:cs="宋体"/>
                <w:kern w:val="0"/>
                <w:szCs w:val="21"/>
                <w:highlight w:val="none"/>
              </w:rPr>
            </w:pPr>
            <w:r>
              <w:rPr>
                <w:rFonts w:hint="eastAsia" w:ascii="宋体" w:hAnsi="宋体" w:cs="宋体"/>
                <w:kern w:val="0"/>
                <w:szCs w:val="21"/>
                <w:highlight w:val="none"/>
              </w:rPr>
              <w:t>生态环境现状</w:t>
            </w:r>
          </w:p>
        </w:tc>
        <w:tc>
          <w:tcPr>
            <w:tcW w:w="8404"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520" w:lineRule="exact"/>
              <w:ind w:right="0" w:rightChars="0"/>
              <w:textAlignment w:val="auto"/>
              <w:rPr>
                <w:rFonts w:hint="eastAsia" w:ascii="Times New Roman" w:hAnsi="Times New Roman" w:eastAsia="宋体" w:cs="Times New Roman"/>
                <w:b/>
                <w:color w:val="auto"/>
                <w:kern w:val="0"/>
                <w:sz w:val="24"/>
                <w:szCs w:val="24"/>
                <w:highlight w:val="none"/>
              </w:rPr>
            </w:pPr>
            <w:r>
              <w:rPr>
                <w:rFonts w:hint="eastAsia" w:ascii="Times New Roman" w:hAnsi="Times New Roman" w:eastAsia="宋体" w:cs="Times New Roman"/>
                <w:b/>
                <w:color w:val="auto"/>
                <w:kern w:val="0"/>
                <w:sz w:val="24"/>
                <w:szCs w:val="24"/>
                <w:highlight w:val="none"/>
                <w:lang w:val="en-US" w:eastAsia="zh-CN"/>
              </w:rPr>
              <w:t>一、生态环境</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default" w:ascii="Times New Roman" w:hAnsi="Times New Roman" w:eastAsia="宋体" w:cs="宋体"/>
                <w:b/>
                <w:bCs/>
                <w:kern w:val="0"/>
                <w:sz w:val="24"/>
                <w:szCs w:val="24"/>
                <w:highlight w:val="none"/>
                <w:lang w:val="en-US" w:eastAsia="zh-CN"/>
              </w:rPr>
            </w:pPr>
            <w:r>
              <w:rPr>
                <w:rFonts w:hint="eastAsia" w:cs="宋体"/>
                <w:b/>
                <w:bCs/>
                <w:kern w:val="0"/>
                <w:sz w:val="24"/>
                <w:szCs w:val="24"/>
                <w:highlight w:val="none"/>
                <w:lang w:val="en-US" w:eastAsia="zh-CN"/>
              </w:rPr>
              <w:t>1.</w:t>
            </w:r>
            <w:r>
              <w:rPr>
                <w:rFonts w:hint="default" w:ascii="Times New Roman" w:hAnsi="Times New Roman" w:eastAsia="宋体" w:cs="Times New Roman"/>
                <w:b/>
                <w:bCs/>
                <w:sz w:val="24"/>
                <w:szCs w:val="24"/>
                <w:highlight w:val="none"/>
              </w:rPr>
              <w:t>主体功能区规划</w:t>
            </w:r>
            <w:r>
              <w:rPr>
                <w:rFonts w:hint="eastAsia" w:cs="Times New Roman"/>
                <w:b/>
                <w:bCs/>
                <w:sz w:val="24"/>
                <w:szCs w:val="24"/>
                <w:highlight w:val="none"/>
                <w:lang w:val="en-US" w:eastAsia="zh-CN"/>
              </w:rPr>
              <w:t>和生态功能区划</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both"/>
              <w:textAlignment w:val="auto"/>
              <w:rPr>
                <w:rFonts w:hint="eastAsia" w:ascii="Times New Roman" w:hAnsi="Times New Roman" w:eastAsia="宋体" w:cs="宋体"/>
                <w:b/>
                <w:bCs/>
                <w:kern w:val="0"/>
                <w:sz w:val="24"/>
                <w:szCs w:val="24"/>
                <w:highlight w:val="none"/>
                <w:lang w:val="en-US" w:eastAsia="zh-CN"/>
              </w:rPr>
            </w:pPr>
            <w:r>
              <w:rPr>
                <w:rFonts w:hint="eastAsia" w:cs="宋体"/>
                <w:b/>
                <w:bCs/>
                <w:kern w:val="0"/>
                <w:sz w:val="24"/>
                <w:szCs w:val="24"/>
                <w:highlight w:val="none"/>
                <w:lang w:val="en-US" w:eastAsia="zh-CN"/>
              </w:rPr>
              <w:t>1.1</w:t>
            </w:r>
            <w:r>
              <w:rPr>
                <w:rFonts w:hint="default" w:ascii="Times New Roman" w:hAnsi="Times New Roman" w:eastAsia="宋体" w:cs="Times New Roman"/>
                <w:b/>
                <w:bCs/>
                <w:sz w:val="24"/>
                <w:szCs w:val="24"/>
                <w:highlight w:val="none"/>
              </w:rPr>
              <w:t>主体功能区规划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eastAsia="宋体" w:cs="Times New Roman"/>
                <w:bCs/>
                <w:sz w:val="24"/>
                <w:szCs w:val="24"/>
                <w:highlight w:val="none"/>
                <w:lang w:val="en-US" w:eastAsia="zh-CN"/>
              </w:rPr>
            </w:pPr>
            <w:r>
              <w:rPr>
                <w:rFonts w:hint="eastAsia" w:ascii="Times New Roman" w:hAnsi="Times New Roman" w:eastAsia="宋体" w:cs="宋体"/>
                <w:kern w:val="0"/>
                <w:sz w:val="24"/>
                <w:szCs w:val="24"/>
                <w:highlight w:val="none"/>
                <w:lang w:val="en-US" w:eastAsia="zh-CN"/>
              </w:rPr>
              <w:t>根据</w:t>
            </w:r>
            <w:r>
              <w:rPr>
                <w:rFonts w:hint="default" w:ascii="Times New Roman" w:hAnsi="Times New Roman" w:cs="Times New Roman"/>
                <w:bCs/>
                <w:sz w:val="24"/>
                <w:szCs w:val="24"/>
                <w:highlight w:val="none"/>
              </w:rPr>
              <w:t>《</w:t>
            </w:r>
            <w:r>
              <w:rPr>
                <w:rFonts w:hint="default" w:ascii="Times New Roman" w:hAnsi="Times New Roman" w:eastAsia="宋体" w:cs="Times New Roman"/>
                <w:bCs/>
                <w:sz w:val="24"/>
                <w:szCs w:val="24"/>
                <w:highlight w:val="none"/>
              </w:rPr>
              <w:t>新疆维吾尔自治区主体功能区规划》</w:t>
            </w:r>
            <w:r>
              <w:rPr>
                <w:rFonts w:hint="eastAsia"/>
                <w:highlight w:val="none"/>
                <w:lang w:eastAsia="zh-CN"/>
              </w:rPr>
              <w:t>，</w:t>
            </w:r>
            <w:r>
              <w:rPr>
                <w:rFonts w:hint="default" w:ascii="Times New Roman" w:hAnsi="Times New Roman" w:eastAsia="宋体" w:cs="Times New Roman"/>
                <w:bCs/>
                <w:sz w:val="24"/>
                <w:szCs w:val="24"/>
                <w:highlight w:val="none"/>
              </w:rPr>
              <w:t>评价区属</w:t>
            </w:r>
            <w:r>
              <w:rPr>
                <w:rFonts w:hint="default" w:ascii="Times New Roman" w:hAnsi="Times New Roman" w:eastAsia="宋体" w:cs="Times New Roman"/>
                <w:bCs/>
                <w:sz w:val="24"/>
                <w:szCs w:val="24"/>
                <w:highlight w:val="none"/>
                <w:lang w:val="en-US" w:eastAsia="zh-CN"/>
              </w:rPr>
              <w:t>“阿尔金草原荒漠化防治生态功能区”</w:t>
            </w:r>
            <w:r>
              <w:rPr>
                <w:rFonts w:hint="default" w:ascii="Times New Roman" w:hAnsi="Times New Roman" w:eastAsia="宋体" w:cs="Times New Roman"/>
                <w:bCs/>
                <w:sz w:val="24"/>
                <w:szCs w:val="24"/>
                <w:highlight w:val="none"/>
              </w:rPr>
              <w:t>，</w:t>
            </w:r>
            <w:r>
              <w:rPr>
                <w:rFonts w:hint="default" w:ascii="Times New Roman" w:hAnsi="Times New Roman" w:eastAsia="宋体" w:cs="Times New Roman"/>
                <w:bCs/>
                <w:sz w:val="24"/>
                <w:szCs w:val="24"/>
                <w:highlight w:val="none"/>
                <w:lang w:val="en-US" w:eastAsia="zh-CN"/>
              </w:rPr>
              <w:t>该功能区发展方向见下表。</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val="0"/>
                <w:sz w:val="24"/>
                <w:szCs w:val="24"/>
                <w:highlight w:val="none"/>
              </w:rPr>
            </w:pPr>
            <w:r>
              <w:rPr>
                <w:rFonts w:hint="eastAsia" w:ascii="Times New Roman" w:hAnsi="Times New Roman" w:eastAsia="宋体" w:cs="Times New Roman"/>
                <w:b/>
                <w:bCs w:val="0"/>
                <w:sz w:val="24"/>
                <w:szCs w:val="24"/>
                <w:highlight w:val="none"/>
                <w:lang w:val="en-US" w:eastAsia="zh-CN"/>
              </w:rPr>
              <w:t xml:space="preserve">表3-1  </w:t>
            </w:r>
            <w:r>
              <w:rPr>
                <w:rFonts w:hint="default" w:ascii="Times New Roman" w:hAnsi="Times New Roman" w:eastAsia="宋体" w:cs="Times New Roman"/>
                <w:b/>
                <w:bCs w:val="0"/>
                <w:sz w:val="24"/>
                <w:szCs w:val="24"/>
                <w:highlight w:val="none"/>
                <w:lang w:val="en-US" w:eastAsia="zh-CN"/>
              </w:rPr>
              <w:t>新疆重点生态功能区的类型和发展方向</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104"/>
              <w:gridCol w:w="3838"/>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6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vertAlign w:val="baseline"/>
                      <w:lang w:eastAsia="zh-CN"/>
                    </w:rPr>
                  </w:pPr>
                  <w:r>
                    <w:rPr>
                      <w:rFonts w:hint="default" w:ascii="Times New Roman" w:hAnsi="Times New Roman" w:eastAsia="宋体" w:cs="Times New Roman"/>
                      <w:bCs/>
                      <w:sz w:val="21"/>
                      <w:szCs w:val="21"/>
                      <w:highlight w:val="none"/>
                      <w:vertAlign w:val="baseline"/>
                      <w:lang w:eastAsia="zh-CN"/>
                    </w:rPr>
                    <w:t>名称</w:t>
                  </w:r>
                </w:p>
              </w:tc>
              <w:tc>
                <w:tcPr>
                  <w:tcW w:w="67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vertAlign w:val="baseline"/>
                      <w:lang w:eastAsia="zh-CN"/>
                    </w:rPr>
                  </w:pPr>
                  <w:r>
                    <w:rPr>
                      <w:rFonts w:hint="default" w:ascii="Times New Roman" w:hAnsi="Times New Roman" w:eastAsia="宋体" w:cs="Times New Roman"/>
                      <w:bCs/>
                      <w:sz w:val="21"/>
                      <w:szCs w:val="21"/>
                      <w:highlight w:val="none"/>
                      <w:vertAlign w:val="baseline"/>
                      <w:lang w:eastAsia="zh-CN"/>
                    </w:rPr>
                    <w:t>类型</w:t>
                  </w:r>
                </w:p>
              </w:tc>
              <w:tc>
                <w:tcPr>
                  <w:tcW w:w="234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vertAlign w:val="baseline"/>
                      <w:lang w:eastAsia="zh-CN"/>
                    </w:rPr>
                  </w:pPr>
                  <w:r>
                    <w:rPr>
                      <w:rFonts w:hint="default" w:ascii="Times New Roman" w:hAnsi="Times New Roman" w:eastAsia="宋体" w:cs="Times New Roman"/>
                      <w:bCs/>
                      <w:sz w:val="21"/>
                      <w:szCs w:val="21"/>
                      <w:highlight w:val="none"/>
                      <w:vertAlign w:val="baseline"/>
                      <w:lang w:eastAsia="zh-CN"/>
                    </w:rPr>
                    <w:t>综合评价</w:t>
                  </w:r>
                </w:p>
              </w:tc>
              <w:tc>
                <w:tcPr>
                  <w:tcW w:w="1109"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vertAlign w:val="baseline"/>
                      <w:lang w:eastAsia="zh-CN"/>
                    </w:rPr>
                  </w:pPr>
                  <w:r>
                    <w:rPr>
                      <w:rFonts w:hint="default" w:ascii="Times New Roman" w:hAnsi="Times New Roman" w:eastAsia="宋体" w:cs="Times New Roman"/>
                      <w:bCs/>
                      <w:sz w:val="21"/>
                      <w:szCs w:val="21"/>
                      <w:highlight w:val="none"/>
                      <w:vertAlign w:val="baseline"/>
                      <w:lang w:eastAsia="zh-CN"/>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86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vertAlign w:val="baseline"/>
                    </w:rPr>
                  </w:pPr>
                  <w:r>
                    <w:rPr>
                      <w:rFonts w:hint="default" w:ascii="Times New Roman" w:hAnsi="Times New Roman" w:eastAsia="宋体" w:cs="Times New Roman"/>
                      <w:bCs/>
                      <w:sz w:val="21"/>
                      <w:szCs w:val="21"/>
                      <w:highlight w:val="none"/>
                      <w:vertAlign w:val="baseline"/>
                      <w:lang w:val="en-US" w:eastAsia="zh-CN"/>
                    </w:rPr>
                    <w:t>阿尔金草原荒漠化</w:t>
                  </w:r>
                  <w:r>
                    <w:rPr>
                      <w:rFonts w:hint="eastAsia" w:cs="Times New Roman"/>
                      <w:bCs/>
                      <w:sz w:val="21"/>
                      <w:szCs w:val="21"/>
                      <w:highlight w:val="none"/>
                      <w:vertAlign w:val="baseline"/>
                      <w:lang w:val="en-US" w:eastAsia="zh-CN"/>
                    </w:rPr>
                    <w:t>防治</w:t>
                  </w:r>
                  <w:r>
                    <w:rPr>
                      <w:rFonts w:hint="default" w:ascii="Times New Roman" w:hAnsi="Times New Roman" w:eastAsia="宋体" w:cs="Times New Roman"/>
                      <w:bCs/>
                      <w:sz w:val="21"/>
                      <w:szCs w:val="21"/>
                      <w:highlight w:val="none"/>
                      <w:vertAlign w:val="baseline"/>
                      <w:lang w:val="en-US" w:eastAsia="zh-CN"/>
                    </w:rPr>
                    <w:t>生态</w:t>
                  </w:r>
                  <w:r>
                    <w:rPr>
                      <w:rFonts w:hint="eastAsia" w:cs="Times New Roman"/>
                      <w:bCs/>
                      <w:sz w:val="21"/>
                      <w:szCs w:val="21"/>
                      <w:highlight w:val="none"/>
                      <w:vertAlign w:val="baseline"/>
                      <w:lang w:val="en-US" w:eastAsia="zh-CN"/>
                    </w:rPr>
                    <w:t>功能</w:t>
                  </w:r>
                  <w:r>
                    <w:rPr>
                      <w:rFonts w:hint="default" w:ascii="Times New Roman" w:hAnsi="Times New Roman" w:eastAsia="宋体" w:cs="Times New Roman"/>
                      <w:bCs/>
                      <w:sz w:val="21"/>
                      <w:szCs w:val="21"/>
                      <w:highlight w:val="none"/>
                      <w:vertAlign w:val="baseline"/>
                      <w:lang w:val="en-US" w:eastAsia="zh-CN"/>
                    </w:rPr>
                    <w:t>区</w:t>
                  </w:r>
                </w:p>
              </w:tc>
              <w:tc>
                <w:tcPr>
                  <w:tcW w:w="675"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vertAlign w:val="baseline"/>
                    </w:rPr>
                  </w:pPr>
                  <w:r>
                    <w:rPr>
                      <w:rFonts w:hint="default" w:ascii="Times New Roman" w:hAnsi="Times New Roman" w:eastAsia="宋体" w:cs="Times New Roman"/>
                      <w:bCs/>
                      <w:sz w:val="21"/>
                      <w:szCs w:val="21"/>
                      <w:highlight w:val="none"/>
                      <w:vertAlign w:val="baseline"/>
                      <w:lang w:val="en-US" w:eastAsia="zh-CN"/>
                    </w:rPr>
                    <w:t>防风固沙</w:t>
                  </w:r>
                </w:p>
              </w:tc>
              <w:tc>
                <w:tcPr>
                  <w:tcW w:w="2347"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vertAlign w:val="baseline"/>
                    </w:rPr>
                  </w:pPr>
                  <w:r>
                    <w:rPr>
                      <w:rFonts w:hint="default" w:ascii="Times New Roman" w:hAnsi="Times New Roman" w:eastAsia="宋体" w:cs="Times New Roman"/>
                      <w:bCs/>
                      <w:sz w:val="21"/>
                      <w:szCs w:val="21"/>
                      <w:highlight w:val="none"/>
                      <w:vertAlign w:val="baseline"/>
                      <w:lang w:val="en-US" w:eastAsia="zh-CN"/>
                    </w:rPr>
                    <w:t>气候极为干旱，地表植被稀少，保存着完整的高原自然生态系统，拥有许多极为珍贵的特有物种，土地沙漠化敏感程度极高。目前鼠害肆虐，土地荒漠化加剧，珍稀动植物的生存受到威胁。</w:t>
                  </w:r>
                </w:p>
              </w:tc>
              <w:tc>
                <w:tcPr>
                  <w:tcW w:w="110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vertAlign w:val="baseline"/>
                    </w:rPr>
                  </w:pPr>
                  <w:r>
                    <w:rPr>
                      <w:rFonts w:hint="default" w:ascii="Times New Roman" w:hAnsi="Times New Roman" w:eastAsia="宋体" w:cs="Times New Roman"/>
                      <w:bCs/>
                      <w:sz w:val="21"/>
                      <w:szCs w:val="21"/>
                      <w:highlight w:val="none"/>
                      <w:vertAlign w:val="baseline"/>
                      <w:lang w:val="en-US" w:eastAsia="zh-CN"/>
                    </w:rPr>
                    <w:t>控制放牧和旅游区范围，防范盗猎，减少人类活动干扰。</w:t>
                  </w:r>
                </w:p>
              </w:tc>
            </w:tr>
          </w:tbl>
          <w:p>
            <w:pPr>
              <w:keepNext w:val="0"/>
              <w:keepLines w:val="0"/>
              <w:pageBreakBefore w:val="0"/>
              <w:widowControl w:val="0"/>
              <w:kinsoku/>
              <w:wordWrap/>
              <w:overflowPunct/>
              <w:topLinePunct w:val="0"/>
              <w:autoSpaceDE/>
              <w:autoSpaceDN/>
              <w:bidi w:val="0"/>
              <w:adjustRightInd/>
              <w:snapToGrid/>
              <w:spacing w:line="520" w:lineRule="exact"/>
              <w:ind w:left="0" w:right="0" w:firstLine="482" w:firstLineChars="200"/>
              <w:jc w:val="left"/>
              <w:textAlignment w:val="auto"/>
              <w:rPr>
                <w:rFonts w:hint="eastAsia" w:ascii="Times New Roman" w:hAnsi="Times New Roman" w:eastAsia="宋体" w:cs="宋体"/>
                <w:b/>
                <w:bCs/>
                <w:kern w:val="0"/>
                <w:sz w:val="24"/>
                <w:szCs w:val="24"/>
                <w:highlight w:val="none"/>
                <w:lang w:val="en-US" w:eastAsia="zh-CN"/>
              </w:rPr>
            </w:pPr>
            <w:r>
              <w:rPr>
                <w:rFonts w:hint="eastAsia" w:cs="宋体"/>
                <w:b/>
                <w:bCs/>
                <w:kern w:val="0"/>
                <w:sz w:val="24"/>
                <w:szCs w:val="24"/>
                <w:highlight w:val="none"/>
                <w:lang w:val="en-US" w:eastAsia="zh-CN"/>
              </w:rPr>
              <w:t>1.2</w:t>
            </w:r>
            <w:r>
              <w:rPr>
                <w:rFonts w:hint="eastAsia" w:ascii="Times New Roman" w:hAnsi="Times New Roman" w:eastAsia="宋体" w:cs="宋体"/>
                <w:b/>
                <w:bCs/>
                <w:kern w:val="0"/>
                <w:sz w:val="24"/>
                <w:szCs w:val="24"/>
                <w:highlight w:val="none"/>
              </w:rPr>
              <w:t>生态功能区划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w:t>
            </w:r>
            <w:r>
              <w:rPr>
                <w:rFonts w:hint="eastAsia" w:cs="Times New Roman"/>
                <w:color w:val="auto"/>
                <w:sz w:val="24"/>
                <w:highlight w:val="none"/>
                <w:lang w:eastAsia="zh-CN"/>
              </w:rPr>
              <w:t>区</w:t>
            </w:r>
            <w:r>
              <w:rPr>
                <w:rFonts w:hint="eastAsia" w:cs="Times New Roman"/>
                <w:color w:val="auto"/>
                <w:sz w:val="24"/>
                <w:highlight w:val="none"/>
                <w:lang w:val="en-US" w:eastAsia="zh-CN"/>
              </w:rPr>
              <w:t>位于</w:t>
            </w:r>
            <w:r>
              <w:rPr>
                <w:rFonts w:hint="default" w:ascii="Times New Roman" w:hAnsi="Times New Roman" w:eastAsia="宋体" w:cs="Times New Roman"/>
                <w:color w:val="auto"/>
                <w:sz w:val="24"/>
                <w:highlight w:val="none"/>
                <w:lang w:eastAsia="zh-CN"/>
              </w:rPr>
              <w:t>巴音郭楞蒙古自治州且末县</w:t>
            </w:r>
            <w:r>
              <w:rPr>
                <w:rFonts w:hint="eastAsia" w:cs="Times New Roman"/>
                <w:color w:val="auto"/>
                <w:sz w:val="24"/>
                <w:highlight w:val="none"/>
                <w:lang w:val="en-US" w:eastAsia="zh-CN"/>
              </w:rPr>
              <w:t>西南219°</w:t>
            </w:r>
            <w:r>
              <w:rPr>
                <w:rFonts w:hint="eastAsia"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直线距离约195km处，</w:t>
            </w:r>
            <w:r>
              <w:rPr>
                <w:rFonts w:hint="default" w:ascii="Times New Roman" w:hAnsi="Times New Roman" w:eastAsia="宋体" w:cs="Times New Roman"/>
                <w:color w:val="auto"/>
                <w:sz w:val="24"/>
                <w:highlight w:val="none"/>
              </w:rPr>
              <w:t>根据《新疆生态功能区划》，项目</w:t>
            </w:r>
            <w:r>
              <w:rPr>
                <w:rFonts w:hint="eastAsia" w:cs="Times New Roman"/>
                <w:color w:val="auto"/>
                <w:sz w:val="24"/>
                <w:highlight w:val="none"/>
                <w:lang w:val="en-US" w:eastAsia="zh-CN"/>
              </w:rPr>
              <w:t>区属“中昆仑山高寒荒漠草原保护生态功能区”</w:t>
            </w:r>
            <w:r>
              <w:rPr>
                <w:rFonts w:hint="default" w:ascii="Times New Roman" w:hAnsi="Times New Roman" w:eastAsia="宋体" w:cs="Times New Roman"/>
                <w:color w:val="auto"/>
                <w:sz w:val="24"/>
                <w:highlight w:val="none"/>
              </w:rPr>
              <w:t>。具体见表</w:t>
            </w:r>
            <w:r>
              <w:rPr>
                <w:rFonts w:hint="eastAsia" w:cs="Times New Roman"/>
                <w:color w:val="auto"/>
                <w:sz w:val="24"/>
                <w:highlight w:val="none"/>
                <w:lang w:val="en-US" w:eastAsia="zh-CN"/>
              </w:rPr>
              <w:t>3-2</w:t>
            </w:r>
            <w:r>
              <w:rPr>
                <w:rFonts w:hint="default" w:ascii="Times New Roman" w:hAnsi="Times New Roman" w:eastAsia="宋体" w:cs="Times New Roman"/>
                <w:color w:val="auto"/>
                <w:sz w:val="24"/>
                <w:highlight w:val="none"/>
              </w:rPr>
              <w:t>。</w:t>
            </w:r>
          </w:p>
          <w:p>
            <w:pPr>
              <w:pStyle w:val="34"/>
              <w:keepNext w:val="0"/>
              <w:keepLines w:val="0"/>
              <w:pageBreakBefore w:val="0"/>
              <w:widowControl w:val="0"/>
              <w:kinsoku/>
              <w:wordWrap/>
              <w:overflowPunct/>
              <w:topLinePunct w:val="0"/>
              <w:bidi w:val="0"/>
              <w:adjustRightInd/>
              <w:snapToGrid/>
              <w:spacing w:line="300" w:lineRule="exact"/>
              <w:ind w:left="0" w:firstLine="0" w:firstLineChars="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表</w:t>
            </w:r>
            <w:r>
              <w:rPr>
                <w:rFonts w:hint="eastAsia" w:ascii="Times New Roman" w:hAnsi="Times New Roman" w:eastAsia="宋体" w:cs="Times New Roman"/>
                <w:b/>
                <w:color w:val="auto"/>
                <w:sz w:val="24"/>
                <w:szCs w:val="24"/>
                <w:highlight w:val="none"/>
                <w:lang w:val="en-US" w:eastAsia="zh-CN"/>
              </w:rPr>
              <w:t xml:space="preserve">3-2  </w:t>
            </w:r>
            <w:r>
              <w:rPr>
                <w:rFonts w:hint="default" w:ascii="Times New Roman" w:hAnsi="Times New Roman" w:eastAsia="宋体" w:cs="Times New Roman"/>
                <w:b/>
                <w:color w:val="auto"/>
                <w:sz w:val="24"/>
                <w:szCs w:val="24"/>
                <w:highlight w:val="none"/>
              </w:rPr>
              <w:t>评价区生态功能区划一览表</w:t>
            </w:r>
          </w:p>
          <w:tbl>
            <w:tblPr>
              <w:tblStyle w:val="1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084"/>
              <w:gridCol w:w="816"/>
              <w:gridCol w:w="806"/>
              <w:gridCol w:w="945"/>
              <w:gridCol w:w="1272"/>
              <w:gridCol w:w="772"/>
              <w:gridCol w:w="791"/>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639" w:type="pct"/>
                  <w:gridSpan w:val="3"/>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生态功能分区单元</w:t>
                  </w:r>
                </w:p>
              </w:tc>
              <w:tc>
                <w:tcPr>
                  <w:tcW w:w="493" w:type="pct"/>
                  <w:vMerge w:val="restart"/>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主要生态服务功能</w:t>
                  </w:r>
                </w:p>
              </w:tc>
              <w:tc>
                <w:tcPr>
                  <w:tcW w:w="578" w:type="pct"/>
                  <w:vMerge w:val="restart"/>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主要生态环境问题</w:t>
                  </w:r>
                </w:p>
              </w:tc>
              <w:tc>
                <w:tcPr>
                  <w:tcW w:w="778" w:type="pct"/>
                  <w:vMerge w:val="restart"/>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主要生态敏感因子、敏感程度</w:t>
                  </w:r>
                </w:p>
              </w:tc>
              <w:tc>
                <w:tcPr>
                  <w:tcW w:w="472" w:type="pct"/>
                  <w:vMerge w:val="restart"/>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主要保护目标</w:t>
                  </w:r>
                </w:p>
              </w:tc>
              <w:tc>
                <w:tcPr>
                  <w:tcW w:w="484" w:type="pct"/>
                  <w:vMerge w:val="restart"/>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主要保护措施</w:t>
                  </w:r>
                </w:p>
              </w:tc>
              <w:tc>
                <w:tcPr>
                  <w:tcW w:w="554" w:type="pct"/>
                  <w:vMerge w:val="restart"/>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适宜发展方向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477" w:type="pct"/>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生态区</w:t>
                  </w:r>
                </w:p>
              </w:tc>
              <w:tc>
                <w:tcPr>
                  <w:tcW w:w="663" w:type="pct"/>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生态亚区</w:t>
                  </w:r>
                </w:p>
              </w:tc>
              <w:tc>
                <w:tcPr>
                  <w:tcW w:w="498" w:type="pct"/>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生态功能区</w:t>
                  </w:r>
                </w:p>
              </w:tc>
              <w:tc>
                <w:tcPr>
                  <w:tcW w:w="493" w:type="pct"/>
                  <w:vMerge w:val="continue"/>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b/>
                      <w:bCs/>
                      <w:color w:val="auto"/>
                      <w:sz w:val="21"/>
                      <w:szCs w:val="21"/>
                      <w:highlight w:val="none"/>
                    </w:rPr>
                  </w:pPr>
                </w:p>
              </w:tc>
              <w:tc>
                <w:tcPr>
                  <w:tcW w:w="578" w:type="pct"/>
                  <w:vMerge w:val="continue"/>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b/>
                      <w:bCs/>
                      <w:color w:val="auto"/>
                      <w:sz w:val="21"/>
                      <w:szCs w:val="21"/>
                      <w:highlight w:val="none"/>
                    </w:rPr>
                  </w:pPr>
                </w:p>
              </w:tc>
              <w:tc>
                <w:tcPr>
                  <w:tcW w:w="778" w:type="pct"/>
                  <w:vMerge w:val="continue"/>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b/>
                      <w:bCs/>
                      <w:color w:val="auto"/>
                      <w:sz w:val="21"/>
                      <w:szCs w:val="21"/>
                      <w:highlight w:val="none"/>
                    </w:rPr>
                  </w:pPr>
                </w:p>
              </w:tc>
              <w:tc>
                <w:tcPr>
                  <w:tcW w:w="472" w:type="pct"/>
                  <w:vMerge w:val="continue"/>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b/>
                      <w:bCs/>
                      <w:color w:val="auto"/>
                      <w:sz w:val="21"/>
                      <w:szCs w:val="21"/>
                      <w:highlight w:val="none"/>
                    </w:rPr>
                  </w:pPr>
                </w:p>
              </w:tc>
              <w:tc>
                <w:tcPr>
                  <w:tcW w:w="484" w:type="pct"/>
                  <w:vMerge w:val="continue"/>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b/>
                      <w:bCs/>
                      <w:color w:val="auto"/>
                      <w:sz w:val="21"/>
                      <w:szCs w:val="21"/>
                      <w:highlight w:val="none"/>
                    </w:rPr>
                  </w:pPr>
                </w:p>
              </w:tc>
              <w:tc>
                <w:tcPr>
                  <w:tcW w:w="554" w:type="pct"/>
                  <w:vMerge w:val="continue"/>
                  <w:noWrap w:val="0"/>
                  <w:vAlign w:val="center"/>
                </w:tcPr>
                <w:p>
                  <w:pPr>
                    <w:keepNext w:val="0"/>
                    <w:keepLines w:val="0"/>
                    <w:pageBreakBefore w:val="0"/>
                    <w:widowControl w:val="0"/>
                    <w:kinsoku/>
                    <w:wordWrap/>
                    <w:overflowPunct/>
                    <w:topLinePunct w:val="0"/>
                    <w:bidi w:val="0"/>
                    <w:adjustRightInd/>
                    <w:snapToGrid/>
                    <w:spacing w:line="300" w:lineRule="exact"/>
                    <w:jc w:val="center"/>
                    <w:rPr>
                      <w:rFonts w:hint="eastAsia" w:asciiTheme="minorEastAsia" w:hAnsiTheme="minorEastAsia" w:eastAsiaTheme="minorEastAsia" w:cstheme="minorEastAsia"/>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pct"/>
                  <w:noWrap w:val="0"/>
                  <w:vAlign w:val="center"/>
                </w:tcPr>
                <w:p>
                  <w:pPr>
                    <w:keepNext w:val="0"/>
                    <w:keepLines w:val="0"/>
                    <w:pageBreakBefore w:val="0"/>
                    <w:widowControl w:val="0"/>
                    <w:kinsoku/>
                    <w:wordWrap/>
                    <w:overflowPunct/>
                    <w:topLinePunct w:val="0"/>
                    <w:bidi w:val="0"/>
                    <w:adjustRightInd/>
                    <w:snapToGrid/>
                    <w:spacing w:line="300" w:lineRule="exact"/>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V帕米尔—昆仑山—阿尔金山荒漠干旱草原</w:t>
                  </w:r>
                  <w:r>
                    <w:rPr>
                      <w:rFonts w:hint="default" w:ascii="Times New Roman" w:hAnsi="Times New Roman" w:cs="Times New Roman" w:eastAsiaTheme="minorEastAsia"/>
                      <w:color w:val="auto"/>
                      <w:sz w:val="21"/>
                      <w:szCs w:val="21"/>
                      <w:highlight w:val="none"/>
                      <w:lang w:val="en-US" w:eastAsia="zh-CN"/>
                    </w:rPr>
                    <w:t>生态区</w:t>
                  </w:r>
                </w:p>
              </w:tc>
              <w:tc>
                <w:tcPr>
                  <w:tcW w:w="663" w:type="pct"/>
                  <w:noWrap w:val="0"/>
                  <w:vAlign w:val="center"/>
                </w:tcPr>
                <w:p>
                  <w:pPr>
                    <w:keepNext w:val="0"/>
                    <w:keepLines w:val="0"/>
                    <w:pageBreakBefore w:val="0"/>
                    <w:widowControl w:val="0"/>
                    <w:kinsoku/>
                    <w:wordWrap/>
                    <w:overflowPunct/>
                    <w:topLinePunct w:val="0"/>
                    <w:bidi w:val="0"/>
                    <w:adjustRightInd/>
                    <w:snapToGrid/>
                    <w:spacing w:line="300" w:lineRule="exact"/>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Ⅴ</w:t>
                  </w:r>
                  <w:r>
                    <w:rPr>
                      <w:rFonts w:hint="eastAsia" w:cs="Times New Roman" w:eastAsiaTheme="minorEastAsia"/>
                      <w:color w:val="auto"/>
                      <w:sz w:val="21"/>
                      <w:szCs w:val="21"/>
                      <w:highlight w:val="none"/>
                      <w:lang w:val="en-US" w:eastAsia="zh-CN"/>
                    </w:rPr>
                    <w:t>2昆仑山高寒草原侵蚀控制</w:t>
                  </w:r>
                  <w:r>
                    <w:rPr>
                      <w:rFonts w:hint="default" w:ascii="Times New Roman" w:hAnsi="Times New Roman" w:cs="Times New Roman" w:eastAsiaTheme="minorEastAsia"/>
                      <w:color w:val="auto"/>
                      <w:sz w:val="21"/>
                      <w:szCs w:val="21"/>
                      <w:highlight w:val="none"/>
                      <w:lang w:val="en-US" w:eastAsia="zh-CN"/>
                    </w:rPr>
                    <w:t>生态亚区</w:t>
                  </w:r>
                </w:p>
              </w:tc>
              <w:tc>
                <w:tcPr>
                  <w:tcW w:w="498" w:type="pct"/>
                  <w:noWrap w:val="0"/>
                  <w:vAlign w:val="center"/>
                </w:tcPr>
                <w:p>
                  <w:pPr>
                    <w:keepNext w:val="0"/>
                    <w:keepLines w:val="0"/>
                    <w:pageBreakBefore w:val="0"/>
                    <w:widowControl w:val="0"/>
                    <w:kinsoku/>
                    <w:wordWrap/>
                    <w:overflowPunct/>
                    <w:topLinePunct w:val="0"/>
                    <w:bidi w:val="0"/>
                    <w:adjustRightInd/>
                    <w:snapToGrid/>
                    <w:spacing w:line="300" w:lineRule="exact"/>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74.中昆仑山高寒荒漠草原保护</w:t>
                  </w:r>
                  <w:r>
                    <w:rPr>
                      <w:rFonts w:hint="default" w:ascii="Times New Roman" w:hAnsi="Times New Roman" w:cs="Times New Roman" w:eastAsiaTheme="minorEastAsia"/>
                      <w:color w:val="auto"/>
                      <w:sz w:val="21"/>
                      <w:szCs w:val="21"/>
                      <w:highlight w:val="none"/>
                      <w:lang w:val="en-US" w:eastAsia="zh-CN"/>
                    </w:rPr>
                    <w:t>生态功能区</w:t>
                  </w:r>
                </w:p>
              </w:tc>
              <w:tc>
                <w:tcPr>
                  <w:tcW w:w="493" w:type="pct"/>
                  <w:noWrap w:val="0"/>
                  <w:vAlign w:val="center"/>
                </w:tcPr>
                <w:p>
                  <w:pPr>
                    <w:keepNext w:val="0"/>
                    <w:keepLines w:val="0"/>
                    <w:pageBreakBefore w:val="0"/>
                    <w:widowControl w:val="0"/>
                    <w:kinsoku/>
                    <w:wordWrap/>
                    <w:overflowPunct/>
                    <w:topLinePunct w:val="0"/>
                    <w:bidi w:val="0"/>
                    <w:adjustRightInd/>
                    <w:snapToGrid/>
                    <w:spacing w:line="300" w:lineRule="exact"/>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土壤保持、生态多样性维护</w:t>
                  </w:r>
                </w:p>
              </w:tc>
              <w:tc>
                <w:tcPr>
                  <w:tcW w:w="578" w:type="pct"/>
                  <w:noWrap w:val="0"/>
                  <w:vAlign w:val="center"/>
                </w:tcPr>
                <w:p>
                  <w:pPr>
                    <w:keepNext w:val="0"/>
                    <w:keepLines w:val="0"/>
                    <w:pageBreakBefore w:val="0"/>
                    <w:widowControl w:val="0"/>
                    <w:kinsoku/>
                    <w:wordWrap/>
                    <w:overflowPunct/>
                    <w:topLinePunct w:val="0"/>
                    <w:bidi w:val="0"/>
                    <w:adjustRightInd/>
                    <w:snapToGrid/>
                    <w:spacing w:line="300" w:lineRule="exact"/>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草原过牧退化、草场虫害鼠害严重、人畜饮用水缺乏、樵采破坏山地草场</w:t>
                  </w:r>
                </w:p>
              </w:tc>
              <w:tc>
                <w:tcPr>
                  <w:tcW w:w="778" w:type="pct"/>
                  <w:noWrap w:val="0"/>
                  <w:vAlign w:val="center"/>
                </w:tcPr>
                <w:p>
                  <w:pPr>
                    <w:keepNext w:val="0"/>
                    <w:keepLines w:val="0"/>
                    <w:pageBreakBefore w:val="0"/>
                    <w:widowControl w:val="0"/>
                    <w:kinsoku/>
                    <w:wordWrap/>
                    <w:overflowPunct/>
                    <w:topLinePunct w:val="0"/>
                    <w:bidi w:val="0"/>
                    <w:adjustRightInd/>
                    <w:snapToGrid/>
                    <w:spacing w:line="300" w:lineRule="exact"/>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生物多样性及其生境高度敏感</w:t>
                  </w:r>
                </w:p>
              </w:tc>
              <w:tc>
                <w:tcPr>
                  <w:tcW w:w="472" w:type="pct"/>
                  <w:noWrap w:val="0"/>
                  <w:vAlign w:val="center"/>
                </w:tcPr>
                <w:p>
                  <w:pPr>
                    <w:keepNext w:val="0"/>
                    <w:keepLines w:val="0"/>
                    <w:pageBreakBefore w:val="0"/>
                    <w:widowControl w:val="0"/>
                    <w:kinsoku/>
                    <w:wordWrap/>
                    <w:overflowPunct/>
                    <w:topLinePunct w:val="0"/>
                    <w:bidi w:val="0"/>
                    <w:adjustRightInd/>
                    <w:snapToGrid/>
                    <w:spacing w:line="300" w:lineRule="exact"/>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保护草地植被、保护野生动物</w:t>
                  </w:r>
                </w:p>
              </w:tc>
              <w:tc>
                <w:tcPr>
                  <w:tcW w:w="484" w:type="pct"/>
                  <w:noWrap w:val="0"/>
                  <w:vAlign w:val="center"/>
                </w:tcPr>
                <w:p>
                  <w:pPr>
                    <w:keepNext w:val="0"/>
                    <w:keepLines w:val="0"/>
                    <w:pageBreakBefore w:val="0"/>
                    <w:widowControl w:val="0"/>
                    <w:kinsoku/>
                    <w:wordWrap/>
                    <w:overflowPunct/>
                    <w:topLinePunct w:val="0"/>
                    <w:bidi w:val="0"/>
                    <w:adjustRightInd/>
                    <w:snapToGrid/>
                    <w:spacing w:line="300" w:lineRule="exact"/>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高寒草场退牧、对牧民实行生态搬迁</w:t>
                  </w:r>
                </w:p>
              </w:tc>
              <w:tc>
                <w:tcPr>
                  <w:tcW w:w="554" w:type="pct"/>
                  <w:noWrap w:val="0"/>
                  <w:vAlign w:val="center"/>
                </w:tcPr>
                <w:p>
                  <w:pPr>
                    <w:keepNext w:val="0"/>
                    <w:keepLines w:val="0"/>
                    <w:pageBreakBefore w:val="0"/>
                    <w:widowControl w:val="0"/>
                    <w:kinsoku/>
                    <w:wordWrap/>
                    <w:overflowPunct/>
                    <w:topLinePunct w:val="0"/>
                    <w:bidi w:val="0"/>
                    <w:adjustRightInd/>
                    <w:snapToGrid/>
                    <w:spacing w:line="300" w:lineRule="exact"/>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实施高山牧民生态搬迁和定居舍饲，保持草地生态平衡，发挥涵养水源作用</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cs="宋体"/>
                <w:kern w:val="0"/>
                <w:sz w:val="24"/>
                <w:szCs w:val="24"/>
                <w:highlight w:val="none"/>
                <w:lang w:eastAsia="zh-CN"/>
              </w:rPr>
            </w:pPr>
            <w:r>
              <w:rPr>
                <w:rFonts w:hint="eastAsia" w:ascii="Times New Roman" w:hAnsi="Times New Roman" w:eastAsia="宋体" w:cs="Times New Roman"/>
                <w:sz w:val="24"/>
                <w:szCs w:val="24"/>
                <w:highlight w:val="none"/>
                <w:lang w:val="en-US" w:eastAsia="zh-CN"/>
              </w:rPr>
              <w:t>本项目属于陆地矿产资源地质勘查，不属于禁止类及限制类项目，属于允许类，符合产业政策和环境准入要求。项目不属于高污染、高能耗行业；项目已取得该区域的探矿权，探矿证号：</w:t>
            </w:r>
            <w:r>
              <w:rPr>
                <w:rFonts w:hint="eastAsia" w:cs="Times New Roman"/>
                <w:kern w:val="0"/>
                <w:sz w:val="24"/>
                <w:szCs w:val="24"/>
                <w:highlight w:val="none"/>
                <w:lang w:val="en-US" w:eastAsia="zh-CN"/>
              </w:rPr>
              <w:t>DT6500002026033000000144</w:t>
            </w:r>
            <w:r>
              <w:rPr>
                <w:rFonts w:hint="eastAsia" w:cs="Times New Roman"/>
                <w:sz w:val="24"/>
                <w:szCs w:val="24"/>
                <w:highlight w:val="none"/>
                <w:lang w:val="en-US" w:eastAsia="zh-CN"/>
              </w:rPr>
              <w:t>，符合</w:t>
            </w:r>
            <w:r>
              <w:rPr>
                <w:rFonts w:hint="eastAsia" w:ascii="Times New Roman" w:hAnsi="Times New Roman" w:eastAsia="宋体" w:cs="宋体"/>
                <w:kern w:val="0"/>
                <w:sz w:val="24"/>
                <w:szCs w:val="24"/>
                <w:highlight w:val="none"/>
              </w:rPr>
              <w:t>《新疆生态功能区划》</w:t>
            </w:r>
            <w:r>
              <w:rPr>
                <w:rFonts w:hint="eastAsia" w:cs="宋体"/>
                <w:kern w:val="0"/>
                <w:sz w:val="24"/>
                <w:szCs w:val="24"/>
                <w:highlight w:val="none"/>
                <w:lang w:eastAsia="zh-CN"/>
              </w:rPr>
              <w:t>相关要求。</w:t>
            </w:r>
          </w:p>
          <w:p>
            <w:pPr>
              <w:pStyle w:val="28"/>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b/>
                <w:bCs/>
                <w:sz w:val="24"/>
                <w:highlight w:val="none"/>
                <w:lang w:val="en-US" w:eastAsia="zh-CN"/>
              </w:rPr>
            </w:pPr>
            <w:r>
              <w:rPr>
                <w:rFonts w:hint="eastAsia" w:ascii="Times New Roman" w:hAnsi="Times New Roman" w:cs="Times New Roman"/>
                <w:b/>
                <w:bCs/>
                <w:sz w:val="24"/>
                <w:highlight w:val="none"/>
                <w:lang w:val="en-US" w:eastAsia="zh-CN"/>
              </w:rPr>
              <w:t>2.</w:t>
            </w:r>
            <w:r>
              <w:rPr>
                <w:rFonts w:hint="default" w:ascii="Times New Roman" w:hAnsi="Times New Roman" w:eastAsia="宋体" w:cs="Times New Roman"/>
                <w:b/>
                <w:bCs/>
                <w:sz w:val="24"/>
                <w:highlight w:val="none"/>
                <w:lang w:val="en-US" w:eastAsia="zh-CN"/>
              </w:rPr>
              <w:t>生态环境现状调查</w:t>
            </w:r>
          </w:p>
          <w:p>
            <w:pPr>
              <w:pStyle w:val="28"/>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宋体" w:cs="Arial"/>
                <w:b/>
                <w:bCs/>
                <w:sz w:val="24"/>
                <w:highlight w:val="none"/>
                <w:lang w:val="en-US" w:eastAsia="zh-CN"/>
              </w:rPr>
            </w:pPr>
            <w:r>
              <w:rPr>
                <w:rFonts w:hint="eastAsia"/>
                <w:b/>
                <w:bCs/>
                <w:sz w:val="24"/>
                <w:highlight w:val="none"/>
                <w:lang w:val="en-US" w:eastAsia="zh-CN"/>
              </w:rPr>
              <w:t>2.1</w:t>
            </w:r>
            <w:r>
              <w:rPr>
                <w:rFonts w:hint="eastAsia"/>
                <w:b/>
                <w:bCs/>
                <w:sz w:val="24"/>
                <w:highlight w:val="none"/>
              </w:rPr>
              <w:t>植被类型</w:t>
            </w:r>
          </w:p>
          <w:p>
            <w:pPr>
              <w:pStyle w:val="54"/>
              <w:keepNext w:val="0"/>
              <w:keepLines w:val="0"/>
              <w:pageBreakBefore w:val="0"/>
              <w:widowControl/>
              <w:numPr>
                <w:ilvl w:val="0"/>
                <w:numId w:val="0"/>
              </w:numPr>
              <w:kinsoku/>
              <w:wordWrap w:val="0"/>
              <w:overflowPunct/>
              <w:topLinePunct/>
              <w:autoSpaceDE/>
              <w:autoSpaceDN/>
              <w:bidi w:val="0"/>
              <w:adjustRightInd/>
              <w:snapToGrid/>
              <w:spacing w:line="520" w:lineRule="exact"/>
              <w:ind w:right="0" w:rightChars="0" w:firstLine="480" w:firstLineChars="200"/>
              <w:jc w:val="both"/>
              <w:textAlignment w:val="auto"/>
              <w:rPr>
                <w:rFonts w:hint="eastAsia"/>
                <w:b w:val="0"/>
                <w:bCs w:val="0"/>
                <w:color w:val="auto"/>
                <w:sz w:val="24"/>
                <w:szCs w:val="24"/>
                <w:highlight w:val="none"/>
                <w:lang w:val="en-US" w:eastAsia="zh-CN"/>
              </w:rPr>
            </w:pPr>
            <w:r>
              <w:rPr>
                <w:rFonts w:hint="eastAsia" w:ascii="宋体" w:hAnsi="宋体" w:eastAsia="宋体" w:cs="Times New Roman"/>
                <w:color w:val="auto"/>
                <w:sz w:val="24"/>
                <w:highlight w:val="none"/>
              </w:rPr>
              <w:t>项目区位于</w:t>
            </w:r>
            <w:r>
              <w:rPr>
                <w:rFonts w:hint="eastAsia" w:ascii="宋体" w:hAnsi="宋体" w:eastAsia="宋体" w:cs="Times New Roman"/>
                <w:color w:val="auto"/>
                <w:sz w:val="24"/>
                <w:highlight w:val="none"/>
                <w:lang w:val="en-US" w:eastAsia="zh-CN"/>
              </w:rPr>
              <w:t>高寒荒漠草原保护生态功能区</w:t>
            </w:r>
            <w:r>
              <w:rPr>
                <w:rFonts w:hint="eastAsia" w:ascii="宋体" w:hAnsi="宋体" w:eastAsia="宋体" w:cs="Times New Roman"/>
                <w:color w:val="auto"/>
                <w:sz w:val="24"/>
                <w:highlight w:val="none"/>
              </w:rPr>
              <w:t>，植被盖度较低，</w:t>
            </w:r>
            <w:r>
              <w:rPr>
                <w:rFonts w:hint="eastAsia" w:cs="Times New Roman"/>
                <w:color w:val="auto"/>
                <w:sz w:val="24"/>
                <w:highlight w:val="none"/>
                <w:lang w:val="en-US" w:eastAsia="zh-CN"/>
              </w:rPr>
              <w:t>经现场调查，</w:t>
            </w:r>
            <w:r>
              <w:rPr>
                <w:rFonts w:hint="eastAsia" w:ascii="宋体" w:hAnsi="宋体" w:eastAsia="宋体" w:cs="Times New Roman"/>
                <w:color w:val="auto"/>
                <w:sz w:val="24"/>
                <w:highlight w:val="none"/>
              </w:rPr>
              <w:t>评价区常见的</w:t>
            </w:r>
            <w:r>
              <w:rPr>
                <w:rFonts w:hint="eastAsia" w:cs="Times New Roman"/>
                <w:color w:val="auto"/>
                <w:sz w:val="24"/>
                <w:highlight w:val="none"/>
                <w:lang w:eastAsia="zh-CN"/>
              </w:rPr>
              <w:t>植物</w:t>
            </w:r>
            <w:r>
              <w:rPr>
                <w:rFonts w:hint="eastAsia" w:ascii="宋体" w:hAnsi="宋体" w:eastAsia="宋体" w:cs="Times New Roman"/>
                <w:color w:val="auto"/>
                <w:sz w:val="24"/>
                <w:highlight w:val="none"/>
              </w:rPr>
              <w:t>名录见下表</w:t>
            </w:r>
            <w:r>
              <w:rPr>
                <w:rFonts w:hint="eastAsia"/>
                <w:b w:val="0"/>
                <w:bCs w:val="0"/>
                <w:color w:val="auto"/>
                <w:sz w:val="24"/>
                <w:szCs w:val="24"/>
                <w:highlight w:val="none"/>
                <w:lang w:val="en-US" w:eastAsia="zh-CN"/>
              </w:rPr>
              <w:t>3-3。</w:t>
            </w:r>
          </w:p>
          <w:p>
            <w:pPr>
              <w:pStyle w:val="54"/>
              <w:keepNext w:val="0"/>
              <w:keepLines w:val="0"/>
              <w:pageBreakBefore w:val="0"/>
              <w:widowControl/>
              <w:numPr>
                <w:ilvl w:val="0"/>
                <w:numId w:val="0"/>
              </w:numPr>
              <w:kinsoku/>
              <w:wordWrap w:val="0"/>
              <w:overflowPunct/>
              <w:topLinePunct/>
              <w:autoSpaceDE/>
              <w:autoSpaceDN/>
              <w:bidi w:val="0"/>
              <w:adjustRightInd/>
              <w:snapToGrid/>
              <w:spacing w:line="300" w:lineRule="exact"/>
              <w:ind w:right="0" w:rightChars="0" w:firstLine="482" w:firstLineChars="200"/>
              <w:jc w:val="center"/>
              <w:textAlignment w:val="auto"/>
              <w:rPr>
                <w:rFonts w:hint="eastAsia"/>
                <w:b/>
                <w:bCs/>
                <w:color w:val="auto"/>
                <w:sz w:val="24"/>
                <w:szCs w:val="24"/>
                <w:highlight w:val="none"/>
                <w:lang w:val="en-US" w:eastAsia="zh-CN"/>
              </w:rPr>
            </w:pPr>
            <w:r>
              <w:rPr>
                <w:rFonts w:hint="eastAsia"/>
                <w:b/>
                <w:bCs/>
                <w:color w:val="auto"/>
                <w:sz w:val="24"/>
                <w:szCs w:val="24"/>
                <w:highlight w:val="none"/>
                <w:lang w:val="en-US" w:eastAsia="zh-CN"/>
              </w:rPr>
              <w:t>表3-3  项目所在区域主要植被名录</w:t>
            </w:r>
          </w:p>
          <w:tbl>
            <w:tblPr>
              <w:tblStyle w:val="17"/>
              <w:tblW w:w="500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976"/>
              <w:gridCol w:w="3602"/>
              <w:gridCol w:w="1205"/>
              <w:gridCol w:w="14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1207" w:type="pct"/>
                  <w:noWrap w:val="0"/>
                  <w:vAlign w:val="center"/>
                </w:tcPr>
                <w:p>
                  <w:pPr>
                    <w:pStyle w:val="36"/>
                    <w:keepNext w:val="0"/>
                    <w:keepLines w:val="0"/>
                    <w:pageBreakBefore w:val="0"/>
                    <w:kinsoku/>
                    <w:overflowPunct/>
                    <w:bidi w:val="0"/>
                    <w:adjustRightInd/>
                    <w:snapToGrid/>
                    <w:spacing w:line="300" w:lineRule="exact"/>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rPr>
                    <w:t>中文名</w:t>
                  </w:r>
                </w:p>
              </w:tc>
              <w:tc>
                <w:tcPr>
                  <w:tcW w:w="2200" w:type="pct"/>
                  <w:noWrap w:val="0"/>
                  <w:vAlign w:val="center"/>
                </w:tcPr>
                <w:p>
                  <w:pPr>
                    <w:pStyle w:val="36"/>
                    <w:keepNext w:val="0"/>
                    <w:keepLines w:val="0"/>
                    <w:pageBreakBefore w:val="0"/>
                    <w:kinsoku/>
                    <w:overflowPunct/>
                    <w:bidi w:val="0"/>
                    <w:adjustRightInd/>
                    <w:snapToGrid/>
                    <w:spacing w:line="300" w:lineRule="exact"/>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英文</w:t>
                  </w:r>
                  <w:r>
                    <w:rPr>
                      <w:rFonts w:hint="default" w:ascii="Times New Roman" w:hAnsi="Times New Roman" w:cs="Times New Roman"/>
                      <w:b/>
                      <w:bCs/>
                      <w:color w:val="auto"/>
                      <w:sz w:val="21"/>
                      <w:szCs w:val="21"/>
                      <w:highlight w:val="none"/>
                    </w:rPr>
                    <w:t>名</w:t>
                  </w:r>
                </w:p>
              </w:tc>
              <w:tc>
                <w:tcPr>
                  <w:tcW w:w="736" w:type="pct"/>
                  <w:noWrap w:val="0"/>
                  <w:vAlign w:val="center"/>
                </w:tcPr>
                <w:p>
                  <w:pPr>
                    <w:pStyle w:val="36"/>
                    <w:keepNext w:val="0"/>
                    <w:keepLines w:val="0"/>
                    <w:pageBreakBefore w:val="0"/>
                    <w:kinsoku/>
                    <w:overflowPunct/>
                    <w:bidi w:val="0"/>
                    <w:adjustRightInd/>
                    <w:snapToGrid/>
                    <w:spacing w:line="300" w:lineRule="exact"/>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生活型</w:t>
                  </w:r>
                </w:p>
              </w:tc>
              <w:tc>
                <w:tcPr>
                  <w:tcW w:w="856" w:type="pct"/>
                  <w:noWrap w:val="0"/>
                  <w:vAlign w:val="center"/>
                </w:tcPr>
                <w:p>
                  <w:pPr>
                    <w:pStyle w:val="36"/>
                    <w:keepNext w:val="0"/>
                    <w:keepLines w:val="0"/>
                    <w:pageBreakBefore w:val="0"/>
                    <w:kinsoku/>
                    <w:overflowPunct/>
                    <w:bidi w:val="0"/>
                    <w:adjustRightInd/>
                    <w:snapToGrid/>
                    <w:spacing w:line="300" w:lineRule="exact"/>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地方保护级别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207" w:type="pct"/>
                  <w:noWrap w:val="0"/>
                  <w:vAlign w:val="center"/>
                </w:tcPr>
                <w:p>
                  <w:pPr>
                    <w:pStyle w:val="36"/>
                    <w:keepNext w:val="0"/>
                    <w:keepLines w:val="0"/>
                    <w:pageBreakBefore w:val="0"/>
                    <w:kinsoku/>
                    <w:overflowPunct/>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乳苣</w:t>
                  </w:r>
                </w:p>
              </w:tc>
              <w:tc>
                <w:tcPr>
                  <w:tcW w:w="2200" w:type="pct"/>
                  <w:noWrap w:val="0"/>
                  <w:vAlign w:val="center"/>
                </w:tcPr>
                <w:p>
                  <w:pPr>
                    <w:pStyle w:val="36"/>
                    <w:keepNext w:val="0"/>
                    <w:keepLines w:val="0"/>
                    <w:pageBreakBefore w:val="0"/>
                    <w:kinsoku/>
                    <w:overflowPunct/>
                    <w:bidi w:val="0"/>
                    <w:adjustRightInd/>
                    <w:snapToGrid/>
                    <w:spacing w:line="300" w:lineRule="exact"/>
                    <w:jc w:val="center"/>
                    <w:textAlignment w:val="auto"/>
                    <w:rPr>
                      <w:rFonts w:hint="default" w:ascii="Times New Roman" w:hAnsi="Times New Roman" w:cs="Times New Roman"/>
                      <w:i/>
                      <w:color w:val="auto"/>
                      <w:sz w:val="21"/>
                      <w:szCs w:val="21"/>
                      <w:highlight w:val="none"/>
                    </w:rPr>
                  </w:pPr>
                  <w:r>
                    <w:rPr>
                      <w:rFonts w:hint="default" w:ascii="Times New Roman" w:hAnsi="Times New Roman" w:cs="Times New Roman"/>
                      <w:i/>
                      <w:color w:val="auto"/>
                      <w:sz w:val="21"/>
                      <w:szCs w:val="21"/>
                      <w:highlight w:val="none"/>
                    </w:rPr>
                    <w:t>Lactuca tatarica(L.)C.A.Mey</w:t>
                  </w:r>
                </w:p>
              </w:tc>
              <w:tc>
                <w:tcPr>
                  <w:tcW w:w="736" w:type="pct"/>
                  <w:noWrap w:val="0"/>
                  <w:vAlign w:val="center"/>
                </w:tcPr>
                <w:p>
                  <w:pPr>
                    <w:keepNext w:val="0"/>
                    <w:keepLines w:val="0"/>
                    <w:pageBreakBefore w:val="0"/>
                    <w:kinsoku/>
                    <w:overflowPunct/>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草本</w:t>
                  </w:r>
                </w:p>
              </w:tc>
              <w:tc>
                <w:tcPr>
                  <w:tcW w:w="856" w:type="pct"/>
                  <w:noWrap w:val="0"/>
                  <w:vAlign w:val="center"/>
                </w:tcPr>
                <w:p>
                  <w:pPr>
                    <w:keepNext w:val="0"/>
                    <w:keepLines w:val="0"/>
                    <w:pageBreakBefore w:val="0"/>
                    <w:kinsoku/>
                    <w:overflowPunct/>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1207" w:type="pct"/>
                  <w:noWrap w:val="0"/>
                  <w:vAlign w:val="center"/>
                </w:tcPr>
                <w:p>
                  <w:pPr>
                    <w:pStyle w:val="36"/>
                    <w:keepNext w:val="0"/>
                    <w:keepLines w:val="0"/>
                    <w:pageBreakBefore w:val="0"/>
                    <w:kinsoku/>
                    <w:overflowPunct/>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盐地碱蓬</w:t>
                  </w:r>
                </w:p>
              </w:tc>
              <w:tc>
                <w:tcPr>
                  <w:tcW w:w="2200" w:type="pct"/>
                  <w:noWrap w:val="0"/>
                  <w:vAlign w:val="center"/>
                </w:tcPr>
                <w:p>
                  <w:pPr>
                    <w:pStyle w:val="36"/>
                    <w:keepNext w:val="0"/>
                    <w:keepLines w:val="0"/>
                    <w:pageBreakBefore w:val="0"/>
                    <w:kinsoku/>
                    <w:overflowPunct/>
                    <w:bidi w:val="0"/>
                    <w:adjustRightInd/>
                    <w:snapToGrid/>
                    <w:spacing w:line="300" w:lineRule="exact"/>
                    <w:jc w:val="center"/>
                    <w:textAlignment w:val="auto"/>
                    <w:rPr>
                      <w:rFonts w:hint="default" w:ascii="Times New Roman" w:hAnsi="Times New Roman" w:cs="Times New Roman"/>
                      <w:i/>
                      <w:color w:val="auto"/>
                      <w:sz w:val="21"/>
                      <w:szCs w:val="21"/>
                      <w:highlight w:val="none"/>
                    </w:rPr>
                  </w:pPr>
                  <w:r>
                    <w:rPr>
                      <w:rFonts w:hint="default" w:ascii="Times New Roman" w:hAnsi="Times New Roman" w:cs="Times New Roman"/>
                      <w:i/>
                      <w:color w:val="auto"/>
                      <w:sz w:val="21"/>
                      <w:szCs w:val="21"/>
                      <w:highlight w:val="none"/>
                    </w:rPr>
                    <w:t>Suaeda salsa(L.)Pall</w:t>
                  </w:r>
                </w:p>
              </w:tc>
              <w:tc>
                <w:tcPr>
                  <w:tcW w:w="736" w:type="pct"/>
                  <w:noWrap w:val="0"/>
                  <w:vAlign w:val="center"/>
                </w:tcPr>
                <w:p>
                  <w:pPr>
                    <w:keepNext w:val="0"/>
                    <w:keepLines w:val="0"/>
                    <w:pageBreakBefore w:val="0"/>
                    <w:kinsoku/>
                    <w:overflowPunct/>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草本</w:t>
                  </w:r>
                </w:p>
              </w:tc>
              <w:tc>
                <w:tcPr>
                  <w:tcW w:w="856" w:type="pct"/>
                  <w:noWrap w:val="0"/>
                  <w:vAlign w:val="center"/>
                </w:tcPr>
                <w:p>
                  <w:pPr>
                    <w:keepNext w:val="0"/>
                    <w:keepLines w:val="0"/>
                    <w:pageBreakBefore w:val="0"/>
                    <w:kinsoku/>
                    <w:overflowPunct/>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trPr>
              <w:tc>
                <w:tcPr>
                  <w:tcW w:w="1207" w:type="pct"/>
                  <w:noWrap w:val="0"/>
                  <w:vAlign w:val="center"/>
                </w:tcPr>
                <w:p>
                  <w:pPr>
                    <w:pStyle w:val="36"/>
                    <w:keepNext w:val="0"/>
                    <w:keepLines w:val="0"/>
                    <w:pageBreakBefore w:val="0"/>
                    <w:kinsoku/>
                    <w:overflowPunct/>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蛛丝蓬</w:t>
                  </w:r>
                </w:p>
              </w:tc>
              <w:tc>
                <w:tcPr>
                  <w:tcW w:w="2200" w:type="pct"/>
                  <w:noWrap w:val="0"/>
                  <w:vAlign w:val="center"/>
                </w:tcPr>
                <w:p>
                  <w:pPr>
                    <w:pStyle w:val="36"/>
                    <w:keepNext w:val="0"/>
                    <w:keepLines w:val="0"/>
                    <w:pageBreakBefore w:val="0"/>
                    <w:kinsoku/>
                    <w:overflowPunct/>
                    <w:bidi w:val="0"/>
                    <w:adjustRightInd/>
                    <w:snapToGrid/>
                    <w:spacing w:line="300" w:lineRule="exact"/>
                    <w:jc w:val="center"/>
                    <w:textAlignment w:val="auto"/>
                    <w:rPr>
                      <w:rFonts w:hint="default" w:ascii="Times New Roman" w:hAnsi="Times New Roman" w:cs="Times New Roman"/>
                      <w:i/>
                      <w:color w:val="auto"/>
                      <w:sz w:val="21"/>
                      <w:szCs w:val="21"/>
                      <w:highlight w:val="none"/>
                    </w:rPr>
                  </w:pPr>
                  <w:r>
                    <w:rPr>
                      <w:rFonts w:hint="default" w:ascii="Times New Roman" w:hAnsi="Times New Roman" w:cs="Times New Roman"/>
                      <w:i/>
                      <w:color w:val="auto"/>
                      <w:sz w:val="21"/>
                      <w:szCs w:val="21"/>
                      <w:highlight w:val="none"/>
                    </w:rPr>
                    <w:t>Halogeton arachnoideus</w:t>
                  </w:r>
                  <w:r>
                    <w:rPr>
                      <w:rFonts w:hint="default" w:ascii="Times New Roman" w:hAnsi="Times New Roman" w:cs="Times New Roman"/>
                      <w:i/>
                      <w:color w:val="auto"/>
                      <w:sz w:val="21"/>
                      <w:szCs w:val="21"/>
                      <w:highlight w:val="none"/>
                      <w:lang w:val="en-US" w:eastAsia="zh-CN"/>
                    </w:rPr>
                    <w:t xml:space="preserve"> </w:t>
                  </w:r>
                  <w:r>
                    <w:rPr>
                      <w:rFonts w:hint="default" w:ascii="Times New Roman" w:hAnsi="Times New Roman" w:cs="Times New Roman"/>
                      <w:i/>
                      <w:color w:val="auto"/>
                      <w:sz w:val="21"/>
                      <w:szCs w:val="21"/>
                      <w:highlight w:val="none"/>
                    </w:rPr>
                    <w:t>Moq</w:t>
                  </w:r>
                </w:p>
              </w:tc>
              <w:tc>
                <w:tcPr>
                  <w:tcW w:w="736" w:type="pct"/>
                  <w:noWrap w:val="0"/>
                  <w:vAlign w:val="center"/>
                </w:tcPr>
                <w:p>
                  <w:pPr>
                    <w:keepNext w:val="0"/>
                    <w:keepLines w:val="0"/>
                    <w:pageBreakBefore w:val="0"/>
                    <w:kinsoku/>
                    <w:overflowPunct/>
                    <w:bidi w:val="0"/>
                    <w:adjustRightInd/>
                    <w:snapToGrid/>
                    <w:spacing w:line="300" w:lineRule="exact"/>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草本</w:t>
                  </w:r>
                </w:p>
              </w:tc>
              <w:tc>
                <w:tcPr>
                  <w:tcW w:w="856" w:type="pct"/>
                  <w:noWrap w:val="0"/>
                  <w:vAlign w:val="center"/>
                </w:tcPr>
                <w:p>
                  <w:pPr>
                    <w:keepNext w:val="0"/>
                    <w:keepLines w:val="0"/>
                    <w:pageBreakBefore w:val="0"/>
                    <w:kinsoku/>
                    <w:overflowPunct/>
                    <w:bidi w:val="0"/>
                    <w:adjustRightInd/>
                    <w:snapToGrid/>
                    <w:spacing w:line="300" w:lineRule="exact"/>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bl>
          <w:p>
            <w:pPr>
              <w:pStyle w:val="10"/>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cs="Times New Roman"/>
                <w:b w:val="0"/>
                <w:bCs w:val="0"/>
                <w:color w:val="auto"/>
                <w:kern w:val="2"/>
                <w:sz w:val="24"/>
                <w:szCs w:val="24"/>
                <w:highlight w:val="none"/>
                <w:lang w:val="en-US" w:eastAsia="zh-CN" w:bidi="ar-SA"/>
              </w:rPr>
              <w:t>评价区的地质地貌、气候等自然因素处于相对稳定状态，地形、地貌等对植被的影响主要通过水分、盐分、矿质养分的分配差异体现出来。本区域植被覆盖度较低，偶见零星盐地碱蓬、蛛丝蓬等，植被生长稀疏，覆盖度约为2%。不涉及保护植物。勘探过程中应注意土方开挖、道路运输尽量避免破坏原有植被。</w:t>
            </w:r>
          </w:p>
          <w:p>
            <w:pPr>
              <w:pStyle w:val="10"/>
              <w:keepNext w:val="0"/>
              <w:keepLines w:val="0"/>
              <w:pageBreakBefore w:val="0"/>
              <w:widowControl/>
              <w:numPr>
                <w:ilvl w:val="0"/>
                <w:numId w:val="0"/>
              </w:numPr>
              <w:kinsoku/>
              <w:wordWrap/>
              <w:overflowPunct w:val="0"/>
              <w:topLinePunct w:val="0"/>
              <w:autoSpaceDE/>
              <w:autoSpaceDN/>
              <w:bidi w:val="0"/>
              <w:adjustRightInd/>
              <w:snapToGrid/>
              <w:spacing w:before="0" w:beforeLines="0" w:after="0" w:afterLines="0" w:line="520" w:lineRule="exact"/>
              <w:ind w:leftChars="0" w:right="0" w:rightChars="0" w:firstLine="482" w:firstLineChars="200"/>
              <w:jc w:val="left"/>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2.2野生动物现状调查及评价</w:t>
            </w:r>
          </w:p>
          <w:p>
            <w:pPr>
              <w:pStyle w:val="10"/>
              <w:keepNext w:val="0"/>
              <w:keepLines w:val="0"/>
              <w:pageBreakBefore w:val="0"/>
              <w:widowControl/>
              <w:numPr>
                <w:ilvl w:val="0"/>
                <w:numId w:val="0"/>
              </w:numPr>
              <w:kinsoku/>
              <w:wordWrap/>
              <w:overflowPunct w:val="0"/>
              <w:topLinePunct w:val="0"/>
              <w:autoSpaceDE/>
              <w:autoSpaceDN/>
              <w:bidi w:val="0"/>
              <w:adjustRightInd/>
              <w:snapToGrid/>
              <w:spacing w:before="0" w:beforeLines="0" w:after="0" w:afterLines="0" w:line="520" w:lineRule="exact"/>
              <w:ind w:leftChars="0" w:right="0" w:rightChars="0" w:firstLine="480" w:firstLineChars="200"/>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按中国动物地理区划的分级标准，项目区属古北界、中亚亚界、蒙新区。因该区域地处阿尔金山北坡，属高寒气候，野生动物的栖息生境极为简单，主要</w:t>
            </w:r>
            <w:r>
              <w:rPr>
                <w:rFonts w:hint="eastAsia" w:cs="Times New Roman"/>
                <w:b w:val="0"/>
                <w:bCs w:val="0"/>
                <w:color w:val="auto"/>
                <w:kern w:val="2"/>
                <w:sz w:val="24"/>
                <w:szCs w:val="24"/>
                <w:highlight w:val="none"/>
                <w:lang w:val="en-US" w:eastAsia="zh-CN" w:bidi="ar-SA"/>
              </w:rPr>
              <w:t>高寒荒漠草原</w:t>
            </w:r>
            <w:r>
              <w:rPr>
                <w:rFonts w:hint="eastAsia" w:ascii="Times New Roman" w:hAnsi="Times New Roman" w:eastAsia="宋体" w:cs="Times New Roman"/>
                <w:b w:val="0"/>
                <w:bCs w:val="0"/>
                <w:color w:val="auto"/>
                <w:kern w:val="2"/>
                <w:sz w:val="24"/>
                <w:szCs w:val="24"/>
                <w:highlight w:val="none"/>
                <w:lang w:val="en-US" w:eastAsia="zh-CN" w:bidi="ar-SA"/>
              </w:rPr>
              <w:t>。因高寒和食物短缺，加之乔灌木植被稀少，无栖息及躲藏之地，野生动物分布数量较少，尤其是大型野生脊椎动物。该地区内的野生动物种类虽多，但是通过长期观察，项目区域内分布的野生脊椎动物种类较少，未涉及珍稀动物的集中分布区和越冬栖息地。各种野生动物分布现状见下表。</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b/>
                <w:bCs/>
                <w:color w:val="000000"/>
                <w:sz w:val="24"/>
                <w:highlight w:val="none"/>
              </w:rPr>
            </w:pPr>
            <w:r>
              <w:rPr>
                <w:rFonts w:hint="eastAsia" w:ascii="Times New Roman" w:hAnsi="Times New Roman" w:eastAsia="宋体" w:cs="Times New Roman"/>
                <w:b/>
                <w:bCs/>
                <w:color w:val="000000"/>
                <w:sz w:val="24"/>
                <w:highlight w:val="none"/>
              </w:rPr>
              <w:t>表</w:t>
            </w:r>
            <w:r>
              <w:rPr>
                <w:rFonts w:hint="eastAsia" w:ascii="Times New Roman" w:hAnsi="Times New Roman" w:eastAsia="宋体" w:cs="Times New Roman"/>
                <w:b/>
                <w:bCs/>
                <w:color w:val="000000"/>
                <w:sz w:val="24"/>
                <w:highlight w:val="none"/>
                <w:lang w:val="en-US" w:eastAsia="zh-CN"/>
              </w:rPr>
              <w:t>3-4</w:t>
            </w:r>
            <w:r>
              <w:rPr>
                <w:rFonts w:hint="eastAsia" w:ascii="Times New Roman" w:hAnsi="Times New Roman" w:eastAsia="宋体" w:cs="Times New Roman"/>
                <w:b/>
                <w:bCs/>
                <w:color w:val="000000"/>
                <w:sz w:val="24"/>
                <w:highlight w:val="none"/>
              </w:rPr>
              <w:t xml:space="preserve">  工程区主要野生动物名录</w:t>
            </w:r>
          </w:p>
          <w:tbl>
            <w:tblPr>
              <w:tblStyle w:val="17"/>
              <w:tblW w:w="48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857"/>
              <w:gridCol w:w="2032"/>
              <w:gridCol w:w="1510"/>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3" w:type="pct"/>
                  <w:tcBorders>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纲</w:t>
                  </w:r>
                </w:p>
              </w:tc>
              <w:tc>
                <w:tcPr>
                  <w:tcW w:w="543" w:type="pct"/>
                  <w:tcBorders>
                    <w:left w:val="nil"/>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目名</w:t>
                  </w:r>
                </w:p>
              </w:tc>
              <w:tc>
                <w:tcPr>
                  <w:tcW w:w="1288" w:type="pct"/>
                  <w:tcBorders>
                    <w:left w:val="nil"/>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科名</w:t>
                  </w:r>
                </w:p>
              </w:tc>
              <w:tc>
                <w:tcPr>
                  <w:tcW w:w="957" w:type="pct"/>
                  <w:tcBorders>
                    <w:left w:val="nil"/>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中文名</w:t>
                  </w:r>
                </w:p>
              </w:tc>
              <w:tc>
                <w:tcPr>
                  <w:tcW w:w="1666" w:type="pct"/>
                  <w:tcBorders>
                    <w:left w:val="single" w:color="auto" w:sz="4" w:space="0"/>
                    <w:bottom w:val="single" w:color="auto" w:sz="4" w:space="0"/>
                  </w:tcBorders>
                  <w:noWrap w:val="0"/>
                  <w:vAlign w:val="center"/>
                </w:tcPr>
                <w:p>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rPr>
                    <w:t>学名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3" w:type="pct"/>
                  <w:tcBorders>
                    <w:top w:val="single" w:color="auto" w:sz="4" w:space="0"/>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哺乳纲</w:t>
                  </w:r>
                </w:p>
              </w:tc>
              <w:tc>
                <w:tcPr>
                  <w:tcW w:w="543" w:type="pct"/>
                  <w:tcBorders>
                    <w:top w:val="single" w:color="auto" w:sz="4" w:space="0"/>
                    <w:left w:val="nil"/>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啮齿目</w:t>
                  </w:r>
                </w:p>
              </w:tc>
              <w:tc>
                <w:tcPr>
                  <w:tcW w:w="1288" w:type="pct"/>
                  <w:tcBorders>
                    <w:top w:val="single" w:color="auto" w:sz="4" w:space="0"/>
                    <w:left w:val="nil"/>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松鼠科</w:t>
                  </w:r>
                </w:p>
              </w:tc>
              <w:tc>
                <w:tcPr>
                  <w:tcW w:w="957" w:type="pct"/>
                  <w:tcBorders>
                    <w:top w:val="single" w:color="auto" w:sz="4" w:space="0"/>
                    <w:left w:val="nil"/>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eastAsia="zh-CN"/>
                    </w:rPr>
                    <w:t>旱獭</w:t>
                  </w:r>
                </w:p>
              </w:tc>
              <w:tc>
                <w:tcPr>
                  <w:tcW w:w="1666" w:type="pct"/>
                  <w:tcBorders>
                    <w:top w:val="single" w:color="auto" w:sz="4" w:space="0"/>
                    <w:left w:val="single" w:color="auto" w:sz="4" w:space="0"/>
                    <w:bottom w:val="single" w:color="auto" w:sz="4" w:space="0"/>
                  </w:tcBorders>
                  <w:noWrap w:val="0"/>
                  <w:vAlign w:val="center"/>
                </w:tcPr>
                <w:p>
                  <w:pPr>
                    <w:spacing w:line="240" w:lineRule="auto"/>
                    <w:ind w:firstLine="0" w:firstLineChars="0"/>
                    <w:jc w:val="center"/>
                    <w:rPr>
                      <w:rFonts w:hint="default" w:ascii="Times New Roman" w:hAnsi="Times New Roman" w:eastAsia="宋体" w:cs="Times New Roman"/>
                      <w:i/>
                      <w:color w:val="auto"/>
                      <w:sz w:val="21"/>
                      <w:szCs w:val="21"/>
                    </w:rPr>
                  </w:pPr>
                  <w:r>
                    <w:rPr>
                      <w:rStyle w:val="21"/>
                      <w:rFonts w:hint="default" w:ascii="Times New Roman" w:hAnsi="Times New Roman" w:eastAsia="宋体" w:cs="Times New Roman"/>
                      <w:i/>
                      <w:iCs/>
                      <w:caps w:val="0"/>
                      <w:color w:val="auto"/>
                      <w:spacing w:val="0"/>
                      <w:sz w:val="21"/>
                      <w:szCs w:val="21"/>
                      <w:shd w:val="clear" w:color="auto" w:fill="FFFFFF"/>
                    </w:rPr>
                    <w:t>prairie dog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3" w:type="pct"/>
                  <w:tcBorders>
                    <w:top w:val="single" w:color="auto" w:sz="4" w:space="0"/>
                    <w:bottom w:val="single" w:color="auto" w:sz="4" w:space="0"/>
                    <w:right w:val="single" w:color="auto" w:sz="4" w:space="0"/>
                  </w:tcBorders>
                  <w:noWrap w:val="0"/>
                  <w:vAlign w:val="center"/>
                </w:tcPr>
                <w:p>
                  <w:pPr>
                    <w:spacing w:line="240" w:lineRule="auto"/>
                    <w:ind w:firstLine="0" w:firstLineChars="0"/>
                    <w:jc w:val="center"/>
                    <w:rPr>
                      <w:rFonts w:hint="eastAsia"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爬行纲</w:t>
                  </w:r>
                </w:p>
              </w:tc>
              <w:tc>
                <w:tcPr>
                  <w:tcW w:w="543" w:type="pct"/>
                  <w:tcBorders>
                    <w:top w:val="single" w:color="auto" w:sz="4" w:space="0"/>
                    <w:left w:val="nil"/>
                    <w:bottom w:val="single" w:color="auto" w:sz="4" w:space="0"/>
                    <w:right w:val="single" w:color="auto" w:sz="4" w:space="0"/>
                  </w:tcBorders>
                  <w:noWrap w:val="0"/>
                  <w:vAlign w:val="center"/>
                </w:tcPr>
                <w:p>
                  <w:pPr>
                    <w:spacing w:line="240" w:lineRule="auto"/>
                    <w:ind w:firstLine="0" w:firstLineChars="0"/>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蜥蜴目</w:t>
                  </w:r>
                </w:p>
              </w:tc>
              <w:tc>
                <w:tcPr>
                  <w:tcW w:w="1288" w:type="pct"/>
                  <w:tcBorders>
                    <w:top w:val="single" w:color="auto" w:sz="4" w:space="0"/>
                    <w:left w:val="nil"/>
                    <w:bottom w:val="single" w:color="auto" w:sz="4" w:space="0"/>
                    <w:right w:val="single" w:color="auto" w:sz="4" w:space="0"/>
                  </w:tcBorders>
                  <w:noWrap w:val="0"/>
                  <w:vAlign w:val="center"/>
                </w:tcPr>
                <w:p>
                  <w:pPr>
                    <w:pStyle w:val="36"/>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蜥蜴科</w:t>
                  </w:r>
                </w:p>
              </w:tc>
              <w:tc>
                <w:tcPr>
                  <w:tcW w:w="957" w:type="pct"/>
                  <w:tcBorders>
                    <w:top w:val="single" w:color="auto" w:sz="4" w:space="0"/>
                    <w:left w:val="nil"/>
                    <w:bottom w:val="single" w:color="auto" w:sz="4" w:space="0"/>
                    <w:right w:val="single" w:color="auto" w:sz="4" w:space="0"/>
                  </w:tcBorders>
                  <w:noWrap w:val="0"/>
                  <w:vAlign w:val="center"/>
                </w:tcPr>
                <w:p>
                  <w:pPr>
                    <w:pStyle w:val="36"/>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rPr>
                    <w:t>蜥蜴</w:t>
                  </w:r>
                </w:p>
              </w:tc>
              <w:tc>
                <w:tcPr>
                  <w:tcW w:w="1666" w:type="pct"/>
                  <w:tcBorders>
                    <w:top w:val="single" w:color="auto" w:sz="4" w:space="0"/>
                    <w:left w:val="single" w:color="auto" w:sz="4" w:space="0"/>
                    <w:bottom w:val="single" w:color="auto" w:sz="4" w:space="0"/>
                  </w:tcBorders>
                  <w:noWrap w:val="0"/>
                  <w:vAlign w:val="center"/>
                </w:tcPr>
                <w:p>
                  <w:pPr>
                    <w:pStyle w:val="36"/>
                    <w:jc w:val="center"/>
                    <w:rPr>
                      <w:rFonts w:hint="default" w:ascii="Times New Roman" w:hAnsi="Times New Roman" w:eastAsia="宋体" w:cs="Times New Roman"/>
                      <w:i/>
                      <w:color w:val="auto"/>
                      <w:kern w:val="0"/>
                      <w:sz w:val="21"/>
                      <w:szCs w:val="21"/>
                      <w:lang w:val="en-US" w:eastAsia="en-US" w:bidi="ar-SA"/>
                    </w:rPr>
                  </w:pPr>
                  <w:r>
                    <w:rPr>
                      <w:rFonts w:hint="default" w:ascii="Times New Roman" w:hAnsi="Times New Roman" w:eastAsia="宋体" w:cs="Times New Roman"/>
                      <w:i/>
                      <w:color w:val="auto"/>
                      <w:sz w:val="21"/>
                      <w:szCs w:val="21"/>
                    </w:rPr>
                    <w:t>Lizard</w:t>
                  </w:r>
                </w:p>
              </w:tc>
            </w:tr>
          </w:tbl>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根据资料收集分析，并结合现场观察和访问，工程所处区</w:t>
            </w:r>
            <w:r>
              <w:rPr>
                <w:rFonts w:hint="eastAsia" w:ascii="Times New Roman" w:hAnsi="Times New Roman" w:eastAsia="宋体" w:cs="Times New Roman"/>
                <w:b w:val="0"/>
                <w:bCs w:val="0"/>
                <w:color w:val="auto"/>
                <w:kern w:val="2"/>
                <w:sz w:val="24"/>
                <w:szCs w:val="24"/>
                <w:highlight w:val="none"/>
                <w:lang w:val="en-US" w:eastAsia="zh-CN" w:bidi="ar-SA"/>
              </w:rPr>
              <w:t>域动物群系基本为荒漠常见群系，以小型哺乳类</w:t>
            </w:r>
            <w:r>
              <w:rPr>
                <w:rFonts w:hint="eastAsia" w:cs="Times New Roman"/>
                <w:b w:val="0"/>
                <w:bCs w:val="0"/>
                <w:color w:val="auto"/>
                <w:kern w:val="2"/>
                <w:sz w:val="24"/>
                <w:szCs w:val="24"/>
                <w:highlight w:val="none"/>
                <w:lang w:val="en-US" w:eastAsia="zh-CN" w:bidi="ar-SA"/>
              </w:rPr>
              <w:t>、爬行类</w:t>
            </w:r>
            <w:r>
              <w:rPr>
                <w:rFonts w:hint="eastAsia" w:ascii="Times New Roman" w:hAnsi="Times New Roman" w:eastAsia="宋体" w:cs="Times New Roman"/>
                <w:b w:val="0"/>
                <w:bCs w:val="0"/>
                <w:color w:val="auto"/>
                <w:kern w:val="2"/>
                <w:sz w:val="24"/>
                <w:szCs w:val="24"/>
                <w:highlight w:val="none"/>
                <w:lang w:val="en-US" w:eastAsia="zh-CN" w:bidi="ar-SA"/>
              </w:rPr>
              <w:t>为主</w:t>
            </w:r>
            <w:r>
              <w:rPr>
                <w:rFonts w:hint="eastAsia"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项目勘探区未涉及珍稀动物的集中分布区和越冬栖息地。</w:t>
            </w:r>
          </w:p>
          <w:p>
            <w:pPr>
              <w:pStyle w:val="7"/>
              <w:pageBreakBefore w:val="0"/>
              <w:widowControl/>
              <w:kinsoku/>
              <w:wordWrap/>
              <w:overflowPunct/>
              <w:topLinePunct w:val="0"/>
              <w:autoSpaceDE/>
              <w:autoSpaceDN/>
              <w:bidi w:val="0"/>
              <w:adjustRightInd/>
              <w:snapToGrid/>
              <w:spacing w:before="0" w:after="0" w:line="520" w:lineRule="exact"/>
              <w:ind w:firstLine="482" w:firstLineChars="200"/>
              <w:textAlignment w:val="auto"/>
              <w:outlineLvl w:val="2"/>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2.3土地利用现状</w:t>
            </w:r>
          </w:p>
          <w:p>
            <w:pPr>
              <w:pStyle w:val="33"/>
              <w:ind w:firstLine="480" w:firstLineChars="200"/>
              <w:rPr>
                <w:rFonts w:hint="eastAsia" w:ascii="Times New Roman" w:hAnsi="Times New Roman" w:eastAsia="宋体" w:cs="Times New Roman"/>
                <w:b w:val="0"/>
                <w:bCs w:val="0"/>
                <w:color w:val="auto"/>
                <w:kern w:val="2"/>
                <w:sz w:val="24"/>
                <w:szCs w:val="24"/>
                <w:highlight w:val="none"/>
                <w:lang w:val="en-US" w:eastAsia="zh-CN" w:bidi="ar-SA"/>
              </w:rPr>
            </w:pPr>
            <w:r>
              <w:rPr>
                <w:rFonts w:hint="eastAsia" w:cs="Times New Roman"/>
                <w:b w:val="0"/>
                <w:bCs w:val="0"/>
                <w:color w:val="auto"/>
                <w:kern w:val="2"/>
                <w:sz w:val="24"/>
                <w:szCs w:val="24"/>
                <w:highlight w:val="none"/>
                <w:lang w:val="en-US" w:eastAsia="zh-CN" w:bidi="ar-SA"/>
              </w:rPr>
              <w:t>本项目位于且末县，</w:t>
            </w:r>
            <w:r>
              <w:rPr>
                <w:rFonts w:hint="eastAsia" w:ascii="Times New Roman" w:hAnsi="Times New Roman" w:eastAsia="宋体" w:cs="Times New Roman"/>
                <w:b w:val="0"/>
                <w:bCs w:val="0"/>
                <w:color w:val="auto"/>
                <w:kern w:val="2"/>
                <w:sz w:val="24"/>
                <w:szCs w:val="24"/>
                <w:highlight w:val="none"/>
                <w:lang w:val="en-US" w:eastAsia="zh-CN" w:bidi="ar-SA"/>
              </w:rPr>
              <w:t>土地利用现状</w:t>
            </w:r>
            <w:r>
              <w:rPr>
                <w:rFonts w:hint="eastAsia" w:cs="Times New Roman"/>
                <w:b w:val="0"/>
                <w:bCs w:val="0"/>
                <w:color w:val="auto"/>
                <w:kern w:val="2"/>
                <w:sz w:val="24"/>
                <w:szCs w:val="24"/>
                <w:highlight w:val="none"/>
                <w:lang w:val="en-US" w:eastAsia="zh-CN" w:bidi="ar-SA"/>
              </w:rPr>
              <w:t>主要为裸岩石砾地和其他草地，土地利用现状</w:t>
            </w:r>
            <w:r>
              <w:rPr>
                <w:rFonts w:hint="eastAsia" w:ascii="Times New Roman" w:hAnsi="Times New Roman" w:eastAsia="宋体" w:cs="Times New Roman"/>
                <w:b w:val="0"/>
                <w:bCs w:val="0"/>
                <w:color w:val="auto"/>
                <w:kern w:val="2"/>
                <w:sz w:val="24"/>
                <w:szCs w:val="24"/>
                <w:highlight w:val="none"/>
                <w:lang w:val="en-US" w:eastAsia="zh-CN" w:bidi="ar-SA"/>
              </w:rPr>
              <w:t>见</w:t>
            </w:r>
            <w:r>
              <w:rPr>
                <w:rFonts w:hint="eastAsia" w:cs="Times New Roman"/>
                <w:b w:val="0"/>
                <w:bCs w:val="0"/>
                <w:color w:val="auto"/>
                <w:kern w:val="2"/>
                <w:sz w:val="24"/>
                <w:szCs w:val="24"/>
                <w:highlight w:val="none"/>
                <w:lang w:val="en-US" w:eastAsia="zh-CN" w:bidi="ar-SA"/>
              </w:rPr>
              <w:t>附</w:t>
            </w:r>
            <w:r>
              <w:rPr>
                <w:rFonts w:hint="eastAsia" w:ascii="Times New Roman" w:hAnsi="Times New Roman" w:eastAsia="宋体" w:cs="Times New Roman"/>
                <w:b w:val="0"/>
                <w:bCs w:val="0"/>
                <w:color w:val="auto"/>
                <w:kern w:val="2"/>
                <w:sz w:val="24"/>
                <w:szCs w:val="24"/>
                <w:highlight w:val="none"/>
                <w:lang w:val="en-US" w:eastAsia="zh-CN" w:bidi="ar-SA"/>
              </w:rPr>
              <w:t>图</w:t>
            </w:r>
            <w:r>
              <w:rPr>
                <w:rFonts w:hint="eastAsia" w:cs="Times New Roman"/>
                <w:b w:val="0"/>
                <w:bCs w:val="0"/>
                <w:color w:val="auto"/>
                <w:kern w:val="2"/>
                <w:sz w:val="24"/>
                <w:szCs w:val="24"/>
                <w:highlight w:val="none"/>
                <w:lang w:val="en-US" w:eastAsia="zh-CN" w:bidi="ar-SA"/>
              </w:rPr>
              <w:t>5</w:t>
            </w:r>
            <w:r>
              <w:rPr>
                <w:rFonts w:hint="eastAsia" w:ascii="Times New Roman" w:hAnsi="Times New Roman" w:eastAsia="宋体" w:cs="Times New Roman"/>
                <w:b w:val="0"/>
                <w:bCs w:val="0"/>
                <w:color w:val="auto"/>
                <w:kern w:val="2"/>
                <w:sz w:val="24"/>
                <w:szCs w:val="24"/>
                <w:highlight w:val="none"/>
                <w:lang w:val="en-US" w:eastAsia="zh-CN" w:bidi="ar-SA"/>
              </w:rPr>
              <w:t>。</w:t>
            </w:r>
          </w:p>
          <w:p>
            <w:pPr>
              <w:pageBreakBefore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2.4水土流失现状调查</w:t>
            </w:r>
          </w:p>
          <w:p>
            <w:pPr>
              <w:pageBreakBefore w:val="0"/>
              <w:kinsoku/>
              <w:wordWrap/>
              <w:overflowPunct/>
              <w:topLinePunct w:val="0"/>
              <w:autoSpaceDE/>
              <w:autoSpaceDN/>
              <w:bidi w:val="0"/>
              <w:adjustRightInd/>
              <w:snapToGrid/>
              <w:spacing w:line="520" w:lineRule="exact"/>
              <w:ind w:firstLine="480" w:firstLineChars="200"/>
              <w:textAlignment w:val="auto"/>
              <w:rPr>
                <w:rFonts w:hint="default"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2024年且末县水土流失面积76382.25km</w:t>
            </w:r>
            <w:r>
              <w:rPr>
                <w:rFonts w:hint="default" w:ascii="Times New Roman" w:hAnsi="Times New Roman" w:eastAsia="宋体" w:cs="Times New Roman"/>
                <w:b w:val="0"/>
                <w:bCs w:val="0"/>
                <w:color w:val="auto"/>
                <w:kern w:val="2"/>
                <w:sz w:val="24"/>
                <w:szCs w:val="24"/>
                <w:highlight w:val="none"/>
                <w:vertAlign w:val="superscript"/>
                <w:lang w:val="en-US" w:eastAsia="zh-CN" w:bidi="ar-SA"/>
              </w:rPr>
              <w:t>2</w:t>
            </w:r>
            <w:r>
              <w:rPr>
                <w:rFonts w:hint="default" w:ascii="Times New Roman" w:hAnsi="Times New Roman" w:eastAsia="宋体" w:cs="Times New Roman"/>
                <w:b w:val="0"/>
                <w:bCs w:val="0"/>
                <w:color w:val="auto"/>
                <w:kern w:val="2"/>
                <w:sz w:val="24"/>
                <w:szCs w:val="24"/>
                <w:highlight w:val="none"/>
                <w:lang w:val="en-US" w:eastAsia="zh-CN" w:bidi="ar-SA"/>
              </w:rPr>
              <w:t>，占全县土地总面积的55.08%。其中水力侵蚀面积为26.03km</w:t>
            </w:r>
            <w:r>
              <w:rPr>
                <w:rFonts w:hint="default" w:ascii="Times New Roman" w:hAnsi="Times New Roman" w:eastAsia="宋体" w:cs="Times New Roman"/>
                <w:b w:val="0"/>
                <w:bCs w:val="0"/>
                <w:color w:val="auto"/>
                <w:kern w:val="2"/>
                <w:sz w:val="24"/>
                <w:szCs w:val="24"/>
                <w:highlight w:val="none"/>
                <w:vertAlign w:val="superscript"/>
                <w:lang w:val="en-US" w:eastAsia="zh-CN" w:bidi="ar-SA"/>
              </w:rPr>
              <w:t>2</w:t>
            </w:r>
            <w:r>
              <w:rPr>
                <w:rFonts w:hint="default" w:ascii="Times New Roman" w:hAnsi="Times New Roman" w:eastAsia="宋体" w:cs="Times New Roman"/>
                <w:b w:val="0"/>
                <w:bCs w:val="0"/>
                <w:color w:val="auto"/>
                <w:kern w:val="2"/>
                <w:sz w:val="24"/>
                <w:szCs w:val="24"/>
                <w:highlight w:val="none"/>
                <w:lang w:val="en-US" w:eastAsia="zh-CN" w:bidi="ar-SA"/>
              </w:rPr>
              <w:t>，占水土流失面积的0.03%</w:t>
            </w:r>
            <w:r>
              <w:rPr>
                <w:rFonts w:hint="eastAsia" w:cs="Times New Roman"/>
                <w:b w:val="0"/>
                <w:bCs w:val="0"/>
                <w:color w:val="auto"/>
                <w:kern w:val="2"/>
                <w:sz w:val="24"/>
                <w:szCs w:val="24"/>
                <w:highlight w:val="none"/>
                <w:lang w:val="en-US" w:eastAsia="zh-CN" w:bidi="ar-SA"/>
              </w:rPr>
              <w:t>；</w:t>
            </w:r>
            <w:r>
              <w:rPr>
                <w:rFonts w:hint="default" w:ascii="Times New Roman" w:hAnsi="Times New Roman" w:eastAsia="宋体" w:cs="Times New Roman"/>
                <w:b w:val="0"/>
                <w:bCs w:val="0"/>
                <w:color w:val="auto"/>
                <w:kern w:val="2"/>
                <w:sz w:val="24"/>
                <w:szCs w:val="24"/>
                <w:highlight w:val="none"/>
                <w:lang w:val="en-US" w:eastAsia="zh-CN" w:bidi="ar-SA"/>
              </w:rPr>
              <w:t>风力侵蚀面积为76356.22km</w:t>
            </w:r>
            <w:r>
              <w:rPr>
                <w:rFonts w:hint="default" w:ascii="Times New Roman" w:hAnsi="Times New Roman" w:eastAsia="宋体" w:cs="Times New Roman"/>
                <w:b w:val="0"/>
                <w:bCs w:val="0"/>
                <w:color w:val="auto"/>
                <w:kern w:val="2"/>
                <w:sz w:val="24"/>
                <w:szCs w:val="24"/>
                <w:highlight w:val="none"/>
                <w:vertAlign w:val="superscript"/>
                <w:lang w:val="en-US" w:eastAsia="zh-CN" w:bidi="ar-SA"/>
              </w:rPr>
              <w:t>2</w:t>
            </w:r>
            <w:r>
              <w:rPr>
                <w:rFonts w:hint="default" w:ascii="Times New Roman" w:hAnsi="Times New Roman" w:eastAsia="宋体" w:cs="Times New Roman"/>
                <w:b w:val="0"/>
                <w:bCs w:val="0"/>
                <w:color w:val="auto"/>
                <w:kern w:val="2"/>
                <w:sz w:val="24"/>
                <w:szCs w:val="24"/>
                <w:highlight w:val="none"/>
                <w:lang w:val="en-US" w:eastAsia="zh-CN" w:bidi="ar-SA"/>
              </w:rPr>
              <w:t>，占水土流失面积的99.97%。且末县2024年水土流失面积比2023年减少了87.06km</w:t>
            </w:r>
            <w:r>
              <w:rPr>
                <w:rFonts w:hint="default" w:ascii="Times New Roman" w:hAnsi="Times New Roman" w:eastAsia="宋体" w:cs="Times New Roman"/>
                <w:b w:val="0"/>
                <w:bCs w:val="0"/>
                <w:color w:val="auto"/>
                <w:kern w:val="2"/>
                <w:sz w:val="24"/>
                <w:szCs w:val="24"/>
                <w:highlight w:val="none"/>
                <w:vertAlign w:val="superscript"/>
                <w:lang w:val="en-US" w:eastAsia="zh-CN" w:bidi="ar-SA"/>
              </w:rPr>
              <w:t>2</w:t>
            </w:r>
            <w:r>
              <w:rPr>
                <w:rFonts w:hint="eastAsia" w:cs="Times New Roman"/>
                <w:b w:val="0"/>
                <w:bCs w:val="0"/>
                <w:color w:val="auto"/>
                <w:kern w:val="2"/>
                <w:sz w:val="24"/>
                <w:szCs w:val="24"/>
                <w:highlight w:val="none"/>
                <w:vertAlign w:val="baseline"/>
                <w:lang w:val="en-US" w:eastAsia="zh-CN" w:bidi="ar-SA"/>
              </w:rPr>
              <w:t>。</w:t>
            </w:r>
          </w:p>
          <w:p>
            <w:pPr>
              <w:pageBreakBefore w:val="0"/>
              <w:kinsoku/>
              <w:wordWrap/>
              <w:overflowPunct/>
              <w:topLinePunct w:val="0"/>
              <w:autoSpaceDE/>
              <w:autoSpaceDN/>
              <w:bidi w:val="0"/>
              <w:adjustRightInd/>
              <w:snapToGrid/>
              <w:spacing w:line="520" w:lineRule="exact"/>
              <w:ind w:firstLine="482" w:firstLineChars="200"/>
              <w:textAlignment w:val="auto"/>
              <w:rPr>
                <w:rFonts w:hint="eastAsia" w:cs="Times New Roman"/>
                <w:b/>
                <w:bCs/>
                <w:color w:val="auto"/>
                <w:kern w:val="2"/>
                <w:sz w:val="24"/>
                <w:szCs w:val="24"/>
                <w:highlight w:val="none"/>
                <w:vertAlign w:val="baseline"/>
                <w:lang w:val="en-US" w:eastAsia="zh-CN" w:bidi="ar-SA"/>
              </w:rPr>
            </w:pPr>
            <w:r>
              <w:rPr>
                <w:rFonts w:hint="eastAsia" w:cs="Times New Roman"/>
                <w:b/>
                <w:bCs/>
                <w:color w:val="auto"/>
                <w:kern w:val="2"/>
                <w:sz w:val="24"/>
                <w:szCs w:val="24"/>
                <w:highlight w:val="none"/>
                <w:vertAlign w:val="baseline"/>
                <w:lang w:val="en-US" w:eastAsia="zh-CN" w:bidi="ar-SA"/>
              </w:rPr>
              <w:t>2.5沙化土地现状</w:t>
            </w:r>
          </w:p>
          <w:p>
            <w:pPr>
              <w:pageBreakBefore w:val="0"/>
              <w:kinsoku/>
              <w:wordWrap/>
              <w:overflowPunct/>
              <w:topLinePunct w:val="0"/>
              <w:autoSpaceDE/>
              <w:autoSpaceDN/>
              <w:bidi w:val="0"/>
              <w:adjustRightInd/>
              <w:snapToGrid/>
              <w:spacing w:line="520" w:lineRule="exact"/>
              <w:ind w:firstLine="480" w:firstLineChars="200"/>
              <w:textAlignment w:val="auto"/>
              <w:rPr>
                <w:rFonts w:hint="default"/>
                <w:highlight w:val="none"/>
                <w:lang w:val="en-US" w:eastAsia="zh-CN"/>
              </w:rPr>
            </w:pPr>
            <w:r>
              <w:rPr>
                <w:rFonts w:hint="eastAsia" w:ascii="Times New Roman" w:hAnsi="Times New Roman" w:eastAsia="宋体" w:cs="Times New Roman"/>
                <w:color w:val="000000"/>
                <w:sz w:val="24"/>
                <w:szCs w:val="24"/>
                <w:highlight w:val="none"/>
                <w:lang w:val="en-US" w:eastAsia="zh-CN"/>
              </w:rPr>
              <w:t>从《</w:t>
            </w:r>
            <w:r>
              <w:rPr>
                <w:rFonts w:hint="default" w:ascii="Times New Roman" w:hAnsi="Times New Roman" w:eastAsia="宋体" w:cs="Times New Roman"/>
                <w:color w:val="000000"/>
                <w:sz w:val="24"/>
                <w:szCs w:val="24"/>
                <w:highlight w:val="none"/>
                <w:lang w:val="en-US" w:eastAsia="zh-CN"/>
              </w:rPr>
              <w:t>新疆第六次沙化监测报告</w:t>
            </w:r>
            <w:r>
              <w:rPr>
                <w:rFonts w:hint="eastAsia" w:ascii="Times New Roman" w:hAnsi="Times New Roman" w:eastAsia="宋体" w:cs="Times New Roman"/>
                <w:color w:val="000000"/>
                <w:sz w:val="24"/>
                <w:szCs w:val="24"/>
                <w:highlight w:val="none"/>
                <w:lang w:val="en-US" w:eastAsia="zh-CN"/>
              </w:rPr>
              <w:t>》中分析，</w:t>
            </w:r>
            <w:r>
              <w:rPr>
                <w:rFonts w:hint="eastAsia" w:cs="Times New Roman"/>
                <w:b w:val="0"/>
                <w:bCs w:val="0"/>
                <w:color w:val="auto"/>
                <w:kern w:val="2"/>
                <w:sz w:val="24"/>
                <w:szCs w:val="24"/>
                <w:highlight w:val="none"/>
                <w:vertAlign w:val="baseline"/>
                <w:lang w:val="en-US" w:eastAsia="zh-CN" w:bidi="ar-SA"/>
              </w:rPr>
              <w:t>项目区属于非沙化土地，项目区沙化土地现状见附图7。</w:t>
            </w:r>
          </w:p>
          <w:p>
            <w:pPr>
              <w:keepNext w:val="0"/>
              <w:keepLines w:val="0"/>
              <w:pageBreakBefore w:val="0"/>
              <w:widowControl w:val="0"/>
              <w:kinsoku/>
              <w:wordWrap/>
              <w:overflowPunct/>
              <w:topLinePunct w:val="0"/>
              <w:autoSpaceDE/>
              <w:autoSpaceDN/>
              <w:bidi w:val="0"/>
              <w:adjustRightInd/>
              <w:snapToGrid/>
              <w:spacing w:line="520" w:lineRule="exact"/>
              <w:ind w:right="0"/>
              <w:textAlignment w:val="auto"/>
              <w:rPr>
                <w:rFonts w:hint="eastAsia" w:ascii="Times New Roman" w:hAnsi="Times New Roman" w:eastAsia="宋体" w:cs="Times New Roman"/>
                <w:b/>
                <w:color w:val="auto"/>
                <w:kern w:val="0"/>
                <w:sz w:val="24"/>
                <w:szCs w:val="24"/>
                <w:highlight w:val="none"/>
                <w:lang w:val="en-US" w:eastAsia="zh-CN"/>
              </w:rPr>
            </w:pPr>
            <w:r>
              <w:rPr>
                <w:rFonts w:hint="eastAsia" w:cs="Arial"/>
                <w:b/>
                <w:bCs/>
                <w:sz w:val="24"/>
                <w:szCs w:val="24"/>
                <w:highlight w:val="none"/>
                <w:lang w:eastAsia="zh-CN"/>
              </w:rPr>
              <w:t>二</w:t>
            </w:r>
            <w:r>
              <w:rPr>
                <w:rFonts w:hint="eastAsia" w:cs="Arial"/>
                <w:b/>
                <w:bCs/>
                <w:sz w:val="24"/>
                <w:szCs w:val="24"/>
                <w:highlight w:val="none"/>
              </w:rPr>
              <w:t>、大气环境质量现状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根据《建设项目环境影响报告表编制技术指南（试行）》（生态影响类）</w:t>
            </w:r>
            <w:r>
              <w:rPr>
                <w:rFonts w:hint="eastAsia" w:ascii="宋体" w:hAnsi="宋体" w:eastAsia="宋体" w:cs="宋体"/>
                <w:color w:val="auto"/>
                <w:sz w:val="24"/>
                <w:highlight w:val="none"/>
                <w:lang w:val="en-US" w:eastAsia="zh-CN"/>
              </w:rPr>
              <w:t>“不开展专项评价的环境要素，引用与项目距离近的有效数据和调查资料，包括符合时限要求的规划环境影响评价监测数据和调查资料，国家、地方环境质量监测网数据或生态环境主管部门公开发布的生态环境质量数据等”</w:t>
            </w:r>
            <w:r>
              <w:rPr>
                <w:rFonts w:hint="eastAsia" w:ascii="宋体" w:hAnsi="宋体" w:eastAsia="宋体" w:cs="宋体"/>
                <w:color w:val="auto"/>
                <w:kern w:val="0"/>
                <w:sz w:val="24"/>
                <w:szCs w:val="24"/>
                <w:highlight w:val="none"/>
              </w:rPr>
              <w:t>，项目所在区域目前没有国家和地方生态环境部门公开发布的评价基准年环境质量公告</w:t>
            </w:r>
            <w:r>
              <w:rPr>
                <w:rFonts w:hint="eastAsia" w:ascii="宋体" w:hAnsi="宋体" w:eastAsia="宋体" w:cs="宋体"/>
                <w:color w:val="auto"/>
                <w:kern w:val="0"/>
                <w:sz w:val="24"/>
                <w:szCs w:val="24"/>
                <w:highlight w:val="none"/>
                <w:lang w:val="en-US" w:eastAsia="zh-CN"/>
              </w:rPr>
              <w:t>或环境质量报告中的数据，</w:t>
            </w:r>
            <w:r>
              <w:rPr>
                <w:rFonts w:hint="default" w:ascii="Times New Roman" w:hAnsi="Times New Roman" w:cs="Times New Roman"/>
                <w:bCs/>
                <w:color w:val="auto"/>
                <w:sz w:val="24"/>
                <w:szCs w:val="24"/>
                <w:highlight w:val="none"/>
              </w:rPr>
              <w:t>本次选用</w:t>
            </w:r>
            <w:r>
              <w:rPr>
                <w:rFonts w:hint="default" w:ascii="Times New Roman" w:hAnsi="Times New Roman" w:cs="Times New Roman"/>
                <w:bCs/>
                <w:color w:val="auto"/>
                <w:sz w:val="24"/>
                <w:szCs w:val="24"/>
                <w:highlight w:val="none"/>
                <w:lang w:eastAsia="zh-CN"/>
              </w:rPr>
              <w:t>且末县</w:t>
            </w:r>
            <w:r>
              <w:rPr>
                <w:rFonts w:hint="default" w:ascii="Times New Roman" w:hAnsi="Times New Roman" w:cs="Times New Roman"/>
                <w:bCs/>
                <w:color w:val="auto"/>
                <w:sz w:val="24"/>
                <w:szCs w:val="24"/>
                <w:highlight w:val="none"/>
                <w:lang w:val="en-US" w:eastAsia="zh-CN"/>
              </w:rPr>
              <w:t>空气自动</w:t>
            </w:r>
            <w:r>
              <w:rPr>
                <w:rFonts w:hint="default" w:ascii="Times New Roman" w:hAnsi="Times New Roman" w:cs="Times New Roman"/>
                <w:bCs/>
                <w:color w:val="auto"/>
                <w:sz w:val="24"/>
                <w:szCs w:val="24"/>
                <w:highlight w:val="none"/>
              </w:rPr>
              <w:t>监测站20</w:t>
            </w:r>
            <w:r>
              <w:rPr>
                <w:rFonts w:hint="default" w:ascii="Times New Roman" w:hAnsi="Times New Roman" w:cs="Times New Roman"/>
                <w:bCs/>
                <w:color w:val="auto"/>
                <w:sz w:val="24"/>
                <w:szCs w:val="24"/>
                <w:highlight w:val="none"/>
                <w:lang w:val="en-US" w:eastAsia="zh-CN"/>
              </w:rPr>
              <w:t>2</w:t>
            </w:r>
            <w:r>
              <w:rPr>
                <w:rFonts w:hint="eastAsia" w:cs="Times New Roman"/>
                <w:bCs/>
                <w:color w:val="auto"/>
                <w:sz w:val="24"/>
                <w:szCs w:val="24"/>
                <w:highlight w:val="none"/>
                <w:lang w:val="en-US" w:eastAsia="zh-CN"/>
              </w:rPr>
              <w:t>4</w:t>
            </w:r>
            <w:r>
              <w:rPr>
                <w:rFonts w:hint="default" w:ascii="Times New Roman" w:hAnsi="Times New Roman" w:cs="Times New Roman"/>
                <w:bCs/>
                <w:color w:val="auto"/>
                <w:sz w:val="24"/>
                <w:szCs w:val="24"/>
                <w:highlight w:val="none"/>
              </w:rPr>
              <w:t>年的监测数据。环境空气质量达标情况评价指标为SO</w:t>
            </w:r>
            <w:r>
              <w:rPr>
                <w:rFonts w:hint="default" w:ascii="Times New Roman" w:hAnsi="Times New Roman" w:cs="Times New Roman"/>
                <w:bCs/>
                <w:color w:val="auto"/>
                <w:sz w:val="24"/>
                <w:szCs w:val="24"/>
                <w:highlight w:val="none"/>
                <w:vertAlign w:val="subscript"/>
              </w:rPr>
              <w:t>2</w:t>
            </w:r>
            <w:r>
              <w:rPr>
                <w:rFonts w:hint="default" w:ascii="Times New Roman" w:hAnsi="Times New Roman" w:cs="Times New Roman"/>
                <w:bCs/>
                <w:color w:val="auto"/>
                <w:sz w:val="24"/>
                <w:szCs w:val="24"/>
                <w:highlight w:val="none"/>
              </w:rPr>
              <w:t>、NO</w:t>
            </w:r>
            <w:r>
              <w:rPr>
                <w:rFonts w:hint="default" w:ascii="Times New Roman" w:hAnsi="Times New Roman" w:cs="Times New Roman"/>
                <w:bCs/>
                <w:color w:val="auto"/>
                <w:sz w:val="24"/>
                <w:szCs w:val="24"/>
                <w:highlight w:val="none"/>
                <w:vertAlign w:val="subscript"/>
              </w:rPr>
              <w:t>2</w:t>
            </w:r>
            <w:r>
              <w:rPr>
                <w:rFonts w:hint="default" w:ascii="Times New Roman" w:hAnsi="Times New Roman" w:cs="Times New Roman"/>
                <w:bCs/>
                <w:color w:val="auto"/>
                <w:sz w:val="24"/>
                <w:szCs w:val="24"/>
                <w:highlight w:val="none"/>
              </w:rPr>
              <w:t>、PM</w:t>
            </w:r>
            <w:r>
              <w:rPr>
                <w:rFonts w:hint="default" w:ascii="Times New Roman" w:hAnsi="Times New Roman" w:cs="Times New Roman"/>
                <w:bCs/>
                <w:color w:val="auto"/>
                <w:sz w:val="24"/>
                <w:szCs w:val="24"/>
                <w:highlight w:val="none"/>
                <w:vertAlign w:val="subscript"/>
              </w:rPr>
              <w:t>10</w:t>
            </w:r>
            <w:r>
              <w:rPr>
                <w:rFonts w:hint="default" w:ascii="Times New Roman" w:hAnsi="Times New Roman" w:cs="Times New Roman"/>
                <w:bCs/>
                <w:color w:val="auto"/>
                <w:sz w:val="24"/>
                <w:szCs w:val="24"/>
                <w:highlight w:val="none"/>
              </w:rPr>
              <w:t>、PM</w:t>
            </w:r>
            <w:r>
              <w:rPr>
                <w:rFonts w:hint="default" w:ascii="Times New Roman" w:hAnsi="Times New Roman" w:cs="Times New Roman"/>
                <w:bCs/>
                <w:color w:val="auto"/>
                <w:sz w:val="24"/>
                <w:szCs w:val="24"/>
                <w:highlight w:val="none"/>
                <w:vertAlign w:val="subscript"/>
              </w:rPr>
              <w:t>2.5</w:t>
            </w:r>
            <w:r>
              <w:rPr>
                <w:rFonts w:hint="default" w:ascii="Times New Roman" w:hAnsi="Times New Roman" w:cs="Times New Roman"/>
                <w:bCs/>
                <w:color w:val="auto"/>
                <w:sz w:val="24"/>
                <w:szCs w:val="24"/>
                <w:highlight w:val="none"/>
              </w:rPr>
              <w:t>、CO和O</w:t>
            </w:r>
            <w:r>
              <w:rPr>
                <w:rFonts w:hint="default" w:ascii="Times New Roman" w:hAnsi="Times New Roman" w:cs="Times New Roman"/>
                <w:bCs/>
                <w:color w:val="auto"/>
                <w:sz w:val="24"/>
                <w:szCs w:val="24"/>
                <w:highlight w:val="none"/>
                <w:vertAlign w:val="subscript"/>
              </w:rPr>
              <w:t>3</w:t>
            </w:r>
            <w:r>
              <w:rPr>
                <w:rFonts w:hint="default" w:ascii="Times New Roman" w:hAnsi="Times New Roman" w:cs="Times New Roman"/>
                <w:bCs/>
                <w:color w:val="auto"/>
                <w:sz w:val="24"/>
                <w:szCs w:val="24"/>
                <w:highlight w:val="none"/>
              </w:rPr>
              <w:t>等6项基本污染物数据来源。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480" w:firstLineChars="200"/>
              <w:jc w:val="left"/>
              <w:textAlignment w:val="auto"/>
              <w:rPr>
                <w:rFonts w:hint="default" w:ascii="Times New Roman" w:hAnsi="Times New Roman" w:eastAsia="宋体" w:cs="Times New Roman"/>
                <w:color w:val="auto"/>
                <w:kern w:val="0"/>
                <w:sz w:val="24"/>
                <w:szCs w:val="24"/>
                <w:highlight w:val="none"/>
              </w:rPr>
            </w:pPr>
            <w:r>
              <w:rPr>
                <w:rFonts w:hint="eastAsia" w:cs="Times New Roman"/>
                <w:color w:val="auto"/>
                <w:kern w:val="0"/>
                <w:sz w:val="24"/>
                <w:szCs w:val="24"/>
                <w:highlight w:val="none"/>
                <w:lang w:eastAsia="zh-CN"/>
              </w:rPr>
              <w:t>（</w:t>
            </w:r>
            <w:r>
              <w:rPr>
                <w:rFonts w:hint="eastAsia" w:cs="Times New Roman"/>
                <w:color w:val="auto"/>
                <w:kern w:val="0"/>
                <w:sz w:val="24"/>
                <w:szCs w:val="24"/>
                <w:highlight w:val="none"/>
                <w:lang w:val="en-US" w:eastAsia="zh-CN"/>
              </w:rPr>
              <w:t>1</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监测点位：</w:t>
            </w:r>
            <w:r>
              <w:rPr>
                <w:rFonts w:hint="default" w:ascii="Times New Roman" w:hAnsi="Times New Roman" w:eastAsia="宋体" w:cs="Times New Roman"/>
                <w:color w:val="auto"/>
                <w:kern w:val="0"/>
                <w:sz w:val="24"/>
                <w:szCs w:val="24"/>
                <w:highlight w:val="none"/>
                <w:lang w:eastAsia="zh-CN"/>
              </w:rPr>
              <w:t>且末县</w:t>
            </w:r>
            <w:r>
              <w:rPr>
                <w:rFonts w:hint="default" w:ascii="Times New Roman" w:hAnsi="Times New Roman" w:eastAsia="宋体" w:cs="Times New Roman"/>
                <w:color w:val="auto"/>
                <w:kern w:val="0"/>
                <w:sz w:val="24"/>
                <w:szCs w:val="24"/>
                <w:highlight w:val="none"/>
              </w:rPr>
              <w:t>环境空气自动监测站。</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480" w:firstLineChars="200"/>
              <w:jc w:val="left"/>
              <w:textAlignment w:val="auto"/>
              <w:rPr>
                <w:rFonts w:hint="default" w:ascii="Times New Roman" w:hAnsi="Times New Roman" w:eastAsia="宋体" w:cs="Times New Roman"/>
                <w:color w:val="auto"/>
                <w:kern w:val="0"/>
                <w:sz w:val="24"/>
                <w:szCs w:val="24"/>
                <w:highlight w:val="none"/>
              </w:rPr>
            </w:pPr>
            <w:r>
              <w:rPr>
                <w:rFonts w:hint="eastAsia" w:cs="Times New Roman"/>
                <w:color w:val="auto"/>
                <w:kern w:val="0"/>
                <w:sz w:val="24"/>
                <w:szCs w:val="24"/>
                <w:highlight w:val="none"/>
                <w:lang w:eastAsia="zh-CN"/>
              </w:rPr>
              <w:t>（</w:t>
            </w:r>
            <w:r>
              <w:rPr>
                <w:rFonts w:hint="eastAsia" w:cs="Times New Roman"/>
                <w:color w:val="auto"/>
                <w:kern w:val="0"/>
                <w:sz w:val="24"/>
                <w:szCs w:val="24"/>
                <w:highlight w:val="none"/>
                <w:lang w:val="en-US" w:eastAsia="zh-CN"/>
              </w:rPr>
              <w:t>2</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监测项目：二氧化硫（SO</w:t>
            </w:r>
            <w:r>
              <w:rPr>
                <w:rFonts w:hint="default" w:ascii="Times New Roman" w:hAnsi="Times New Roman" w:eastAsia="宋体" w:cs="Times New Roman"/>
                <w:color w:val="auto"/>
                <w:kern w:val="0"/>
                <w:sz w:val="24"/>
                <w:szCs w:val="24"/>
                <w:highlight w:val="none"/>
                <w:vertAlign w:val="subscript"/>
              </w:rPr>
              <w:t>2</w:t>
            </w:r>
            <w:r>
              <w:rPr>
                <w:rFonts w:hint="default" w:ascii="Times New Roman" w:hAnsi="Times New Roman" w:eastAsia="宋体" w:cs="Times New Roman"/>
                <w:color w:val="auto"/>
                <w:kern w:val="0"/>
                <w:sz w:val="24"/>
                <w:szCs w:val="24"/>
                <w:highlight w:val="none"/>
              </w:rPr>
              <w:t>）、二氧化氮（NO</w:t>
            </w:r>
            <w:r>
              <w:rPr>
                <w:rFonts w:hint="default" w:ascii="Times New Roman" w:hAnsi="Times New Roman" w:eastAsia="宋体" w:cs="Times New Roman"/>
                <w:color w:val="auto"/>
                <w:kern w:val="0"/>
                <w:sz w:val="24"/>
                <w:szCs w:val="24"/>
                <w:highlight w:val="none"/>
                <w:vertAlign w:val="subscript"/>
              </w:rPr>
              <w:t>2</w:t>
            </w:r>
            <w:r>
              <w:rPr>
                <w:rFonts w:hint="default" w:ascii="Times New Roman" w:hAnsi="Times New Roman" w:eastAsia="宋体" w:cs="Times New Roman"/>
                <w:color w:val="auto"/>
                <w:kern w:val="0"/>
                <w:sz w:val="24"/>
                <w:szCs w:val="24"/>
                <w:highlight w:val="none"/>
              </w:rPr>
              <w:t>）、可吸入颗粒物（PM</w:t>
            </w:r>
            <w:r>
              <w:rPr>
                <w:rFonts w:hint="default" w:ascii="Times New Roman" w:hAnsi="Times New Roman" w:eastAsia="宋体" w:cs="Times New Roman"/>
                <w:color w:val="auto"/>
                <w:kern w:val="0"/>
                <w:sz w:val="24"/>
                <w:szCs w:val="24"/>
                <w:highlight w:val="none"/>
                <w:vertAlign w:val="subscript"/>
              </w:rPr>
              <w:t>10</w:t>
            </w:r>
            <w:r>
              <w:rPr>
                <w:rFonts w:hint="default" w:ascii="Times New Roman" w:hAnsi="Times New Roman" w:eastAsia="宋体" w:cs="Times New Roman"/>
                <w:color w:val="auto"/>
                <w:kern w:val="0"/>
                <w:sz w:val="24"/>
                <w:szCs w:val="24"/>
                <w:highlight w:val="none"/>
              </w:rPr>
              <w:t>）、一氧化碳（CO）、臭氧（O</w:t>
            </w:r>
            <w:r>
              <w:rPr>
                <w:rFonts w:hint="default" w:ascii="Times New Roman" w:hAnsi="Times New Roman" w:eastAsia="宋体" w:cs="Times New Roman"/>
                <w:color w:val="auto"/>
                <w:kern w:val="0"/>
                <w:sz w:val="24"/>
                <w:szCs w:val="24"/>
                <w:highlight w:val="none"/>
                <w:vertAlign w:val="subscript"/>
              </w:rPr>
              <w:t>3</w:t>
            </w:r>
            <w:r>
              <w:rPr>
                <w:rFonts w:hint="default" w:ascii="Times New Roman" w:hAnsi="Times New Roman" w:eastAsia="宋体" w:cs="Times New Roman"/>
                <w:color w:val="auto"/>
                <w:kern w:val="0"/>
                <w:sz w:val="24"/>
                <w:szCs w:val="24"/>
                <w:highlight w:val="none"/>
              </w:rPr>
              <w:t>）、细颗粒物（PM</w:t>
            </w:r>
            <w:r>
              <w:rPr>
                <w:rFonts w:hint="default" w:ascii="Times New Roman" w:hAnsi="Times New Roman" w:eastAsia="宋体" w:cs="Times New Roman"/>
                <w:color w:val="auto"/>
                <w:kern w:val="0"/>
                <w:sz w:val="24"/>
                <w:szCs w:val="24"/>
                <w:highlight w:val="none"/>
                <w:vertAlign w:val="subscript"/>
              </w:rPr>
              <w:t>2.5</w:t>
            </w:r>
            <w:r>
              <w:rPr>
                <w:rFonts w:hint="default" w:ascii="Times New Roman" w:hAnsi="Times New Roman" w:eastAsia="宋体" w:cs="Times New Roman"/>
                <w:color w:val="auto"/>
                <w:kern w:val="0"/>
                <w:sz w:val="24"/>
                <w:szCs w:val="24"/>
                <w:highlight w:val="none"/>
              </w:rPr>
              <w:t>）六项。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firstLine="480" w:firstLineChars="200"/>
              <w:jc w:val="left"/>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eastAsia="zh-CN"/>
              </w:rPr>
              <w:t>（</w:t>
            </w:r>
            <w:r>
              <w:rPr>
                <w:rFonts w:hint="eastAsia" w:cs="Times New Roman"/>
                <w:color w:val="auto"/>
                <w:kern w:val="0"/>
                <w:sz w:val="24"/>
                <w:szCs w:val="24"/>
                <w:highlight w:val="none"/>
                <w:lang w:val="en-US" w:eastAsia="zh-CN"/>
              </w:rPr>
              <w:t>3</w:t>
            </w:r>
            <w:r>
              <w:rPr>
                <w:rFonts w:hint="eastAsia"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监测时间：根据</w:t>
            </w:r>
            <w:r>
              <w:rPr>
                <w:rFonts w:hint="default" w:ascii="Times New Roman" w:hAnsi="Times New Roman" w:eastAsia="宋体" w:cs="Times New Roman"/>
                <w:color w:val="auto"/>
                <w:kern w:val="0"/>
                <w:sz w:val="24"/>
                <w:szCs w:val="24"/>
                <w:highlight w:val="none"/>
                <w:lang w:val="en-US" w:eastAsia="zh-CN"/>
              </w:rPr>
              <w:t>且末县</w:t>
            </w:r>
            <w:r>
              <w:rPr>
                <w:rFonts w:hint="default" w:ascii="Times New Roman" w:hAnsi="Times New Roman" w:eastAsia="宋体" w:cs="Times New Roman"/>
                <w:color w:val="auto"/>
                <w:kern w:val="0"/>
                <w:sz w:val="24"/>
                <w:szCs w:val="24"/>
                <w:highlight w:val="none"/>
              </w:rPr>
              <w:t>空气质量自动监测站评价基准年（20</w:t>
            </w:r>
            <w:r>
              <w:rPr>
                <w:rFonts w:hint="default" w:ascii="Times New Roman" w:hAnsi="Times New Roman" w:eastAsia="宋体" w:cs="Times New Roman"/>
                <w:color w:val="auto"/>
                <w:kern w:val="0"/>
                <w:sz w:val="24"/>
                <w:szCs w:val="24"/>
                <w:highlight w:val="none"/>
                <w:lang w:val="en-US" w:eastAsia="zh-CN"/>
              </w:rPr>
              <w:t>2</w:t>
            </w:r>
            <w:r>
              <w:rPr>
                <w:rFonts w:hint="eastAsia" w:cs="Times New Roman"/>
                <w:color w:val="auto"/>
                <w:kern w:val="0"/>
                <w:sz w:val="24"/>
                <w:szCs w:val="24"/>
                <w:highlight w:val="none"/>
                <w:lang w:val="en-US" w:eastAsia="zh-CN"/>
              </w:rPr>
              <w:t>4</w:t>
            </w:r>
            <w:r>
              <w:rPr>
                <w:rFonts w:hint="default" w:ascii="Times New Roman" w:hAnsi="Times New Roman" w:eastAsia="宋体" w:cs="Times New Roman"/>
                <w:color w:val="auto"/>
                <w:kern w:val="0"/>
                <w:sz w:val="24"/>
                <w:szCs w:val="24"/>
                <w:highlight w:val="none"/>
              </w:rPr>
              <w:t>）连续一年的监测数据</w:t>
            </w:r>
            <w:r>
              <w:rPr>
                <w:rFonts w:hint="eastAsia"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空气质量达标区判定结果见表</w:t>
            </w:r>
            <w:r>
              <w:rPr>
                <w:rFonts w:hint="default" w:ascii="Times New Roman" w:hAnsi="Times New Roman" w:eastAsia="宋体" w:cs="Times New Roman"/>
                <w:color w:val="auto"/>
                <w:kern w:val="0"/>
                <w:sz w:val="24"/>
                <w:szCs w:val="24"/>
                <w:highlight w:val="none"/>
                <w:lang w:val="en-US" w:eastAsia="zh-CN"/>
              </w:rPr>
              <w:t>3-</w:t>
            </w:r>
            <w:r>
              <w:rPr>
                <w:rFonts w:hint="eastAsia" w:cs="Times New Roman"/>
                <w:color w:val="auto"/>
                <w:kern w:val="0"/>
                <w:sz w:val="24"/>
                <w:szCs w:val="24"/>
                <w:highlight w:val="none"/>
                <w:lang w:val="en-US" w:eastAsia="zh-CN"/>
              </w:rPr>
              <w:t>5</w:t>
            </w:r>
            <w:r>
              <w:rPr>
                <w:rFonts w:hint="default" w:ascii="Times New Roman" w:hAnsi="Times New Roman" w:eastAsia="宋体" w:cs="Times New Roman"/>
                <w:color w:val="auto"/>
                <w:kern w:val="0"/>
                <w:sz w:val="24"/>
                <w:szCs w:val="24"/>
                <w:highlight w:val="none"/>
                <w:lang w:val="en-US" w:eastAsia="zh-CN"/>
              </w:rPr>
              <w:t>。</w:t>
            </w:r>
          </w:p>
          <w:p>
            <w:pPr>
              <w:pStyle w:val="55"/>
              <w:keepNext w:val="0"/>
              <w:keepLines w:val="0"/>
              <w:pageBreakBefore w:val="0"/>
              <w:tabs>
                <w:tab w:val="left" w:pos="6156"/>
              </w:tabs>
              <w:kinsoku/>
              <w:wordWrap/>
              <w:overflowPunct/>
              <w:topLinePunct w:val="0"/>
              <w:autoSpaceDE/>
              <w:autoSpaceDN/>
              <w:bidi w:val="0"/>
              <w:adjustRightInd/>
              <w:snapToGrid/>
              <w:spacing w:line="300" w:lineRule="exact"/>
              <w:ind w:left="0" w:right="0" w:firstLine="482" w:firstLineChars="200"/>
              <w:textAlignment w:val="auto"/>
              <w:rPr>
                <w:rFonts w:ascii="宋体" w:hAnsi="宋体" w:cs="宋体"/>
                <w:color w:val="auto"/>
                <w:kern w:val="0"/>
                <w:szCs w:val="21"/>
                <w:highlight w:val="none"/>
              </w:rPr>
            </w:pPr>
            <w:r>
              <w:rPr>
                <w:rFonts w:hint="eastAsia"/>
                <w:color w:val="auto"/>
                <w:sz w:val="24"/>
                <w:szCs w:val="24"/>
                <w:highlight w:val="none"/>
              </w:rPr>
              <w:t>表3-</w:t>
            </w:r>
            <w:r>
              <w:rPr>
                <w:rFonts w:hint="eastAsia"/>
                <w:color w:val="auto"/>
                <w:sz w:val="24"/>
                <w:szCs w:val="24"/>
                <w:highlight w:val="none"/>
                <w:lang w:val="en-US" w:eastAsia="zh-CN"/>
              </w:rPr>
              <w:t xml:space="preserve">5  </w:t>
            </w:r>
            <w:r>
              <w:rPr>
                <w:rFonts w:hint="default"/>
                <w:color w:val="auto"/>
                <w:sz w:val="24"/>
                <w:szCs w:val="24"/>
                <w:highlight w:val="none"/>
              </w:rPr>
              <w:t>区域空气质量现状评价结果一览表</w:t>
            </w:r>
            <w:r>
              <w:rPr>
                <w:rFonts w:hint="eastAsia"/>
                <w:color w:val="auto"/>
                <w:sz w:val="24"/>
                <w:szCs w:val="24"/>
                <w:highlight w:val="none"/>
              </w:rPr>
              <w:t>单位：</w:t>
            </w:r>
            <w:r>
              <w:rPr>
                <w:color w:val="auto"/>
                <w:sz w:val="24"/>
                <w:szCs w:val="24"/>
                <w:highlight w:val="none"/>
              </w:rPr>
              <w:t>μg/</w:t>
            </w:r>
            <w:r>
              <w:rPr>
                <w:rFonts w:hint="eastAsia"/>
                <w:color w:val="auto"/>
                <w:sz w:val="24"/>
                <w:szCs w:val="24"/>
                <w:highlight w:val="none"/>
                <w:lang w:eastAsia="zh-CN"/>
              </w:rPr>
              <w:t>m</w:t>
            </w:r>
            <w:r>
              <w:rPr>
                <w:rFonts w:hint="eastAsia"/>
                <w:color w:val="auto"/>
                <w:sz w:val="24"/>
                <w:szCs w:val="24"/>
                <w:highlight w:val="none"/>
                <w:vertAlign w:val="superscript"/>
                <w:lang w:eastAsia="zh-CN"/>
              </w:rPr>
              <w:t>3</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9"/>
              <w:gridCol w:w="1573"/>
              <w:gridCol w:w="1272"/>
              <w:gridCol w:w="1356"/>
              <w:gridCol w:w="1311"/>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pc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污染物</w:t>
                  </w:r>
                </w:p>
              </w:tc>
              <w:tc>
                <w:tcPr>
                  <w:tcW w:w="961" w:type="pc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评价项目</w:t>
                  </w:r>
                </w:p>
              </w:tc>
              <w:tc>
                <w:tcPr>
                  <w:tcW w:w="777" w:type="pct"/>
                  <w:tcBorders>
                    <w:tl2br w:val="nil"/>
                    <w:tr2bl w:val="nil"/>
                  </w:tcBorders>
                  <w:noWrap w:val="0"/>
                  <w:vAlign w:val="center"/>
                </w:tcPr>
                <w:p>
                  <w:pPr>
                    <w:pStyle w:val="4"/>
                    <w:bidi w:val="0"/>
                    <w:ind w:left="0" w:leftChars="0" w:right="0" w:rightChars="0" w:firstLine="0" w:firstLineChars="0"/>
                    <w:jc w:val="center"/>
                    <w:rPr>
                      <w:color w:val="auto"/>
                    </w:rPr>
                  </w:pPr>
                  <w:r>
                    <w:rPr>
                      <w:color w:val="auto"/>
                    </w:rPr>
                    <w:t>浓度（μ</w:t>
                  </w:r>
                  <w:r>
                    <w:rPr>
                      <w:rFonts w:hint="eastAsia"/>
                      <w:color w:val="auto"/>
                      <w:lang w:val="en-US" w:eastAsia="zh-CN"/>
                    </w:rPr>
                    <w:t>g</w:t>
                  </w:r>
                  <w:r>
                    <w:rPr>
                      <w:color w:val="auto"/>
                    </w:rPr>
                    <w:t>/m</w:t>
                  </w:r>
                  <w:r>
                    <w:rPr>
                      <w:color w:val="auto"/>
                      <w:vertAlign w:val="superscript"/>
                    </w:rPr>
                    <w:t>3</w:t>
                  </w:r>
                  <w:r>
                    <w:rPr>
                      <w:color w:val="auto"/>
                    </w:rPr>
                    <w:t>）</w:t>
                  </w:r>
                </w:p>
              </w:tc>
              <w:tc>
                <w:tcPr>
                  <w:tcW w:w="828" w:type="pc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标准（二级）</w:t>
                  </w:r>
                  <w:r>
                    <w:rPr>
                      <w:color w:val="auto"/>
                    </w:rPr>
                    <w:t>（μ</w:t>
                  </w:r>
                  <w:r>
                    <w:rPr>
                      <w:rFonts w:hint="eastAsia"/>
                      <w:color w:val="auto"/>
                      <w:lang w:val="en-US" w:eastAsia="zh-CN"/>
                    </w:rPr>
                    <w:t>g</w:t>
                  </w:r>
                  <w:r>
                    <w:rPr>
                      <w:color w:val="auto"/>
                    </w:rPr>
                    <w:t>/m</w:t>
                  </w:r>
                  <w:r>
                    <w:rPr>
                      <w:color w:val="auto"/>
                      <w:vertAlign w:val="superscript"/>
                    </w:rPr>
                    <w:t>3</w:t>
                  </w:r>
                  <w:r>
                    <w:rPr>
                      <w:color w:val="auto"/>
                    </w:rPr>
                    <w:t>）</w:t>
                  </w:r>
                </w:p>
              </w:tc>
              <w:tc>
                <w:tcPr>
                  <w:tcW w:w="80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eastAsia="zh-CN"/>
                    </w:rPr>
                    <w:t>占标率</w:t>
                  </w:r>
                  <w:r>
                    <w:rPr>
                      <w:rFonts w:hint="eastAsia"/>
                      <w:color w:val="auto"/>
                      <w:lang w:val="en-US" w:eastAsia="zh-CN"/>
                    </w:rPr>
                    <w:t>%</w:t>
                  </w:r>
                </w:p>
              </w:tc>
              <w:tc>
                <w:tcPr>
                  <w:tcW w:w="802" w:type="pct"/>
                  <w:tcBorders>
                    <w:tl2br w:val="nil"/>
                    <w:tr2bl w:val="nil"/>
                  </w:tcBorders>
                  <w:noWrap w:val="0"/>
                  <w:vAlign w:val="center"/>
                </w:tcPr>
                <w:p>
                  <w:pPr>
                    <w:pStyle w:val="4"/>
                    <w:bidi w:val="0"/>
                    <w:ind w:left="0" w:leftChars="0" w:right="0" w:rightChars="0" w:firstLine="0" w:firstLineChars="0"/>
                    <w:jc w:val="center"/>
                    <w:rPr>
                      <w:rFonts w:hint="eastAsia"/>
                      <w:color w:val="auto"/>
                      <w:lang w:eastAsia="zh-CN"/>
                    </w:rPr>
                  </w:pPr>
                  <w:r>
                    <w:rPr>
                      <w:rFonts w:hint="eastAsia"/>
                      <w:color w:val="auto"/>
                      <w:lang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pct"/>
                  <w:vMerge w:val="restar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SO</w:t>
                  </w:r>
                  <w:r>
                    <w:rPr>
                      <w:rFonts w:hint="eastAsia"/>
                      <w:color w:val="auto"/>
                      <w:vertAlign w:val="subscript"/>
                    </w:rPr>
                    <w:t>2</w:t>
                  </w:r>
                </w:p>
              </w:tc>
              <w:tc>
                <w:tcPr>
                  <w:tcW w:w="96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年平均</w:t>
                  </w:r>
                </w:p>
              </w:tc>
              <w:tc>
                <w:tcPr>
                  <w:tcW w:w="777"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6</w:t>
                  </w:r>
                </w:p>
              </w:tc>
              <w:tc>
                <w:tcPr>
                  <w:tcW w:w="828" w:type="pc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60</w:t>
                  </w:r>
                </w:p>
              </w:tc>
              <w:tc>
                <w:tcPr>
                  <w:tcW w:w="80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10</w:t>
                  </w:r>
                </w:p>
              </w:tc>
              <w:tc>
                <w:tcPr>
                  <w:tcW w:w="802" w:type="pct"/>
                  <w:tcBorders>
                    <w:tl2br w:val="nil"/>
                    <w:tr2bl w:val="nil"/>
                  </w:tcBorders>
                  <w:noWrap w:val="0"/>
                  <w:vAlign w:val="center"/>
                </w:tcPr>
                <w:p>
                  <w:pPr>
                    <w:pStyle w:val="4"/>
                    <w:bidi w:val="0"/>
                    <w:ind w:left="0" w:leftChars="0" w:right="0" w:rightChars="0" w:firstLine="0" w:firstLineChars="0"/>
                    <w:jc w:val="center"/>
                    <w:rPr>
                      <w:rFonts w:hint="eastAsia"/>
                      <w:color w:val="auto"/>
                      <w:lang w:eastAsia="zh-CN"/>
                    </w:rPr>
                  </w:pPr>
                  <w:r>
                    <w:rPr>
                      <w:rFonts w:hint="default"/>
                      <w:color w:val="auto"/>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pct"/>
                  <w:vMerge w:val="continue"/>
                  <w:tcBorders>
                    <w:tl2br w:val="nil"/>
                    <w:tr2bl w:val="nil"/>
                  </w:tcBorders>
                  <w:noWrap w:val="0"/>
                  <w:vAlign w:val="center"/>
                </w:tcPr>
                <w:p>
                  <w:pPr>
                    <w:pStyle w:val="4"/>
                    <w:bidi w:val="0"/>
                    <w:ind w:left="0" w:leftChars="0" w:right="0" w:rightChars="0" w:firstLine="0" w:firstLineChars="0"/>
                    <w:jc w:val="center"/>
                    <w:rPr>
                      <w:color w:val="auto"/>
                    </w:rPr>
                  </w:pPr>
                </w:p>
              </w:tc>
              <w:tc>
                <w:tcPr>
                  <w:tcW w:w="96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24h平均第98百分位数</w:t>
                  </w:r>
                </w:p>
              </w:tc>
              <w:tc>
                <w:tcPr>
                  <w:tcW w:w="777"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9</w:t>
                  </w:r>
                </w:p>
              </w:tc>
              <w:tc>
                <w:tcPr>
                  <w:tcW w:w="828" w:type="pc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150</w:t>
                  </w:r>
                </w:p>
              </w:tc>
              <w:tc>
                <w:tcPr>
                  <w:tcW w:w="80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6</w:t>
                  </w:r>
                </w:p>
              </w:tc>
              <w:tc>
                <w:tcPr>
                  <w:tcW w:w="802" w:type="pct"/>
                  <w:tcBorders>
                    <w:tl2br w:val="nil"/>
                    <w:tr2bl w:val="nil"/>
                  </w:tcBorders>
                  <w:noWrap w:val="0"/>
                  <w:vAlign w:val="center"/>
                </w:tcPr>
                <w:p>
                  <w:pPr>
                    <w:pStyle w:val="4"/>
                    <w:bidi w:val="0"/>
                    <w:ind w:left="0" w:leftChars="0" w:right="0" w:rightChars="0" w:firstLine="0" w:firstLineChars="0"/>
                    <w:jc w:val="center"/>
                    <w:rPr>
                      <w:rFonts w:hint="eastAsia"/>
                      <w:color w:val="auto"/>
                    </w:rPr>
                  </w:pPr>
                  <w:r>
                    <w:rPr>
                      <w:rFonts w:hint="default"/>
                      <w:color w:val="auto"/>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pct"/>
                  <w:vMerge w:val="restar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NO</w:t>
                  </w:r>
                  <w:r>
                    <w:rPr>
                      <w:rFonts w:hint="eastAsia"/>
                      <w:color w:val="auto"/>
                      <w:vertAlign w:val="subscript"/>
                    </w:rPr>
                    <w:t>2</w:t>
                  </w:r>
                </w:p>
              </w:tc>
              <w:tc>
                <w:tcPr>
                  <w:tcW w:w="96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年平均</w:t>
                  </w:r>
                </w:p>
              </w:tc>
              <w:tc>
                <w:tcPr>
                  <w:tcW w:w="777"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6</w:t>
                  </w:r>
                </w:p>
              </w:tc>
              <w:tc>
                <w:tcPr>
                  <w:tcW w:w="828" w:type="pc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40</w:t>
                  </w:r>
                </w:p>
              </w:tc>
              <w:tc>
                <w:tcPr>
                  <w:tcW w:w="80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15</w:t>
                  </w:r>
                </w:p>
              </w:tc>
              <w:tc>
                <w:tcPr>
                  <w:tcW w:w="802" w:type="pct"/>
                  <w:tcBorders>
                    <w:tl2br w:val="nil"/>
                    <w:tr2bl w:val="nil"/>
                  </w:tcBorders>
                  <w:noWrap w:val="0"/>
                  <w:vAlign w:val="center"/>
                </w:tcPr>
                <w:p>
                  <w:pPr>
                    <w:pStyle w:val="4"/>
                    <w:bidi w:val="0"/>
                    <w:ind w:left="0" w:leftChars="0" w:right="0" w:rightChars="0" w:firstLine="0" w:firstLineChars="0"/>
                    <w:jc w:val="center"/>
                    <w:rPr>
                      <w:rFonts w:hint="eastAsia"/>
                      <w:color w:val="auto"/>
                    </w:rPr>
                  </w:pPr>
                  <w:r>
                    <w:rPr>
                      <w:rFonts w:hint="default"/>
                      <w:color w:val="auto"/>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pct"/>
                  <w:vMerge w:val="continue"/>
                  <w:tcBorders>
                    <w:tl2br w:val="nil"/>
                    <w:tr2bl w:val="nil"/>
                  </w:tcBorders>
                  <w:noWrap w:val="0"/>
                  <w:vAlign w:val="center"/>
                </w:tcPr>
                <w:p>
                  <w:pPr>
                    <w:pStyle w:val="4"/>
                    <w:bidi w:val="0"/>
                    <w:ind w:left="0" w:leftChars="0" w:right="0" w:rightChars="0" w:firstLine="0" w:firstLineChars="0"/>
                    <w:jc w:val="center"/>
                    <w:rPr>
                      <w:color w:val="auto"/>
                    </w:rPr>
                  </w:pPr>
                </w:p>
              </w:tc>
              <w:tc>
                <w:tcPr>
                  <w:tcW w:w="96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24h平均第98百分位数</w:t>
                  </w:r>
                </w:p>
              </w:tc>
              <w:tc>
                <w:tcPr>
                  <w:tcW w:w="777"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13</w:t>
                  </w:r>
                </w:p>
              </w:tc>
              <w:tc>
                <w:tcPr>
                  <w:tcW w:w="828" w:type="pc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80</w:t>
                  </w:r>
                </w:p>
              </w:tc>
              <w:tc>
                <w:tcPr>
                  <w:tcW w:w="80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16</w:t>
                  </w:r>
                </w:p>
              </w:tc>
              <w:tc>
                <w:tcPr>
                  <w:tcW w:w="802" w:type="pct"/>
                  <w:tcBorders>
                    <w:tl2br w:val="nil"/>
                    <w:tr2bl w:val="nil"/>
                  </w:tcBorders>
                  <w:noWrap w:val="0"/>
                  <w:vAlign w:val="center"/>
                </w:tcPr>
                <w:p>
                  <w:pPr>
                    <w:pStyle w:val="4"/>
                    <w:bidi w:val="0"/>
                    <w:ind w:left="0" w:leftChars="0" w:right="0" w:rightChars="0" w:firstLine="0" w:firstLineChars="0"/>
                    <w:jc w:val="center"/>
                    <w:rPr>
                      <w:rFonts w:hint="eastAsia"/>
                      <w:color w:val="auto"/>
                    </w:rPr>
                  </w:pPr>
                  <w:r>
                    <w:rPr>
                      <w:rFonts w:hint="default"/>
                      <w:color w:val="auto"/>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pc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CO（mg/m</w:t>
                  </w:r>
                  <w:r>
                    <w:rPr>
                      <w:rFonts w:hint="eastAsia"/>
                      <w:color w:val="auto"/>
                      <w:vertAlign w:val="superscript"/>
                    </w:rPr>
                    <w:t>3</w:t>
                  </w:r>
                  <w:r>
                    <w:rPr>
                      <w:rFonts w:hint="eastAsia"/>
                      <w:color w:val="auto"/>
                    </w:rPr>
                    <w:t>）</w:t>
                  </w:r>
                </w:p>
              </w:tc>
              <w:tc>
                <w:tcPr>
                  <w:tcW w:w="96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24h平均第95百分位数</w:t>
                  </w:r>
                </w:p>
              </w:tc>
              <w:tc>
                <w:tcPr>
                  <w:tcW w:w="777"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0.7</w:t>
                  </w:r>
                </w:p>
              </w:tc>
              <w:tc>
                <w:tcPr>
                  <w:tcW w:w="828" w:type="pc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4</w:t>
                  </w:r>
                </w:p>
              </w:tc>
              <w:tc>
                <w:tcPr>
                  <w:tcW w:w="80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18</w:t>
                  </w:r>
                </w:p>
              </w:tc>
              <w:tc>
                <w:tcPr>
                  <w:tcW w:w="802" w:type="pct"/>
                  <w:tcBorders>
                    <w:tl2br w:val="nil"/>
                    <w:tr2bl w:val="nil"/>
                  </w:tcBorders>
                  <w:noWrap w:val="0"/>
                  <w:vAlign w:val="center"/>
                </w:tcPr>
                <w:p>
                  <w:pPr>
                    <w:pStyle w:val="4"/>
                    <w:bidi w:val="0"/>
                    <w:ind w:left="0" w:leftChars="0" w:right="0" w:rightChars="0" w:firstLine="0" w:firstLineChars="0"/>
                    <w:jc w:val="center"/>
                    <w:rPr>
                      <w:rFonts w:hint="eastAsia"/>
                      <w:color w:val="auto"/>
                    </w:rPr>
                  </w:pPr>
                  <w:r>
                    <w:rPr>
                      <w:rFonts w:hint="default"/>
                      <w:color w:val="auto"/>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pc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O</w:t>
                  </w:r>
                  <w:r>
                    <w:rPr>
                      <w:rFonts w:hint="eastAsia"/>
                      <w:color w:val="auto"/>
                      <w:vertAlign w:val="subscript"/>
                    </w:rPr>
                    <w:t>3</w:t>
                  </w:r>
                </w:p>
              </w:tc>
              <w:tc>
                <w:tcPr>
                  <w:tcW w:w="96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default"/>
                      <w:color w:val="auto"/>
                      <w:lang w:val="en-US" w:eastAsia="zh-CN"/>
                    </w:rPr>
                    <w:t>最大8小时滑动平均值的第90百分位数</w:t>
                  </w:r>
                </w:p>
              </w:tc>
              <w:tc>
                <w:tcPr>
                  <w:tcW w:w="777"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128</w:t>
                  </w:r>
                </w:p>
              </w:tc>
              <w:tc>
                <w:tcPr>
                  <w:tcW w:w="828" w:type="pc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160</w:t>
                  </w:r>
                </w:p>
              </w:tc>
              <w:tc>
                <w:tcPr>
                  <w:tcW w:w="80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80</w:t>
                  </w:r>
                </w:p>
              </w:tc>
              <w:tc>
                <w:tcPr>
                  <w:tcW w:w="802" w:type="pct"/>
                  <w:tcBorders>
                    <w:tl2br w:val="nil"/>
                    <w:tr2bl w:val="nil"/>
                  </w:tcBorders>
                  <w:noWrap w:val="0"/>
                  <w:vAlign w:val="center"/>
                </w:tcPr>
                <w:p>
                  <w:pPr>
                    <w:pStyle w:val="4"/>
                    <w:bidi w:val="0"/>
                    <w:ind w:left="0" w:leftChars="0" w:right="0" w:rightChars="0" w:firstLine="0" w:firstLineChars="0"/>
                    <w:jc w:val="center"/>
                    <w:rPr>
                      <w:rFonts w:hint="eastAsia"/>
                      <w:color w:val="auto"/>
                    </w:rPr>
                  </w:pPr>
                  <w:r>
                    <w:rPr>
                      <w:rFonts w:hint="default"/>
                      <w:color w:val="auto"/>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824" w:type="pct"/>
                  <w:vMerge w:val="restar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PM</w:t>
                  </w:r>
                  <w:r>
                    <w:rPr>
                      <w:rFonts w:hint="eastAsia"/>
                      <w:color w:val="auto"/>
                      <w:vertAlign w:val="subscript"/>
                    </w:rPr>
                    <w:t>10</w:t>
                  </w:r>
                </w:p>
              </w:tc>
              <w:tc>
                <w:tcPr>
                  <w:tcW w:w="96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年平均</w:t>
                  </w:r>
                </w:p>
              </w:tc>
              <w:tc>
                <w:tcPr>
                  <w:tcW w:w="777"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407</w:t>
                  </w:r>
                </w:p>
              </w:tc>
              <w:tc>
                <w:tcPr>
                  <w:tcW w:w="828" w:type="pct"/>
                  <w:tcBorders>
                    <w:tl2br w:val="nil"/>
                    <w:tr2bl w:val="nil"/>
                  </w:tcBorders>
                  <w:noWrap w:val="0"/>
                  <w:vAlign w:val="center"/>
                </w:tcPr>
                <w:p>
                  <w:pPr>
                    <w:pStyle w:val="4"/>
                    <w:bidi w:val="0"/>
                    <w:ind w:left="0" w:leftChars="0" w:right="0" w:rightChars="0" w:firstLine="0" w:firstLineChars="0"/>
                    <w:jc w:val="center"/>
                    <w:rPr>
                      <w:rFonts w:hint="default" w:eastAsia="宋体"/>
                      <w:color w:val="auto"/>
                      <w:lang w:val="en-US" w:eastAsia="zh-CN"/>
                    </w:rPr>
                  </w:pPr>
                  <w:r>
                    <w:rPr>
                      <w:rFonts w:hint="eastAsia"/>
                      <w:color w:val="auto"/>
                      <w:lang w:val="en-US" w:eastAsia="zh-CN"/>
                    </w:rPr>
                    <w:t>60</w:t>
                  </w:r>
                </w:p>
              </w:tc>
              <w:tc>
                <w:tcPr>
                  <w:tcW w:w="80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678</w:t>
                  </w:r>
                </w:p>
              </w:tc>
              <w:tc>
                <w:tcPr>
                  <w:tcW w:w="802" w:type="pct"/>
                  <w:tcBorders>
                    <w:tl2br w:val="nil"/>
                    <w:tr2bl w:val="nil"/>
                  </w:tcBorders>
                  <w:noWrap w:val="0"/>
                  <w:vAlign w:val="center"/>
                </w:tcPr>
                <w:p>
                  <w:pPr>
                    <w:pStyle w:val="4"/>
                    <w:bidi w:val="0"/>
                    <w:ind w:left="0" w:leftChars="0" w:right="0" w:rightChars="0" w:firstLine="0" w:firstLineChars="0"/>
                    <w:jc w:val="center"/>
                    <w:rPr>
                      <w:rFonts w:hint="eastAsia"/>
                      <w:color w:val="auto"/>
                    </w:rPr>
                  </w:pPr>
                  <w:r>
                    <w:rPr>
                      <w:rFonts w:hint="eastAsia"/>
                      <w:color w:val="auto"/>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pct"/>
                  <w:vMerge w:val="continue"/>
                  <w:tcBorders>
                    <w:tl2br w:val="nil"/>
                    <w:tr2bl w:val="nil"/>
                  </w:tcBorders>
                  <w:noWrap w:val="0"/>
                  <w:vAlign w:val="center"/>
                </w:tcPr>
                <w:p>
                  <w:pPr>
                    <w:pStyle w:val="4"/>
                    <w:bidi w:val="0"/>
                    <w:ind w:left="0" w:leftChars="0" w:right="0" w:rightChars="0" w:firstLine="0" w:firstLineChars="0"/>
                    <w:jc w:val="center"/>
                    <w:rPr>
                      <w:color w:val="auto"/>
                    </w:rPr>
                  </w:pPr>
                </w:p>
              </w:tc>
              <w:tc>
                <w:tcPr>
                  <w:tcW w:w="96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24h平均第95百分位数</w:t>
                  </w:r>
                </w:p>
              </w:tc>
              <w:tc>
                <w:tcPr>
                  <w:tcW w:w="777"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1294</w:t>
                  </w:r>
                </w:p>
              </w:tc>
              <w:tc>
                <w:tcPr>
                  <w:tcW w:w="828" w:type="pct"/>
                  <w:tcBorders>
                    <w:tl2br w:val="nil"/>
                    <w:tr2bl w:val="nil"/>
                  </w:tcBorders>
                  <w:noWrap w:val="0"/>
                  <w:vAlign w:val="center"/>
                </w:tcPr>
                <w:p>
                  <w:pPr>
                    <w:pStyle w:val="4"/>
                    <w:bidi w:val="0"/>
                    <w:ind w:left="0" w:leftChars="0" w:right="0" w:rightChars="0" w:firstLine="0" w:firstLineChars="0"/>
                    <w:jc w:val="center"/>
                    <w:rPr>
                      <w:rFonts w:hint="default" w:eastAsia="宋体"/>
                      <w:color w:val="auto"/>
                      <w:lang w:val="en-US" w:eastAsia="zh-CN"/>
                    </w:rPr>
                  </w:pPr>
                  <w:r>
                    <w:rPr>
                      <w:rFonts w:hint="eastAsia"/>
                      <w:color w:val="auto"/>
                      <w:lang w:val="en-US" w:eastAsia="zh-CN"/>
                    </w:rPr>
                    <w:t>120</w:t>
                  </w:r>
                </w:p>
              </w:tc>
              <w:tc>
                <w:tcPr>
                  <w:tcW w:w="80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1078</w:t>
                  </w:r>
                </w:p>
              </w:tc>
              <w:tc>
                <w:tcPr>
                  <w:tcW w:w="802" w:type="pct"/>
                  <w:tcBorders>
                    <w:tl2br w:val="nil"/>
                    <w:tr2bl w:val="nil"/>
                  </w:tcBorders>
                  <w:noWrap w:val="0"/>
                  <w:vAlign w:val="center"/>
                </w:tcPr>
                <w:p>
                  <w:pPr>
                    <w:pStyle w:val="4"/>
                    <w:bidi w:val="0"/>
                    <w:ind w:left="0" w:leftChars="0" w:right="0" w:rightChars="0" w:firstLine="0" w:firstLineChars="0"/>
                    <w:jc w:val="center"/>
                    <w:rPr>
                      <w:rFonts w:hint="eastAsia"/>
                      <w:color w:val="auto"/>
                    </w:rPr>
                  </w:pPr>
                  <w:r>
                    <w:rPr>
                      <w:rFonts w:hint="eastAsia"/>
                      <w:color w:val="auto"/>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824" w:type="pct"/>
                  <w:vMerge w:val="restart"/>
                  <w:tcBorders>
                    <w:tl2br w:val="nil"/>
                    <w:tr2bl w:val="nil"/>
                  </w:tcBorders>
                  <w:noWrap w:val="0"/>
                  <w:vAlign w:val="center"/>
                </w:tcPr>
                <w:p>
                  <w:pPr>
                    <w:pStyle w:val="4"/>
                    <w:bidi w:val="0"/>
                    <w:ind w:left="0" w:leftChars="0" w:right="0" w:rightChars="0" w:firstLine="0" w:firstLineChars="0"/>
                    <w:jc w:val="center"/>
                    <w:rPr>
                      <w:color w:val="auto"/>
                    </w:rPr>
                  </w:pPr>
                  <w:r>
                    <w:rPr>
                      <w:rFonts w:hint="eastAsia"/>
                      <w:color w:val="auto"/>
                    </w:rPr>
                    <w:t>PM</w:t>
                  </w:r>
                  <w:r>
                    <w:rPr>
                      <w:rFonts w:hint="eastAsia"/>
                      <w:color w:val="auto"/>
                      <w:vertAlign w:val="subscript"/>
                    </w:rPr>
                    <w:t>2.5</w:t>
                  </w:r>
                </w:p>
              </w:tc>
              <w:tc>
                <w:tcPr>
                  <w:tcW w:w="96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年平均</w:t>
                  </w:r>
                </w:p>
              </w:tc>
              <w:tc>
                <w:tcPr>
                  <w:tcW w:w="777"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157</w:t>
                  </w:r>
                </w:p>
              </w:tc>
              <w:tc>
                <w:tcPr>
                  <w:tcW w:w="828" w:type="pct"/>
                  <w:tcBorders>
                    <w:tl2br w:val="nil"/>
                    <w:tr2bl w:val="nil"/>
                  </w:tcBorders>
                  <w:noWrap w:val="0"/>
                  <w:vAlign w:val="center"/>
                </w:tcPr>
                <w:p>
                  <w:pPr>
                    <w:pStyle w:val="4"/>
                    <w:bidi w:val="0"/>
                    <w:ind w:left="0" w:leftChars="0" w:right="0" w:rightChars="0" w:firstLine="0" w:firstLineChars="0"/>
                    <w:jc w:val="center"/>
                    <w:rPr>
                      <w:rFonts w:hint="default" w:eastAsia="宋体"/>
                      <w:color w:val="auto"/>
                      <w:lang w:val="en-US" w:eastAsia="zh-CN"/>
                    </w:rPr>
                  </w:pPr>
                  <w:r>
                    <w:rPr>
                      <w:rFonts w:hint="eastAsia"/>
                      <w:color w:val="auto"/>
                      <w:lang w:val="en-US" w:eastAsia="zh-CN"/>
                    </w:rPr>
                    <w:t>30</w:t>
                  </w:r>
                </w:p>
              </w:tc>
              <w:tc>
                <w:tcPr>
                  <w:tcW w:w="80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523</w:t>
                  </w:r>
                </w:p>
              </w:tc>
              <w:tc>
                <w:tcPr>
                  <w:tcW w:w="802" w:type="pct"/>
                  <w:tcBorders>
                    <w:tl2br w:val="nil"/>
                    <w:tr2bl w:val="nil"/>
                  </w:tcBorders>
                  <w:noWrap w:val="0"/>
                  <w:vAlign w:val="center"/>
                </w:tcPr>
                <w:p>
                  <w:pPr>
                    <w:pStyle w:val="4"/>
                    <w:bidi w:val="0"/>
                    <w:ind w:left="0" w:leftChars="0" w:right="0" w:rightChars="0" w:firstLine="0" w:firstLineChars="0"/>
                    <w:jc w:val="center"/>
                    <w:rPr>
                      <w:rFonts w:hint="eastAsia"/>
                      <w:color w:val="auto"/>
                    </w:rPr>
                  </w:pPr>
                  <w:r>
                    <w:rPr>
                      <w:rFonts w:hint="eastAsia"/>
                      <w:color w:val="auto"/>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pct"/>
                  <w:vMerge w:val="continue"/>
                  <w:tcBorders>
                    <w:tl2br w:val="nil"/>
                    <w:tr2bl w:val="nil"/>
                  </w:tcBorders>
                  <w:noWrap w:val="0"/>
                  <w:vAlign w:val="center"/>
                </w:tcPr>
                <w:p>
                  <w:pPr>
                    <w:pStyle w:val="4"/>
                    <w:bidi w:val="0"/>
                    <w:ind w:left="0" w:leftChars="0" w:right="0" w:rightChars="0" w:firstLine="0" w:firstLineChars="0"/>
                    <w:jc w:val="center"/>
                    <w:rPr>
                      <w:color w:val="auto"/>
                    </w:rPr>
                  </w:pPr>
                </w:p>
              </w:tc>
              <w:tc>
                <w:tcPr>
                  <w:tcW w:w="96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24h平均第95百分位数</w:t>
                  </w:r>
                </w:p>
              </w:tc>
              <w:tc>
                <w:tcPr>
                  <w:tcW w:w="777"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562</w:t>
                  </w:r>
                </w:p>
              </w:tc>
              <w:tc>
                <w:tcPr>
                  <w:tcW w:w="828" w:type="pct"/>
                  <w:tcBorders>
                    <w:tl2br w:val="nil"/>
                    <w:tr2bl w:val="nil"/>
                  </w:tcBorders>
                  <w:noWrap w:val="0"/>
                  <w:vAlign w:val="center"/>
                </w:tcPr>
                <w:p>
                  <w:pPr>
                    <w:pStyle w:val="4"/>
                    <w:bidi w:val="0"/>
                    <w:ind w:left="0" w:leftChars="0" w:right="0" w:rightChars="0" w:firstLine="0" w:firstLineChars="0"/>
                    <w:jc w:val="center"/>
                    <w:rPr>
                      <w:rFonts w:hint="default" w:eastAsia="宋体"/>
                      <w:color w:val="auto"/>
                      <w:lang w:val="en-US" w:eastAsia="zh-CN"/>
                    </w:rPr>
                  </w:pPr>
                  <w:r>
                    <w:rPr>
                      <w:rFonts w:hint="eastAsia"/>
                      <w:color w:val="auto"/>
                      <w:lang w:val="en-US" w:eastAsia="zh-CN"/>
                    </w:rPr>
                    <w:t>60</w:t>
                  </w:r>
                </w:p>
              </w:tc>
              <w:tc>
                <w:tcPr>
                  <w:tcW w:w="801" w:type="pct"/>
                  <w:tcBorders>
                    <w:tl2br w:val="nil"/>
                    <w:tr2bl w:val="nil"/>
                  </w:tcBorders>
                  <w:noWrap w:val="0"/>
                  <w:vAlign w:val="center"/>
                </w:tcPr>
                <w:p>
                  <w:pPr>
                    <w:pStyle w:val="4"/>
                    <w:bidi w:val="0"/>
                    <w:ind w:left="0" w:leftChars="0" w:right="0" w:rightChars="0" w:firstLine="0" w:firstLineChars="0"/>
                    <w:jc w:val="center"/>
                    <w:rPr>
                      <w:rFonts w:hint="default"/>
                      <w:color w:val="auto"/>
                      <w:lang w:val="en-US" w:eastAsia="zh-CN"/>
                    </w:rPr>
                  </w:pPr>
                  <w:r>
                    <w:rPr>
                      <w:rFonts w:hint="eastAsia"/>
                      <w:color w:val="auto"/>
                      <w:lang w:val="en-US" w:eastAsia="zh-CN"/>
                    </w:rPr>
                    <w:t>937</w:t>
                  </w:r>
                </w:p>
              </w:tc>
              <w:tc>
                <w:tcPr>
                  <w:tcW w:w="802" w:type="pct"/>
                  <w:tcBorders>
                    <w:tl2br w:val="nil"/>
                    <w:tr2bl w:val="nil"/>
                  </w:tcBorders>
                  <w:noWrap w:val="0"/>
                  <w:vAlign w:val="center"/>
                </w:tcPr>
                <w:p>
                  <w:pPr>
                    <w:pStyle w:val="4"/>
                    <w:bidi w:val="0"/>
                    <w:ind w:left="0" w:leftChars="0" w:right="0" w:rightChars="0" w:firstLine="0" w:firstLineChars="0"/>
                    <w:jc w:val="center"/>
                    <w:rPr>
                      <w:rFonts w:hint="eastAsia"/>
                      <w:color w:val="auto"/>
                    </w:rPr>
                  </w:pPr>
                  <w:r>
                    <w:rPr>
                      <w:rFonts w:hint="eastAsia"/>
                      <w:color w:val="auto"/>
                      <w:lang w:val="en-US" w:eastAsia="zh-CN"/>
                    </w:rPr>
                    <w:t>超标</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b w:val="0"/>
                <w:bCs w:val="0"/>
                <w:color w:val="auto"/>
                <w:sz w:val="24"/>
                <w:szCs w:val="24"/>
                <w:highlight w:val="none"/>
              </w:rPr>
              <w:t>从上表的分析结果可知，区域SO</w:t>
            </w:r>
            <w:r>
              <w:rPr>
                <w:rFonts w:hint="default" w:ascii="Times New Roman" w:hAnsi="Times New Roman" w:eastAsia="宋体" w:cs="Times New Roman"/>
                <w:b w:val="0"/>
                <w:bCs w:val="0"/>
                <w:color w:val="auto"/>
                <w:sz w:val="24"/>
                <w:szCs w:val="24"/>
                <w:highlight w:val="none"/>
                <w:vertAlign w:val="subscript"/>
              </w:rPr>
              <w:t>2</w:t>
            </w:r>
            <w:r>
              <w:rPr>
                <w:rFonts w:hint="default" w:ascii="Times New Roman" w:hAnsi="Times New Roman" w:eastAsia="宋体" w:cs="Times New Roman"/>
                <w:b w:val="0"/>
                <w:bCs w:val="0"/>
                <w:color w:val="auto"/>
                <w:sz w:val="24"/>
                <w:szCs w:val="24"/>
                <w:highlight w:val="none"/>
              </w:rPr>
              <w:t>、NO</w:t>
            </w:r>
            <w:r>
              <w:rPr>
                <w:rFonts w:hint="default" w:ascii="Times New Roman" w:hAnsi="Times New Roman" w:eastAsia="宋体" w:cs="Times New Roman"/>
                <w:b w:val="0"/>
                <w:bCs w:val="0"/>
                <w:color w:val="auto"/>
                <w:sz w:val="24"/>
                <w:szCs w:val="24"/>
                <w:highlight w:val="none"/>
                <w:vertAlign w:val="subscript"/>
              </w:rPr>
              <w:t>2</w:t>
            </w:r>
            <w:r>
              <w:rPr>
                <w:rFonts w:hint="default" w:ascii="Times New Roman" w:hAnsi="Times New Roman" w:eastAsia="宋体" w:cs="Times New Roman"/>
                <w:b w:val="0"/>
                <w:bCs w:val="0"/>
                <w:color w:val="auto"/>
                <w:sz w:val="24"/>
                <w:szCs w:val="24"/>
                <w:highlight w:val="none"/>
              </w:rPr>
              <w:t>年平均和百分位数日均浓度、CO第95百分位数日平均</w:t>
            </w:r>
            <w:r>
              <w:rPr>
                <w:rFonts w:hint="eastAsia"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kern w:val="0"/>
                <w:sz w:val="24"/>
                <w:szCs w:val="24"/>
                <w:highlight w:val="none"/>
              </w:rPr>
              <w:t>PM</w:t>
            </w:r>
            <w:r>
              <w:rPr>
                <w:rFonts w:hint="default" w:ascii="Times New Roman" w:hAnsi="Times New Roman" w:eastAsia="宋体" w:cs="Times New Roman"/>
                <w:b w:val="0"/>
                <w:bCs w:val="0"/>
                <w:color w:val="auto"/>
                <w:kern w:val="0"/>
                <w:sz w:val="24"/>
                <w:szCs w:val="24"/>
                <w:highlight w:val="none"/>
                <w:vertAlign w:val="subscript"/>
              </w:rPr>
              <w:t>2.5</w:t>
            </w:r>
            <w:r>
              <w:rPr>
                <w:rFonts w:hint="default" w:ascii="Times New Roman" w:hAnsi="Times New Roman" w:eastAsia="宋体" w:cs="Times New Roman"/>
                <w:b w:val="0"/>
                <w:bCs w:val="0"/>
                <w:color w:val="auto"/>
                <w:kern w:val="0"/>
                <w:sz w:val="24"/>
                <w:szCs w:val="24"/>
                <w:highlight w:val="none"/>
              </w:rPr>
              <w:t>年平均</w:t>
            </w:r>
            <w:r>
              <w:rPr>
                <w:rFonts w:hint="eastAsia" w:ascii="Times New Roman" w:hAnsi="Times New Roman" w:eastAsia="宋体" w:cs="Times New Roman"/>
                <w:b w:val="0"/>
                <w:bCs w:val="0"/>
                <w:color w:val="auto"/>
                <w:kern w:val="0"/>
                <w:sz w:val="24"/>
                <w:szCs w:val="24"/>
                <w:highlight w:val="none"/>
                <w:lang w:val="en-US" w:eastAsia="zh-CN"/>
              </w:rPr>
              <w:t>浓度</w:t>
            </w:r>
            <w:r>
              <w:rPr>
                <w:rFonts w:hint="default" w:ascii="Times New Roman" w:hAnsi="Times New Roman" w:eastAsia="宋体" w:cs="Times New Roman"/>
                <w:b w:val="0"/>
                <w:bCs w:val="0"/>
                <w:color w:val="auto"/>
                <w:sz w:val="24"/>
                <w:szCs w:val="24"/>
                <w:highlight w:val="none"/>
              </w:rPr>
              <w:t>及O</w:t>
            </w:r>
            <w:r>
              <w:rPr>
                <w:rFonts w:hint="default" w:ascii="Times New Roman" w:hAnsi="Times New Roman" w:eastAsia="宋体" w:cs="Times New Roman"/>
                <w:b w:val="0"/>
                <w:bCs w:val="0"/>
                <w:color w:val="auto"/>
                <w:sz w:val="24"/>
                <w:szCs w:val="24"/>
                <w:highlight w:val="none"/>
                <w:vertAlign w:val="subscript"/>
              </w:rPr>
              <w:t>3</w:t>
            </w:r>
            <w:r>
              <w:rPr>
                <w:rFonts w:hint="default" w:ascii="Times New Roman" w:hAnsi="Times New Roman" w:eastAsia="宋体" w:cs="Times New Roman"/>
                <w:b w:val="0"/>
                <w:bCs w:val="0"/>
                <w:color w:val="auto"/>
                <w:sz w:val="24"/>
                <w:szCs w:val="24"/>
                <w:highlight w:val="none"/>
              </w:rPr>
              <w:t>第90百分位数日平均浓度均满足《环境空气质量标准》（GB3095—20</w:t>
            </w:r>
            <w:r>
              <w:rPr>
                <w:rFonts w:hint="eastAsia" w:eastAsia="宋体" w:cs="Times New Roman"/>
                <w:b w:val="0"/>
                <w:bCs w:val="0"/>
                <w:color w:val="auto"/>
                <w:sz w:val="24"/>
                <w:szCs w:val="24"/>
                <w:highlight w:val="none"/>
                <w:lang w:val="en-US" w:eastAsia="zh-CN"/>
              </w:rPr>
              <w:t>26</w:t>
            </w:r>
            <w:r>
              <w:rPr>
                <w:rFonts w:hint="default" w:ascii="Times New Roman" w:hAnsi="Times New Roman" w:eastAsia="宋体" w:cs="Times New Roman"/>
                <w:b w:val="0"/>
                <w:bCs w:val="0"/>
                <w:color w:val="auto"/>
                <w:sz w:val="24"/>
                <w:szCs w:val="24"/>
                <w:highlight w:val="none"/>
              </w:rPr>
              <w:t>）的二级</w:t>
            </w:r>
            <w:r>
              <w:rPr>
                <w:rFonts w:hint="eastAsia" w:cs="Times New Roman"/>
                <w:b w:val="0"/>
                <w:bCs w:val="0"/>
                <w:color w:val="auto"/>
                <w:sz w:val="24"/>
                <w:szCs w:val="24"/>
                <w:highlight w:val="none"/>
                <w:lang w:val="en-US" w:eastAsia="zh-CN"/>
              </w:rPr>
              <w:t>过渡阶段浓度限值</w:t>
            </w:r>
            <w:r>
              <w:rPr>
                <w:rFonts w:hint="default" w:ascii="Times New Roman" w:hAnsi="Times New Roman" w:eastAsia="宋体" w:cs="Times New Roman"/>
                <w:b w:val="0"/>
                <w:bCs w:val="0"/>
                <w:color w:val="auto"/>
                <w:sz w:val="24"/>
                <w:szCs w:val="24"/>
                <w:highlight w:val="none"/>
              </w:rPr>
              <w:t>要求；</w:t>
            </w:r>
            <w:r>
              <w:rPr>
                <w:rFonts w:hint="default" w:ascii="Times New Roman" w:hAnsi="Times New Roman" w:eastAsia="宋体" w:cs="Times New Roman"/>
                <w:b w:val="0"/>
                <w:bCs w:val="0"/>
                <w:color w:val="auto"/>
                <w:kern w:val="0"/>
                <w:sz w:val="24"/>
                <w:szCs w:val="24"/>
                <w:highlight w:val="none"/>
              </w:rPr>
              <w:t>PM</w:t>
            </w:r>
            <w:r>
              <w:rPr>
                <w:rFonts w:hint="default" w:ascii="Times New Roman" w:hAnsi="Times New Roman" w:eastAsia="宋体" w:cs="Times New Roman"/>
                <w:b w:val="0"/>
                <w:bCs w:val="0"/>
                <w:color w:val="auto"/>
                <w:kern w:val="0"/>
                <w:sz w:val="24"/>
                <w:szCs w:val="24"/>
                <w:highlight w:val="none"/>
                <w:vertAlign w:val="subscript"/>
              </w:rPr>
              <w:t>2.5</w:t>
            </w:r>
            <w:r>
              <w:rPr>
                <w:rFonts w:hint="default" w:ascii="Times New Roman" w:hAnsi="Times New Roman" w:eastAsia="宋体" w:cs="Times New Roman"/>
                <w:b w:val="0"/>
                <w:bCs w:val="0"/>
                <w:color w:val="auto"/>
                <w:sz w:val="24"/>
                <w:szCs w:val="24"/>
                <w:highlight w:val="none"/>
              </w:rPr>
              <w:t>第95百分位数日平均</w:t>
            </w:r>
            <w:r>
              <w:rPr>
                <w:rFonts w:hint="eastAsia"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PM</w:t>
            </w:r>
            <w:r>
              <w:rPr>
                <w:rFonts w:hint="default" w:ascii="Times New Roman" w:hAnsi="Times New Roman" w:eastAsia="宋体" w:cs="Times New Roman"/>
                <w:b w:val="0"/>
                <w:bCs w:val="0"/>
                <w:color w:val="auto"/>
                <w:sz w:val="24"/>
                <w:szCs w:val="24"/>
                <w:highlight w:val="none"/>
                <w:vertAlign w:val="subscript"/>
              </w:rPr>
              <w:t>10</w:t>
            </w:r>
            <w:r>
              <w:rPr>
                <w:rFonts w:hint="default" w:ascii="Times New Roman" w:hAnsi="Times New Roman" w:eastAsia="宋体" w:cs="Times New Roman"/>
                <w:b w:val="0"/>
                <w:bCs w:val="0"/>
                <w:color w:val="auto"/>
                <w:sz w:val="24"/>
                <w:szCs w:val="24"/>
                <w:highlight w:val="none"/>
              </w:rPr>
              <w:t>的第95百分位数日平均、年平均浓度均超过《环境空气质量标准》（GB3095—20</w:t>
            </w:r>
            <w:r>
              <w:rPr>
                <w:rFonts w:hint="eastAsia" w:eastAsia="宋体" w:cs="Times New Roman"/>
                <w:b w:val="0"/>
                <w:bCs w:val="0"/>
                <w:color w:val="auto"/>
                <w:sz w:val="24"/>
                <w:szCs w:val="24"/>
                <w:highlight w:val="none"/>
                <w:lang w:val="en-US" w:eastAsia="zh-CN"/>
              </w:rPr>
              <w:t>26</w:t>
            </w:r>
            <w:r>
              <w:rPr>
                <w:rFonts w:hint="default" w:ascii="Times New Roman" w:hAnsi="Times New Roman" w:eastAsia="宋体" w:cs="Times New Roman"/>
                <w:b w:val="0"/>
                <w:bCs w:val="0"/>
                <w:color w:val="auto"/>
                <w:sz w:val="24"/>
                <w:szCs w:val="24"/>
                <w:highlight w:val="none"/>
              </w:rPr>
              <w:t>）中二级</w:t>
            </w:r>
            <w:r>
              <w:rPr>
                <w:rFonts w:hint="eastAsia" w:cs="Times New Roman"/>
                <w:b w:val="0"/>
                <w:bCs w:val="0"/>
                <w:color w:val="auto"/>
                <w:sz w:val="24"/>
                <w:szCs w:val="24"/>
                <w:highlight w:val="none"/>
                <w:lang w:val="en-US" w:eastAsia="zh-CN"/>
              </w:rPr>
              <w:t>过渡阶段浓度限值</w:t>
            </w:r>
            <w:r>
              <w:rPr>
                <w:rFonts w:hint="default" w:ascii="Times New Roman" w:hAnsi="Times New Roman" w:eastAsia="宋体" w:cs="Times New Roman"/>
                <w:b w:val="0"/>
                <w:bCs w:val="0"/>
                <w:color w:val="auto"/>
                <w:sz w:val="24"/>
                <w:szCs w:val="24"/>
                <w:highlight w:val="none"/>
              </w:rPr>
              <w:t>要求，区域为不达标区域。导致PM</w:t>
            </w:r>
            <w:r>
              <w:rPr>
                <w:rFonts w:hint="default" w:ascii="Times New Roman" w:hAnsi="Times New Roman" w:eastAsia="宋体" w:cs="Times New Roman"/>
                <w:b w:val="0"/>
                <w:bCs w:val="0"/>
                <w:color w:val="auto"/>
                <w:sz w:val="24"/>
                <w:szCs w:val="24"/>
                <w:highlight w:val="none"/>
                <w:vertAlign w:val="subscript"/>
              </w:rPr>
              <w:t>10</w:t>
            </w:r>
            <w:r>
              <w:rPr>
                <w:rFonts w:hint="default" w:ascii="Times New Roman" w:hAnsi="Times New Roman" w:eastAsia="宋体" w:cs="Times New Roman"/>
                <w:b w:val="0"/>
                <w:bCs w:val="0"/>
                <w:color w:val="auto"/>
                <w:sz w:val="24"/>
                <w:szCs w:val="24"/>
                <w:highlight w:val="none"/>
              </w:rPr>
              <w:t>与PM</w:t>
            </w:r>
            <w:r>
              <w:rPr>
                <w:rFonts w:hint="default" w:ascii="Times New Roman" w:hAnsi="Times New Roman" w:eastAsia="宋体" w:cs="Times New Roman"/>
                <w:b w:val="0"/>
                <w:bCs w:val="0"/>
                <w:color w:val="auto"/>
                <w:sz w:val="24"/>
                <w:szCs w:val="24"/>
                <w:highlight w:val="none"/>
                <w:vertAlign w:val="subscript"/>
              </w:rPr>
              <w:t>2.5</w:t>
            </w:r>
            <w:r>
              <w:rPr>
                <w:rFonts w:hint="default" w:ascii="Times New Roman" w:hAnsi="Times New Roman" w:eastAsia="宋体" w:cs="Times New Roman"/>
                <w:b w:val="0"/>
                <w:bCs w:val="0"/>
                <w:color w:val="auto"/>
                <w:sz w:val="24"/>
                <w:szCs w:val="24"/>
                <w:highlight w:val="none"/>
              </w:rPr>
              <w:t>超标的主</w:t>
            </w:r>
            <w:r>
              <w:rPr>
                <w:rFonts w:hint="eastAsia" w:ascii="宋体" w:hAnsi="宋体" w:eastAsia="宋体" w:cs="宋体"/>
                <w:b w:val="0"/>
                <w:bCs w:val="0"/>
                <w:color w:val="auto"/>
                <w:sz w:val="24"/>
                <w:szCs w:val="24"/>
                <w:highlight w:val="none"/>
              </w:rPr>
              <w:t>要原因是项目区域地处干旱沙漠边缘有关，受自然因素的影响比较明显</w:t>
            </w:r>
            <w:r>
              <w:rPr>
                <w:rFonts w:hint="default" w:ascii="Times New Roman" w:hAnsi="Times New Roman" w:cs="Times New Roman"/>
                <w:color w:val="auto"/>
                <w:sz w:val="24"/>
                <w:highlight w:val="none"/>
              </w:rPr>
              <w:t>。</w:t>
            </w:r>
          </w:p>
          <w:p>
            <w:pPr>
              <w:keepNext w:val="0"/>
              <w:keepLines w:val="0"/>
              <w:pageBreakBefore w:val="0"/>
              <w:kinsoku/>
              <w:wordWrap/>
              <w:overflowPunct/>
              <w:topLinePunct w:val="0"/>
              <w:autoSpaceDE/>
              <w:autoSpaceDN/>
              <w:bidi w:val="0"/>
              <w:adjustRightInd/>
              <w:snapToGrid/>
              <w:spacing w:line="520" w:lineRule="exact"/>
              <w:ind w:left="0" w:leftChars="0" w:right="0" w:firstLine="0" w:firstLineChars="0"/>
              <w:textAlignment w:val="auto"/>
              <w:rPr>
                <w:rFonts w:hint="default" w:ascii="Times New Roman" w:hAnsi="Times New Roman" w:cs="Times New Roman"/>
                <w:b/>
                <w:bCs/>
                <w:sz w:val="24"/>
                <w:szCs w:val="24"/>
                <w:highlight w:val="none"/>
              </w:rPr>
            </w:pPr>
            <w:r>
              <w:rPr>
                <w:rFonts w:hint="eastAsia" w:ascii="Times New Roman" w:hAnsi="Times New Roman" w:cs="Times New Roman"/>
                <w:b/>
                <w:bCs/>
                <w:sz w:val="24"/>
                <w:szCs w:val="24"/>
                <w:highlight w:val="none"/>
                <w:lang w:eastAsia="zh-CN"/>
              </w:rPr>
              <w:t>三</w:t>
            </w:r>
            <w:r>
              <w:rPr>
                <w:rFonts w:hint="default" w:ascii="Times New Roman" w:hAnsi="Times New Roman" w:cs="Times New Roman"/>
                <w:b/>
                <w:bCs/>
                <w:sz w:val="24"/>
                <w:szCs w:val="24"/>
                <w:highlight w:val="none"/>
              </w:rPr>
              <w:t>、</w:t>
            </w:r>
            <w:r>
              <w:rPr>
                <w:rFonts w:hint="eastAsia" w:ascii="Times New Roman" w:hAnsi="Times New Roman" w:cs="Times New Roman"/>
                <w:b/>
                <w:bCs/>
                <w:sz w:val="24"/>
                <w:szCs w:val="24"/>
                <w:highlight w:val="none"/>
                <w:lang w:val="en-US" w:eastAsia="zh-CN"/>
              </w:rPr>
              <w:t>地表</w:t>
            </w:r>
            <w:r>
              <w:rPr>
                <w:rFonts w:hint="default" w:ascii="Times New Roman" w:hAnsi="Times New Roman" w:cs="Times New Roman"/>
                <w:b/>
                <w:bCs/>
                <w:sz w:val="24"/>
                <w:szCs w:val="24"/>
                <w:highlight w:val="none"/>
              </w:rPr>
              <w:t>水环境质量现状</w:t>
            </w:r>
          </w:p>
          <w:p>
            <w:pPr>
              <w:keepNext w:val="0"/>
              <w:keepLines w:val="0"/>
              <w:pageBreakBefore w:val="0"/>
              <w:kinsoku/>
              <w:wordWrap/>
              <w:overflowPunct/>
              <w:topLinePunct w:val="0"/>
              <w:autoSpaceDE/>
              <w:autoSpaceDN/>
              <w:bidi w:val="0"/>
              <w:adjustRightInd/>
              <w:snapToGrid/>
              <w:spacing w:line="520" w:lineRule="exact"/>
              <w:ind w:left="0" w:right="0" w:firstLine="480" w:firstLineChars="200"/>
              <w:textAlignment w:val="auto"/>
              <w:rPr>
                <w:rFonts w:hint="default" w:ascii="Times New Roman" w:hAnsi="Times New Roman" w:cs="Times New Roman"/>
                <w:sz w:val="24"/>
                <w:szCs w:val="24"/>
                <w:highlight w:val="none"/>
              </w:rPr>
            </w:pPr>
            <w:r>
              <w:rPr>
                <w:rFonts w:hint="eastAsia" w:ascii="Times New Roman" w:hAnsi="Times New Roman" w:cs="Times New Roman"/>
                <w:sz w:val="24"/>
                <w:szCs w:val="24"/>
                <w:highlight w:val="none"/>
                <w:lang w:val="en-US" w:eastAsia="zh-CN"/>
              </w:rPr>
              <w:t>根据《环境影响评价技术导则 地表水环境》（HJ2.3-2018），本项目不向周围地表水体排放废水，也不进行涉水项目建设，即不会对地表水文要素产生影响，故不进行地表水环境现状调查。</w:t>
            </w:r>
          </w:p>
          <w:p>
            <w:pPr>
              <w:keepNext w:val="0"/>
              <w:keepLines w:val="0"/>
              <w:pageBreakBefore w:val="0"/>
              <w:kinsoku/>
              <w:wordWrap/>
              <w:overflowPunct/>
              <w:topLinePunct w:val="0"/>
              <w:autoSpaceDE/>
              <w:autoSpaceDN/>
              <w:bidi w:val="0"/>
              <w:adjustRightInd/>
              <w:snapToGrid/>
              <w:spacing w:line="520" w:lineRule="exact"/>
              <w:ind w:left="0" w:leftChars="0" w:right="0" w:firstLine="0" w:firstLineChars="0"/>
              <w:textAlignment w:val="auto"/>
              <w:rPr>
                <w:rFonts w:hint="default" w:ascii="Times New Roman" w:hAnsi="Times New Roman" w:cs="Times New Roman"/>
                <w:b/>
                <w:bCs/>
                <w:sz w:val="24"/>
                <w:szCs w:val="24"/>
                <w:highlight w:val="none"/>
              </w:rPr>
            </w:pPr>
            <w:r>
              <w:rPr>
                <w:rFonts w:hint="default" w:ascii="Times New Roman" w:hAnsi="Times New Roman" w:cs="Times New Roman"/>
                <w:b/>
                <w:bCs/>
                <w:sz w:val="24"/>
                <w:szCs w:val="24"/>
                <w:highlight w:val="none"/>
              </w:rPr>
              <w:t>四、声环境质量现状</w:t>
            </w:r>
          </w:p>
          <w:p>
            <w:pPr>
              <w:keepNext w:val="0"/>
              <w:keepLines w:val="0"/>
              <w:pageBreakBefore w:val="0"/>
              <w:kinsoku/>
              <w:wordWrap/>
              <w:overflowPunct/>
              <w:topLinePunct w:val="0"/>
              <w:autoSpaceDE/>
              <w:autoSpaceDN/>
              <w:bidi w:val="0"/>
              <w:adjustRightInd/>
              <w:snapToGrid/>
              <w:spacing w:line="520" w:lineRule="exact"/>
              <w:ind w:left="0" w:right="0" w:firstLine="480" w:firstLineChars="200"/>
              <w:jc w:val="left"/>
              <w:textAlignment w:val="auto"/>
              <w:rPr>
                <w:rFonts w:hint="default" w:ascii="Times New Roman" w:hAnsi="Times New Roman" w:cs="Times New Roman"/>
                <w:snapToGrid w:val="0"/>
                <w:sz w:val="24"/>
                <w:szCs w:val="24"/>
                <w:highlight w:val="none"/>
              </w:rPr>
            </w:pPr>
            <w:r>
              <w:rPr>
                <w:rFonts w:hint="eastAsia" w:cs="Times New Roman"/>
                <w:sz w:val="24"/>
                <w:szCs w:val="24"/>
                <w:highlight w:val="none"/>
                <w:lang w:val="en-US" w:eastAsia="zh-CN"/>
              </w:rPr>
              <w:t>参照</w:t>
            </w:r>
            <w:r>
              <w:rPr>
                <w:rFonts w:hint="default" w:ascii="Times New Roman" w:hAnsi="Times New Roman" w:cs="Times New Roman"/>
                <w:sz w:val="24"/>
                <w:szCs w:val="24"/>
                <w:highlight w:val="none"/>
              </w:rPr>
              <w:t>《建设项目环境影响报告表编制技术指南（试行）》（污染影响类），厂界外周边50米范围内不存在声环境保护目标的建设项目，不需要监测声环境质量现状并评价达标情况。</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right="0" w:firstLine="0" w:firstLineChars="0"/>
              <w:jc w:val="left"/>
              <w:textAlignment w:val="auto"/>
              <w:rPr>
                <w:rFonts w:hint="default" w:ascii="Times New Roman" w:hAnsi="Times New Roman" w:eastAsia="宋体" w:cs="Times New Roman"/>
                <w:b/>
                <w:bCs/>
                <w:color w:val="000000"/>
                <w:sz w:val="24"/>
                <w:szCs w:val="24"/>
                <w:highlight w:val="none"/>
              </w:rPr>
            </w:pPr>
            <w:r>
              <w:rPr>
                <w:rFonts w:hint="default" w:ascii="Times New Roman" w:hAnsi="Times New Roman" w:eastAsia="宋体" w:cs="Times New Roman"/>
                <w:b/>
                <w:bCs/>
                <w:color w:val="000000"/>
                <w:sz w:val="24"/>
                <w:szCs w:val="24"/>
                <w:highlight w:val="none"/>
                <w:lang w:eastAsia="zh-CN"/>
              </w:rPr>
              <w:t>五、</w:t>
            </w:r>
            <w:r>
              <w:rPr>
                <w:rFonts w:hint="eastAsia" w:ascii="Times New Roman" w:hAnsi="Times New Roman" w:eastAsia="宋体" w:cs="Times New Roman"/>
                <w:b/>
                <w:bCs/>
                <w:color w:val="000000"/>
                <w:sz w:val="24"/>
                <w:szCs w:val="24"/>
                <w:highlight w:val="none"/>
                <w:lang w:eastAsia="zh-CN"/>
              </w:rPr>
              <w:t>地下水</w:t>
            </w:r>
            <w:r>
              <w:rPr>
                <w:rFonts w:hint="default" w:ascii="Times New Roman" w:hAnsi="Times New Roman" w:eastAsia="宋体" w:cs="Times New Roman"/>
                <w:b/>
                <w:bCs/>
                <w:color w:val="000000"/>
                <w:sz w:val="24"/>
                <w:szCs w:val="24"/>
                <w:highlight w:val="none"/>
              </w:rPr>
              <w:t>环境质量现状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本项目为</w:t>
            </w:r>
            <w:r>
              <w:rPr>
                <w:rFonts w:hint="eastAsia" w:ascii="Times New Roman" w:hAnsi="Times New Roman" w:eastAsia="宋体" w:cs="Times New Roman"/>
                <w:sz w:val="24"/>
                <w:highlight w:val="none"/>
                <w:lang w:val="en-US" w:eastAsia="zh-CN"/>
              </w:rPr>
              <w:t>陆地矿产资源地质勘查项目</w:t>
            </w:r>
            <w:r>
              <w:rPr>
                <w:rFonts w:hint="default" w:ascii="Times New Roman" w:hAnsi="Times New Roman" w:eastAsia="宋体" w:cs="Times New Roman"/>
                <w:sz w:val="24"/>
                <w:highlight w:val="none"/>
                <w:lang w:val="en-US" w:eastAsia="zh-CN"/>
              </w:rPr>
              <w:t>，根据</w:t>
            </w:r>
            <w:r>
              <w:rPr>
                <w:rFonts w:hint="default" w:ascii="Times New Roman" w:hAnsi="Times New Roman" w:eastAsia="宋体" w:cs="Times New Roman"/>
                <w:sz w:val="24"/>
                <w:highlight w:val="none"/>
              </w:rPr>
              <w:t>《环境影响评价技术导则</w:t>
            </w:r>
            <w:r>
              <w:rPr>
                <w:rFonts w:hint="eastAsia" w:cs="Times New Roman"/>
                <w:sz w:val="24"/>
                <w:highlight w:val="none"/>
                <w:lang w:val="en-US" w:eastAsia="zh-CN"/>
              </w:rPr>
              <w:t xml:space="preserve"> </w:t>
            </w:r>
            <w:r>
              <w:rPr>
                <w:rFonts w:hint="default" w:ascii="Times New Roman" w:hAnsi="Times New Roman" w:eastAsia="宋体" w:cs="Times New Roman"/>
                <w:sz w:val="24"/>
                <w:highlight w:val="none"/>
                <w:lang w:val="en-US" w:eastAsia="zh-CN"/>
              </w:rPr>
              <w:t>地下水</w:t>
            </w:r>
            <w:r>
              <w:rPr>
                <w:rFonts w:hint="default" w:ascii="Times New Roman" w:hAnsi="Times New Roman" w:eastAsia="宋体" w:cs="Times New Roman"/>
                <w:sz w:val="24"/>
                <w:highlight w:val="none"/>
              </w:rPr>
              <w:t>环境》（HJ</w:t>
            </w:r>
            <w:r>
              <w:rPr>
                <w:rFonts w:hint="eastAsia" w:cs="Times New Roman"/>
                <w:sz w:val="24"/>
                <w:highlight w:val="none"/>
                <w:lang w:val="en-US" w:eastAsia="zh-CN"/>
              </w:rPr>
              <w:t>610</w:t>
            </w:r>
            <w:r>
              <w:rPr>
                <w:rFonts w:hint="default" w:ascii="Times New Roman" w:hAnsi="Times New Roman" w:eastAsia="宋体" w:cs="Times New Roman"/>
                <w:sz w:val="24"/>
                <w:highlight w:val="none"/>
              </w:rPr>
              <w:t>-201</w:t>
            </w: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，属于</w:t>
            </w:r>
            <w:r>
              <w:rPr>
                <w:rFonts w:hint="default" w:ascii="Times New Roman" w:hAnsi="Times New Roman" w:eastAsia="宋体" w:cs="Times New Roman"/>
                <w:sz w:val="24"/>
                <w:highlight w:val="none"/>
                <w:lang w:val="en-US" w:eastAsia="zh-CN"/>
              </w:rPr>
              <w:t>附录A中：</w:t>
            </w:r>
            <w:r>
              <w:rPr>
                <w:rFonts w:hint="eastAsia" w:ascii="Times New Roman" w:hAnsi="Times New Roman" w:eastAsia="宋体" w:cs="Times New Roman"/>
                <w:sz w:val="24"/>
                <w:highlight w:val="none"/>
                <w:lang w:val="en-US" w:eastAsia="zh-CN"/>
              </w:rPr>
              <w:t>24.矿产资源地质勘查（包括勘探活动），</w:t>
            </w:r>
            <w:r>
              <w:rPr>
                <w:rFonts w:hint="default" w:ascii="Times New Roman" w:hAnsi="Times New Roman" w:eastAsia="宋体" w:cs="Times New Roman"/>
                <w:sz w:val="24"/>
                <w:highlight w:val="none"/>
                <w:lang w:val="en-US" w:eastAsia="zh-CN"/>
              </w:rPr>
              <w:t>地下水环境影响评价</w:t>
            </w:r>
            <w:r>
              <w:rPr>
                <w:rFonts w:hint="eastAsia" w:ascii="Times New Roman" w:hAnsi="Times New Roman" w:eastAsia="宋体" w:cs="Times New Roman"/>
                <w:sz w:val="24"/>
                <w:highlight w:val="none"/>
                <w:lang w:val="en-US" w:eastAsia="zh-CN"/>
              </w:rPr>
              <w:t>项目</w:t>
            </w:r>
            <w:r>
              <w:rPr>
                <w:rFonts w:hint="default" w:ascii="Times New Roman" w:hAnsi="Times New Roman" w:eastAsia="宋体" w:cs="Times New Roman"/>
                <w:sz w:val="24"/>
                <w:highlight w:val="none"/>
                <w:lang w:val="en-US" w:eastAsia="zh-CN"/>
              </w:rPr>
              <w:t>类别</w:t>
            </w:r>
            <w:r>
              <w:rPr>
                <w:rFonts w:hint="eastAsia" w:ascii="Times New Roman" w:hAnsi="Times New Roman" w:cs="Times New Roman"/>
                <w:sz w:val="24"/>
                <w:highlight w:val="none"/>
                <w:lang w:val="en-US" w:eastAsia="zh-CN"/>
              </w:rPr>
              <w:t>为</w:t>
            </w:r>
            <w:r>
              <w:rPr>
                <w:rFonts w:hint="eastAsia" w:cs="Times New Roman"/>
                <w:sz w:val="24"/>
                <w:highlight w:val="none"/>
                <w:lang w:val="en-US" w:eastAsia="zh-CN"/>
              </w:rPr>
              <w:t>Ⅳ类</w:t>
            </w:r>
            <w:r>
              <w:rPr>
                <w:rFonts w:hint="default" w:ascii="Times New Roman" w:hAnsi="Times New Roman" w:eastAsia="宋体" w:cs="Times New Roman"/>
                <w:sz w:val="24"/>
                <w:highlight w:val="none"/>
                <w:lang w:val="en-US" w:eastAsia="zh-CN"/>
              </w:rPr>
              <w:t>。因此，本项目不开展地下水环境质量现状调查评价。</w:t>
            </w:r>
          </w:p>
          <w:p>
            <w:pPr>
              <w:pStyle w:val="15"/>
              <w:keepNext w:val="0"/>
              <w:keepLines w:val="0"/>
              <w:pageBreakBefore w:val="0"/>
              <w:kinsoku/>
              <w:wordWrap/>
              <w:overflowPunct/>
              <w:topLinePunct w:val="0"/>
              <w:autoSpaceDE/>
              <w:autoSpaceDN/>
              <w:bidi w:val="0"/>
              <w:adjustRightInd/>
              <w:snapToGrid/>
              <w:spacing w:before="0" w:beforeAutospacing="0" w:after="0" w:afterAutospacing="0" w:line="520" w:lineRule="exact"/>
              <w:jc w:val="left"/>
              <w:textAlignment w:val="auto"/>
              <w:outlineLvl w:val="0"/>
              <w:rPr>
                <w:rFonts w:hint="default"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lang w:val="en-US" w:eastAsia="zh-CN"/>
              </w:rPr>
              <w:t>六、</w:t>
            </w:r>
            <w:r>
              <w:rPr>
                <w:rFonts w:hint="default" w:ascii="Times New Roman" w:hAnsi="Times New Roman" w:eastAsia="宋体" w:cs="Times New Roman"/>
                <w:b/>
                <w:bCs/>
                <w:color w:val="000000"/>
                <w:sz w:val="24"/>
                <w:szCs w:val="24"/>
                <w:highlight w:val="none"/>
              </w:rPr>
              <w:t>土壤环境质量现状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default" w:ascii="宋体" w:hAnsi="宋体" w:eastAsia="宋体" w:cs="宋体"/>
                <w:kern w:val="0"/>
                <w:sz w:val="24"/>
                <w:szCs w:val="24"/>
                <w:highlight w:val="none"/>
                <w:lang w:val="en-US" w:eastAsia="zh-CN"/>
              </w:rPr>
            </w:pPr>
            <w:r>
              <w:rPr>
                <w:rFonts w:hint="default" w:ascii="Times New Roman" w:hAnsi="Times New Roman" w:eastAsia="宋体" w:cs="Times New Roman"/>
                <w:sz w:val="24"/>
                <w:highlight w:val="none"/>
                <w:lang w:eastAsia="zh-CN"/>
              </w:rPr>
              <w:t>根据《环境影响评价技术导则 土壤环境</w:t>
            </w:r>
            <w:r>
              <w:rPr>
                <w:rFonts w:hint="eastAsia" w:cs="Times New Roman"/>
                <w:sz w:val="24"/>
                <w:highlight w:val="none"/>
                <w:lang w:eastAsia="zh-CN"/>
              </w:rPr>
              <w:t>（</w:t>
            </w:r>
            <w:r>
              <w:rPr>
                <w:rFonts w:hint="eastAsia" w:cs="Times New Roman"/>
                <w:sz w:val="24"/>
                <w:highlight w:val="none"/>
                <w:lang w:val="en-US" w:eastAsia="zh-CN"/>
              </w:rPr>
              <w:t>试行</w:t>
            </w:r>
            <w:r>
              <w:rPr>
                <w:rFonts w:hint="eastAsia" w:cs="Times New Roman"/>
                <w:sz w:val="24"/>
                <w:highlight w:val="none"/>
                <w:lang w:eastAsia="zh-CN"/>
              </w:rPr>
              <w:t>）</w:t>
            </w:r>
            <w:r>
              <w:rPr>
                <w:rFonts w:hint="default" w:ascii="Times New Roman" w:hAnsi="Times New Roman" w:eastAsia="宋体" w:cs="Times New Roman"/>
                <w:sz w:val="24"/>
                <w:highlight w:val="none"/>
                <w:lang w:eastAsia="zh-CN"/>
              </w:rPr>
              <w:t>》（HJ964-2018），</w:t>
            </w:r>
            <w:r>
              <w:rPr>
                <w:rFonts w:hint="default" w:ascii="Times New Roman" w:hAnsi="Times New Roman" w:eastAsia="宋体" w:cs="Times New Roman"/>
                <w:sz w:val="24"/>
                <w:highlight w:val="none"/>
                <w:lang w:val="en-US" w:eastAsia="zh-CN"/>
              </w:rPr>
              <w:t>本项目</w:t>
            </w:r>
            <w:r>
              <w:rPr>
                <w:rFonts w:hint="eastAsia" w:ascii="Times New Roman" w:hAnsi="Times New Roman" w:eastAsia="宋体" w:cs="Times New Roman"/>
                <w:sz w:val="24"/>
                <w:highlight w:val="none"/>
                <w:lang w:val="en-US" w:eastAsia="zh-CN"/>
              </w:rPr>
              <w:t>为</w:t>
            </w:r>
            <w:r>
              <w:rPr>
                <w:rFonts w:hint="default" w:ascii="Times New Roman" w:hAnsi="Times New Roman" w:eastAsia="宋体" w:cs="Times New Roman"/>
                <w:sz w:val="24"/>
                <w:highlight w:val="none"/>
                <w:lang w:val="en-US" w:eastAsia="zh-CN"/>
              </w:rPr>
              <w:t>地质勘探类项目</w:t>
            </w:r>
            <w:r>
              <w:rPr>
                <w:rFonts w:hint="eastAsia" w:ascii="Times New Roman" w:hAnsi="Times New Roman" w:eastAsia="宋体" w:cs="Times New Roman"/>
                <w:sz w:val="24"/>
                <w:highlight w:val="none"/>
                <w:lang w:val="en-US" w:eastAsia="zh-CN"/>
              </w:rPr>
              <w:t>，</w:t>
            </w:r>
            <w:r>
              <w:rPr>
                <w:rFonts w:hint="default" w:ascii="Times New Roman" w:hAnsi="Times New Roman" w:eastAsia="宋体" w:cs="Times New Roman"/>
                <w:sz w:val="24"/>
                <w:highlight w:val="none"/>
                <w:lang w:eastAsia="zh-CN"/>
              </w:rPr>
              <w:t>属于“</w:t>
            </w:r>
            <w:r>
              <w:rPr>
                <w:rFonts w:hint="eastAsia" w:ascii="Times New Roman" w:hAnsi="Times New Roman" w:eastAsia="宋体" w:cs="Times New Roman"/>
                <w:sz w:val="24"/>
                <w:highlight w:val="none"/>
                <w:lang w:eastAsia="zh-CN"/>
              </w:rPr>
              <w:t>其他行业</w:t>
            </w:r>
            <w:r>
              <w:rPr>
                <w:rFonts w:hint="eastAsia" w:cs="Times New Roman"/>
                <w:sz w:val="24"/>
                <w:highlight w:val="none"/>
                <w:lang w:eastAsia="zh-CN"/>
              </w:rPr>
              <w:t>－</w:t>
            </w:r>
            <w:r>
              <w:rPr>
                <w:rFonts w:hint="eastAsia" w:ascii="Times New Roman" w:hAnsi="Times New Roman" w:cs="Times New Roman"/>
                <w:color w:val="auto"/>
                <w:sz w:val="24"/>
                <w:highlight w:val="none"/>
                <w:lang w:val="en-US" w:eastAsia="zh-CN"/>
              </w:rPr>
              <w:t>全部</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sz w:val="24"/>
                <w:highlight w:val="none"/>
                <w:lang w:eastAsia="zh-CN"/>
              </w:rPr>
              <w:t>为</w:t>
            </w:r>
            <w:r>
              <w:rPr>
                <w:rFonts w:hint="eastAsia" w:cs="Times New Roman"/>
                <w:sz w:val="24"/>
                <w:highlight w:val="none"/>
                <w:lang w:eastAsia="zh-CN"/>
              </w:rPr>
              <w:t>Ⅳ类</w:t>
            </w:r>
            <w:r>
              <w:rPr>
                <w:rFonts w:hint="default" w:ascii="Times New Roman" w:hAnsi="Times New Roman" w:eastAsia="宋体" w:cs="Times New Roman"/>
                <w:sz w:val="24"/>
                <w:highlight w:val="none"/>
                <w:lang w:eastAsia="zh-CN"/>
              </w:rPr>
              <w:t>项目，可不开展土壤环境影响评价。因此，本次评价</w:t>
            </w:r>
            <w:r>
              <w:rPr>
                <w:rFonts w:hint="eastAsia" w:ascii="Times New Roman" w:hAnsi="Times New Roman" w:cs="Times New Roman"/>
                <w:sz w:val="24"/>
                <w:highlight w:val="none"/>
                <w:lang w:eastAsia="zh-CN"/>
              </w:rPr>
              <w:t>不</w:t>
            </w:r>
            <w:r>
              <w:rPr>
                <w:rFonts w:hint="default" w:ascii="Times New Roman" w:hAnsi="Times New Roman" w:eastAsia="宋体" w:cs="Times New Roman"/>
                <w:sz w:val="24"/>
                <w:highlight w:val="none"/>
                <w:lang w:eastAsia="zh-CN"/>
              </w:rPr>
              <w:t>进行土壤现状监测。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shd w:val="clear" w:color="auto" w:fill="auto"/>
            <w:noWrap w:val="0"/>
            <w:vAlign w:val="center"/>
          </w:tcPr>
          <w:p>
            <w:pPr>
              <w:adjustRightInd w:val="0"/>
              <w:snapToGrid w:val="0"/>
              <w:spacing w:line="240" w:lineRule="auto"/>
              <w:jc w:val="center"/>
              <w:rPr>
                <w:rFonts w:hint="eastAsia" w:ascii="黑体" w:hAnsi="黑体" w:eastAsia="黑体" w:cs="Times New Roman"/>
                <w:snapToGrid w:val="0"/>
                <w:kern w:val="2"/>
                <w:sz w:val="36"/>
                <w:szCs w:val="36"/>
                <w:highlight w:val="none"/>
                <w:vertAlign w:val="baseline"/>
                <w:lang w:val="en-US" w:eastAsia="zh-CN" w:bidi="ar-SA"/>
              </w:rPr>
            </w:pPr>
            <w:r>
              <w:rPr>
                <w:rFonts w:hint="eastAsia" w:ascii="宋体" w:hAnsi="宋体"/>
                <w:bCs/>
                <w:szCs w:val="21"/>
                <w:highlight w:val="none"/>
              </w:rPr>
              <w:t>与项目有关的原有环境污染和生态破坏问题</w:t>
            </w:r>
          </w:p>
        </w:tc>
        <w:tc>
          <w:tcPr>
            <w:tcW w:w="840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520" w:lineRule="atLeast"/>
              <w:jc w:val="center"/>
              <w:textAlignment w:val="auto"/>
              <w:rPr>
                <w:rFonts w:hint="default" w:ascii="黑体" w:hAnsi="黑体" w:eastAsia="宋体" w:cs="Times New Roman"/>
                <w:snapToGrid w:val="0"/>
                <w:kern w:val="2"/>
                <w:sz w:val="36"/>
                <w:szCs w:val="36"/>
                <w:highlight w:val="none"/>
                <w:vertAlign w:val="baseline"/>
                <w:lang w:val="en-US" w:eastAsia="zh-CN" w:bidi="ar-SA"/>
              </w:rPr>
            </w:pPr>
            <w:r>
              <w:rPr>
                <w:rFonts w:hint="eastAsia" w:ascii="Times New Roman" w:hAnsi="Times New Roman" w:eastAsia="宋体" w:cs="Times New Roman"/>
                <w:sz w:val="24"/>
                <w:highlight w:val="none"/>
              </w:rPr>
              <w:t>本项目属于新建项目，</w:t>
            </w:r>
            <w:r>
              <w:rPr>
                <w:rFonts w:hint="eastAsia" w:cs="Times New Roman"/>
                <w:sz w:val="24"/>
                <w:highlight w:val="none"/>
                <w:lang w:val="en-US" w:eastAsia="zh-CN"/>
              </w:rPr>
              <w:t>无原有环境污染问题。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shd w:val="clear" w:color="auto" w:fill="auto"/>
            <w:noWrap w:val="0"/>
            <w:vAlign w:val="center"/>
          </w:tcPr>
          <w:p>
            <w:pPr>
              <w:adjustRightInd w:val="0"/>
              <w:snapToGrid w:val="0"/>
              <w:spacing w:line="24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生态环境保护目标</w:t>
            </w:r>
          </w:p>
        </w:tc>
        <w:tc>
          <w:tcPr>
            <w:tcW w:w="8404" w:type="dxa"/>
            <w:shd w:val="clear" w:color="auto" w:fill="auto"/>
            <w:noWrap w:val="0"/>
            <w:vAlign w:val="center"/>
          </w:tcPr>
          <w:p>
            <w:pPr>
              <w:pageBreakBefore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auto"/>
                <w:kern w:val="0"/>
                <w:sz w:val="21"/>
                <w:szCs w:val="21"/>
                <w:highlight w:val="none"/>
                <w:lang w:val="en-US" w:eastAsia="zh-CN" w:bidi="ar-SA"/>
              </w:rPr>
            </w:pPr>
            <w:r>
              <w:rPr>
                <w:rFonts w:hint="eastAsia" w:cs="Times New Roman"/>
                <w:b w:val="0"/>
                <w:bCs w:val="0"/>
                <w:sz w:val="24"/>
                <w:highlight w:val="none"/>
                <w:lang w:val="en-US" w:eastAsia="zh-CN"/>
              </w:rPr>
              <w:t>勘探区位于新疆维吾尔自治区巴音郭楞蒙古自治州且末县，距且末县城西南219°方向约195km处，项目区不涉及生态敏感区和生态保护目标</w:t>
            </w:r>
            <w:r>
              <w:rPr>
                <w:rFonts w:hint="eastAsia" w:asciiTheme="minorEastAsia" w:hAnsiTheme="minorEastAsia" w:cstheme="minorEastAsia"/>
                <w:color w:val="auto"/>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shd w:val="clear" w:color="auto" w:fill="auto"/>
            <w:noWrap w:val="0"/>
            <w:vAlign w:val="center"/>
          </w:tcPr>
          <w:p>
            <w:pPr>
              <w:adjustRightInd w:val="0"/>
              <w:snapToGrid w:val="0"/>
              <w:spacing w:line="360" w:lineRule="auto"/>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评价标准</w:t>
            </w:r>
          </w:p>
        </w:tc>
        <w:tc>
          <w:tcPr>
            <w:tcW w:w="8404" w:type="dxa"/>
            <w:shd w:val="clear" w:color="auto" w:fill="auto"/>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520" w:lineRule="exact"/>
              <w:textAlignment w:val="auto"/>
              <w:rPr>
                <w:rFonts w:hint="eastAsia" w:ascii="Times New Roman" w:hAnsi="Times New Roman" w:eastAsia="宋体" w:cs="Times New Roman"/>
                <w:b/>
                <w:color w:val="000000"/>
                <w:kern w:val="0"/>
                <w:sz w:val="24"/>
                <w:highlight w:val="none"/>
              </w:rPr>
            </w:pPr>
            <w:r>
              <w:rPr>
                <w:rFonts w:hint="eastAsia" w:ascii="Times New Roman" w:hAnsi="Times New Roman" w:eastAsia="宋体" w:cs="Times New Roman"/>
                <w:b/>
                <w:color w:val="000000"/>
                <w:kern w:val="0"/>
                <w:sz w:val="24"/>
                <w:highlight w:val="none"/>
                <w:lang w:eastAsia="zh-CN"/>
              </w:rPr>
              <w:t>一、</w:t>
            </w:r>
            <w:r>
              <w:rPr>
                <w:rFonts w:hint="eastAsia" w:ascii="Times New Roman" w:hAnsi="Times New Roman" w:eastAsia="宋体" w:cs="Times New Roman"/>
                <w:b/>
                <w:color w:val="000000"/>
                <w:kern w:val="0"/>
                <w:sz w:val="24"/>
                <w:highlight w:val="none"/>
              </w:rPr>
              <w:t>环境质量标准</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482" w:firstLineChars="200"/>
              <w:textAlignment w:val="auto"/>
              <w:rPr>
                <w:rFonts w:hint="default" w:asciiTheme="minorEastAsia" w:hAnsiTheme="minorEastAsia" w:eastAsiaTheme="minorEastAsia" w:cstheme="minorEastAsia"/>
                <w:b/>
                <w:bCs w:val="0"/>
                <w:kern w:val="0"/>
                <w:sz w:val="24"/>
                <w:szCs w:val="24"/>
                <w:highlight w:val="none"/>
                <w:lang w:val="en-US" w:eastAsia="zh-CN" w:bidi="ar-SA"/>
              </w:rPr>
            </w:pPr>
            <w:r>
              <w:rPr>
                <w:rFonts w:hint="eastAsia"/>
                <w:b/>
                <w:bCs w:val="0"/>
                <w:sz w:val="24"/>
                <w:highlight w:val="none"/>
                <w:lang w:eastAsia="zh-CN"/>
              </w:rPr>
              <w:t>1.</w:t>
            </w:r>
            <w:r>
              <w:rPr>
                <w:rFonts w:hint="default" w:asciiTheme="minorEastAsia" w:hAnsiTheme="minorEastAsia" w:eastAsiaTheme="minorEastAsia" w:cstheme="minorEastAsia"/>
                <w:b/>
                <w:bCs w:val="0"/>
                <w:kern w:val="0"/>
                <w:sz w:val="24"/>
                <w:szCs w:val="24"/>
                <w:highlight w:val="none"/>
                <w:lang w:val="en-US" w:eastAsia="zh-CN" w:bidi="ar-SA"/>
              </w:rPr>
              <w:t>环境空气</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480" w:firstLineChars="200"/>
              <w:textAlignment w:val="auto"/>
              <w:rPr>
                <w:rFonts w:hint="default" w:asciiTheme="minorEastAsia" w:hAnsiTheme="minorEastAsia" w:eastAsiaTheme="minorEastAsia" w:cstheme="minorEastAsia"/>
                <w:kern w:val="0"/>
                <w:sz w:val="24"/>
                <w:szCs w:val="24"/>
                <w:highlight w:val="none"/>
                <w:lang w:val="en-US" w:eastAsia="zh-CN" w:bidi="ar-SA"/>
              </w:rPr>
            </w:pPr>
            <w:r>
              <w:rPr>
                <w:rFonts w:hint="default" w:asciiTheme="minorEastAsia" w:hAnsiTheme="minorEastAsia" w:eastAsiaTheme="minorEastAsia" w:cstheme="minorEastAsia"/>
                <w:kern w:val="0"/>
                <w:sz w:val="24"/>
                <w:szCs w:val="24"/>
                <w:highlight w:val="none"/>
                <w:lang w:val="en-US" w:eastAsia="zh-CN" w:bidi="ar-SA"/>
              </w:rPr>
              <w:t>环境空气质量执行《环境空气质量标准》（GB3095-2026）的二级</w:t>
            </w:r>
            <w:r>
              <w:rPr>
                <w:rFonts w:hint="eastAsia" w:asciiTheme="minorEastAsia" w:hAnsiTheme="minorEastAsia" w:eastAsiaTheme="minorEastAsia" w:cstheme="minorEastAsia"/>
                <w:kern w:val="0"/>
                <w:sz w:val="24"/>
                <w:szCs w:val="24"/>
                <w:highlight w:val="none"/>
                <w:lang w:val="en-US" w:eastAsia="zh-CN" w:bidi="ar-SA"/>
              </w:rPr>
              <w:t>过渡阶段浓度限值</w:t>
            </w:r>
            <w:r>
              <w:rPr>
                <w:rFonts w:hint="default" w:asciiTheme="minorEastAsia" w:hAnsiTheme="minorEastAsia" w:eastAsiaTheme="minorEastAsia" w:cstheme="minorEastAsia"/>
                <w:kern w:val="0"/>
                <w:sz w:val="24"/>
                <w:szCs w:val="24"/>
                <w:highlight w:val="none"/>
                <w:lang w:val="en-US" w:eastAsia="zh-CN" w:bidi="ar-SA"/>
              </w:rPr>
              <w:t>要求。</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482" w:firstLineChars="200"/>
              <w:textAlignment w:val="auto"/>
              <w:rPr>
                <w:rFonts w:hint="eastAsia" w:asciiTheme="minorEastAsia" w:hAnsiTheme="minorEastAsia" w:eastAsiaTheme="minorEastAsia" w:cstheme="minorEastAsia"/>
                <w:b/>
                <w:bCs/>
                <w:kern w:val="0"/>
                <w:sz w:val="24"/>
                <w:szCs w:val="24"/>
                <w:highlight w:val="none"/>
                <w:lang w:val="en-US" w:eastAsia="zh-CN" w:bidi="ar-SA"/>
              </w:rPr>
            </w:pPr>
            <w:r>
              <w:rPr>
                <w:rFonts w:hint="eastAsia" w:asciiTheme="minorEastAsia" w:hAnsiTheme="minorEastAsia" w:eastAsiaTheme="minorEastAsia" w:cstheme="minorEastAsia"/>
                <w:b/>
                <w:bCs/>
                <w:kern w:val="0"/>
                <w:sz w:val="24"/>
                <w:szCs w:val="24"/>
                <w:highlight w:val="none"/>
                <w:lang w:val="en-US" w:eastAsia="zh-CN" w:bidi="ar-SA"/>
              </w:rPr>
              <w:t>2.声环境</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480" w:firstLineChars="200"/>
              <w:textAlignment w:val="auto"/>
              <w:rPr>
                <w:rFonts w:hint="default" w:asciiTheme="minorEastAsia" w:hAnsiTheme="minorEastAsia" w:eastAsiaTheme="minorEastAsia" w:cstheme="minorEastAsia"/>
                <w:kern w:val="0"/>
                <w:sz w:val="24"/>
                <w:szCs w:val="24"/>
                <w:highlight w:val="none"/>
                <w:lang w:val="en-US" w:eastAsia="zh-CN" w:bidi="ar-SA"/>
              </w:rPr>
            </w:pPr>
            <w:r>
              <w:rPr>
                <w:rFonts w:hint="default" w:asciiTheme="minorEastAsia" w:hAnsiTheme="minorEastAsia" w:eastAsiaTheme="minorEastAsia" w:cstheme="minorEastAsia"/>
                <w:kern w:val="0"/>
                <w:sz w:val="24"/>
                <w:szCs w:val="24"/>
                <w:highlight w:val="none"/>
                <w:lang w:val="en-US" w:eastAsia="zh-CN" w:bidi="ar-SA"/>
              </w:rPr>
              <w:t>项目所在地声环境质量执行《声环境质量标准》（GB3096－2008）</w:t>
            </w:r>
            <w:r>
              <w:rPr>
                <w:rFonts w:hint="eastAsia" w:asciiTheme="minorEastAsia" w:hAnsiTheme="minorEastAsia" w:eastAsiaTheme="minorEastAsia" w:cstheme="minorEastAsia"/>
                <w:kern w:val="0"/>
                <w:sz w:val="24"/>
                <w:szCs w:val="24"/>
                <w:highlight w:val="none"/>
                <w:lang w:val="en-US" w:eastAsia="zh-CN" w:bidi="ar-SA"/>
              </w:rPr>
              <w:t>2</w:t>
            </w:r>
            <w:r>
              <w:rPr>
                <w:rFonts w:hint="default" w:asciiTheme="minorEastAsia" w:hAnsiTheme="minorEastAsia" w:eastAsiaTheme="minorEastAsia" w:cstheme="minorEastAsia"/>
                <w:kern w:val="0"/>
                <w:sz w:val="24"/>
                <w:szCs w:val="24"/>
                <w:highlight w:val="none"/>
                <w:lang w:val="en-US" w:eastAsia="zh-CN" w:bidi="ar-SA"/>
              </w:rPr>
              <w:t>类标准，即昼间≤6</w:t>
            </w:r>
            <w:r>
              <w:rPr>
                <w:rFonts w:hint="eastAsia" w:asciiTheme="minorEastAsia" w:hAnsiTheme="minorEastAsia" w:eastAsiaTheme="minorEastAsia" w:cstheme="minorEastAsia"/>
                <w:kern w:val="0"/>
                <w:sz w:val="24"/>
                <w:szCs w:val="24"/>
                <w:highlight w:val="none"/>
                <w:lang w:val="en-US" w:eastAsia="zh-CN" w:bidi="ar-SA"/>
              </w:rPr>
              <w:t>0</w:t>
            </w:r>
            <w:r>
              <w:rPr>
                <w:rFonts w:hint="default" w:asciiTheme="minorEastAsia" w:hAnsiTheme="minorEastAsia" w:eastAsiaTheme="minorEastAsia" w:cstheme="minorEastAsia"/>
                <w:kern w:val="0"/>
                <w:sz w:val="24"/>
                <w:szCs w:val="24"/>
                <w:highlight w:val="none"/>
                <w:lang w:val="en-US" w:eastAsia="zh-CN" w:bidi="ar-SA"/>
              </w:rPr>
              <w:t>dB</w:t>
            </w:r>
            <w:r>
              <w:rPr>
                <w:rFonts w:hint="eastAsia" w:asciiTheme="minorEastAsia" w:hAnsiTheme="minorEastAsia" w:eastAsiaTheme="minorEastAsia" w:cstheme="minorEastAsia"/>
                <w:kern w:val="0"/>
                <w:sz w:val="24"/>
                <w:szCs w:val="24"/>
                <w:highlight w:val="none"/>
                <w:lang w:val="en-US" w:eastAsia="zh-CN" w:bidi="ar-SA"/>
              </w:rPr>
              <w:t>（</w:t>
            </w:r>
            <w:r>
              <w:rPr>
                <w:rFonts w:hint="default" w:asciiTheme="minorEastAsia" w:hAnsiTheme="minorEastAsia" w:eastAsiaTheme="minorEastAsia" w:cstheme="minorEastAsia"/>
                <w:kern w:val="0"/>
                <w:sz w:val="24"/>
                <w:szCs w:val="24"/>
                <w:highlight w:val="none"/>
                <w:lang w:val="en-US" w:eastAsia="zh-CN" w:bidi="ar-SA"/>
              </w:rPr>
              <w:t>A</w:t>
            </w:r>
            <w:r>
              <w:rPr>
                <w:rFonts w:hint="eastAsia" w:asciiTheme="minorEastAsia" w:hAnsiTheme="minorEastAsia" w:eastAsiaTheme="minorEastAsia" w:cstheme="minorEastAsia"/>
                <w:kern w:val="0"/>
                <w:sz w:val="24"/>
                <w:szCs w:val="24"/>
                <w:highlight w:val="none"/>
                <w:lang w:val="en-US" w:eastAsia="zh-CN" w:bidi="ar-SA"/>
              </w:rPr>
              <w:t>）</w:t>
            </w:r>
            <w:r>
              <w:rPr>
                <w:rFonts w:hint="default" w:asciiTheme="minorEastAsia" w:hAnsiTheme="minorEastAsia" w:eastAsiaTheme="minorEastAsia" w:cstheme="minorEastAsia"/>
                <w:kern w:val="0"/>
                <w:sz w:val="24"/>
                <w:szCs w:val="24"/>
                <w:highlight w:val="none"/>
                <w:lang w:val="en-US" w:eastAsia="zh-CN" w:bidi="ar-SA"/>
              </w:rPr>
              <w:t>，夜间≤5</w:t>
            </w:r>
            <w:r>
              <w:rPr>
                <w:rFonts w:hint="eastAsia" w:asciiTheme="minorEastAsia" w:hAnsiTheme="minorEastAsia" w:eastAsiaTheme="minorEastAsia" w:cstheme="minorEastAsia"/>
                <w:kern w:val="0"/>
                <w:sz w:val="24"/>
                <w:szCs w:val="24"/>
                <w:highlight w:val="none"/>
                <w:lang w:val="en-US" w:eastAsia="zh-CN" w:bidi="ar-SA"/>
              </w:rPr>
              <w:t>0</w:t>
            </w:r>
            <w:r>
              <w:rPr>
                <w:rFonts w:hint="default" w:asciiTheme="minorEastAsia" w:hAnsiTheme="minorEastAsia" w:eastAsiaTheme="minorEastAsia" w:cstheme="minorEastAsia"/>
                <w:kern w:val="0"/>
                <w:sz w:val="24"/>
                <w:szCs w:val="24"/>
                <w:highlight w:val="none"/>
                <w:lang w:val="en-US" w:eastAsia="zh-CN" w:bidi="ar-SA"/>
              </w:rPr>
              <w:t>dB</w:t>
            </w:r>
            <w:r>
              <w:rPr>
                <w:rFonts w:hint="eastAsia" w:asciiTheme="minorEastAsia" w:hAnsiTheme="minorEastAsia" w:eastAsiaTheme="minorEastAsia" w:cstheme="minorEastAsia"/>
                <w:kern w:val="0"/>
                <w:sz w:val="24"/>
                <w:szCs w:val="24"/>
                <w:highlight w:val="none"/>
                <w:lang w:val="en-US" w:eastAsia="zh-CN" w:bidi="ar-SA"/>
              </w:rPr>
              <w:t>（</w:t>
            </w:r>
            <w:r>
              <w:rPr>
                <w:rFonts w:hint="default" w:asciiTheme="minorEastAsia" w:hAnsiTheme="minorEastAsia" w:eastAsiaTheme="minorEastAsia" w:cstheme="minorEastAsia"/>
                <w:kern w:val="0"/>
                <w:sz w:val="24"/>
                <w:szCs w:val="24"/>
                <w:highlight w:val="none"/>
                <w:lang w:val="en-US" w:eastAsia="zh-CN" w:bidi="ar-SA"/>
              </w:rPr>
              <w:t>A</w:t>
            </w:r>
            <w:r>
              <w:rPr>
                <w:rFonts w:hint="eastAsia" w:asciiTheme="minorEastAsia" w:hAnsiTheme="minorEastAsia" w:eastAsiaTheme="minorEastAsia" w:cstheme="minorEastAsia"/>
                <w:kern w:val="0"/>
                <w:sz w:val="24"/>
                <w:szCs w:val="24"/>
                <w:highlight w:val="none"/>
                <w:lang w:val="en-US" w:eastAsia="zh-CN" w:bidi="ar-SA"/>
              </w:rPr>
              <w:t>）</w:t>
            </w:r>
            <w:r>
              <w:rPr>
                <w:rFonts w:hint="default" w:asciiTheme="minorEastAsia" w:hAnsiTheme="minorEastAsia" w:eastAsiaTheme="minorEastAsia" w:cstheme="minorEastAsia"/>
                <w:kern w:val="0"/>
                <w:sz w:val="24"/>
                <w:szCs w:val="24"/>
                <w:highlight w:val="none"/>
                <w:lang w:val="en-US" w:eastAsia="zh-CN" w:bidi="ar-SA"/>
              </w:rPr>
              <w:t>。</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b/>
                <w:color w:val="000000"/>
                <w:kern w:val="0"/>
                <w:sz w:val="24"/>
                <w:highlight w:val="none"/>
                <w:lang w:val="en-US" w:eastAsia="zh-CN"/>
              </w:rPr>
            </w:pPr>
            <w:r>
              <w:rPr>
                <w:rFonts w:hint="default" w:ascii="Times New Roman" w:hAnsi="Times New Roman" w:eastAsia="宋体" w:cs="Times New Roman"/>
                <w:b/>
                <w:color w:val="000000"/>
                <w:kern w:val="0"/>
                <w:sz w:val="24"/>
                <w:highlight w:val="none"/>
                <w:lang w:val="en-US" w:eastAsia="zh-CN"/>
              </w:rPr>
              <w:t>二、污染物排放标准</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482" w:firstLineChars="200"/>
              <w:textAlignment w:val="auto"/>
              <w:rPr>
                <w:rFonts w:hint="eastAsia" w:asciiTheme="minorEastAsia" w:hAnsiTheme="minorEastAsia" w:eastAsiaTheme="minorEastAsia" w:cstheme="minorEastAsia"/>
                <w:b/>
                <w:bCs/>
                <w:kern w:val="0"/>
                <w:sz w:val="24"/>
                <w:szCs w:val="24"/>
                <w:highlight w:val="none"/>
                <w:lang w:val="en-US" w:eastAsia="zh-CN" w:bidi="ar-SA"/>
              </w:rPr>
            </w:pPr>
            <w:r>
              <w:rPr>
                <w:rFonts w:hint="eastAsia" w:asciiTheme="minorEastAsia" w:hAnsiTheme="minorEastAsia" w:eastAsiaTheme="minorEastAsia" w:cstheme="minorEastAsia"/>
                <w:b/>
                <w:bCs/>
                <w:kern w:val="0"/>
                <w:sz w:val="24"/>
                <w:szCs w:val="24"/>
                <w:highlight w:val="none"/>
                <w:lang w:val="en-US" w:eastAsia="zh-CN" w:bidi="ar-SA"/>
              </w:rPr>
              <w:t>1.大气污染物排放标准</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480" w:firstLineChars="200"/>
              <w:textAlignment w:val="auto"/>
              <w:rPr>
                <w:rFonts w:hint="default" w:asciiTheme="minorEastAsia" w:hAnsiTheme="minorEastAsia" w:eastAsiaTheme="minorEastAsia" w:cstheme="minorEastAsia"/>
                <w:kern w:val="0"/>
                <w:sz w:val="24"/>
                <w:szCs w:val="24"/>
                <w:highlight w:val="none"/>
                <w:lang w:val="en-US" w:eastAsia="zh-CN" w:bidi="ar-SA"/>
              </w:rPr>
            </w:pPr>
            <w:r>
              <w:rPr>
                <w:rFonts w:hint="eastAsia" w:asciiTheme="minorEastAsia" w:hAnsiTheme="minorEastAsia" w:eastAsiaTheme="minorEastAsia" w:cstheme="minorEastAsia"/>
                <w:kern w:val="0"/>
                <w:sz w:val="24"/>
                <w:szCs w:val="24"/>
                <w:highlight w:val="none"/>
                <w:lang w:val="en-US" w:eastAsia="zh-CN" w:bidi="ar-SA"/>
              </w:rPr>
              <w:t>项目施工期及勘探期产生扬尘执行《大气污染物综合排放标准》（GB16297-19</w:t>
            </w:r>
            <w:r>
              <w:rPr>
                <w:rFonts w:hint="default" w:asciiTheme="minorEastAsia" w:hAnsiTheme="minorEastAsia" w:eastAsiaTheme="minorEastAsia" w:cstheme="minorEastAsia"/>
                <w:kern w:val="0"/>
                <w:sz w:val="24"/>
                <w:szCs w:val="24"/>
                <w:highlight w:val="none"/>
                <w:lang w:val="en-US" w:eastAsia="zh-CN" w:bidi="ar-SA"/>
              </w:rPr>
              <w:t>96</w:t>
            </w:r>
            <w:r>
              <w:rPr>
                <w:rFonts w:hint="eastAsia" w:asciiTheme="minorEastAsia" w:hAnsiTheme="minorEastAsia" w:eastAsiaTheme="minorEastAsia" w:cstheme="minorEastAsia"/>
                <w:kern w:val="0"/>
                <w:sz w:val="24"/>
                <w:szCs w:val="24"/>
                <w:highlight w:val="none"/>
                <w:lang w:val="en-US" w:eastAsia="zh-CN" w:bidi="ar-SA"/>
              </w:rPr>
              <w:t>）</w:t>
            </w:r>
            <w:r>
              <w:rPr>
                <w:rFonts w:hint="default" w:asciiTheme="minorEastAsia" w:hAnsiTheme="minorEastAsia" w:eastAsiaTheme="minorEastAsia" w:cstheme="minorEastAsia"/>
                <w:kern w:val="0"/>
                <w:sz w:val="24"/>
                <w:szCs w:val="24"/>
                <w:highlight w:val="none"/>
                <w:lang w:val="en-US" w:eastAsia="zh-CN" w:bidi="ar-SA"/>
              </w:rPr>
              <w:t>无组织排放监控浓度限值。</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highlight w:val="none"/>
              </w:rPr>
            </w:pPr>
            <w:r>
              <w:rPr>
                <w:rFonts w:hint="default" w:ascii="Times New Roman" w:hAnsi="Times New Roman" w:cs="Times New Roman"/>
                <w:b/>
                <w:bCs/>
                <w:sz w:val="24"/>
                <w:highlight w:val="none"/>
              </w:rPr>
              <w:t>表3-</w:t>
            </w:r>
            <w:r>
              <w:rPr>
                <w:rFonts w:hint="eastAsia" w:cs="Times New Roman"/>
                <w:b/>
                <w:bCs/>
                <w:sz w:val="24"/>
                <w:highlight w:val="none"/>
                <w:lang w:val="en-US" w:eastAsia="zh-CN"/>
              </w:rPr>
              <w:t>6</w:t>
            </w:r>
            <w:r>
              <w:rPr>
                <w:rFonts w:hint="default" w:ascii="Times New Roman" w:hAnsi="Times New Roman" w:cs="Times New Roman"/>
                <w:b/>
                <w:bCs/>
                <w:sz w:val="24"/>
                <w:highlight w:val="none"/>
              </w:rPr>
              <w:t xml:space="preserve">  施工期</w:t>
            </w:r>
            <w:r>
              <w:rPr>
                <w:rFonts w:hint="eastAsia" w:cs="Times New Roman"/>
                <w:b/>
                <w:bCs/>
                <w:sz w:val="24"/>
                <w:highlight w:val="none"/>
                <w:lang w:val="en-US" w:eastAsia="zh-CN"/>
              </w:rPr>
              <w:t>及勘探期</w:t>
            </w:r>
            <w:r>
              <w:rPr>
                <w:rFonts w:hint="default" w:ascii="Times New Roman" w:hAnsi="Times New Roman" w:cs="Times New Roman"/>
                <w:b/>
                <w:bCs/>
                <w:sz w:val="24"/>
                <w:highlight w:val="none"/>
              </w:rPr>
              <w:t>无组织废气执行标准</w:t>
            </w: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2"/>
              <w:gridCol w:w="1907"/>
              <w:gridCol w:w="3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jc w:val="center"/>
              </w:trPr>
              <w:tc>
                <w:tcPr>
                  <w:tcW w:w="1665" w:type="pct"/>
                  <w:noWrap w:val="0"/>
                  <w:vAlign w:val="center"/>
                </w:tcPr>
                <w:p>
                  <w:pPr>
                    <w:pStyle w:val="2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污染物</w:t>
                  </w:r>
                </w:p>
              </w:tc>
              <w:tc>
                <w:tcPr>
                  <w:tcW w:w="1166" w:type="pct"/>
                  <w:noWrap w:val="0"/>
                  <w:vAlign w:val="center"/>
                </w:tcPr>
                <w:p>
                  <w:pPr>
                    <w:pStyle w:val="2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限值</w:t>
                  </w:r>
                </w:p>
              </w:tc>
              <w:tc>
                <w:tcPr>
                  <w:tcW w:w="2168" w:type="pct"/>
                  <w:noWrap w:val="0"/>
                  <w:vAlign w:val="center"/>
                </w:tcPr>
                <w:p>
                  <w:pPr>
                    <w:pStyle w:val="2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5" w:type="pct"/>
                  <w:noWrap w:val="0"/>
                  <w:vAlign w:val="center"/>
                </w:tcPr>
                <w:p>
                  <w:pPr>
                    <w:pStyle w:val="2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颗粒物</w:t>
                  </w:r>
                </w:p>
              </w:tc>
              <w:tc>
                <w:tcPr>
                  <w:tcW w:w="1166" w:type="pct"/>
                  <w:noWrap w:val="0"/>
                  <w:vAlign w:val="center"/>
                </w:tcPr>
                <w:p>
                  <w:pPr>
                    <w:pStyle w:val="2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1mg/m</w:t>
                  </w:r>
                  <w:r>
                    <w:rPr>
                      <w:rFonts w:hint="default" w:ascii="Times New Roman" w:hAnsi="Times New Roman" w:cs="Times New Roman"/>
                      <w:sz w:val="21"/>
                      <w:szCs w:val="21"/>
                      <w:highlight w:val="none"/>
                      <w:vertAlign w:val="superscript"/>
                    </w:rPr>
                    <w:t>3</w:t>
                  </w:r>
                </w:p>
              </w:tc>
              <w:tc>
                <w:tcPr>
                  <w:tcW w:w="2168" w:type="pct"/>
                  <w:noWrap w:val="0"/>
                  <w:vAlign w:val="center"/>
                </w:tcPr>
                <w:p>
                  <w:pPr>
                    <w:pStyle w:val="27"/>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《大气污染物综合排放标准》（GB16297-1996）中表2</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480" w:firstLineChars="200"/>
              <w:textAlignment w:val="auto"/>
              <w:rPr>
                <w:rFonts w:hint="eastAsia" w:asciiTheme="minorEastAsia" w:hAnsiTheme="minorEastAsia" w:eastAsiaTheme="minorEastAsia" w:cstheme="minorEastAsia"/>
                <w:kern w:val="0"/>
                <w:sz w:val="24"/>
                <w:szCs w:val="24"/>
                <w:highlight w:val="none"/>
                <w:lang w:val="en-US" w:eastAsia="zh-CN" w:bidi="ar-SA"/>
              </w:rPr>
            </w:pPr>
            <w:r>
              <w:rPr>
                <w:rFonts w:hint="eastAsia" w:asciiTheme="minorEastAsia" w:hAnsiTheme="minorEastAsia" w:eastAsiaTheme="minorEastAsia" w:cstheme="minorEastAsia"/>
                <w:kern w:val="0"/>
                <w:sz w:val="24"/>
                <w:szCs w:val="24"/>
                <w:highlight w:val="none"/>
                <w:lang w:val="en-US" w:eastAsia="zh-CN" w:bidi="ar-SA"/>
              </w:rPr>
              <w:t>勘探过程中产生的机械废气参照执行</w:t>
            </w:r>
            <w:r>
              <w:rPr>
                <w:rFonts w:hint="default" w:asciiTheme="minorEastAsia" w:hAnsiTheme="minorEastAsia" w:eastAsiaTheme="minorEastAsia" w:cstheme="minorEastAsia"/>
                <w:kern w:val="0"/>
                <w:sz w:val="24"/>
                <w:szCs w:val="24"/>
                <w:highlight w:val="none"/>
                <w:lang w:val="en-US" w:eastAsia="zh-CN" w:bidi="ar-SA"/>
              </w:rPr>
              <w:t>《非道路移动机械用柴油机排气污染物排放限值及测量方法（中国第三、四阶段）》（GB20891-2014）</w:t>
            </w:r>
            <w:r>
              <w:rPr>
                <w:rFonts w:hint="eastAsia" w:asciiTheme="minorEastAsia" w:hAnsiTheme="minorEastAsia" w:eastAsiaTheme="minorEastAsia" w:cstheme="minorEastAsia"/>
                <w:kern w:val="0"/>
                <w:sz w:val="24"/>
                <w:szCs w:val="24"/>
                <w:highlight w:val="none"/>
                <w:lang w:val="en-US" w:eastAsia="zh-CN" w:bidi="ar-SA"/>
              </w:rPr>
              <w:t>修改单以及《非道路柴油移动机械污染物排放控制技术要求》（HJ1014-2020）</w:t>
            </w:r>
            <w:r>
              <w:rPr>
                <w:rFonts w:hint="default" w:asciiTheme="minorEastAsia" w:hAnsiTheme="minorEastAsia" w:eastAsiaTheme="minorEastAsia" w:cstheme="minorEastAsia"/>
                <w:kern w:val="0"/>
                <w:sz w:val="24"/>
                <w:szCs w:val="24"/>
                <w:highlight w:val="none"/>
                <w:lang w:val="en-US" w:eastAsia="zh-CN" w:bidi="ar-SA"/>
              </w:rPr>
              <w:t>，因此本项目所使</w:t>
            </w:r>
            <w:r>
              <w:rPr>
                <w:rFonts w:hint="eastAsia" w:asciiTheme="minorEastAsia" w:hAnsiTheme="minorEastAsia" w:eastAsiaTheme="minorEastAsia" w:cstheme="minorEastAsia"/>
                <w:kern w:val="0"/>
                <w:sz w:val="24"/>
                <w:szCs w:val="24"/>
                <w:highlight w:val="none"/>
                <w:lang w:val="en-US" w:eastAsia="zh-CN" w:bidi="ar-SA"/>
              </w:rPr>
              <w:t>用的</w:t>
            </w:r>
            <w:r>
              <w:rPr>
                <w:rFonts w:hint="default" w:asciiTheme="minorEastAsia" w:hAnsiTheme="minorEastAsia" w:eastAsiaTheme="minorEastAsia" w:cstheme="minorEastAsia"/>
                <w:kern w:val="0"/>
                <w:sz w:val="24"/>
                <w:szCs w:val="24"/>
                <w:highlight w:val="none"/>
                <w:lang w:val="en-US" w:eastAsia="zh-CN" w:bidi="ar-SA"/>
              </w:rPr>
              <w:t>柴油机械执行该标准</w:t>
            </w:r>
            <w:r>
              <w:rPr>
                <w:rFonts w:hint="eastAsia" w:asciiTheme="minorEastAsia" w:hAnsiTheme="minorEastAsia" w:eastAsiaTheme="minorEastAsia" w:cstheme="minorEastAsia"/>
                <w:kern w:val="0"/>
                <w:sz w:val="24"/>
                <w:szCs w:val="24"/>
                <w:highlight w:val="none"/>
                <w:lang w:val="en-US" w:eastAsia="zh-CN" w:bidi="ar-SA"/>
              </w:rPr>
              <w:t>见下表</w:t>
            </w:r>
            <w:r>
              <w:rPr>
                <w:rFonts w:hint="default" w:asciiTheme="minorEastAsia" w:hAnsiTheme="minorEastAsia" w:eastAsiaTheme="minorEastAsia" w:cstheme="minorEastAsia"/>
                <w:kern w:val="0"/>
                <w:sz w:val="24"/>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cs="Times New Roman"/>
                <w:b/>
                <w:bCs/>
                <w:sz w:val="24"/>
                <w:highlight w:val="none"/>
                <w:lang w:val="en-US" w:eastAsia="zh-CN"/>
              </w:rPr>
            </w:pPr>
            <w:r>
              <w:rPr>
                <w:rFonts w:hint="eastAsia" w:ascii="Times New Roman" w:hAnsi="Times New Roman" w:cs="Times New Roman"/>
                <w:b/>
                <w:bCs/>
                <w:sz w:val="24"/>
                <w:highlight w:val="none"/>
                <w:lang w:val="en-US" w:eastAsia="zh-CN"/>
              </w:rPr>
              <w:t>表3-</w:t>
            </w:r>
            <w:r>
              <w:rPr>
                <w:rFonts w:hint="eastAsia" w:cs="Times New Roman"/>
                <w:b/>
                <w:bCs/>
                <w:sz w:val="24"/>
                <w:highlight w:val="none"/>
                <w:lang w:val="en-US" w:eastAsia="zh-CN"/>
              </w:rPr>
              <w:t>7</w:t>
            </w:r>
            <w:r>
              <w:rPr>
                <w:rFonts w:hint="eastAsia" w:ascii="Times New Roman" w:hAnsi="Times New Roman" w:cs="Times New Roman"/>
                <w:b/>
                <w:bCs/>
                <w:sz w:val="24"/>
                <w:highlight w:val="none"/>
                <w:lang w:val="en-US" w:eastAsia="zh-CN"/>
              </w:rPr>
              <w:t xml:space="preserve">  非道路移动机械用柴油机排气污染物排放限值及测量方法</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683"/>
              <w:gridCol w:w="1400"/>
              <w:gridCol w:w="2083"/>
              <w:gridCol w:w="1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kern w:val="0"/>
                      <w:sz w:val="21"/>
                      <w:szCs w:val="21"/>
                      <w:highlight w:val="none"/>
                      <w:vertAlign w:val="baseline"/>
                      <w:lang w:val="en-US" w:eastAsia="zh-CN" w:bidi="ar-SA"/>
                    </w:rPr>
                  </w:pPr>
                  <w:r>
                    <w:rPr>
                      <w:rFonts w:hint="default" w:ascii="Times New Roman" w:hAnsi="Times New Roman" w:cs="Times New Roman" w:eastAsiaTheme="minorEastAsia"/>
                      <w:kern w:val="0"/>
                      <w:sz w:val="21"/>
                      <w:szCs w:val="21"/>
                      <w:highlight w:val="none"/>
                      <w:vertAlign w:val="baseline"/>
                      <w:lang w:val="en-US" w:eastAsia="zh-CN" w:bidi="ar-SA"/>
                    </w:rPr>
                    <w:t>阶段</w:t>
                  </w:r>
                </w:p>
              </w:tc>
              <w:tc>
                <w:tcPr>
                  <w:tcW w:w="168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kern w:val="0"/>
                      <w:sz w:val="21"/>
                      <w:szCs w:val="21"/>
                      <w:highlight w:val="none"/>
                      <w:vertAlign w:val="baseline"/>
                      <w:lang w:val="en-US" w:eastAsia="zh-CN" w:bidi="ar-SA"/>
                    </w:rPr>
                  </w:pPr>
                  <w:r>
                    <w:rPr>
                      <w:rFonts w:hint="default" w:ascii="Times New Roman" w:hAnsi="Times New Roman" w:cs="Times New Roman" w:eastAsiaTheme="minorEastAsia"/>
                      <w:kern w:val="0"/>
                      <w:sz w:val="21"/>
                      <w:szCs w:val="21"/>
                      <w:highlight w:val="none"/>
                      <w:vertAlign w:val="baseline"/>
                      <w:lang w:val="en-US" w:eastAsia="zh-CN" w:bidi="ar-SA"/>
                    </w:rPr>
                    <w:t>额定功率</w:t>
                  </w:r>
                </w:p>
              </w:tc>
              <w:tc>
                <w:tcPr>
                  <w:tcW w:w="14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kern w:val="0"/>
                      <w:sz w:val="21"/>
                      <w:szCs w:val="21"/>
                      <w:highlight w:val="none"/>
                      <w:vertAlign w:val="baseline"/>
                      <w:lang w:val="en-US" w:eastAsia="zh-CN" w:bidi="ar-SA"/>
                    </w:rPr>
                  </w:pPr>
                  <w:r>
                    <w:rPr>
                      <w:rFonts w:hint="default" w:ascii="Times New Roman" w:hAnsi="Times New Roman" w:cs="Times New Roman" w:eastAsiaTheme="minorEastAsia"/>
                      <w:kern w:val="0"/>
                      <w:sz w:val="21"/>
                      <w:szCs w:val="21"/>
                      <w:highlight w:val="none"/>
                      <w:vertAlign w:val="baseline"/>
                      <w:lang w:val="en-US" w:eastAsia="zh-CN" w:bidi="ar-SA"/>
                    </w:rPr>
                    <w:t>CO</w:t>
                  </w:r>
                  <w:r>
                    <w:rPr>
                      <w:rFonts w:hint="eastAsia" w:cs="Times New Roman" w:eastAsiaTheme="minorEastAsia"/>
                      <w:kern w:val="0"/>
                      <w:sz w:val="21"/>
                      <w:szCs w:val="21"/>
                      <w:highlight w:val="none"/>
                      <w:vertAlign w:val="baseline"/>
                      <w:lang w:val="en-US" w:eastAsia="zh-CN" w:bidi="ar-SA"/>
                    </w:rPr>
                    <w:t>(</w:t>
                  </w:r>
                  <w:r>
                    <w:rPr>
                      <w:rFonts w:hint="default" w:ascii="Times New Roman" w:hAnsi="Times New Roman" w:cs="Times New Roman" w:eastAsiaTheme="minorEastAsia"/>
                      <w:kern w:val="0"/>
                      <w:sz w:val="21"/>
                      <w:szCs w:val="21"/>
                      <w:highlight w:val="none"/>
                      <w:vertAlign w:val="baseline"/>
                      <w:lang w:val="en-US" w:eastAsia="zh-CN" w:bidi="ar-SA"/>
                    </w:rPr>
                    <w:t>g/kWh</w:t>
                  </w:r>
                  <w:r>
                    <w:rPr>
                      <w:rFonts w:hint="eastAsia" w:cs="Times New Roman" w:eastAsiaTheme="minorEastAsia"/>
                      <w:kern w:val="0"/>
                      <w:sz w:val="21"/>
                      <w:szCs w:val="21"/>
                      <w:highlight w:val="none"/>
                      <w:vertAlign w:val="baseline"/>
                      <w:lang w:val="en-US" w:eastAsia="zh-CN" w:bidi="ar-SA"/>
                    </w:rPr>
                    <w:t>)</w:t>
                  </w:r>
                </w:p>
              </w:tc>
              <w:tc>
                <w:tcPr>
                  <w:tcW w:w="208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kern w:val="0"/>
                      <w:sz w:val="21"/>
                      <w:szCs w:val="21"/>
                      <w:highlight w:val="none"/>
                      <w:vertAlign w:val="baseline"/>
                      <w:lang w:val="en-US" w:eastAsia="zh-CN" w:bidi="ar-SA"/>
                    </w:rPr>
                  </w:pPr>
                  <w:r>
                    <w:rPr>
                      <w:rFonts w:hint="default" w:ascii="Times New Roman" w:hAnsi="Times New Roman" w:cs="Times New Roman" w:eastAsiaTheme="minorEastAsia"/>
                      <w:kern w:val="0"/>
                      <w:sz w:val="21"/>
                      <w:szCs w:val="21"/>
                      <w:highlight w:val="none"/>
                      <w:vertAlign w:val="baseline"/>
                      <w:lang w:val="en-US" w:eastAsia="zh-CN" w:bidi="ar-SA"/>
                    </w:rPr>
                    <w:t>CH+NOx(</w:t>
                  </w:r>
                  <w:r>
                    <w:rPr>
                      <w:rFonts w:hint="eastAsia" w:ascii="Times New Roman" w:hAnsi="Times New Roman" w:cs="Times New Roman" w:eastAsiaTheme="minorEastAsia"/>
                      <w:kern w:val="0"/>
                      <w:sz w:val="21"/>
                      <w:szCs w:val="21"/>
                      <w:highlight w:val="none"/>
                      <w:vertAlign w:val="baseline"/>
                      <w:lang w:val="en-US" w:eastAsia="zh-CN" w:bidi="ar-SA"/>
                    </w:rPr>
                    <w:t>g</w:t>
                  </w:r>
                  <w:r>
                    <w:rPr>
                      <w:rFonts w:hint="default" w:ascii="Times New Roman" w:hAnsi="Times New Roman" w:cs="Times New Roman" w:eastAsiaTheme="minorEastAsia"/>
                      <w:kern w:val="0"/>
                      <w:sz w:val="21"/>
                      <w:szCs w:val="21"/>
                      <w:highlight w:val="none"/>
                      <w:vertAlign w:val="baseline"/>
                      <w:lang w:val="en-US" w:eastAsia="zh-CN" w:bidi="ar-SA"/>
                    </w:rPr>
                    <w:t>/kWh)</w:t>
                  </w:r>
                </w:p>
              </w:tc>
              <w:tc>
                <w:tcPr>
                  <w:tcW w:w="149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kern w:val="0"/>
                      <w:sz w:val="21"/>
                      <w:szCs w:val="21"/>
                      <w:highlight w:val="none"/>
                      <w:vertAlign w:val="baseline"/>
                      <w:lang w:val="en-US" w:eastAsia="zh-CN" w:bidi="ar-SA"/>
                    </w:rPr>
                  </w:pPr>
                  <w:r>
                    <w:rPr>
                      <w:rFonts w:hint="default" w:ascii="Times New Roman" w:hAnsi="Times New Roman" w:cs="Times New Roman" w:eastAsiaTheme="minorEastAsia"/>
                      <w:kern w:val="0"/>
                      <w:sz w:val="21"/>
                      <w:szCs w:val="21"/>
                      <w:highlight w:val="none"/>
                      <w:vertAlign w:val="baseline"/>
                      <w:lang w:val="en-US" w:eastAsia="zh-CN" w:bidi="ar-SA"/>
                    </w:rPr>
                    <w:t>PM</w:t>
                  </w:r>
                  <w:r>
                    <w:rPr>
                      <w:rFonts w:hint="eastAsia" w:cs="Times New Roman" w:eastAsiaTheme="minorEastAsia"/>
                      <w:kern w:val="0"/>
                      <w:sz w:val="21"/>
                      <w:szCs w:val="21"/>
                      <w:highlight w:val="none"/>
                      <w:vertAlign w:val="baseline"/>
                      <w:lang w:val="en-US" w:eastAsia="zh-CN" w:bidi="ar-SA"/>
                    </w:rPr>
                    <w:t>(</w:t>
                  </w:r>
                  <w:r>
                    <w:rPr>
                      <w:rFonts w:hint="default" w:ascii="Times New Roman" w:hAnsi="Times New Roman" w:cs="Times New Roman" w:eastAsiaTheme="minorEastAsia"/>
                      <w:kern w:val="0"/>
                      <w:sz w:val="21"/>
                      <w:szCs w:val="21"/>
                      <w:highlight w:val="none"/>
                      <w:vertAlign w:val="baseline"/>
                      <w:lang w:val="en-US" w:eastAsia="zh-CN" w:bidi="ar-SA"/>
                    </w:rPr>
                    <w:t>g/kWh</w:t>
                  </w:r>
                  <w:r>
                    <w:rPr>
                      <w:rFonts w:hint="eastAsia" w:cs="Times New Roman" w:eastAsiaTheme="minorEastAsia"/>
                      <w:kern w:val="0"/>
                      <w:sz w:val="21"/>
                      <w:szCs w:val="21"/>
                      <w:highlight w:val="none"/>
                      <w:vertAlign w:val="baseli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kern w:val="0"/>
                      <w:sz w:val="21"/>
                      <w:szCs w:val="21"/>
                      <w:highlight w:val="none"/>
                      <w:vertAlign w:val="baseline"/>
                      <w:lang w:val="en-US" w:eastAsia="zh-CN" w:bidi="ar-SA"/>
                    </w:rPr>
                  </w:pPr>
                  <w:r>
                    <w:rPr>
                      <w:rFonts w:hint="default" w:ascii="Times New Roman" w:hAnsi="Times New Roman" w:cs="Times New Roman" w:eastAsiaTheme="minorEastAsia"/>
                      <w:kern w:val="0"/>
                      <w:sz w:val="21"/>
                      <w:szCs w:val="21"/>
                      <w:highlight w:val="none"/>
                      <w:vertAlign w:val="baseline"/>
                      <w:lang w:val="en-US" w:eastAsia="zh-CN" w:bidi="ar-SA"/>
                    </w:rPr>
                    <w:t>第四阶段</w:t>
                  </w:r>
                </w:p>
              </w:tc>
              <w:tc>
                <w:tcPr>
                  <w:tcW w:w="168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kern w:val="0"/>
                      <w:sz w:val="21"/>
                      <w:szCs w:val="21"/>
                      <w:highlight w:val="none"/>
                      <w:vertAlign w:val="baseline"/>
                      <w:lang w:val="en-US" w:eastAsia="zh-CN" w:bidi="ar-SA"/>
                    </w:rPr>
                  </w:pPr>
                  <w:r>
                    <w:rPr>
                      <w:rFonts w:hint="default" w:ascii="Times New Roman" w:hAnsi="Times New Roman" w:cs="Times New Roman" w:eastAsiaTheme="minorEastAsia"/>
                      <w:kern w:val="0"/>
                      <w:sz w:val="21"/>
                      <w:szCs w:val="21"/>
                      <w:highlight w:val="none"/>
                      <w:vertAlign w:val="baseline"/>
                      <w:lang w:val="en-US" w:eastAsia="zh-CN" w:bidi="ar-SA"/>
                    </w:rPr>
                    <w:t>130≤Pmax≤560</w:t>
                  </w:r>
                </w:p>
              </w:tc>
              <w:tc>
                <w:tcPr>
                  <w:tcW w:w="14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kern w:val="0"/>
                      <w:sz w:val="21"/>
                      <w:szCs w:val="21"/>
                      <w:highlight w:val="none"/>
                      <w:vertAlign w:val="baseline"/>
                      <w:lang w:val="en-US" w:eastAsia="zh-CN" w:bidi="ar-SA"/>
                    </w:rPr>
                  </w:pPr>
                  <w:r>
                    <w:rPr>
                      <w:rFonts w:hint="default" w:ascii="Times New Roman" w:hAnsi="Times New Roman" w:cs="Times New Roman" w:eastAsiaTheme="minorEastAsia"/>
                      <w:kern w:val="0"/>
                      <w:sz w:val="21"/>
                      <w:szCs w:val="21"/>
                      <w:highlight w:val="none"/>
                      <w:vertAlign w:val="baseline"/>
                      <w:lang w:val="en-US" w:eastAsia="zh-CN" w:bidi="ar-SA"/>
                    </w:rPr>
                    <w:t>3.5</w:t>
                  </w:r>
                </w:p>
              </w:tc>
              <w:tc>
                <w:tcPr>
                  <w:tcW w:w="208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kern w:val="0"/>
                      <w:sz w:val="21"/>
                      <w:szCs w:val="21"/>
                      <w:highlight w:val="none"/>
                      <w:vertAlign w:val="baseline"/>
                      <w:lang w:val="en-US" w:eastAsia="zh-CN" w:bidi="ar-SA"/>
                    </w:rPr>
                  </w:pPr>
                  <w:r>
                    <w:rPr>
                      <w:rFonts w:hint="default" w:ascii="Times New Roman" w:hAnsi="Times New Roman" w:cs="Times New Roman" w:eastAsiaTheme="minorEastAsia"/>
                      <w:kern w:val="0"/>
                      <w:sz w:val="21"/>
                      <w:szCs w:val="21"/>
                      <w:highlight w:val="none"/>
                      <w:vertAlign w:val="baseline"/>
                      <w:lang w:val="en-US" w:eastAsia="zh-CN" w:bidi="ar-SA"/>
                    </w:rPr>
                    <w:t>6.4</w:t>
                  </w:r>
                </w:p>
              </w:tc>
              <w:tc>
                <w:tcPr>
                  <w:tcW w:w="149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cs="Times New Roman" w:eastAsiaTheme="minorEastAsia"/>
                      <w:kern w:val="0"/>
                      <w:sz w:val="21"/>
                      <w:szCs w:val="21"/>
                      <w:highlight w:val="none"/>
                      <w:vertAlign w:val="baseline"/>
                      <w:lang w:val="en-US" w:eastAsia="zh-CN" w:bidi="ar-SA"/>
                    </w:rPr>
                  </w:pPr>
                  <w:r>
                    <w:rPr>
                      <w:rFonts w:hint="default" w:ascii="Times New Roman" w:hAnsi="Times New Roman" w:cs="Times New Roman" w:eastAsiaTheme="minorEastAsia"/>
                      <w:kern w:val="0"/>
                      <w:sz w:val="21"/>
                      <w:szCs w:val="21"/>
                      <w:highlight w:val="none"/>
                      <w:vertAlign w:val="baseline"/>
                      <w:lang w:val="en-US" w:eastAsia="zh-CN" w:bidi="ar-SA"/>
                    </w:rPr>
                    <w:t>0.2</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default" w:asciiTheme="minorEastAsia" w:hAnsiTheme="minorEastAsia" w:eastAsiaTheme="minorEastAsia" w:cstheme="minorEastAsia"/>
                <w:b/>
                <w:bCs/>
                <w:kern w:val="0"/>
                <w:sz w:val="24"/>
                <w:szCs w:val="24"/>
                <w:highlight w:val="none"/>
                <w:lang w:val="en-US" w:eastAsia="zh-CN" w:bidi="ar-SA"/>
              </w:rPr>
            </w:pPr>
            <w:r>
              <w:rPr>
                <w:rFonts w:hint="eastAsia" w:asciiTheme="minorEastAsia" w:hAnsiTheme="minorEastAsia" w:eastAsiaTheme="minorEastAsia" w:cstheme="minorEastAsia"/>
                <w:b/>
                <w:bCs/>
                <w:kern w:val="0"/>
                <w:sz w:val="24"/>
                <w:szCs w:val="24"/>
                <w:highlight w:val="none"/>
                <w:lang w:val="en-US" w:eastAsia="zh-CN" w:bidi="ar-SA"/>
              </w:rPr>
              <w:t>2.</w:t>
            </w:r>
            <w:r>
              <w:rPr>
                <w:rFonts w:hint="default" w:asciiTheme="minorEastAsia" w:hAnsiTheme="minorEastAsia" w:eastAsiaTheme="minorEastAsia" w:cstheme="minorEastAsia"/>
                <w:b/>
                <w:bCs/>
                <w:kern w:val="0"/>
                <w:sz w:val="24"/>
                <w:szCs w:val="24"/>
                <w:highlight w:val="none"/>
                <w:lang w:val="en-US" w:eastAsia="zh-CN" w:bidi="ar-SA"/>
              </w:rPr>
              <w:t>污水排放标准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b w:val="0"/>
                <w:bCs w:val="0"/>
                <w:kern w:val="0"/>
                <w:sz w:val="24"/>
                <w:szCs w:val="24"/>
                <w:highlight w:val="none"/>
                <w:lang w:val="en-US" w:eastAsia="zh-CN" w:bidi="ar-SA"/>
              </w:rPr>
            </w:pPr>
            <w:r>
              <w:rPr>
                <w:rFonts w:hint="default" w:asciiTheme="minorEastAsia" w:hAnsiTheme="minorEastAsia" w:eastAsiaTheme="minorEastAsia" w:cstheme="minorEastAsia"/>
                <w:b w:val="0"/>
                <w:bCs w:val="0"/>
                <w:kern w:val="0"/>
                <w:sz w:val="24"/>
                <w:szCs w:val="24"/>
                <w:highlight w:val="none"/>
                <w:lang w:val="en-US" w:eastAsia="zh-CN" w:bidi="ar-SA"/>
              </w:rPr>
              <w:t>生活污水执行《农村生活污水处理排放标准》（DB654275-2019）表2中</w:t>
            </w:r>
            <w:r>
              <w:rPr>
                <w:rFonts w:hint="eastAsia" w:asciiTheme="minorEastAsia" w:hAnsiTheme="minorEastAsia" w:eastAsiaTheme="minorEastAsia" w:cstheme="minorEastAsia"/>
                <w:b w:val="0"/>
                <w:bCs w:val="0"/>
                <w:kern w:val="0"/>
                <w:sz w:val="24"/>
                <w:szCs w:val="24"/>
                <w:highlight w:val="none"/>
                <w:lang w:val="en-US" w:eastAsia="zh-CN" w:bidi="ar-SA"/>
              </w:rPr>
              <w:t>C</w:t>
            </w:r>
            <w:r>
              <w:rPr>
                <w:rFonts w:hint="default" w:asciiTheme="minorEastAsia" w:hAnsiTheme="minorEastAsia" w:eastAsiaTheme="minorEastAsia" w:cstheme="minorEastAsia"/>
                <w:b w:val="0"/>
                <w:bCs w:val="0"/>
                <w:kern w:val="0"/>
                <w:sz w:val="24"/>
                <w:szCs w:val="24"/>
                <w:highlight w:val="none"/>
                <w:lang w:val="en-US" w:eastAsia="zh-CN" w:bidi="ar-SA"/>
              </w:rPr>
              <w:t>级标准。</w:t>
            </w:r>
          </w:p>
          <w:p>
            <w:pPr>
              <w:keepNext w:val="0"/>
              <w:keepLines w:val="0"/>
              <w:pageBreakBefore w:val="0"/>
              <w:widowControl/>
              <w:kinsoku/>
              <w:wordWrap/>
              <w:overflowPunct/>
              <w:topLinePunct w:val="0"/>
              <w:autoSpaceDE/>
              <w:autoSpaceDN/>
              <w:bidi w:val="0"/>
              <w:spacing w:line="240" w:lineRule="auto"/>
              <w:ind w:firstLine="482" w:firstLineChars="200"/>
              <w:contextualSpacing/>
              <w:jc w:val="center"/>
              <w:textAlignment w:val="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表3</w:t>
            </w:r>
            <w:r>
              <w:rPr>
                <w:rFonts w:hint="eastAsia" w:cs="Times New Roman"/>
                <w:b/>
                <w:color w:val="auto"/>
                <w:sz w:val="24"/>
                <w:highlight w:val="none"/>
                <w:lang w:val="en-US" w:eastAsia="zh-CN"/>
              </w:rPr>
              <w:t>-8</w:t>
            </w:r>
            <w:r>
              <w:rPr>
                <w:rFonts w:hint="default" w:ascii="Times New Roman" w:hAnsi="Times New Roman" w:cs="Times New Roman"/>
                <w:b/>
                <w:color w:val="auto"/>
                <w:sz w:val="24"/>
                <w:highlight w:val="none"/>
              </w:rPr>
              <w:t xml:space="preserve">  </w:t>
            </w:r>
            <w:r>
              <w:rPr>
                <w:rFonts w:hint="default" w:ascii="Times New Roman" w:hAnsi="Times New Roman" w:cs="Times New Roman"/>
                <w:b/>
                <w:color w:val="auto"/>
                <w:sz w:val="24"/>
                <w:highlight w:val="none"/>
                <w:lang w:val="en-US" w:eastAsia="zh-CN"/>
              </w:rPr>
              <w:t>生活污水</w:t>
            </w:r>
            <w:r>
              <w:rPr>
                <w:rFonts w:hint="default" w:ascii="Times New Roman" w:hAnsi="Times New Roman" w:cs="Times New Roman"/>
                <w:b/>
                <w:color w:val="auto"/>
                <w:sz w:val="24"/>
                <w:highlight w:val="none"/>
              </w:rPr>
              <w:t>排放标准</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3"/>
              <w:gridCol w:w="2164"/>
              <w:gridCol w:w="2198"/>
              <w:gridCol w:w="2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7" w:type="pct"/>
                  <w:noWrap w:val="0"/>
                  <w:vAlign w:val="center"/>
                </w:tcPr>
                <w:p>
                  <w:pPr>
                    <w:pStyle w:val="2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1322" w:type="pct"/>
                  <w:noWrap w:val="0"/>
                  <w:vAlign w:val="center"/>
                </w:tcPr>
                <w:p>
                  <w:pPr>
                    <w:pStyle w:val="2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w:t>
                  </w:r>
                </w:p>
              </w:tc>
              <w:tc>
                <w:tcPr>
                  <w:tcW w:w="1343" w:type="pct"/>
                  <w:noWrap w:val="0"/>
                  <w:vAlign w:val="center"/>
                </w:tcPr>
                <w:p>
                  <w:pPr>
                    <w:pStyle w:val="2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标准值（mg/L）</w:t>
                  </w:r>
                </w:p>
              </w:tc>
              <w:tc>
                <w:tcPr>
                  <w:tcW w:w="1395" w:type="pct"/>
                  <w:noWrap w:val="0"/>
                  <w:vAlign w:val="center"/>
                </w:tcPr>
                <w:p>
                  <w:pPr>
                    <w:pStyle w:val="2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7" w:type="pct"/>
                  <w:noWrap w:val="0"/>
                  <w:vAlign w:val="center"/>
                </w:tcPr>
                <w:p>
                  <w:pPr>
                    <w:pStyle w:val="2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322" w:type="pct"/>
                  <w:noWrap w:val="0"/>
                  <w:vAlign w:val="center"/>
                </w:tcPr>
                <w:p>
                  <w:pPr>
                    <w:pStyle w:val="2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pH</w:t>
                  </w:r>
                </w:p>
              </w:tc>
              <w:tc>
                <w:tcPr>
                  <w:tcW w:w="1343" w:type="pct"/>
                  <w:noWrap w:val="0"/>
                  <w:vAlign w:val="center"/>
                </w:tcPr>
                <w:p>
                  <w:pPr>
                    <w:pStyle w:val="2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6～9</w:t>
                  </w:r>
                </w:p>
              </w:tc>
              <w:tc>
                <w:tcPr>
                  <w:tcW w:w="1395" w:type="pct"/>
                  <w:vMerge w:val="restart"/>
                  <w:noWrap w:val="0"/>
                  <w:vAlign w:val="center"/>
                </w:tcPr>
                <w:p>
                  <w:pPr>
                    <w:pStyle w:val="27"/>
                    <w:bidi w:val="0"/>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《农村生活污水处理排放标准》（DB654275-2019）</w:t>
                  </w:r>
                  <w:r>
                    <w:rPr>
                      <w:rFonts w:hint="default" w:ascii="Times New Roman" w:hAnsi="Times New Roman" w:cs="Times New Roman"/>
                      <w:color w:val="auto"/>
                      <w:kern w:val="0"/>
                      <w:sz w:val="21"/>
                      <w:szCs w:val="21"/>
                      <w:highlight w:val="none"/>
                      <w:lang w:val="en-US" w:eastAsia="zh-CN" w:bidi="ar-SA"/>
                    </w:rPr>
                    <w:t>表2中</w:t>
                  </w:r>
                  <w:r>
                    <w:rPr>
                      <w:rFonts w:hint="eastAsia" w:ascii="Times New Roman" w:cs="Times New Roman"/>
                      <w:color w:val="auto"/>
                      <w:kern w:val="0"/>
                      <w:sz w:val="21"/>
                      <w:szCs w:val="21"/>
                      <w:highlight w:val="none"/>
                      <w:lang w:val="en-US" w:eastAsia="zh-CN" w:bidi="ar-SA"/>
                    </w:rPr>
                    <w:t>C</w:t>
                  </w:r>
                  <w:r>
                    <w:rPr>
                      <w:rFonts w:hint="default" w:ascii="Times New Roman" w:hAnsi="Times New Roman" w:eastAsia="宋体" w:cs="Times New Roman"/>
                      <w:color w:val="auto"/>
                      <w:kern w:val="0"/>
                      <w:sz w:val="21"/>
                      <w:szCs w:val="21"/>
                      <w:highlight w:val="none"/>
                      <w:lang w:val="en-US" w:eastAsia="zh-CN" w:bidi="ar-SA"/>
                    </w:rPr>
                    <w:t>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7" w:type="pct"/>
                  <w:noWrap w:val="0"/>
                  <w:vAlign w:val="center"/>
                </w:tcPr>
                <w:p>
                  <w:pPr>
                    <w:pStyle w:val="2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1322" w:type="pct"/>
                  <w:noWrap w:val="0"/>
                  <w:vAlign w:val="center"/>
                </w:tcPr>
                <w:p>
                  <w:pPr>
                    <w:pStyle w:val="2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COD</w:t>
                  </w:r>
                </w:p>
              </w:tc>
              <w:tc>
                <w:tcPr>
                  <w:tcW w:w="1343" w:type="pct"/>
                  <w:noWrap w:val="0"/>
                  <w:vAlign w:val="center"/>
                </w:tcPr>
                <w:p>
                  <w:pPr>
                    <w:pStyle w:val="27"/>
                    <w:bidi w:val="0"/>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200</w:t>
                  </w:r>
                </w:p>
              </w:tc>
              <w:tc>
                <w:tcPr>
                  <w:tcW w:w="1395" w:type="pct"/>
                  <w:vMerge w:val="continue"/>
                  <w:noWrap w:val="0"/>
                  <w:vAlign w:val="center"/>
                </w:tcPr>
                <w:p>
                  <w:pPr>
                    <w:pStyle w:val="27"/>
                    <w:bidi w:val="0"/>
                    <w:rPr>
                      <w:rFonts w:hint="default" w:ascii="Times New Roman" w:hAnsi="Times New Roman"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7" w:type="pct"/>
                  <w:noWrap w:val="0"/>
                  <w:vAlign w:val="center"/>
                </w:tcPr>
                <w:p>
                  <w:pPr>
                    <w:pStyle w:val="27"/>
                    <w:bidi w:val="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3</w:t>
                  </w:r>
                </w:p>
              </w:tc>
              <w:tc>
                <w:tcPr>
                  <w:tcW w:w="1322" w:type="pct"/>
                  <w:noWrap w:val="0"/>
                  <w:vAlign w:val="center"/>
                </w:tcPr>
                <w:p>
                  <w:pPr>
                    <w:pStyle w:val="2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SS</w:t>
                  </w:r>
                </w:p>
              </w:tc>
              <w:tc>
                <w:tcPr>
                  <w:tcW w:w="1343" w:type="pct"/>
                  <w:noWrap w:val="0"/>
                  <w:vAlign w:val="center"/>
                </w:tcPr>
                <w:p>
                  <w:pPr>
                    <w:pStyle w:val="27"/>
                    <w:bidi w:val="0"/>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100</w:t>
                  </w:r>
                </w:p>
              </w:tc>
              <w:tc>
                <w:tcPr>
                  <w:tcW w:w="1395" w:type="pct"/>
                  <w:vMerge w:val="continue"/>
                  <w:noWrap w:val="0"/>
                  <w:vAlign w:val="center"/>
                </w:tcPr>
                <w:p>
                  <w:pPr>
                    <w:pStyle w:val="27"/>
                    <w:bidi w:val="0"/>
                    <w:rPr>
                      <w:rFonts w:hint="default" w:ascii="Times New Roman" w:hAnsi="Times New Roman"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7" w:type="pct"/>
                  <w:noWrap w:val="0"/>
                  <w:vAlign w:val="center"/>
                </w:tcPr>
                <w:p>
                  <w:pPr>
                    <w:pStyle w:val="27"/>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1322" w:type="pct"/>
                  <w:noWrap w:val="0"/>
                  <w:vAlign w:val="center"/>
                </w:tcPr>
                <w:p>
                  <w:pPr>
                    <w:pStyle w:val="27"/>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粪大肠杆菌</w:t>
                  </w:r>
                </w:p>
              </w:tc>
              <w:tc>
                <w:tcPr>
                  <w:tcW w:w="1343" w:type="pct"/>
                  <w:noWrap w:val="0"/>
                  <w:vAlign w:val="center"/>
                </w:tcPr>
                <w:p>
                  <w:pPr>
                    <w:pStyle w:val="27"/>
                    <w:bidi w:val="0"/>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0000</w:t>
                  </w:r>
                </w:p>
              </w:tc>
              <w:tc>
                <w:tcPr>
                  <w:tcW w:w="1395" w:type="pct"/>
                  <w:vMerge w:val="continue"/>
                  <w:noWrap w:val="0"/>
                  <w:vAlign w:val="center"/>
                </w:tcPr>
                <w:p>
                  <w:pPr>
                    <w:pStyle w:val="27"/>
                    <w:bidi w:val="0"/>
                    <w:rPr>
                      <w:rFonts w:hint="default" w:ascii="Times New Roman" w:hAnsi="Times New Roman"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7" w:type="pct"/>
                  <w:noWrap w:val="0"/>
                  <w:vAlign w:val="center"/>
                </w:tcPr>
                <w:p>
                  <w:pPr>
                    <w:pStyle w:val="27"/>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1322" w:type="pct"/>
                  <w:noWrap w:val="0"/>
                  <w:vAlign w:val="center"/>
                </w:tcPr>
                <w:p>
                  <w:pPr>
                    <w:pStyle w:val="27"/>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蛔虫虫卵个数</w:t>
                  </w:r>
                </w:p>
              </w:tc>
              <w:tc>
                <w:tcPr>
                  <w:tcW w:w="1343" w:type="pct"/>
                  <w:noWrap w:val="0"/>
                  <w:vAlign w:val="center"/>
                </w:tcPr>
                <w:p>
                  <w:pPr>
                    <w:pStyle w:val="27"/>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1395" w:type="pct"/>
                  <w:vMerge w:val="continue"/>
                  <w:noWrap w:val="0"/>
                  <w:vAlign w:val="center"/>
                </w:tcPr>
                <w:p>
                  <w:pPr>
                    <w:pStyle w:val="27"/>
                    <w:bidi w:val="0"/>
                    <w:rPr>
                      <w:rFonts w:hint="default" w:ascii="Times New Roman" w:hAnsi="Times New Roman" w:cs="Times New Roman"/>
                      <w:color w:val="auto"/>
                      <w:sz w:val="21"/>
                      <w:szCs w:val="21"/>
                      <w:highlight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kern w:val="0"/>
                <w:sz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bidi="ar-SA"/>
              </w:rPr>
              <w:t>3.</w:t>
            </w:r>
            <w:r>
              <w:rPr>
                <w:rFonts w:hint="eastAsia" w:asciiTheme="minorEastAsia" w:hAnsiTheme="minorEastAsia" w:eastAsiaTheme="minorEastAsia" w:cstheme="minorEastAsia"/>
                <w:b/>
                <w:bCs/>
                <w:kern w:val="0"/>
                <w:sz w:val="24"/>
                <w:highlight w:val="none"/>
                <w:lang w:val="en-US" w:eastAsia="zh-CN"/>
              </w:rPr>
              <w:t>噪声排放标准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kern w:val="0"/>
                <w:sz w:val="24"/>
                <w:szCs w:val="24"/>
                <w:highlight w:val="none"/>
                <w:lang w:val="en-US" w:eastAsia="zh-CN" w:bidi="ar-SA"/>
              </w:rPr>
            </w:pPr>
            <w:r>
              <w:rPr>
                <w:rFonts w:hint="eastAsia" w:asciiTheme="minorEastAsia" w:hAnsiTheme="minorEastAsia" w:eastAsiaTheme="minorEastAsia" w:cstheme="minorEastAsia"/>
                <w:kern w:val="0"/>
                <w:sz w:val="24"/>
                <w:szCs w:val="24"/>
                <w:highlight w:val="none"/>
                <w:lang w:val="en-US" w:eastAsia="zh-CN" w:bidi="ar-SA"/>
              </w:rPr>
              <w:t>施工期和勘探期噪声排放执行《建筑施工噪声排放标准》（GB12523-2025）。</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2" w:firstLineChars="200"/>
              <w:textAlignment w:val="auto"/>
              <w:rPr>
                <w:rFonts w:hint="eastAsia" w:asciiTheme="minorEastAsia" w:hAnsiTheme="minorEastAsia" w:eastAsiaTheme="minorEastAsia" w:cstheme="minorEastAsia"/>
                <w:b/>
                <w:bCs/>
                <w:kern w:val="0"/>
                <w:sz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bidi="ar-SA"/>
              </w:rPr>
              <w:t>4.</w:t>
            </w:r>
            <w:r>
              <w:rPr>
                <w:rFonts w:hint="eastAsia" w:asciiTheme="minorEastAsia" w:hAnsiTheme="minorEastAsia" w:eastAsiaTheme="minorEastAsia" w:cstheme="minorEastAsia"/>
                <w:b/>
                <w:bCs/>
                <w:kern w:val="0"/>
                <w:sz w:val="24"/>
                <w:highlight w:val="none"/>
                <w:lang w:val="en-US" w:eastAsia="zh-CN"/>
              </w:rPr>
              <w:t>固体废弃物</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heme="minorEastAsia" w:hAnsiTheme="minorEastAsia" w:eastAsiaTheme="minorEastAsia" w:cstheme="minorEastAsia"/>
                <w:kern w:val="0"/>
                <w:sz w:val="24"/>
                <w:highlight w:val="none"/>
                <w:lang w:val="en-US" w:eastAsia="zh-CN"/>
              </w:rPr>
            </w:pPr>
            <w:r>
              <w:rPr>
                <w:rFonts w:hint="eastAsia" w:asciiTheme="minorEastAsia" w:hAnsiTheme="minorEastAsia" w:eastAsiaTheme="minorEastAsia" w:cstheme="minorEastAsia"/>
                <w:kern w:val="0"/>
                <w:sz w:val="24"/>
                <w:highlight w:val="none"/>
                <w:lang w:val="en-US" w:eastAsia="zh-CN"/>
              </w:rPr>
              <w:t>项目产生的一般固废应符合《一般工业固体废弃物贮存和填埋污染控制标准》（GB18599-2020）及《中华人民共和国固体废物污染环境防治法》（2020年9月1日修订）要求。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753" w:type="dxa"/>
            <w:shd w:val="clear" w:color="auto" w:fill="auto"/>
            <w:noWrap w:val="0"/>
            <w:vAlign w:val="center"/>
          </w:tcPr>
          <w:p>
            <w:pPr>
              <w:adjustRightInd w:val="0"/>
              <w:snapToGrid w:val="0"/>
              <w:spacing w:line="360" w:lineRule="auto"/>
              <w:jc w:val="center"/>
              <w:rPr>
                <w:rFonts w:hint="eastAsia" w:asciiTheme="minorEastAsia" w:hAnsiTheme="minorEastAsia" w:eastAsiaTheme="minorEastAsia" w:cstheme="minorEastAsia"/>
                <w:kern w:val="0"/>
                <w:sz w:val="24"/>
                <w:highlight w:val="none"/>
                <w:lang w:val="en-US" w:eastAsia="zh-CN"/>
              </w:rPr>
            </w:pPr>
            <w:r>
              <w:rPr>
                <w:rFonts w:hint="eastAsia" w:ascii="宋体" w:hAnsi="宋体" w:eastAsia="宋体" w:cs="宋体"/>
                <w:color w:val="auto"/>
                <w:kern w:val="0"/>
                <w:szCs w:val="21"/>
                <w:highlight w:val="none"/>
                <w:lang w:val="en-US" w:eastAsia="zh-CN"/>
              </w:rPr>
              <w:t>其他</w:t>
            </w:r>
          </w:p>
        </w:tc>
        <w:tc>
          <w:tcPr>
            <w:tcW w:w="8404" w:type="dxa"/>
            <w:shd w:val="clear" w:color="auto" w:fill="auto"/>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firstLine="480" w:firstLineChars="200"/>
              <w:jc w:val="center"/>
              <w:textAlignment w:val="auto"/>
              <w:rPr>
                <w:rFonts w:hint="default" w:asciiTheme="minorEastAsia" w:hAnsiTheme="minorEastAsia" w:eastAsiaTheme="minorEastAsia" w:cstheme="minorEastAsia"/>
                <w:kern w:val="0"/>
                <w:sz w:val="24"/>
                <w:highlight w:val="none"/>
                <w:lang w:val="en-US" w:eastAsia="zh-CN"/>
              </w:rPr>
            </w:pPr>
            <w:r>
              <w:rPr>
                <w:rFonts w:hint="eastAsia" w:asciiTheme="minorEastAsia" w:hAnsiTheme="minorEastAsia" w:eastAsiaTheme="minorEastAsia" w:cstheme="minorEastAsia"/>
                <w:kern w:val="0"/>
                <w:sz w:val="24"/>
                <w:highlight w:val="none"/>
                <w:lang w:val="en-US" w:eastAsia="zh-CN"/>
              </w:rPr>
              <w:t>无</w:t>
            </w:r>
          </w:p>
        </w:tc>
      </w:tr>
    </w:tbl>
    <w:p>
      <w:pPr>
        <w:pStyle w:val="15"/>
        <w:spacing w:line="360" w:lineRule="auto"/>
        <w:jc w:val="center"/>
        <w:outlineLvl w:val="0"/>
        <w:rPr>
          <w:rFonts w:ascii="黑体" w:hAnsi="黑体" w:eastAsia="黑体"/>
          <w:snapToGrid w:val="0"/>
          <w:sz w:val="30"/>
          <w:szCs w:val="30"/>
          <w:highlight w:val="none"/>
        </w:rPr>
      </w:pPr>
      <w:r>
        <w:rPr>
          <w:rFonts w:ascii="黑体" w:hAnsi="黑体" w:eastAsia="黑体"/>
          <w:snapToGrid w:val="0"/>
          <w:kern w:val="2"/>
          <w:sz w:val="36"/>
          <w:szCs w:val="36"/>
          <w:highlight w:val="none"/>
        </w:rPr>
        <w:br w:type="page"/>
      </w:r>
      <w:r>
        <w:rPr>
          <w:rFonts w:hint="eastAsia" w:ascii="黑体" w:hAnsi="黑体" w:eastAsia="黑体"/>
          <w:snapToGrid w:val="0"/>
          <w:sz w:val="30"/>
          <w:szCs w:val="30"/>
          <w:highlight w:val="none"/>
        </w:rPr>
        <w:t>四、生态环境影响分析</w:t>
      </w:r>
    </w:p>
    <w:tbl>
      <w:tblPr>
        <w:tblStyle w:val="17"/>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86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8" w:type="dxa"/>
            <w:noWrap w:val="0"/>
            <w:tcMar>
              <w:left w:w="28" w:type="dxa"/>
              <w:right w:w="28" w:type="dxa"/>
            </w:tcMar>
            <w:vAlign w:val="center"/>
          </w:tcPr>
          <w:p>
            <w:pPr>
              <w:pStyle w:val="15"/>
              <w:adjustRightInd w:val="0"/>
              <w:snapToGrid w:val="0"/>
              <w:spacing w:before="0" w:beforeAutospacing="0" w:after="0" w:afterAutospacing="0" w:line="240" w:lineRule="auto"/>
              <w:jc w:val="center"/>
              <w:rPr>
                <w:rFonts w:cs="宋体"/>
                <w:bCs/>
                <w:kern w:val="2"/>
                <w:sz w:val="21"/>
                <w:szCs w:val="21"/>
                <w:highlight w:val="none"/>
              </w:rPr>
            </w:pPr>
            <w:bookmarkStart w:id="3" w:name="_Hlk49796138"/>
            <w:r>
              <w:rPr>
                <w:rFonts w:hint="eastAsia" w:cs="宋体"/>
                <w:bCs/>
                <w:spacing w:val="10"/>
                <w:kern w:val="2"/>
                <w:sz w:val="21"/>
                <w:szCs w:val="21"/>
                <w:highlight w:val="none"/>
              </w:rPr>
              <w:t>施工期生态环境影响分析</w:t>
            </w:r>
            <w:bookmarkEnd w:id="3"/>
          </w:p>
        </w:tc>
        <w:tc>
          <w:tcPr>
            <w:tcW w:w="8614" w:type="dxa"/>
            <w:noWrap w:val="0"/>
            <w:vAlign w:val="top"/>
          </w:tcPr>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highlight w:val="none"/>
                <w:lang w:eastAsia="zh-CN"/>
              </w:rPr>
            </w:pPr>
            <w:r>
              <w:rPr>
                <w:rFonts w:hint="eastAsia"/>
                <w:sz w:val="24"/>
                <w:highlight w:val="none"/>
                <w:lang w:val="en-US" w:eastAsia="zh-CN"/>
              </w:rPr>
              <w:t>本项目为新建项目，施工期主要活动为临时营地的建设，在施工过程中会有施工废气、施工扬尘、施工噪声、开挖土石方等产生</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b/>
                <w:bCs/>
                <w:sz w:val="24"/>
                <w:highlight w:val="none"/>
                <w:lang w:val="en-US" w:eastAsia="zh-CN"/>
              </w:rPr>
            </w:pPr>
            <w:r>
              <w:rPr>
                <w:rFonts w:hint="eastAsia"/>
                <w:b/>
                <w:bCs/>
                <w:sz w:val="24"/>
                <w:highlight w:val="none"/>
                <w:lang w:val="en-US" w:eastAsia="zh-CN"/>
              </w:rPr>
              <w:t>1.生态影响分析</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default"/>
                <w:b/>
                <w:bCs/>
                <w:sz w:val="24"/>
                <w:highlight w:val="none"/>
                <w:lang w:val="en-US" w:eastAsia="zh-CN"/>
              </w:rPr>
            </w:pPr>
            <w:r>
              <w:rPr>
                <w:rFonts w:hint="default"/>
                <w:b/>
                <w:bCs/>
                <w:sz w:val="24"/>
                <w:highlight w:val="none"/>
                <w:lang w:val="en-US" w:eastAsia="zh-CN"/>
              </w:rPr>
              <w:t>1.1</w:t>
            </w:r>
            <w:r>
              <w:rPr>
                <w:rFonts w:hint="eastAsia"/>
                <w:b/>
                <w:bCs/>
                <w:sz w:val="24"/>
                <w:highlight w:val="none"/>
                <w:lang w:val="en-US" w:eastAsia="zh-CN"/>
              </w:rPr>
              <w:t>占地影响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eastAsia="宋体"/>
                <w:sz w:val="24"/>
                <w:highlight w:val="none"/>
                <w:lang w:val="en-US" w:eastAsia="zh-CN"/>
              </w:rPr>
            </w:pPr>
            <w:r>
              <w:rPr>
                <w:rFonts w:hint="eastAsia" w:eastAsia="宋体"/>
                <w:sz w:val="24"/>
                <w:highlight w:val="none"/>
                <w:lang w:val="en-US" w:eastAsia="zh-CN"/>
              </w:rPr>
              <w:t>项目施工期建设主要为临时生活营地的修筑，占地共计</w:t>
            </w:r>
            <w:r>
              <w:rPr>
                <w:rFonts w:hint="eastAsia"/>
                <w:sz w:val="24"/>
                <w:highlight w:val="none"/>
                <w:lang w:val="en-US" w:eastAsia="zh-CN"/>
              </w:rPr>
              <w:t>10</w:t>
            </w:r>
            <w:r>
              <w:rPr>
                <w:rFonts w:hint="eastAsia" w:eastAsia="宋体"/>
                <w:sz w:val="24"/>
                <w:highlight w:val="none"/>
                <w:lang w:val="en-US" w:eastAsia="zh-CN"/>
              </w:rPr>
              <w:t>0m</w:t>
            </w:r>
            <w:r>
              <w:rPr>
                <w:rFonts w:hint="eastAsia" w:eastAsia="宋体"/>
                <w:sz w:val="24"/>
                <w:highlight w:val="none"/>
                <w:vertAlign w:val="superscript"/>
                <w:lang w:val="en-US" w:eastAsia="zh-CN"/>
              </w:rPr>
              <w:t>2</w:t>
            </w:r>
            <w:r>
              <w:rPr>
                <w:rFonts w:hint="eastAsia" w:eastAsia="宋体"/>
                <w:sz w:val="24"/>
                <w:highlight w:val="none"/>
                <w:lang w:val="en-US" w:eastAsia="zh-CN"/>
              </w:rPr>
              <w:t>，均为临时占地。临时占地会改变土地原有使用功能，造成资源浪费，临时构筑物的压占会造成剥离后的表层土壤过于紧实，降低土壤的通透性和渗水性，对土壤环境、动植物以及区域景观生态产生不利的影响。</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default"/>
                <w:b/>
                <w:bCs/>
                <w:sz w:val="24"/>
                <w:highlight w:val="none"/>
                <w:lang w:val="en-US" w:eastAsia="zh-CN"/>
              </w:rPr>
            </w:pPr>
            <w:r>
              <w:rPr>
                <w:rFonts w:hint="default"/>
                <w:b/>
                <w:bCs/>
                <w:sz w:val="24"/>
                <w:highlight w:val="none"/>
                <w:lang w:val="en-US" w:eastAsia="zh-CN"/>
              </w:rPr>
              <w:t>1.2</w:t>
            </w:r>
            <w:r>
              <w:rPr>
                <w:rFonts w:hint="eastAsia"/>
                <w:b/>
                <w:bCs/>
                <w:sz w:val="24"/>
                <w:highlight w:val="none"/>
                <w:lang w:val="en-US" w:eastAsia="zh-CN"/>
              </w:rPr>
              <w:t>土壤环境的影响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工程施工过程中的土方开挖、回填、机械碾压对土壤的理化性质和土壤肥力会产生一定不利影响，不会彻底改变土地利用结构和功能，对区域生态系统的影响有限。</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highlight w:val="none"/>
                <w:lang w:eastAsia="zh-CN"/>
              </w:rPr>
            </w:pPr>
            <w:r>
              <w:rPr>
                <w:rFonts w:hint="eastAsia"/>
                <w:sz w:val="24"/>
                <w:highlight w:val="none"/>
                <w:lang w:val="en-US" w:eastAsia="zh-CN"/>
              </w:rPr>
              <w:t>本次施工期内临时构筑物的压占会造成剥离后的表层土壤过于紧实，降低土壤的通透性和渗水性，工程建设临时压占土地，主要是使这些土地失去原有的生物生产功能和生态服务功能，会对局部的土地利用产生一定的影响。</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default"/>
                <w:b/>
                <w:bCs/>
                <w:sz w:val="24"/>
                <w:highlight w:val="none"/>
                <w:lang w:val="en-US" w:eastAsia="zh-CN"/>
              </w:rPr>
            </w:pPr>
            <w:r>
              <w:rPr>
                <w:rFonts w:hint="default"/>
                <w:b/>
                <w:bCs/>
                <w:sz w:val="24"/>
                <w:highlight w:val="none"/>
                <w:lang w:val="en-US" w:eastAsia="zh-CN"/>
              </w:rPr>
              <w:t>1.3</w:t>
            </w:r>
            <w:r>
              <w:rPr>
                <w:rFonts w:hint="eastAsia"/>
                <w:b/>
                <w:bCs/>
                <w:sz w:val="24"/>
                <w:highlight w:val="none"/>
                <w:lang w:val="en-US" w:eastAsia="zh-CN"/>
              </w:rPr>
              <w:t>对植物的影响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highlight w:val="none"/>
                <w:lang w:val="en-US" w:eastAsia="zh-CN"/>
              </w:rPr>
            </w:pPr>
            <w:r>
              <w:rPr>
                <w:rFonts w:hint="default" w:eastAsia="宋体"/>
                <w:sz w:val="24"/>
                <w:highlight w:val="none"/>
                <w:lang w:val="en-US" w:eastAsia="zh-CN"/>
              </w:rPr>
              <w:t>本项目占地性质属于临时占地，土地利用类型为裸岩石栎地和其他草地。施工过程中施工机械的碾压、建筑材料的占压、施工人员踩踏以及建筑物基础等都将不可避免对占地区域植被造成破坏性的影响。施工活动致使项目区转化为人工裸地，导致植被生产能力下降，植被覆盖度降低。</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highlight w:val="none"/>
                <w:lang w:val="en-US" w:eastAsia="zh-CN"/>
              </w:rPr>
            </w:pPr>
            <w:r>
              <w:rPr>
                <w:rFonts w:hint="default"/>
                <w:b/>
                <w:bCs/>
                <w:sz w:val="24"/>
                <w:highlight w:val="none"/>
                <w:lang w:val="en-US" w:eastAsia="zh-CN"/>
              </w:rPr>
              <w:t>1.4</w:t>
            </w:r>
            <w:r>
              <w:rPr>
                <w:rFonts w:hint="eastAsia"/>
                <w:b/>
                <w:bCs/>
                <w:sz w:val="24"/>
                <w:highlight w:val="none"/>
                <w:lang w:val="en-US" w:eastAsia="zh-CN"/>
              </w:rPr>
              <w:t>对动物的影响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项目所涉范围内基本无大型哺乳动物分布，以小型哺乳类和爬行类为主，且数量不多。施工期活动会对所在区域动物栖息环境产生扰动，迫使动物离开原有栖息环境。施工过程中各类机械运转、人员活动等产生的噪声会使施工区域动物的正常生活受到暂时的轻微干扰，将会使区域内少量动物出现迁徙，使勘探区生物量降低，分布、数量、生物多样性发生变化。施工时尽量避让野生动物，不追逐，不惊吓。故项目建设对野生动物生存环境的影响是局部和有限的。</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highlight w:val="none"/>
                <w:lang w:val="en-US" w:eastAsia="zh-CN"/>
              </w:rPr>
            </w:pPr>
            <w:r>
              <w:rPr>
                <w:rFonts w:hint="default"/>
                <w:b/>
                <w:bCs/>
                <w:sz w:val="24"/>
                <w:highlight w:val="none"/>
                <w:lang w:val="en-US" w:eastAsia="zh-CN"/>
              </w:rPr>
              <w:t>1.5</w:t>
            </w:r>
            <w:r>
              <w:rPr>
                <w:rFonts w:hint="eastAsia"/>
                <w:b/>
                <w:bCs/>
                <w:sz w:val="24"/>
                <w:highlight w:val="none"/>
                <w:lang w:val="en-US" w:eastAsia="zh-CN"/>
              </w:rPr>
              <w:t>对区域景观的影响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由于项目施工开挖等活动，会对地表植被造成不同程度的破坏，在短期内成为与原有生态景观不协调的“裸地”或“疮疤”斑块，另外施工现场的暴露、建筑垃圾的堆存也影响区域景观，对整体生态景观形成不和谐的视觉效果，造成较为明显的不利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项目施工期占地性质属于临时占地，以山地为主，植物稀疏，盖度较低，基本不会对周围生态环境造成影响。</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sz w:val="24"/>
                <w:highlight w:val="none"/>
                <w:lang w:val="en-US" w:eastAsia="zh-CN"/>
              </w:rPr>
            </w:pPr>
            <w:r>
              <w:rPr>
                <w:rFonts w:hint="default"/>
                <w:b/>
                <w:bCs/>
                <w:sz w:val="24"/>
                <w:highlight w:val="none"/>
                <w:lang w:val="en-US" w:eastAsia="zh-CN"/>
              </w:rPr>
              <w:t>1.6</w:t>
            </w:r>
            <w:r>
              <w:rPr>
                <w:rFonts w:hint="eastAsia"/>
                <w:b/>
                <w:bCs/>
                <w:sz w:val="24"/>
                <w:highlight w:val="none"/>
                <w:lang w:val="en-US" w:eastAsia="zh-CN"/>
              </w:rPr>
              <w:t>对沙化土地的影响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项目实施过程中将会破坏占地范围内的土壤表层稳定结皮和地表荒漠植被，项目所在区域具有多风、降水量偏低等气候特征，地表稳定结皮被破坏后，在大风天气条件下，施工会使占地范围内的土地就地起沙，局部从非沙化土地变成沙化土地。但是由于项目占地范围较小，施工时间短，施工结束后对场地进行平整和清理，尽量利用施工时产生的表层土对临时占地进行覆盖，采用自然恢复的方式对区域植被进行恢复。因此本项目对区域土地沙化影响不大。</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highlight w:val="none"/>
                <w:lang w:val="en-US" w:eastAsia="zh-CN"/>
              </w:rPr>
            </w:pPr>
            <w:r>
              <w:rPr>
                <w:rFonts w:hint="default"/>
                <w:b/>
                <w:bCs/>
                <w:sz w:val="24"/>
                <w:highlight w:val="none"/>
                <w:lang w:val="en-US" w:eastAsia="zh-CN"/>
              </w:rPr>
              <w:t>1.7</w:t>
            </w:r>
            <w:r>
              <w:rPr>
                <w:rFonts w:hint="eastAsia"/>
                <w:b/>
                <w:bCs/>
                <w:sz w:val="24"/>
                <w:highlight w:val="none"/>
                <w:lang w:val="en-US" w:eastAsia="zh-CN"/>
              </w:rPr>
              <w:t>对水土流失的影响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项目施工过程中，各类工程活动如平整场地、搭建临时设施等，会直接铲除、碾压地表植被，使地表植被覆盖率大幅降低。施工产生的噪声、粉尘等污染，会对周边一定范围内的植被生长环境造成破坏。高浓度粉尘沉降在植物叶片上，会堵塞气孔，影响植物光合作用，导致植被生长不良甚至死亡，进一步削弱了植被保持水土的能力。大量施工人员的活动，会对周边地表植被造成践踏破坏，降低植被的郁闭度和覆盖度，使地表失去植被的有效保护，进而加剧水土流失。</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勘查区位于新疆维吾尔自治区且末县西南219°方向，直线距离约195千米处，勘探区降雨量较低，基本无法形成径流，故项目区的水土流失以风蚀为主。</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b/>
                <w:bCs/>
                <w:sz w:val="24"/>
                <w:highlight w:val="none"/>
                <w:lang w:val="en-US" w:eastAsia="zh-CN"/>
              </w:rPr>
            </w:pPr>
            <w:r>
              <w:rPr>
                <w:rFonts w:hint="eastAsia"/>
                <w:b/>
                <w:bCs/>
                <w:sz w:val="24"/>
                <w:highlight w:val="none"/>
                <w:lang w:val="en-US" w:eastAsia="zh-CN"/>
              </w:rPr>
              <w:t>2.大气污染物影响分析</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w:t>
            </w:r>
            <w:r>
              <w:rPr>
                <w:rFonts w:hint="default"/>
                <w:sz w:val="24"/>
                <w:highlight w:val="none"/>
                <w:lang w:val="en-US" w:eastAsia="zh-CN"/>
              </w:rPr>
              <w:t>1</w:t>
            </w:r>
            <w:r>
              <w:rPr>
                <w:rFonts w:hint="eastAsia"/>
                <w:sz w:val="24"/>
                <w:highlight w:val="none"/>
                <w:lang w:val="en-US" w:eastAsia="zh-CN"/>
              </w:rPr>
              <w:t>）车辆行驶扬尘</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在施工过程中，车辆行驶产生的扬尘量一般占施工扬尘总量的</w:t>
            </w:r>
            <w:r>
              <w:rPr>
                <w:rFonts w:hint="default"/>
                <w:sz w:val="24"/>
                <w:highlight w:val="none"/>
                <w:lang w:val="en-US" w:eastAsia="zh-CN"/>
              </w:rPr>
              <w:t>60%</w:t>
            </w:r>
            <w:r>
              <w:rPr>
                <w:rFonts w:hint="eastAsia"/>
                <w:sz w:val="24"/>
                <w:highlight w:val="none"/>
                <w:lang w:val="en-US" w:eastAsia="zh-CN"/>
              </w:rPr>
              <w:t>以上。车辆在行驶过程中产生的扬尘量，可按下列经验公式计算：</w:t>
            </w:r>
          </w:p>
          <w:p>
            <w:pPr>
              <w:keepNext w:val="0"/>
              <w:keepLines w:val="0"/>
              <w:pageBreakBefore w:val="0"/>
              <w:widowControl w:val="0"/>
              <w:kinsoku/>
              <w:wordWrap/>
              <w:overflowPunct/>
              <w:topLinePunct w:val="0"/>
              <w:bidi w:val="0"/>
              <w:adjustRightInd/>
              <w:snapToGrid/>
              <w:spacing w:line="520" w:lineRule="exact"/>
              <w:ind w:firstLine="1440" w:firstLineChars="600"/>
              <w:textAlignment w:val="auto"/>
              <w:rPr>
                <w:rFonts w:hint="eastAsia"/>
                <w:sz w:val="24"/>
                <w:highlight w:val="none"/>
                <w:lang w:val="en-US" w:eastAsia="zh-CN"/>
              </w:rPr>
            </w:pPr>
            <w:r>
              <w:rPr>
                <w:rFonts w:hint="eastAsia"/>
                <w:sz w:val="24"/>
                <w:highlight w:val="none"/>
                <w:lang w:val="en-US" w:eastAsia="zh-CN"/>
              </w:rPr>
              <w:drawing>
                <wp:anchor distT="0" distB="0" distL="114300" distR="114300" simplePos="0" relativeHeight="251662336" behindDoc="0" locked="0" layoutInCell="1" allowOverlap="1">
                  <wp:simplePos x="0" y="0"/>
                  <wp:positionH relativeFrom="column">
                    <wp:posOffset>1517015</wp:posOffset>
                  </wp:positionH>
                  <wp:positionV relativeFrom="paragraph">
                    <wp:posOffset>63500</wp:posOffset>
                  </wp:positionV>
                  <wp:extent cx="2257425" cy="495300"/>
                  <wp:effectExtent l="0" t="0" r="9525" b="0"/>
                  <wp:wrapTopAndBottom/>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2257425" cy="495300"/>
                          </a:xfrm>
                          <a:prstGeom prst="rect">
                            <a:avLst/>
                          </a:prstGeom>
                          <a:noFill/>
                          <a:ln>
                            <a:noFill/>
                          </a:ln>
                        </pic:spPr>
                      </pic:pic>
                    </a:graphicData>
                  </a:graphic>
                </wp:anchor>
              </w:drawing>
            </w:r>
            <w:r>
              <w:rPr>
                <w:rFonts w:hint="eastAsia"/>
                <w:sz w:val="24"/>
                <w:highlight w:val="none"/>
                <w:lang w:val="en-US" w:eastAsia="zh-CN"/>
              </w:rPr>
              <w:t>式中：</w:t>
            </w:r>
            <w:r>
              <w:rPr>
                <w:rFonts w:hint="default"/>
                <w:sz w:val="24"/>
                <w:highlight w:val="none"/>
                <w:lang w:val="en-US" w:eastAsia="zh-CN"/>
              </w:rPr>
              <w:t>Q</w:t>
            </w:r>
            <w:r>
              <w:rPr>
                <w:rFonts w:hint="eastAsia"/>
                <w:sz w:val="24"/>
                <w:highlight w:val="none"/>
                <w:lang w:val="en-US" w:eastAsia="zh-CN"/>
              </w:rPr>
              <w:t>—汽车行驶的扬尘，</w:t>
            </w:r>
            <w:r>
              <w:rPr>
                <w:rFonts w:hint="default"/>
                <w:sz w:val="24"/>
                <w:highlight w:val="none"/>
                <w:lang w:val="en-US" w:eastAsia="zh-CN"/>
              </w:rPr>
              <w:t>kg/km</w:t>
            </w:r>
            <w:r>
              <w:rPr>
                <w:rFonts w:hint="eastAsia"/>
                <w:sz w:val="24"/>
                <w:highlight w:val="none"/>
                <w:lang w:val="en-US" w:eastAsia="zh-CN"/>
              </w:rPr>
              <w:t>·辆；</w:t>
            </w:r>
          </w:p>
          <w:p>
            <w:pPr>
              <w:keepNext w:val="0"/>
              <w:keepLines w:val="0"/>
              <w:pageBreakBefore w:val="0"/>
              <w:widowControl w:val="0"/>
              <w:kinsoku/>
              <w:wordWrap/>
              <w:overflowPunct/>
              <w:topLinePunct w:val="0"/>
              <w:bidi w:val="0"/>
              <w:adjustRightInd/>
              <w:snapToGrid/>
              <w:spacing w:line="520" w:lineRule="exact"/>
              <w:ind w:firstLine="2160" w:firstLineChars="900"/>
              <w:textAlignment w:val="auto"/>
              <w:rPr>
                <w:rFonts w:hint="eastAsia"/>
                <w:sz w:val="24"/>
                <w:highlight w:val="none"/>
                <w:lang w:val="en-US" w:eastAsia="zh-CN"/>
              </w:rPr>
            </w:pPr>
            <w:r>
              <w:rPr>
                <w:rFonts w:hint="default"/>
                <w:sz w:val="24"/>
                <w:highlight w:val="none"/>
                <w:lang w:val="en-US" w:eastAsia="zh-CN"/>
              </w:rPr>
              <w:t>V</w:t>
            </w:r>
            <w:r>
              <w:rPr>
                <w:rFonts w:hint="eastAsia"/>
                <w:sz w:val="24"/>
                <w:highlight w:val="none"/>
                <w:lang w:val="en-US" w:eastAsia="zh-CN"/>
              </w:rPr>
              <w:t>—汽车速度，</w:t>
            </w:r>
            <w:r>
              <w:rPr>
                <w:rFonts w:hint="default"/>
                <w:sz w:val="24"/>
                <w:highlight w:val="none"/>
                <w:lang w:val="en-US" w:eastAsia="zh-CN"/>
              </w:rPr>
              <w:t>km/hr</w:t>
            </w:r>
            <w:r>
              <w:rPr>
                <w:rFonts w:hint="eastAsia"/>
                <w:sz w:val="24"/>
                <w:highlight w:val="none"/>
                <w:lang w:val="en-US" w:eastAsia="zh-CN"/>
              </w:rPr>
              <w:t>；</w:t>
            </w:r>
          </w:p>
          <w:p>
            <w:pPr>
              <w:keepNext w:val="0"/>
              <w:keepLines w:val="0"/>
              <w:pageBreakBefore w:val="0"/>
              <w:widowControl w:val="0"/>
              <w:kinsoku/>
              <w:wordWrap/>
              <w:overflowPunct/>
              <w:topLinePunct w:val="0"/>
              <w:bidi w:val="0"/>
              <w:adjustRightInd/>
              <w:snapToGrid/>
              <w:spacing w:line="520" w:lineRule="exact"/>
              <w:ind w:firstLine="2160" w:firstLineChars="900"/>
              <w:textAlignment w:val="auto"/>
              <w:rPr>
                <w:rFonts w:hint="eastAsia"/>
                <w:sz w:val="24"/>
                <w:highlight w:val="none"/>
                <w:lang w:val="en-US" w:eastAsia="zh-CN"/>
              </w:rPr>
            </w:pPr>
            <w:r>
              <w:rPr>
                <w:rFonts w:hint="default"/>
                <w:sz w:val="24"/>
                <w:highlight w:val="none"/>
                <w:lang w:val="en-US" w:eastAsia="zh-CN"/>
              </w:rPr>
              <w:t>W</w:t>
            </w:r>
            <w:r>
              <w:rPr>
                <w:rFonts w:hint="eastAsia"/>
                <w:sz w:val="24"/>
                <w:highlight w:val="none"/>
                <w:lang w:val="en-US" w:eastAsia="zh-CN"/>
              </w:rPr>
              <w:t>—汽车载重量，</w:t>
            </w:r>
            <w:r>
              <w:rPr>
                <w:rFonts w:hint="default"/>
                <w:sz w:val="24"/>
                <w:highlight w:val="none"/>
                <w:lang w:val="en-US" w:eastAsia="zh-CN"/>
              </w:rPr>
              <w:t>t</w:t>
            </w:r>
            <w:r>
              <w:rPr>
                <w:rFonts w:hint="eastAsia"/>
                <w:sz w:val="24"/>
                <w:highlight w:val="none"/>
                <w:lang w:val="en-US" w:eastAsia="zh-CN"/>
              </w:rPr>
              <w:t>；</w:t>
            </w:r>
          </w:p>
          <w:p>
            <w:pPr>
              <w:keepNext w:val="0"/>
              <w:keepLines w:val="0"/>
              <w:pageBreakBefore w:val="0"/>
              <w:widowControl w:val="0"/>
              <w:kinsoku/>
              <w:wordWrap/>
              <w:overflowPunct/>
              <w:topLinePunct w:val="0"/>
              <w:bidi w:val="0"/>
              <w:adjustRightInd/>
              <w:snapToGrid/>
              <w:spacing w:line="520" w:lineRule="exact"/>
              <w:ind w:firstLine="2160" w:firstLineChars="900"/>
              <w:textAlignment w:val="auto"/>
              <w:rPr>
                <w:rFonts w:hint="eastAsia"/>
                <w:sz w:val="24"/>
                <w:highlight w:val="none"/>
                <w:lang w:val="en-US" w:eastAsia="zh-CN"/>
              </w:rPr>
            </w:pPr>
            <w:r>
              <w:rPr>
                <w:rFonts w:hint="default"/>
                <w:sz w:val="24"/>
                <w:highlight w:val="none"/>
                <w:lang w:val="en-US" w:eastAsia="zh-CN"/>
              </w:rPr>
              <w:t>P</w:t>
            </w:r>
            <w:r>
              <w:rPr>
                <w:rFonts w:hint="eastAsia"/>
                <w:sz w:val="24"/>
                <w:highlight w:val="none"/>
                <w:lang w:val="en-US" w:eastAsia="zh-CN"/>
              </w:rPr>
              <w:t>—道路表面粉尘量，</w:t>
            </w:r>
            <w:r>
              <w:rPr>
                <w:rFonts w:hint="default"/>
                <w:sz w:val="24"/>
                <w:highlight w:val="none"/>
                <w:lang w:val="en-US" w:eastAsia="zh-CN"/>
              </w:rPr>
              <w:t>kg/m</w:t>
            </w:r>
            <w:r>
              <w:rPr>
                <w:rFonts w:hint="default"/>
                <w:sz w:val="24"/>
                <w:highlight w:val="none"/>
                <w:vertAlign w:val="superscript"/>
                <w:lang w:val="en-US" w:eastAsia="zh-CN"/>
              </w:rPr>
              <w:t>2</w:t>
            </w:r>
            <w:r>
              <w:rPr>
                <w:rFonts w:hint="eastAsia"/>
                <w:sz w:val="24"/>
                <w:highlight w:val="none"/>
                <w:lang w:val="en-US" w:eastAsia="zh-CN"/>
              </w:rPr>
              <w:t>。</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可见，在同样的路面条件下，车速越快，扬尘量越大；在同样的车速情况下，路面越脏，扬尘量越大。因此，限制车辆行驶速度以及保持路面的清洁是减少汽车扬尘的有效手段。</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highlight w:val="none"/>
                <w:lang w:val="en-US" w:eastAsia="zh-CN"/>
              </w:rPr>
            </w:pPr>
            <w:r>
              <w:rPr>
                <w:rFonts w:hint="eastAsia"/>
                <w:sz w:val="24"/>
                <w:highlight w:val="none"/>
                <w:lang w:val="en-US" w:eastAsia="zh-CN"/>
              </w:rPr>
              <w:t>（2）施工机械尾气</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highlight w:val="none"/>
                <w:lang w:val="en-US" w:eastAsia="zh-CN"/>
              </w:rPr>
            </w:pPr>
            <w:r>
              <w:rPr>
                <w:rFonts w:hint="eastAsia"/>
                <w:sz w:val="24"/>
                <w:highlight w:val="none"/>
                <w:lang w:val="en-US" w:eastAsia="zh-CN"/>
              </w:rPr>
              <w:t>施工机械和运输车辆排放的尾气中含有一氧化碳（CO）、氮氧化物（主要以NO和NO</w:t>
            </w:r>
            <w:r>
              <w:rPr>
                <w:rFonts w:hint="eastAsia"/>
                <w:sz w:val="24"/>
                <w:highlight w:val="none"/>
                <w:vertAlign w:val="subscript"/>
                <w:lang w:val="en-US" w:eastAsia="zh-CN"/>
              </w:rPr>
              <w:t>2</w:t>
            </w:r>
            <w:r>
              <w:rPr>
                <w:rFonts w:hint="eastAsia"/>
                <w:sz w:val="24"/>
                <w:highlight w:val="none"/>
                <w:lang w:val="en-US" w:eastAsia="zh-CN"/>
              </w:rPr>
              <w:t>形式存在）和总烃（THC）等有毒有害物质。拟建生活营地的施工作业量和物料运输量较小，因此汽车尾气排放对沿线环境空气质量的污染影响不大。工程勘探区地形开阔，空气流通性好，排放废气中的各项污染物能够很快扩散，不会引起局部大气环境质量的恶化。加之废气排放的不连续性和工程施工期有限，排放的废气对区域的环境空气质量影响较小。工程施工期间，施工单位应严格遵守有关法律、法规，采取合理可行的控制措施，要求使用符合国家标准的柴油，对于故障机械及时修理，保证运行车况良好，减少因故障而造成的尾气超标排放，以减少对周围大气环境的影响。</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b/>
                <w:bCs/>
                <w:sz w:val="24"/>
                <w:highlight w:val="none"/>
                <w:lang w:val="en-US" w:eastAsia="zh-CN"/>
              </w:rPr>
            </w:pPr>
            <w:r>
              <w:rPr>
                <w:rFonts w:hint="eastAsia"/>
                <w:b/>
                <w:bCs/>
                <w:sz w:val="24"/>
                <w:highlight w:val="none"/>
                <w:lang w:val="en-US" w:eastAsia="zh-CN"/>
              </w:rPr>
              <w:t>3.废水污染物影响分析</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highlight w:val="none"/>
                <w:lang w:val="en-US" w:eastAsia="zh-CN"/>
              </w:rPr>
            </w:pPr>
            <w:r>
              <w:rPr>
                <w:rFonts w:hint="eastAsia"/>
                <w:sz w:val="24"/>
                <w:highlight w:val="none"/>
                <w:lang w:val="en-US" w:eastAsia="zh-CN"/>
              </w:rPr>
              <w:t>本项目施工期无施工废水产生，由于本项目人员数量较少，施工时间短，未涉及大规模用水环节，生活污水排入一体化污水处理设施后，其出水标准可达到《农村生活污水处理排放标准》（DB654275-2019）表2中C级标准，用于周边绿化，不会对周边水环境造成影响。</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b/>
                <w:bCs/>
                <w:sz w:val="24"/>
                <w:highlight w:val="none"/>
                <w:lang w:val="en-US" w:eastAsia="zh-CN"/>
              </w:rPr>
            </w:pPr>
            <w:r>
              <w:rPr>
                <w:rFonts w:hint="eastAsia"/>
                <w:b/>
                <w:bCs/>
                <w:sz w:val="24"/>
                <w:highlight w:val="none"/>
                <w:lang w:val="en-US" w:eastAsia="zh-CN"/>
              </w:rPr>
              <w:t>4.施工噪声预测</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根据工程分析可知，施工期噪声来自施工作业噪声、机械噪声和施工车辆噪声，噪声源强一般为71~100dB（A），特点为暂时的短期间歇性行为，无规律性。</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highlight w:val="none"/>
                <w:lang w:val="en-US" w:eastAsia="zh-CN"/>
              </w:rPr>
            </w:pPr>
            <w:r>
              <w:rPr>
                <w:rFonts w:hint="eastAsia"/>
                <w:sz w:val="24"/>
                <w:highlight w:val="none"/>
                <w:lang w:val="en-US" w:eastAsia="zh-CN"/>
              </w:rPr>
              <w:t>（1）施工噪声预测</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 xml:space="preserve">施工噪声可近似视为点声源处理，其衰减模式如下： </w:t>
            </w:r>
          </w:p>
          <w:p>
            <w:pPr>
              <w:keepNext w:val="0"/>
              <w:keepLines w:val="0"/>
              <w:pageBreakBefore w:val="0"/>
              <w:widowControl w:val="0"/>
              <w:kinsoku/>
              <w:wordWrap/>
              <w:overflowPunct/>
              <w:topLinePunct w:val="0"/>
              <w:autoSpaceDE/>
              <w:autoSpaceDN/>
              <w:bidi w:val="0"/>
              <w:adjustRightInd/>
              <w:snapToGrid/>
              <w:spacing w:line="520" w:lineRule="exact"/>
              <w:ind w:firstLine="960" w:firstLineChars="400"/>
              <w:jc w:val="center"/>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Lp=Lpo-20Lg</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r/ro</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L</w:t>
            </w:r>
          </w:p>
          <w:p>
            <w:pPr>
              <w:keepNext w:val="0"/>
              <w:keepLines w:val="0"/>
              <w:pageBreakBefore w:val="0"/>
              <w:widowControl w:val="0"/>
              <w:kinsoku/>
              <w:wordWrap/>
              <w:overflowPunct/>
              <w:topLinePunct w:val="0"/>
              <w:autoSpaceDE/>
              <w:autoSpaceDN/>
              <w:bidi w:val="0"/>
              <w:adjustRightInd/>
              <w:snapToGrid/>
              <w:spacing w:line="520" w:lineRule="exact"/>
              <w:ind w:firstLine="960" w:firstLineChars="4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式中：</w:t>
            </w:r>
            <w:r>
              <w:rPr>
                <w:rFonts w:hint="default" w:ascii="Times New Roman" w:hAnsi="Times New Roman" w:eastAsia="宋体" w:cs="Times New Roman"/>
                <w:sz w:val="24"/>
                <w:szCs w:val="24"/>
                <w:highlight w:val="none"/>
                <w:lang w:val="en-US" w:eastAsia="zh-CN"/>
              </w:rPr>
              <w:t>Lp</w:t>
            </w:r>
            <w:r>
              <w:rPr>
                <w:rFonts w:hint="eastAsia" w:ascii="Times New Roman" w:hAnsi="Times New Roman" w:eastAsia="宋体" w:cs="Times New Roman"/>
                <w:sz w:val="24"/>
                <w:szCs w:val="24"/>
                <w:highlight w:val="none"/>
                <w:lang w:val="en-US" w:eastAsia="zh-CN"/>
              </w:rPr>
              <w:t>——距声源</w:t>
            </w:r>
            <w:r>
              <w:rPr>
                <w:rFonts w:hint="default" w:ascii="Times New Roman" w:hAnsi="Times New Roman" w:eastAsia="宋体" w:cs="Times New Roman"/>
                <w:sz w:val="24"/>
                <w:szCs w:val="24"/>
                <w:highlight w:val="none"/>
                <w:lang w:val="en-US" w:eastAsia="zh-CN"/>
              </w:rPr>
              <w:t>rm</w:t>
            </w:r>
            <w:r>
              <w:rPr>
                <w:rFonts w:hint="eastAsia" w:ascii="Times New Roman" w:hAnsi="Times New Roman" w:eastAsia="宋体" w:cs="Times New Roman"/>
                <w:sz w:val="24"/>
                <w:szCs w:val="24"/>
                <w:highlight w:val="none"/>
                <w:lang w:val="en-US" w:eastAsia="zh-CN"/>
              </w:rPr>
              <w:t>处的施工噪声预测值，</w:t>
            </w:r>
            <w:r>
              <w:rPr>
                <w:rFonts w:hint="default" w:ascii="Times New Roman" w:hAnsi="Times New Roman" w:eastAsia="宋体" w:cs="Times New Roman"/>
                <w:sz w:val="24"/>
                <w:szCs w:val="24"/>
                <w:highlight w:val="none"/>
                <w:lang w:val="en-US" w:eastAsia="zh-CN"/>
              </w:rPr>
              <w:t>dB</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A</w:t>
            </w:r>
            <w:r>
              <w:rPr>
                <w:rFonts w:hint="eastAsia" w:ascii="Times New Roman" w:hAnsi="Times New Roman" w:eastAsia="宋体"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Lpo</w:t>
            </w:r>
            <w:r>
              <w:rPr>
                <w:rFonts w:hint="eastAsia" w:ascii="Times New Roman" w:hAnsi="Times New Roman" w:eastAsia="宋体" w:cs="Times New Roman"/>
                <w:sz w:val="24"/>
                <w:szCs w:val="24"/>
                <w:highlight w:val="none"/>
                <w:lang w:val="en-US" w:eastAsia="zh-CN"/>
              </w:rPr>
              <w:t>——距声源</w:t>
            </w:r>
            <w:r>
              <w:rPr>
                <w:rFonts w:hint="default" w:ascii="Times New Roman" w:hAnsi="Times New Roman" w:eastAsia="宋体" w:cs="Times New Roman"/>
                <w:sz w:val="24"/>
                <w:szCs w:val="24"/>
                <w:highlight w:val="none"/>
                <w:lang w:val="en-US" w:eastAsia="zh-CN"/>
              </w:rPr>
              <w:t>rom</w:t>
            </w:r>
            <w:r>
              <w:rPr>
                <w:rFonts w:hint="eastAsia" w:ascii="Times New Roman" w:hAnsi="Times New Roman" w:eastAsia="宋体" w:cs="Times New Roman"/>
                <w:sz w:val="24"/>
                <w:szCs w:val="24"/>
                <w:highlight w:val="none"/>
                <w:lang w:val="en-US" w:eastAsia="zh-CN"/>
              </w:rPr>
              <w:t>处的参考声级，</w:t>
            </w:r>
            <w:r>
              <w:rPr>
                <w:rFonts w:hint="default" w:ascii="Times New Roman" w:hAnsi="Times New Roman" w:eastAsia="宋体" w:cs="Times New Roman"/>
                <w:sz w:val="24"/>
                <w:szCs w:val="24"/>
                <w:highlight w:val="none"/>
                <w:lang w:val="en-US" w:eastAsia="zh-CN"/>
              </w:rPr>
              <w:t>dB</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A</w:t>
            </w:r>
            <w:r>
              <w:rPr>
                <w:rFonts w:hint="eastAsia" w:ascii="Times New Roman" w:hAnsi="Times New Roman" w:eastAsia="宋体"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ro</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Lpo</w:t>
            </w:r>
            <w:r>
              <w:rPr>
                <w:rFonts w:hint="eastAsia" w:ascii="Times New Roman" w:hAnsi="Times New Roman" w:eastAsia="宋体" w:cs="Times New Roman"/>
                <w:sz w:val="24"/>
                <w:szCs w:val="24"/>
                <w:highlight w:val="none"/>
                <w:lang w:val="en-US" w:eastAsia="zh-CN"/>
              </w:rPr>
              <w:t>噪声的测点距离（</w:t>
            </w:r>
            <w:r>
              <w:rPr>
                <w:rFonts w:hint="default" w:ascii="Times New Roman" w:hAnsi="Times New Roman" w:eastAsia="宋体" w:cs="Times New Roman"/>
                <w:sz w:val="24"/>
                <w:szCs w:val="24"/>
                <w:highlight w:val="none"/>
                <w:lang w:val="en-US" w:eastAsia="zh-CN"/>
              </w:rPr>
              <w:t>1m</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m</w:t>
            </w:r>
            <w:r>
              <w:rPr>
                <w:rFonts w:hint="eastAsia" w:ascii="Times New Roman" w:hAnsi="Times New Roman" w:eastAsia="宋体"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L</w:t>
            </w:r>
            <w:r>
              <w:rPr>
                <w:rFonts w:hint="eastAsia" w:ascii="Times New Roman" w:hAnsi="Times New Roman" w:eastAsia="宋体" w:cs="Times New Roman"/>
                <w:sz w:val="24"/>
                <w:szCs w:val="24"/>
                <w:highlight w:val="none"/>
                <w:lang w:val="en-US" w:eastAsia="zh-CN"/>
              </w:rPr>
              <w:t>——采取各种措施后的噪声衰减量，</w:t>
            </w:r>
            <w:r>
              <w:rPr>
                <w:rFonts w:hint="default" w:ascii="Times New Roman" w:hAnsi="Times New Roman" w:eastAsia="宋体" w:cs="Times New Roman"/>
                <w:sz w:val="24"/>
                <w:szCs w:val="24"/>
                <w:highlight w:val="none"/>
                <w:lang w:val="en-US" w:eastAsia="zh-CN"/>
              </w:rPr>
              <w:t>dB</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A</w:t>
            </w:r>
            <w:r>
              <w:rPr>
                <w:rFonts w:hint="eastAsia" w:ascii="Times New Roman" w:hAnsi="Times New Roman" w:eastAsia="宋体"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施工期主要噪声源主要为挖掘机、</w:t>
            </w:r>
            <w:r>
              <w:rPr>
                <w:rFonts w:hint="eastAsia" w:cs="Times New Roman"/>
                <w:sz w:val="24"/>
                <w:szCs w:val="24"/>
                <w:highlight w:val="none"/>
                <w:lang w:val="en-US" w:eastAsia="zh-CN"/>
              </w:rPr>
              <w:t>运输车辆</w:t>
            </w:r>
            <w:r>
              <w:rPr>
                <w:rFonts w:hint="eastAsia" w:ascii="Times New Roman" w:hAnsi="Times New Roman" w:eastAsia="宋体" w:cs="Times New Roman"/>
                <w:sz w:val="24"/>
                <w:szCs w:val="24"/>
                <w:highlight w:val="none"/>
                <w:lang w:val="en-US" w:eastAsia="zh-CN"/>
              </w:rPr>
              <w:t>等施工机械产生的噪声。</w:t>
            </w:r>
          </w:p>
          <w:p>
            <w:pPr>
              <w:pStyle w:val="31"/>
              <w:keepNext w:val="0"/>
              <w:keepLines w:val="0"/>
              <w:pageBreakBefore w:val="0"/>
              <w:kinsoku/>
              <w:wordWrap/>
              <w:overflowPunct/>
              <w:topLinePunct w:val="0"/>
              <w:autoSpaceDE/>
              <w:autoSpaceDN/>
              <w:bidi w:val="0"/>
              <w:adjustRightInd/>
              <w:snapToGrid/>
              <w:spacing w:line="520" w:lineRule="exact"/>
              <w:ind w:left="0"/>
              <w:textAlignment w:val="auto"/>
              <w:rPr>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施工噪声预测结果及分析</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ascii="宋体" w:hAnsi="宋体" w:cs="宋体"/>
                <w:sz w:val="24"/>
                <w:szCs w:val="24"/>
                <w:highlight w:val="none"/>
              </w:rPr>
            </w:pPr>
            <w:r>
              <w:rPr>
                <w:rFonts w:hint="eastAsia" w:ascii="宋体" w:hAnsi="宋体" w:cs="宋体"/>
                <w:sz w:val="24"/>
                <w:szCs w:val="24"/>
                <w:highlight w:val="none"/>
              </w:rPr>
              <w:t>运用上式对</w:t>
            </w:r>
            <w:r>
              <w:rPr>
                <w:rFonts w:hint="eastAsia" w:ascii="宋体" w:hAnsi="宋体" w:cs="宋体"/>
                <w:sz w:val="24"/>
                <w:szCs w:val="24"/>
                <w:highlight w:val="none"/>
                <w:lang w:val="en-US" w:eastAsia="zh-CN"/>
              </w:rPr>
              <w:t>施工过程中</w:t>
            </w:r>
            <w:r>
              <w:rPr>
                <w:rFonts w:hint="eastAsia" w:ascii="宋体" w:hAnsi="宋体" w:cs="宋体"/>
                <w:sz w:val="24"/>
                <w:szCs w:val="24"/>
                <w:highlight w:val="none"/>
              </w:rPr>
              <w:t>施工机械噪声的环境影响进行预测计算，其结果如表</w:t>
            </w:r>
            <w:r>
              <w:rPr>
                <w:rFonts w:hint="eastAsia" w:ascii="宋体" w:hAnsi="宋体" w:cs="宋体"/>
                <w:sz w:val="24"/>
                <w:szCs w:val="24"/>
                <w:highlight w:val="none"/>
                <w:lang w:val="en-US" w:eastAsia="zh-CN"/>
              </w:rPr>
              <w:t>4-2</w:t>
            </w:r>
            <w:r>
              <w:rPr>
                <w:rFonts w:hint="eastAsia" w:ascii="宋体" w:hAnsi="宋体" w:cs="宋体"/>
                <w:sz w:val="24"/>
                <w:szCs w:val="24"/>
                <w:highlight w:val="none"/>
              </w:rPr>
              <w:t>所示。</w:t>
            </w:r>
          </w:p>
          <w:p>
            <w:pPr>
              <w:pStyle w:val="37"/>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ascii="宋体" w:hAnsi="宋体" w:cs="宋体"/>
                <w:b/>
                <w:kern w:val="2"/>
                <w:sz w:val="24"/>
                <w:szCs w:val="24"/>
                <w:highlight w:val="none"/>
              </w:rPr>
            </w:pPr>
            <w:r>
              <w:rPr>
                <w:rFonts w:hint="default" w:ascii="Times New Roman" w:hAnsi="Times New Roman" w:cs="Times New Roman"/>
                <w:b/>
                <w:kern w:val="2"/>
                <w:sz w:val="24"/>
                <w:szCs w:val="24"/>
                <w:highlight w:val="none"/>
              </w:rPr>
              <w:t>表</w:t>
            </w:r>
            <w:r>
              <w:rPr>
                <w:rFonts w:hint="default" w:ascii="Times New Roman" w:hAnsi="Times New Roman" w:cs="Times New Roman"/>
                <w:b/>
                <w:kern w:val="2"/>
                <w:sz w:val="24"/>
                <w:szCs w:val="24"/>
                <w:highlight w:val="none"/>
                <w:lang w:val="en-US" w:eastAsia="zh-CN"/>
              </w:rPr>
              <w:t>4-</w:t>
            </w:r>
            <w:r>
              <w:rPr>
                <w:rFonts w:hint="eastAsia" w:cs="Times New Roman"/>
                <w:b/>
                <w:kern w:val="2"/>
                <w:sz w:val="24"/>
                <w:szCs w:val="24"/>
                <w:highlight w:val="none"/>
                <w:lang w:val="en-US" w:eastAsia="zh-CN"/>
              </w:rPr>
              <w:t>2</w:t>
            </w:r>
            <w:r>
              <w:rPr>
                <w:rFonts w:hint="default" w:ascii="Times New Roman" w:hAnsi="Times New Roman" w:cs="Times New Roman"/>
                <w:b/>
                <w:kern w:val="2"/>
                <w:sz w:val="24"/>
                <w:szCs w:val="24"/>
                <w:highlight w:val="none"/>
              </w:rPr>
              <w:t xml:space="preserve">  项目主要</w:t>
            </w:r>
            <w:r>
              <w:rPr>
                <w:rFonts w:hint="eastAsia" w:ascii="宋体" w:hAnsi="宋体" w:cs="宋体"/>
                <w:b/>
                <w:kern w:val="2"/>
                <w:sz w:val="24"/>
                <w:szCs w:val="24"/>
                <w:highlight w:val="none"/>
              </w:rPr>
              <w:t>施工机械在不同距离处的噪声预测值</w:t>
            </w:r>
          </w:p>
          <w:tbl>
            <w:tblPr>
              <w:tblStyle w:val="1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531"/>
              <w:gridCol w:w="650"/>
              <w:gridCol w:w="651"/>
              <w:gridCol w:w="651"/>
              <w:gridCol w:w="694"/>
              <w:gridCol w:w="772"/>
              <w:gridCol w:w="772"/>
              <w:gridCol w:w="772"/>
              <w:gridCol w:w="773"/>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5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机械类型</w:t>
                  </w:r>
                </w:p>
              </w:tc>
              <w:tc>
                <w:tcPr>
                  <w:tcW w:w="7039"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2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p>
              </w:tc>
              <w:tc>
                <w:tcPr>
                  <w:tcW w:w="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5m</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10m</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20m</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50m</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200m</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300m</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挖掘机</w:t>
                  </w:r>
                </w:p>
              </w:tc>
              <w:tc>
                <w:tcPr>
                  <w:tcW w:w="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81</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75</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69</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61</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59.4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51.5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49</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45.4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运输车辆</w:t>
                  </w:r>
                </w:p>
              </w:tc>
              <w:tc>
                <w:tcPr>
                  <w:tcW w:w="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80</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74</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68</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60</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58.4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48</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43.4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40.9</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本项目夜间不进行</w:t>
            </w:r>
            <w:r>
              <w:rPr>
                <w:rFonts w:hint="eastAsia" w:ascii="Times New Roman" w:hAnsi="Times New Roman" w:eastAsia="宋体" w:cs="Times New Roman"/>
                <w:sz w:val="24"/>
                <w:szCs w:val="24"/>
                <w:highlight w:val="none"/>
                <w:lang w:val="en-US" w:eastAsia="zh-CN"/>
              </w:rPr>
              <w:t>工作</w:t>
            </w:r>
            <w:r>
              <w:rPr>
                <w:rFonts w:hint="default" w:ascii="Times New Roman" w:hAnsi="Times New Roman" w:eastAsia="宋体" w:cs="Times New Roman"/>
                <w:sz w:val="24"/>
                <w:szCs w:val="24"/>
                <w:highlight w:val="none"/>
                <w:lang w:val="en-US" w:eastAsia="zh-CN"/>
              </w:rPr>
              <w:t>，因此距</w:t>
            </w:r>
            <w:r>
              <w:rPr>
                <w:rFonts w:hint="eastAsia" w:ascii="Times New Roman" w:hAnsi="Times New Roman" w:eastAsia="宋体" w:cs="Times New Roman"/>
                <w:sz w:val="24"/>
                <w:szCs w:val="24"/>
                <w:highlight w:val="none"/>
                <w:lang w:val="en-US" w:eastAsia="zh-CN"/>
              </w:rPr>
              <w:t>施工机械</w:t>
            </w:r>
            <w:r>
              <w:rPr>
                <w:rFonts w:hint="eastAsia" w:cs="Times New Roman"/>
                <w:sz w:val="24"/>
                <w:szCs w:val="24"/>
                <w:highlight w:val="none"/>
                <w:lang w:val="en-US" w:eastAsia="zh-CN"/>
              </w:rPr>
              <w:t>20</w:t>
            </w:r>
            <w:r>
              <w:rPr>
                <w:rFonts w:hint="default" w:ascii="Times New Roman" w:hAnsi="Times New Roman" w:eastAsia="宋体" w:cs="Times New Roman"/>
                <w:sz w:val="24"/>
                <w:szCs w:val="24"/>
                <w:highlight w:val="none"/>
                <w:lang w:val="en-US" w:eastAsia="zh-CN"/>
              </w:rPr>
              <w:t>m处，昼间噪声均达到《建筑施工噪声排放标准》（GB 12523－2025）</w:t>
            </w:r>
            <w:r>
              <w:rPr>
                <w:rFonts w:hint="eastAsia" w:ascii="Times New Roman" w:hAnsi="Times New Roman" w:eastAsia="宋体" w:cs="Times New Roman"/>
                <w:sz w:val="24"/>
                <w:szCs w:val="24"/>
                <w:highlight w:val="none"/>
                <w:lang w:val="en-US" w:eastAsia="zh-CN"/>
              </w:rPr>
              <w:t>中</w:t>
            </w:r>
            <w:r>
              <w:rPr>
                <w:rFonts w:hint="eastAsia" w:cs="Times New Roman"/>
                <w:sz w:val="24"/>
                <w:szCs w:val="24"/>
                <w:highlight w:val="none"/>
                <w:lang w:val="en-US" w:eastAsia="zh-CN"/>
              </w:rPr>
              <w:t>施工噪声要求（昼间70dB）</w:t>
            </w:r>
            <w:r>
              <w:rPr>
                <w:rFonts w:hint="default" w:ascii="Times New Roman" w:hAnsi="Times New Roman" w:eastAsia="宋体" w:cs="Times New Roman"/>
                <w:sz w:val="24"/>
                <w:szCs w:val="24"/>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b/>
                <w:bCs/>
                <w:highlight w:val="none"/>
              </w:rPr>
            </w:pPr>
            <w:r>
              <w:rPr>
                <w:rFonts w:hint="eastAsia" w:cs="Times New Roman"/>
                <w:b/>
                <w:bCs/>
                <w:sz w:val="24"/>
                <w:szCs w:val="24"/>
                <w:highlight w:val="none"/>
                <w:lang w:val="en-US" w:eastAsia="zh-CN"/>
              </w:rPr>
              <w:t>5.</w:t>
            </w:r>
            <w:r>
              <w:rPr>
                <w:rFonts w:hint="eastAsia" w:ascii="宋体" w:hAnsi="宋体" w:eastAsia="宋体" w:cs="宋体"/>
                <w:b/>
                <w:bCs/>
                <w:color w:val="000000"/>
                <w:kern w:val="0"/>
                <w:sz w:val="24"/>
                <w:szCs w:val="24"/>
                <w:highlight w:val="none"/>
                <w:lang w:val="en-US" w:eastAsia="zh-CN" w:bidi="ar"/>
              </w:rPr>
              <w:t>固体废物影响分析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宋体"/>
                <w:b w:val="0"/>
                <w:kern w:val="0"/>
                <w:sz w:val="24"/>
                <w:szCs w:val="24"/>
                <w:lang w:val="en-US" w:eastAsia="zh-CN" w:bidi="ar-SA"/>
              </w:rPr>
            </w:pPr>
            <w:r>
              <w:rPr>
                <w:rFonts w:hint="eastAsia" w:ascii="Times New Roman" w:hAnsi="Times New Roman" w:eastAsia="宋体" w:cs="宋体"/>
                <w:b w:val="0"/>
                <w:kern w:val="0"/>
                <w:sz w:val="24"/>
                <w:szCs w:val="24"/>
                <w:lang w:val="en-US" w:eastAsia="zh-CN" w:bidi="ar-SA"/>
              </w:rPr>
              <w:t>施工期固体废物主要为生活营地场地平整时产生的临时土石方、员工的生活垃圾等</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1</w:t>
            </w:r>
            <w:r>
              <w:rPr>
                <w:rFonts w:hint="eastAsia" w:ascii="Times New Roman" w:hAnsi="Times New Roman" w:eastAsia="宋体" w:cs="Times New Roman"/>
                <w:sz w:val="24"/>
                <w:szCs w:val="24"/>
                <w:highlight w:val="none"/>
                <w:lang w:val="en-US" w:eastAsia="zh-CN"/>
              </w:rPr>
              <w:t>）土石方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土石方临时堆放，并用彩条布覆盖，待工程结束后，土石方全部回填并进行平整，防止水土流失，无弃土产生，对周边环境影响较小。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2</w:t>
            </w:r>
            <w:r>
              <w:rPr>
                <w:rFonts w:hint="eastAsia" w:ascii="Times New Roman" w:hAnsi="Times New Roman" w:eastAsia="宋体" w:cs="Times New Roman"/>
                <w:sz w:val="24"/>
                <w:szCs w:val="24"/>
                <w:highlight w:val="none"/>
                <w:lang w:val="en-US" w:eastAsia="zh-CN"/>
              </w:rPr>
              <w:t>）生活垃圾</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施工场地内生活垃圾主要包括废弃的各种生活用品以及饮食垃圾等，施工期间，每人每天产生生活垃圾以0.5kg计算，施工人员按照12人计，施工期约</w:t>
            </w:r>
            <w:r>
              <w:rPr>
                <w:rFonts w:hint="eastAsia" w:cs="Times New Roman"/>
                <w:sz w:val="24"/>
                <w:szCs w:val="24"/>
                <w:highlight w:val="none"/>
                <w:lang w:val="en-US" w:eastAsia="zh-CN"/>
              </w:rPr>
              <w:t>15</w:t>
            </w:r>
            <w:r>
              <w:rPr>
                <w:rFonts w:hint="eastAsia" w:ascii="Times New Roman" w:hAnsi="Times New Roman" w:eastAsia="宋体" w:cs="Times New Roman"/>
                <w:sz w:val="24"/>
                <w:szCs w:val="24"/>
                <w:highlight w:val="none"/>
                <w:lang w:val="en-US" w:eastAsia="zh-CN"/>
              </w:rPr>
              <w:t>d，则生活垃圾产生量为0.0</w:t>
            </w:r>
            <w:r>
              <w:rPr>
                <w:rFonts w:hint="eastAsia" w:cs="Times New Roman"/>
                <w:sz w:val="24"/>
                <w:szCs w:val="24"/>
                <w:highlight w:val="none"/>
                <w:lang w:val="en-US" w:eastAsia="zh-CN"/>
              </w:rPr>
              <w:t>9</w:t>
            </w:r>
            <w:r>
              <w:rPr>
                <w:rFonts w:hint="eastAsia" w:ascii="Times New Roman" w:hAnsi="Times New Roman" w:eastAsia="宋体" w:cs="Times New Roman"/>
                <w:sz w:val="24"/>
                <w:szCs w:val="24"/>
                <w:highlight w:val="none"/>
                <w:lang w:val="en-US" w:eastAsia="zh-CN"/>
              </w:rPr>
              <w:t>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施工场地内生活垃圾主要包括废弃的各种生活用品及饮食垃圾等，这些垃圾若处理不当，随意堆放，其中有机质会腐烂变质，发出恶臭，成为蚊蝇的滋生地，传播疾病，对生活区的卫生状况危害严重。此外垃圾中的有害物质还可能渗入地下，污染环境。施工营地内设置一定数量的垃圾桶，用于临时存放生活垃圾，最终统一收集后交由环卫部门定期处理</w:t>
            </w:r>
            <w:r>
              <w:rPr>
                <w:rFonts w:hint="eastAsia" w:cs="Times New Roman"/>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0" w:firstLineChars="0"/>
              <w:textAlignment w:val="auto"/>
              <w:rPr>
                <w:rFonts w:hint="default"/>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28" w:type="dxa"/>
            <w:noWrap w:val="0"/>
            <w:tcMar>
              <w:left w:w="28" w:type="dxa"/>
              <w:right w:w="28" w:type="dxa"/>
            </w:tcMar>
            <w:vAlign w:val="center"/>
          </w:tcPr>
          <w:p>
            <w:pPr>
              <w:pStyle w:val="15"/>
              <w:adjustRightInd w:val="0"/>
              <w:snapToGrid w:val="0"/>
              <w:spacing w:before="0" w:beforeAutospacing="0" w:after="0" w:afterAutospacing="0" w:line="240" w:lineRule="auto"/>
              <w:jc w:val="center"/>
              <w:rPr>
                <w:rFonts w:hint="eastAsia" w:ascii="宋体" w:hAnsi="宋体" w:eastAsia="宋体" w:cs="宋体"/>
                <w:bCs/>
                <w:kern w:val="2"/>
                <w:sz w:val="21"/>
                <w:szCs w:val="21"/>
                <w:highlight w:val="none"/>
              </w:rPr>
            </w:pPr>
            <w:r>
              <w:rPr>
                <w:rFonts w:hint="eastAsia" w:cs="宋体"/>
                <w:bCs/>
                <w:spacing w:val="10"/>
                <w:kern w:val="2"/>
                <w:sz w:val="21"/>
                <w:szCs w:val="21"/>
                <w:highlight w:val="none"/>
                <w:lang w:val="en-US" w:eastAsia="zh-CN"/>
              </w:rPr>
              <w:t>勘探</w:t>
            </w:r>
            <w:r>
              <w:rPr>
                <w:rFonts w:hint="eastAsia" w:ascii="宋体" w:hAnsi="宋体" w:eastAsia="宋体" w:cs="宋体"/>
                <w:bCs/>
                <w:spacing w:val="10"/>
                <w:kern w:val="2"/>
                <w:sz w:val="21"/>
                <w:szCs w:val="21"/>
                <w:highlight w:val="none"/>
              </w:rPr>
              <w:t>期生态环境影响分析</w:t>
            </w:r>
          </w:p>
          <w:p>
            <w:pPr>
              <w:rPr>
                <w:highlight w:val="none"/>
              </w:rPr>
            </w:pPr>
          </w:p>
        </w:tc>
        <w:tc>
          <w:tcPr>
            <w:tcW w:w="861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Times New Roman" w:hAnsi="Times New Roman" w:eastAsia="宋体" w:cs="Times New Roman"/>
                <w:sz w:val="24"/>
                <w:szCs w:val="24"/>
                <w:highlight w:val="none"/>
                <w:lang w:val="en-US" w:eastAsia="zh-CN"/>
              </w:rPr>
            </w:pPr>
            <w:r>
              <w:rPr>
                <w:rFonts w:hint="eastAsia" w:cs="Times New Roman"/>
                <w:b/>
                <w:bCs/>
                <w:sz w:val="24"/>
                <w:szCs w:val="24"/>
                <w:highlight w:val="none"/>
                <w:lang w:val="en-US" w:eastAsia="zh-CN"/>
              </w:rPr>
              <w:t>1.生态影响分析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1.1</w:t>
            </w:r>
            <w:r>
              <w:rPr>
                <w:rFonts w:hint="eastAsia" w:ascii="Times New Roman" w:hAnsi="Times New Roman" w:eastAsia="宋体" w:cs="Times New Roman"/>
                <w:b/>
                <w:bCs/>
                <w:sz w:val="24"/>
                <w:szCs w:val="24"/>
                <w:highlight w:val="none"/>
                <w:lang w:val="en-US" w:eastAsia="zh-CN"/>
              </w:rPr>
              <w:t>占地影响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宋体"/>
                <w:color w:val="auto"/>
                <w:kern w:val="0"/>
                <w:sz w:val="24"/>
                <w:szCs w:val="24"/>
                <w:lang w:val="en-US" w:eastAsia="zh-CN" w:bidi="ar-SA"/>
              </w:rPr>
              <w:t>本</w:t>
            </w:r>
            <w:r>
              <w:rPr>
                <w:rFonts w:hint="eastAsia" w:cs="宋体"/>
                <w:color w:val="auto"/>
                <w:kern w:val="0"/>
                <w:sz w:val="24"/>
                <w:szCs w:val="24"/>
                <w:lang w:val="en-US" w:eastAsia="zh-CN" w:bidi="ar-SA"/>
              </w:rPr>
              <w:t>项目勘探期</w:t>
            </w:r>
            <w:r>
              <w:rPr>
                <w:rFonts w:hint="eastAsia" w:ascii="Times New Roman" w:hAnsi="Times New Roman" w:eastAsia="宋体" w:cs="宋体"/>
                <w:color w:val="auto"/>
                <w:kern w:val="0"/>
                <w:sz w:val="24"/>
                <w:szCs w:val="24"/>
                <w:lang w:val="en-US" w:eastAsia="zh-CN" w:bidi="ar-SA"/>
              </w:rPr>
              <w:t>占地</w:t>
            </w:r>
            <w:r>
              <w:rPr>
                <w:rFonts w:hint="eastAsia" w:cs="宋体"/>
                <w:color w:val="auto"/>
                <w:kern w:val="0"/>
                <w:sz w:val="24"/>
                <w:szCs w:val="24"/>
                <w:lang w:val="en-US" w:eastAsia="zh-CN" w:bidi="ar-SA"/>
              </w:rPr>
              <w:t>为</w:t>
            </w:r>
            <w:r>
              <w:rPr>
                <w:rFonts w:hint="eastAsia" w:ascii="Times New Roman" w:hAnsi="Times New Roman" w:eastAsia="宋体" w:cs="宋体"/>
                <w:color w:val="auto"/>
                <w:kern w:val="0"/>
                <w:sz w:val="24"/>
                <w:szCs w:val="24"/>
                <w:lang w:val="en-US" w:eastAsia="zh-CN" w:bidi="ar-SA"/>
              </w:rPr>
              <w:t>勘探场地</w:t>
            </w:r>
            <w:r>
              <w:rPr>
                <w:rFonts w:hint="eastAsia" w:cs="宋体"/>
                <w:color w:val="auto"/>
                <w:kern w:val="0"/>
                <w:sz w:val="24"/>
                <w:szCs w:val="24"/>
                <w:lang w:val="en-US" w:eastAsia="zh-CN" w:bidi="ar-SA"/>
              </w:rPr>
              <w:t>和</w:t>
            </w:r>
            <w:r>
              <w:rPr>
                <w:rFonts w:hint="eastAsia" w:ascii="Times New Roman" w:hAnsi="Times New Roman" w:eastAsia="宋体" w:cs="宋体"/>
                <w:color w:val="auto"/>
                <w:kern w:val="0"/>
                <w:sz w:val="24"/>
                <w:szCs w:val="24"/>
                <w:lang w:val="en-US" w:eastAsia="zh-CN" w:bidi="ar-SA"/>
              </w:rPr>
              <w:t>临时堆渣场，均为临时占地。勘探场地</w:t>
            </w:r>
            <w:r>
              <w:rPr>
                <w:rFonts w:hint="eastAsia" w:cs="宋体"/>
                <w:color w:val="auto"/>
                <w:kern w:val="0"/>
                <w:sz w:val="24"/>
                <w:szCs w:val="24"/>
                <w:lang w:val="en-US" w:eastAsia="zh-CN" w:bidi="ar-SA"/>
              </w:rPr>
              <w:t>和临时堆渣场会占用一定面积，改变土地原有使用功能，造成资源浪费，临时堆土的压占会造成剥离后的表层土壤过于紧实，降低土壤的通透性和渗水性，对土壤环境、动植物以及区域景观生态产生不利的影响</w:t>
            </w:r>
            <w:r>
              <w:rPr>
                <w:rFonts w:hint="eastAsia" w:ascii="Times New Roman" w:hAnsi="Times New Roman" w:eastAsia="宋体"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 xml:space="preserve">1.2 </w:t>
            </w:r>
            <w:r>
              <w:rPr>
                <w:rFonts w:hint="eastAsia" w:ascii="Times New Roman" w:hAnsi="Times New Roman" w:eastAsia="宋体" w:cs="Times New Roman"/>
                <w:b/>
                <w:bCs/>
                <w:sz w:val="24"/>
                <w:szCs w:val="24"/>
                <w:highlight w:val="none"/>
                <w:lang w:val="en-US" w:eastAsia="zh-CN"/>
              </w:rPr>
              <w:t>土壤环境的影响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1</w:t>
            </w:r>
            <w:r>
              <w:rPr>
                <w:rFonts w:hint="eastAsia" w:ascii="Times New Roman" w:hAnsi="Times New Roman" w:eastAsia="宋体" w:cs="Times New Roman"/>
                <w:sz w:val="24"/>
                <w:szCs w:val="24"/>
                <w:highlight w:val="none"/>
                <w:lang w:val="en-US" w:eastAsia="zh-CN"/>
              </w:rPr>
              <w:t>）槽探</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rPr>
            </w:pPr>
            <w:r>
              <w:rPr>
                <w:rFonts w:hint="eastAsia"/>
                <w:sz w:val="24"/>
                <w:highlight w:val="none"/>
              </w:rPr>
              <w:t>本次勘探槽探总工作量</w:t>
            </w:r>
            <w:r>
              <w:rPr>
                <w:rFonts w:hint="eastAsia"/>
                <w:sz w:val="24"/>
                <w:highlight w:val="none"/>
                <w:lang w:val="en-US" w:eastAsia="zh-CN"/>
              </w:rPr>
              <w:t>3000</w:t>
            </w:r>
            <w:r>
              <w:rPr>
                <w:rFonts w:hint="eastAsia"/>
                <w:sz w:val="24"/>
                <w:highlight w:val="none"/>
              </w:rPr>
              <w:t>m</w:t>
            </w:r>
            <w:r>
              <w:rPr>
                <w:rFonts w:hint="eastAsia"/>
                <w:sz w:val="24"/>
                <w:highlight w:val="none"/>
                <w:vertAlign w:val="superscript"/>
                <w:lang w:val="en-US" w:eastAsia="zh-CN"/>
              </w:rPr>
              <w:t>3</w:t>
            </w:r>
            <w:r>
              <w:rPr>
                <w:rFonts w:hint="eastAsia"/>
                <w:sz w:val="24"/>
                <w:highlight w:val="none"/>
              </w:rPr>
              <w:t>。探槽开挖时，</w:t>
            </w:r>
            <w:bookmarkStart w:id="4" w:name="OLE_LINK3"/>
            <w:r>
              <w:rPr>
                <w:rFonts w:hint="eastAsia"/>
                <w:sz w:val="24"/>
                <w:highlight w:val="none"/>
              </w:rPr>
              <w:t>必然会对原有土壤结构形成扰动，其结果会使土壤原有的土层发生紊乱，团粒结构破坏，从而导致土壤环境恶化，进而影响地上植被的生长。</w:t>
            </w:r>
          </w:p>
          <w:bookmarkEnd w:id="4"/>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2</w:t>
            </w:r>
            <w:r>
              <w:rPr>
                <w:rFonts w:hint="eastAsia" w:ascii="Times New Roman" w:hAnsi="Times New Roman" w:eastAsia="宋体" w:cs="Times New Roman"/>
                <w:sz w:val="24"/>
                <w:szCs w:val="24"/>
                <w:highlight w:val="none"/>
                <w:lang w:val="en-US" w:eastAsia="zh-CN"/>
              </w:rPr>
              <w:t>）钻探</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rPr>
            </w:pPr>
            <w:r>
              <w:rPr>
                <w:rFonts w:hint="eastAsia"/>
                <w:sz w:val="24"/>
                <w:highlight w:val="none"/>
              </w:rPr>
              <w:t>本次勘探</w:t>
            </w:r>
            <w:r>
              <w:rPr>
                <w:sz w:val="24"/>
                <w:highlight w:val="none"/>
              </w:rPr>
              <w:t>共设计</w:t>
            </w:r>
            <w:r>
              <w:rPr>
                <w:rFonts w:hint="eastAsia"/>
                <w:sz w:val="24"/>
                <w:highlight w:val="none"/>
              </w:rPr>
              <w:t>钻探工作量</w:t>
            </w:r>
            <w:r>
              <w:rPr>
                <w:rFonts w:hint="eastAsia"/>
                <w:sz w:val="24"/>
                <w:highlight w:val="none"/>
                <w:lang w:val="en-US" w:eastAsia="zh-CN"/>
              </w:rPr>
              <w:t>2500</w:t>
            </w:r>
            <w:r>
              <w:rPr>
                <w:rFonts w:hint="eastAsia"/>
                <w:sz w:val="24"/>
                <w:highlight w:val="none"/>
              </w:rPr>
              <w:t>m</w:t>
            </w:r>
            <w:r>
              <w:rPr>
                <w:sz w:val="24"/>
                <w:highlight w:val="none"/>
              </w:rPr>
              <w:t>，</w:t>
            </w:r>
            <w:r>
              <w:rPr>
                <w:rFonts w:hint="eastAsia"/>
                <w:sz w:val="24"/>
                <w:highlight w:val="none"/>
                <w:lang w:val="en-US" w:eastAsia="zh-CN"/>
              </w:rPr>
              <w:t>占</w:t>
            </w:r>
            <w:r>
              <w:rPr>
                <w:rFonts w:hint="eastAsia"/>
                <w:sz w:val="24"/>
                <w:highlight w:val="none"/>
              </w:rPr>
              <w:t>地面积较小且位于槽探坡面上，不新增占地。钻探施工对原有土壤结构形成扰动，导致土壤原有的</w:t>
            </w:r>
            <w:r>
              <w:rPr>
                <w:rFonts w:hint="eastAsia"/>
                <w:sz w:val="24"/>
                <w:highlight w:val="none"/>
                <w:lang w:eastAsia="zh-CN"/>
              </w:rPr>
              <w:t>黏土层</w:t>
            </w:r>
            <w:r>
              <w:rPr>
                <w:rFonts w:hint="eastAsia"/>
                <w:sz w:val="24"/>
                <w:highlight w:val="none"/>
              </w:rPr>
              <w:t>、亚</w:t>
            </w:r>
            <w:r>
              <w:rPr>
                <w:rFonts w:hint="eastAsia"/>
                <w:sz w:val="24"/>
                <w:highlight w:val="none"/>
                <w:lang w:eastAsia="zh-CN"/>
              </w:rPr>
              <w:t>黏土</w:t>
            </w:r>
            <w:r>
              <w:rPr>
                <w:rFonts w:hint="eastAsia"/>
                <w:sz w:val="24"/>
                <w:highlight w:val="none"/>
              </w:rPr>
              <w:t>层发生紊乱，团粒结构破坏。探坑开挖破坏最大的为砂、砾层，导致原有地质结构层分布紊乱，岩层纵向分布、横向分布纹路被破坏。</w:t>
            </w:r>
          </w:p>
          <w:p>
            <w:pPr>
              <w:keepNext w:val="0"/>
              <w:keepLines w:val="0"/>
              <w:pageBreakBefore w:val="0"/>
              <w:widowControl w:val="0"/>
              <w:numPr>
                <w:ilvl w:val="0"/>
                <w:numId w:val="0"/>
              </w:numPr>
              <w:kinsoku/>
              <w:wordWrap/>
              <w:overflowPunct/>
              <w:topLinePunct w:val="0"/>
              <w:bidi w:val="0"/>
              <w:adjustRightInd/>
              <w:snapToGrid/>
              <w:spacing w:line="520" w:lineRule="exact"/>
              <w:ind w:left="-60" w:leftChars="0" w:firstLine="480" w:firstLineChars="0"/>
              <w:textAlignment w:val="auto"/>
              <w:rPr>
                <w:rFonts w:hint="eastAsia"/>
                <w:sz w:val="24"/>
                <w:highlight w:val="none"/>
              </w:rPr>
            </w:pPr>
            <w:r>
              <w:rPr>
                <w:rFonts w:hint="eastAsia" w:ascii="Times New Roman" w:hAnsi="Times New Roman" w:eastAsia="宋体" w:cs="Times New Roman"/>
                <w:kern w:val="2"/>
                <w:sz w:val="24"/>
                <w:szCs w:val="24"/>
                <w:highlight w:val="none"/>
                <w:lang w:val="en-US" w:eastAsia="zh-CN" w:bidi="ar-SA"/>
              </w:rPr>
              <w:t>（</w:t>
            </w:r>
            <w:r>
              <w:rPr>
                <w:rFonts w:hint="eastAsia" w:cs="Times New Roman"/>
                <w:kern w:val="2"/>
                <w:sz w:val="24"/>
                <w:szCs w:val="24"/>
                <w:highlight w:val="none"/>
                <w:lang w:val="en-US" w:eastAsia="zh-CN" w:bidi="ar-SA"/>
              </w:rPr>
              <w:t>3</w:t>
            </w:r>
            <w:r>
              <w:rPr>
                <w:rFonts w:hint="eastAsia" w:ascii="Times New Roman" w:hAnsi="Times New Roman" w:eastAsia="宋体" w:cs="Times New Roman"/>
                <w:kern w:val="2"/>
                <w:sz w:val="24"/>
                <w:szCs w:val="24"/>
                <w:highlight w:val="none"/>
                <w:lang w:val="en-US" w:eastAsia="zh-CN" w:bidi="ar-SA"/>
              </w:rPr>
              <w:t>）</w:t>
            </w:r>
            <w:r>
              <w:rPr>
                <w:rFonts w:hint="eastAsia"/>
                <w:sz w:val="24"/>
                <w:highlight w:val="none"/>
                <w:lang w:eastAsia="zh-CN"/>
              </w:rPr>
              <w:t>临时</w:t>
            </w:r>
            <w:r>
              <w:rPr>
                <w:rFonts w:hint="eastAsia"/>
                <w:sz w:val="24"/>
                <w:highlight w:val="none"/>
                <w:lang w:val="en-US" w:eastAsia="zh-CN"/>
              </w:rPr>
              <w:t>弃土堆放区</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rPr>
            </w:pPr>
            <w:r>
              <w:rPr>
                <w:rFonts w:hint="eastAsia"/>
                <w:sz w:val="24"/>
                <w:highlight w:val="none"/>
              </w:rPr>
              <w:t>本次探矿勘探不设置固定堆渣场</w:t>
            </w:r>
            <w:r>
              <w:rPr>
                <w:sz w:val="24"/>
                <w:highlight w:val="none"/>
              </w:rPr>
              <w:t>，</w:t>
            </w:r>
            <w:r>
              <w:rPr>
                <w:rFonts w:hint="eastAsia"/>
                <w:sz w:val="24"/>
                <w:highlight w:val="none"/>
              </w:rPr>
              <w:t>堆渣均布置在槽探区一侧空地上。</w:t>
            </w:r>
            <w:r>
              <w:rPr>
                <w:rFonts w:hint="eastAsia"/>
                <w:sz w:val="24"/>
                <w:highlight w:val="none"/>
                <w:lang w:val="en-US" w:eastAsia="zh-CN"/>
              </w:rPr>
              <w:t>施工期</w:t>
            </w:r>
            <w:r>
              <w:rPr>
                <w:rFonts w:hint="eastAsia"/>
                <w:sz w:val="24"/>
                <w:highlight w:val="none"/>
              </w:rPr>
              <w:t>内</w:t>
            </w:r>
            <w:r>
              <w:rPr>
                <w:rFonts w:hint="eastAsia"/>
                <w:sz w:val="24"/>
                <w:highlight w:val="none"/>
                <w:lang w:val="en-US" w:eastAsia="zh-CN"/>
              </w:rPr>
              <w:t>弃土</w:t>
            </w:r>
            <w:r>
              <w:rPr>
                <w:rFonts w:hint="eastAsia"/>
                <w:sz w:val="24"/>
                <w:highlight w:val="none"/>
              </w:rPr>
              <w:t>的压占会造成土壤过于紧实，降低土壤的通透性和渗水性，对后期植物的生长会造成不良影响。</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1.3</w:t>
            </w:r>
            <w:r>
              <w:rPr>
                <w:rFonts w:hint="eastAsia" w:ascii="Times New Roman" w:hAnsi="Times New Roman" w:eastAsia="宋体" w:cs="Times New Roman"/>
                <w:b/>
                <w:bCs/>
                <w:sz w:val="24"/>
                <w:szCs w:val="24"/>
                <w:highlight w:val="none"/>
                <w:lang w:val="en-US" w:eastAsia="zh-CN"/>
              </w:rPr>
              <w:t>陆生植物、动物的影响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1</w:t>
            </w:r>
            <w:r>
              <w:rPr>
                <w:rFonts w:hint="eastAsia" w:ascii="Times New Roman" w:hAnsi="Times New Roman" w:eastAsia="宋体" w:cs="Times New Roman"/>
                <w:sz w:val="24"/>
                <w:szCs w:val="24"/>
                <w:highlight w:val="none"/>
                <w:lang w:val="en-US" w:eastAsia="zh-CN"/>
              </w:rPr>
              <w:t>）陆生植物的影响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本项目占地性质属于临时占地，植被稀疏，主要植物为乳苣</w:t>
            </w:r>
            <w:r>
              <w:rPr>
                <w:rFonts w:hint="eastAsia" w:cs="Times New Roman"/>
                <w:sz w:val="24"/>
                <w:highlight w:val="none"/>
                <w:lang w:val="en-US" w:eastAsia="zh-CN"/>
              </w:rPr>
              <w:t>、</w:t>
            </w:r>
            <w:r>
              <w:rPr>
                <w:rFonts w:hint="eastAsia" w:ascii="Times New Roman" w:hAnsi="Times New Roman" w:cs="Times New Roman"/>
                <w:sz w:val="24"/>
                <w:highlight w:val="none"/>
                <w:lang w:val="en-US" w:eastAsia="zh-CN"/>
              </w:rPr>
              <w:t>盐地碱蓬和蛛丝蓬，植被覆盖度较少，主要为裸岩石砾地</w:t>
            </w:r>
            <w:r>
              <w:rPr>
                <w:rFonts w:hint="eastAsia" w:cs="Times New Roman"/>
                <w:sz w:val="24"/>
                <w:highlight w:val="none"/>
                <w:lang w:val="en-US" w:eastAsia="zh-CN"/>
              </w:rPr>
              <w:t>和其他草地</w:t>
            </w:r>
            <w:r>
              <w:rPr>
                <w:rFonts w:hint="eastAsia" w:ascii="Times New Roman" w:hAnsi="Times New Roman" w:cs="Times New Roman"/>
                <w:sz w:val="24"/>
                <w:highlight w:val="none"/>
                <w:lang w:val="en-US" w:eastAsia="zh-CN"/>
              </w:rPr>
              <w:t>。项目所在地植被盖度较低，无表土和腐殖土。探矿过程中的车辆行驶、设备安装等活动会直接碾压、铲除植被，导致植被数量进一步减少，一些适应低覆盖度环境的特殊植物品种可能面临生存威胁，影响区域植物多样性。草地生态系统具有固碳、调节气候、保持水土等功能。低覆盖度草地虽功能相对较弱，但依然有其生态价值。临时占地会使草地面积减少，削弱这些生态系统功能，如降低土壤的固碳能力，增加局部地区的水土流失风险。</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从生物损失量分析：</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highlight w:val="none"/>
                <w:lang w:val="en-US" w:eastAsia="zh-CN"/>
              </w:rPr>
            </w:pPr>
            <w:r>
              <w:rPr>
                <w:rFonts w:hint="eastAsia" w:ascii="Times New Roman" w:hAnsi="Times New Roman" w:cs="Times New Roman"/>
                <w:sz w:val="24"/>
                <w:highlight w:val="none"/>
                <w:lang w:val="en-US" w:eastAsia="zh-CN"/>
              </w:rPr>
              <w:t>从区域生态现状来看，矿山区域及周边</w:t>
            </w:r>
            <w:r>
              <w:rPr>
                <w:rFonts w:hint="eastAsia" w:cs="Times New Roman"/>
                <w:sz w:val="24"/>
                <w:highlight w:val="none"/>
                <w:lang w:val="en-US" w:eastAsia="zh-CN"/>
              </w:rPr>
              <w:t>主要为裸岩石砾地和其他草地</w:t>
            </w:r>
            <w:r>
              <w:rPr>
                <w:rFonts w:hint="eastAsia" w:ascii="Times New Roman" w:hAnsi="Times New Roman" w:cs="Times New Roman"/>
                <w:sz w:val="24"/>
                <w:highlight w:val="none"/>
                <w:lang w:val="en-US" w:eastAsia="zh-CN"/>
              </w:rPr>
              <w:t>，勘探工程对当地生态系统中生物物种的丰度不会产生影响，只是由于某一物种的数量减少导致各种间的相对密度变化而轻微地改变群落的异质性。区域生物量损失引用《新疆荒漠草地生物量估算及影响因素研究》按每平方米损失38.92g（项目扰动用地</w:t>
            </w:r>
            <w:r>
              <w:rPr>
                <w:rFonts w:hint="eastAsia" w:cs="Times New Roman"/>
                <w:sz w:val="24"/>
                <w:highlight w:val="none"/>
                <w:lang w:val="en-US" w:eastAsia="zh-CN"/>
              </w:rPr>
              <w:t>3305</w:t>
            </w:r>
            <w:r>
              <w:rPr>
                <w:rFonts w:hint="eastAsia" w:ascii="Times New Roman" w:hAnsi="Times New Roman" w:cs="Times New Roman"/>
                <w:sz w:val="24"/>
                <w:highlight w:val="none"/>
                <w:lang w:val="en-US" w:eastAsia="zh-CN"/>
              </w:rPr>
              <w:t>m</w:t>
            </w:r>
            <w:r>
              <w:rPr>
                <w:rFonts w:hint="eastAsia" w:ascii="Times New Roman" w:hAnsi="Times New Roman" w:cs="Times New Roman"/>
                <w:sz w:val="24"/>
                <w:highlight w:val="none"/>
                <w:vertAlign w:val="superscript"/>
                <w:lang w:val="en-US" w:eastAsia="zh-CN"/>
              </w:rPr>
              <w:t>2</w:t>
            </w:r>
            <w:r>
              <w:rPr>
                <w:rFonts w:hint="eastAsia" w:ascii="Times New Roman" w:hAnsi="Times New Roman" w:cs="Times New Roman"/>
                <w:sz w:val="24"/>
                <w:highlight w:val="none"/>
                <w:lang w:val="en-US" w:eastAsia="zh-CN"/>
              </w:rPr>
              <w:t>）进行计算，本项目探矿过程仅会破坏勘探平台，造成生物量损失，生物损失量合计约0.</w:t>
            </w:r>
            <w:r>
              <w:rPr>
                <w:rFonts w:hint="eastAsia" w:cs="Times New Roman"/>
                <w:sz w:val="24"/>
                <w:highlight w:val="none"/>
                <w:lang w:val="en-US" w:eastAsia="zh-CN"/>
              </w:rPr>
              <w:t>129</w:t>
            </w:r>
            <w:r>
              <w:rPr>
                <w:rFonts w:hint="eastAsia" w:ascii="Times New Roman" w:hAnsi="Times New Roman" w:cs="Times New Roman"/>
                <w:sz w:val="24"/>
                <w:highlight w:val="none"/>
                <w:lang w:val="en-US" w:eastAsia="zh-CN"/>
              </w:rPr>
              <w:t>t，但随着矿山复垦工程的实施，可以在一定程度上补偿地表植被的损失。项目探矿期结束后，其所在区域的生态环境可以基本得到恢复。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w:t>
            </w:r>
            <w:r>
              <w:rPr>
                <w:rFonts w:hint="default"/>
                <w:sz w:val="24"/>
                <w:highlight w:val="none"/>
                <w:lang w:val="en-US" w:eastAsia="zh-CN"/>
              </w:rPr>
              <w:t>2</w:t>
            </w:r>
            <w:r>
              <w:rPr>
                <w:rFonts w:hint="eastAsia"/>
                <w:sz w:val="24"/>
                <w:highlight w:val="none"/>
                <w:lang w:val="en-US" w:eastAsia="zh-CN"/>
              </w:rPr>
              <w:t>）陆生动物的影响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工程占地和人类的活动将破坏野生动物赖以生存的环境。区域内各种野生动物经过长期的适应已形成较稳定的取食、饮水、栖息活动范围和分布，勘探过程中的槽探和地面建设占地将使原有的野生动物的分布、栖息活动范围受到压缩。槽探过程中以及机械设备的轰鸣声会极大地改变野生动物的行为模式。许多动物对环境变化极为敏感，施工区域周边原本活动的野生动物，会因槽探作业产生的震动和噪声，而选择主动避开该区域。槽探作业导致的地表震动，会让它们误以为是天敌来袭，进而频繁更换栖息地，这可能导致其远离原本丰富的食物资源地，影响其正常的生存与繁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人为活动的干扰使得开发区域上空活动的鸟类相对于人类未干扰区要少，而使得局部地段中的爬行类（啮齿类）和昆虫数量有所增加或活动频度增大。这些占地影响对地面活动的野生动物种类产生隔离作用，使原分布区内的种类向外扩，野生动物对新环境适应后其活动和分布范围亦将恢复。由于评价区域不是动物的栖息地，故该建设项目对动物区域性生境不会产生明显影响。</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1.4</w:t>
            </w:r>
            <w:r>
              <w:rPr>
                <w:rFonts w:hint="eastAsia" w:ascii="Times New Roman" w:hAnsi="Times New Roman" w:eastAsia="宋体" w:cs="Times New Roman"/>
                <w:b/>
                <w:bCs/>
                <w:sz w:val="24"/>
                <w:szCs w:val="24"/>
                <w:highlight w:val="none"/>
                <w:lang w:val="en-US" w:eastAsia="zh-CN"/>
              </w:rPr>
              <w:t>自然景观影响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项目评价区范围内无自然风景区和名胜古迹，矿区范围内无珍稀植物及古树名木，无风景名胜及特殊文物保护单位等视觉景观敏感点。因此对于较大范围的生态景观，以及景区风貌来说，影响面很小。由于勘探期会破坏原有地形地貌，改变原有地表形态，破坏了原有区域自然景观的整体性，与周围自然景观环境的不协调，对区域景观生态产生暂时不利的影响。</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1.5</w:t>
            </w:r>
            <w:r>
              <w:rPr>
                <w:rFonts w:hint="eastAsia" w:cs="Times New Roman"/>
                <w:b/>
                <w:bCs/>
                <w:sz w:val="24"/>
                <w:szCs w:val="24"/>
                <w:highlight w:val="none"/>
                <w:lang w:val="en-US" w:eastAsia="zh-CN"/>
              </w:rPr>
              <w:t>土</w:t>
            </w:r>
            <w:r>
              <w:rPr>
                <w:rFonts w:hint="eastAsia" w:ascii="Times New Roman" w:hAnsi="Times New Roman" w:eastAsia="宋体" w:cs="Times New Roman"/>
                <w:b/>
                <w:bCs/>
                <w:sz w:val="24"/>
                <w:szCs w:val="24"/>
                <w:highlight w:val="none"/>
                <w:lang w:val="en-US" w:eastAsia="zh-CN"/>
              </w:rPr>
              <w:t>地沙化的影响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矿山勘查时，各类机械设备的活动会直接碾压和铲除地表植被，在干旱半干旱地区，植被本身就稀疏脆弱，一旦遭到破坏，地表失去植被的固沙作用，松散的土壤直接暴露，在风力作用下加速土地沙化进程；机械的反复碾压使得原本相对稳定的土壤结构遭到破坏，土壤孔隙度减小，通气性和透水性变差，土壤微生物活动受到抑制，进一步削弱了土壤的抗风蚀能力；钻探、槽探等勘查活动产生大量弃土弃渣，在风力作用下，细小颗粒被吹扬，增加空气中沙尘含量，同时周边土壤被侵蚀，导致土地沙化范围扩大。本项目在槽探区设置临时堆场，弃土弃渣采用彩条布覆盖，合理规划作业范围，在勘查结束后及时开展植被恢复工作。项目临时占地范围较小，勘查时间短，因此对项目区域土地沙化影响较小。</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1.6</w:t>
            </w:r>
            <w:r>
              <w:rPr>
                <w:rFonts w:hint="eastAsia" w:ascii="Times New Roman" w:hAnsi="Times New Roman" w:eastAsia="宋体" w:cs="Times New Roman"/>
                <w:b/>
                <w:bCs/>
                <w:sz w:val="24"/>
                <w:szCs w:val="24"/>
                <w:highlight w:val="none"/>
                <w:lang w:val="en-US" w:eastAsia="zh-CN"/>
              </w:rPr>
              <w:t>水土流失的影响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项目勘查过程中，钻探、槽探等勘查作业会产生大量的弃土弃渣，如果不妥善处理，随意堆放，不仅占用大量土地，还容易成为水土流失的物质源；临时堆存的弃土弃渣在降雨、风力等作用下极易发生崩塌、滑坡等现象。矿山勘查中的挖填作业改变了原有的地形地貌，使原本相对稳定的地形变得起伏不平，可能会造成局部地形高差增大、坡面变陡，增加了坡面径流的流速和冲刷力，使土壤侵蚀加剧。大量施工人员的活动，会对周边地表植被造成践踏破坏，降低覆盖度，使地表失去植被的有效保护，进而加剧水土流失。</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cs="Times New Roman"/>
                <w:b/>
                <w:bCs/>
                <w:sz w:val="24"/>
                <w:szCs w:val="24"/>
                <w:highlight w:val="none"/>
                <w:lang w:val="en-US" w:eastAsia="zh-CN"/>
              </w:rPr>
            </w:pPr>
            <w:r>
              <w:rPr>
                <w:rFonts w:hint="eastAsia" w:cs="Times New Roman"/>
                <w:b/>
                <w:bCs/>
                <w:sz w:val="24"/>
                <w:szCs w:val="24"/>
                <w:highlight w:val="none"/>
                <w:lang w:val="en-US" w:eastAsia="zh-CN"/>
              </w:rPr>
              <w:t>2.大气环境影响分析</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highlight w:val="none"/>
                <w:lang w:val="en-US" w:eastAsia="zh-CN"/>
              </w:rPr>
            </w:pPr>
            <w:r>
              <w:rPr>
                <w:rFonts w:hint="default"/>
                <w:b/>
                <w:bCs/>
                <w:sz w:val="24"/>
                <w:highlight w:val="none"/>
                <w:lang w:val="en-US" w:eastAsia="zh-CN"/>
              </w:rPr>
              <w:t>2.1</w:t>
            </w:r>
            <w:r>
              <w:rPr>
                <w:rFonts w:hint="eastAsia"/>
                <w:b/>
                <w:bCs/>
                <w:sz w:val="24"/>
                <w:highlight w:val="none"/>
                <w:lang w:val="en-US" w:eastAsia="zh-CN"/>
              </w:rPr>
              <w:t>勘探过程中产生的扬尘</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大气污染物主要产生在工程勘探期，对工程沿线及车辆运输道路附近的大气环境都会产生影响。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勘探期施工及车辆运输扬尘：勘探期施工开挖、勘探材料装卸等会使作业点周围</w:t>
            </w:r>
            <w:r>
              <w:rPr>
                <w:rFonts w:hint="default"/>
                <w:sz w:val="24"/>
                <w:highlight w:val="none"/>
                <w:lang w:val="en-US" w:eastAsia="zh-CN"/>
              </w:rPr>
              <w:t>200m</w:t>
            </w:r>
            <w:r>
              <w:rPr>
                <w:rFonts w:hint="eastAsia"/>
                <w:sz w:val="24"/>
                <w:highlight w:val="none"/>
                <w:lang w:val="en-US" w:eastAsia="zh-CN"/>
              </w:rPr>
              <w:t>范围内产生较大扬尘，易形成扬尘的工区主要是工作道路区等。另外，材料运输过程中公路沿线也易造成扬尘。一般来说，道路局部积尘较多的地方，载重汽车经过时会掀起较多的扬尘，影响范围大约在宽</w:t>
            </w:r>
            <w:r>
              <w:rPr>
                <w:rFonts w:hint="default"/>
                <w:sz w:val="24"/>
                <w:highlight w:val="none"/>
                <w:lang w:val="en-US" w:eastAsia="zh-CN"/>
              </w:rPr>
              <w:t>60m</w:t>
            </w:r>
            <w:r>
              <w:rPr>
                <w:rFonts w:hint="eastAsia"/>
                <w:sz w:val="24"/>
                <w:highlight w:val="none"/>
                <w:lang w:val="en-US" w:eastAsia="zh-CN"/>
              </w:rPr>
              <w:t>、高</w:t>
            </w:r>
            <w:r>
              <w:rPr>
                <w:rFonts w:hint="default"/>
                <w:sz w:val="24"/>
                <w:highlight w:val="none"/>
                <w:lang w:val="en-US" w:eastAsia="zh-CN"/>
              </w:rPr>
              <w:t>4~5m</w:t>
            </w:r>
            <w:r>
              <w:rPr>
                <w:rFonts w:hint="eastAsia"/>
                <w:sz w:val="24"/>
                <w:highlight w:val="none"/>
                <w:lang w:val="en-US" w:eastAsia="zh-CN"/>
              </w:rPr>
              <w:t>的范围内。从本工程勘探场地和交通沿线的位置看，施工及车辆运输扬尘对周围环境影响较小。</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default"/>
                <w:b/>
                <w:bCs/>
                <w:sz w:val="24"/>
                <w:highlight w:val="none"/>
                <w:lang w:val="en-US" w:eastAsia="zh-CN"/>
              </w:rPr>
            </w:pPr>
            <w:r>
              <w:rPr>
                <w:rFonts w:hint="default"/>
                <w:b/>
                <w:bCs/>
                <w:sz w:val="24"/>
                <w:highlight w:val="none"/>
                <w:lang w:val="en-US" w:eastAsia="zh-CN"/>
              </w:rPr>
              <w:t>2.2临时堆场</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b w:val="0"/>
                <w:bCs w:val="0"/>
                <w:sz w:val="24"/>
                <w:highlight w:val="none"/>
                <w:lang w:val="en-US" w:eastAsia="zh-CN"/>
              </w:rPr>
            </w:pPr>
            <w:r>
              <w:rPr>
                <w:rFonts w:hint="default"/>
                <w:b w:val="0"/>
                <w:bCs w:val="0"/>
                <w:sz w:val="24"/>
                <w:highlight w:val="none"/>
                <w:lang w:val="en-US" w:eastAsia="zh-CN"/>
              </w:rPr>
              <w:t>槽探施工产生的土石方临时堆放在槽探一侧时，会通过风力起尘和车辆及人为活动扬尘对大气环境产生影响。在风力作用下，表面干燥的细颗粒物会扬起形成扬尘，不过，本项目采用彩布条覆盖土石方临时堆场并配合定期洒水降尘，可通过物理阻隔与增加颗粒湿度双重作用减轻扬尘污染。彩布条能有效覆盖堆体表面，削弱风力对干燥颗粒的扰动，降低起尘动力；洒水则通过增加土石方湿度，提升颗粒黏附性，抑制细颗粒物扬起。</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highlight w:val="none"/>
                <w:lang w:val="en-US" w:eastAsia="zh-CN"/>
              </w:rPr>
            </w:pPr>
            <w:r>
              <w:rPr>
                <w:rFonts w:hint="default"/>
                <w:b/>
                <w:bCs/>
                <w:sz w:val="24"/>
                <w:highlight w:val="none"/>
                <w:lang w:val="en-US" w:eastAsia="zh-CN"/>
              </w:rPr>
              <w:t>2.</w:t>
            </w:r>
            <w:r>
              <w:rPr>
                <w:rFonts w:hint="eastAsia"/>
                <w:b/>
                <w:bCs/>
                <w:sz w:val="24"/>
                <w:highlight w:val="none"/>
                <w:lang w:val="en-US" w:eastAsia="zh-CN"/>
              </w:rPr>
              <w:t>3燃油废气</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工作区的燃油设备主要是勘探机械和运输车辆，其排放的尾气在勘探期间对勘探作业点和交通道路附近大气环境造成污染。</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运输车辆的废气是沿交通路线沿程排放，勘探机械的废气基本是以点源形成排放，工程勘探区地形开阔，空气流通性好，排放废气中的各项污染物能够很快扩散，不会引起局部大气环境质量的恶化。加之废气排放的不连续性和工程施工期有限，排放的废气对区域的环境空气质量影响较小。</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探矿期间将在营地内布置柴油发电机供生活用电。发电机工作期间油料燃烧将排放少量的尾气。勘探机械设备燃烧燃油过程中将产生CO、NOx、SO</w:t>
            </w:r>
            <w:r>
              <w:rPr>
                <w:rFonts w:hint="eastAsia"/>
                <w:sz w:val="24"/>
                <w:highlight w:val="none"/>
                <w:vertAlign w:val="subscript"/>
                <w:lang w:val="en-US" w:eastAsia="zh-CN"/>
              </w:rPr>
              <w:t>2</w:t>
            </w:r>
            <w:r>
              <w:rPr>
                <w:rFonts w:hint="eastAsia"/>
                <w:sz w:val="24"/>
                <w:highlight w:val="none"/>
                <w:lang w:val="en-US" w:eastAsia="zh-CN"/>
              </w:rPr>
              <w:t>、碳氢化合物污染物。</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勘探期内使用柴油量约10t，参照同类项目，柴油燃烧排放有害气体量详见表4-3。</w:t>
            </w:r>
          </w:p>
          <w:p>
            <w:pPr>
              <w:keepNext w:val="0"/>
              <w:keepLines w:val="0"/>
              <w:pageBreakBefore w:val="0"/>
              <w:kinsoku/>
              <w:wordWrap/>
              <w:overflowPunct/>
              <w:topLinePunct w:val="0"/>
              <w:autoSpaceDE/>
              <w:autoSpaceDN/>
              <w:bidi w:val="0"/>
              <w:adjustRightInd/>
              <w:snapToGrid/>
              <w:spacing w:line="300" w:lineRule="exact"/>
              <w:jc w:val="center"/>
              <w:rPr>
                <w:rFonts w:hint="eastAsia"/>
                <w:b/>
                <w:bCs/>
                <w:sz w:val="24"/>
                <w:highlight w:val="none"/>
              </w:rPr>
            </w:pPr>
            <w:r>
              <w:rPr>
                <w:rFonts w:hint="eastAsia"/>
                <w:b/>
                <w:bCs/>
                <w:sz w:val="24"/>
                <w:highlight w:val="none"/>
              </w:rPr>
              <w:t>表</w:t>
            </w:r>
            <w:r>
              <w:rPr>
                <w:rFonts w:hint="eastAsia"/>
                <w:b/>
                <w:bCs/>
                <w:sz w:val="24"/>
                <w:highlight w:val="none"/>
                <w:lang w:val="en-US" w:eastAsia="zh-CN"/>
              </w:rPr>
              <w:t>4-3</w:t>
            </w:r>
            <w:r>
              <w:rPr>
                <w:rFonts w:hint="eastAsia"/>
                <w:b/>
                <w:bCs/>
                <w:sz w:val="24"/>
                <w:highlight w:val="none"/>
              </w:rPr>
              <w:t xml:space="preserve">  柴油排放的有害物质表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3"/>
              <w:gridCol w:w="1511"/>
              <w:gridCol w:w="1653"/>
              <w:gridCol w:w="1379"/>
              <w:gridCol w:w="1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2076"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有害物质</w:t>
                  </w:r>
                </w:p>
              </w:tc>
              <w:tc>
                <w:tcPr>
                  <w:tcW w:w="1631"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SO</w:t>
                  </w:r>
                  <w:r>
                    <w:rPr>
                      <w:szCs w:val="21"/>
                      <w:highlight w:val="none"/>
                      <w:vertAlign w:val="subscript"/>
                    </w:rPr>
                    <w:t>2</w:t>
                  </w:r>
                </w:p>
              </w:tc>
              <w:tc>
                <w:tcPr>
                  <w:tcW w:w="1779"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CO</w:t>
                  </w:r>
                </w:p>
              </w:tc>
              <w:tc>
                <w:tcPr>
                  <w:tcW w:w="1465"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NO</w:t>
                  </w:r>
                  <w:r>
                    <w:rPr>
                      <w:szCs w:val="21"/>
                      <w:highlight w:val="none"/>
                      <w:vertAlign w:val="subscript"/>
                    </w:rPr>
                    <w:t>x</w:t>
                  </w:r>
                </w:p>
              </w:tc>
              <w:tc>
                <w:tcPr>
                  <w:tcW w:w="2091"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碳氢化合物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076"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排放量（kg</w:t>
                  </w:r>
                  <w:r>
                    <w:rPr>
                      <w:rFonts w:hint="eastAsia"/>
                      <w:szCs w:val="21"/>
                      <w:highlight w:val="none"/>
                    </w:rPr>
                    <w:t>/t</w:t>
                  </w:r>
                  <w:r>
                    <w:rPr>
                      <w:szCs w:val="21"/>
                      <w:highlight w:val="none"/>
                    </w:rPr>
                    <w:t>）</w:t>
                  </w:r>
                </w:p>
              </w:tc>
              <w:tc>
                <w:tcPr>
                  <w:tcW w:w="1631"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3.522</w:t>
                  </w:r>
                </w:p>
              </w:tc>
              <w:tc>
                <w:tcPr>
                  <w:tcW w:w="1779"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29.349</w:t>
                  </w:r>
                </w:p>
              </w:tc>
              <w:tc>
                <w:tcPr>
                  <w:tcW w:w="1465"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48.263</w:t>
                  </w:r>
                </w:p>
              </w:tc>
              <w:tc>
                <w:tcPr>
                  <w:tcW w:w="2091"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szCs w:val="21"/>
                      <w:highlight w:val="none"/>
                    </w:rPr>
                  </w:pPr>
                  <w:r>
                    <w:rPr>
                      <w:szCs w:val="21"/>
                      <w:highlight w:val="none"/>
                    </w:rPr>
                    <w:t>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2076"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szCs w:val="21"/>
                      <w:highlight w:val="none"/>
                    </w:rPr>
                  </w:pPr>
                  <w:r>
                    <w:rPr>
                      <w:rFonts w:hint="eastAsia"/>
                      <w:szCs w:val="21"/>
                      <w:highlight w:val="none"/>
                    </w:rPr>
                    <w:t>探矿期内</w:t>
                  </w:r>
                  <w:r>
                    <w:rPr>
                      <w:szCs w:val="21"/>
                      <w:highlight w:val="none"/>
                    </w:rPr>
                    <w:t>（kg）</w:t>
                  </w:r>
                </w:p>
              </w:tc>
              <w:tc>
                <w:tcPr>
                  <w:tcW w:w="163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hint="default" w:eastAsia="宋体"/>
                      <w:szCs w:val="21"/>
                      <w:highlight w:val="none"/>
                      <w:lang w:val="en-US" w:eastAsia="zh-CN"/>
                    </w:rPr>
                  </w:pPr>
                  <w:r>
                    <w:rPr>
                      <w:rFonts w:hint="eastAsia"/>
                      <w:szCs w:val="21"/>
                      <w:highlight w:val="none"/>
                      <w:lang w:val="en-US" w:eastAsia="zh-CN"/>
                    </w:rPr>
                    <w:t>35.22</w:t>
                  </w:r>
                </w:p>
              </w:tc>
              <w:tc>
                <w:tcPr>
                  <w:tcW w:w="1779"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hint="default" w:eastAsia="宋体"/>
                      <w:szCs w:val="21"/>
                      <w:highlight w:val="none"/>
                      <w:lang w:val="en-US" w:eastAsia="zh-CN"/>
                    </w:rPr>
                  </w:pPr>
                  <w:r>
                    <w:rPr>
                      <w:rFonts w:hint="eastAsia"/>
                      <w:szCs w:val="21"/>
                      <w:highlight w:val="none"/>
                      <w:lang w:val="en-US" w:eastAsia="zh-CN"/>
                    </w:rPr>
                    <w:t>293.49</w:t>
                  </w:r>
                </w:p>
              </w:tc>
              <w:tc>
                <w:tcPr>
                  <w:tcW w:w="1465"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eastAsia="宋体"/>
                      <w:highlight w:val="none"/>
                      <w:lang w:val="en-US" w:eastAsia="zh-CN"/>
                    </w:rPr>
                  </w:pPr>
                  <w:r>
                    <w:rPr>
                      <w:rFonts w:hint="eastAsia"/>
                      <w:highlight w:val="none"/>
                      <w:lang w:val="en-US" w:eastAsia="zh-CN"/>
                    </w:rPr>
                    <w:t>482.63</w:t>
                  </w:r>
                </w:p>
              </w:tc>
              <w:tc>
                <w:tcPr>
                  <w:tcW w:w="209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top"/>
                    <w:rPr>
                      <w:rFonts w:hint="default" w:eastAsia="宋体"/>
                      <w:szCs w:val="21"/>
                      <w:highlight w:val="none"/>
                      <w:lang w:val="en-US" w:eastAsia="zh-CN"/>
                    </w:rPr>
                  </w:pPr>
                  <w:r>
                    <w:rPr>
                      <w:rFonts w:hint="eastAsia"/>
                      <w:szCs w:val="21"/>
                      <w:highlight w:val="none"/>
                      <w:lang w:val="en-US" w:eastAsia="zh-CN"/>
                    </w:rPr>
                    <w:t>48.26</w:t>
                  </w:r>
                </w:p>
              </w:tc>
            </w:tr>
          </w:tbl>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cs="Times New Roman"/>
                <w:b/>
                <w:bCs/>
                <w:sz w:val="24"/>
                <w:szCs w:val="24"/>
                <w:highlight w:val="none"/>
                <w:lang w:val="en-US" w:eastAsia="zh-CN"/>
              </w:rPr>
            </w:pPr>
            <w:r>
              <w:rPr>
                <w:rFonts w:hint="eastAsia" w:cs="Times New Roman"/>
                <w:b/>
                <w:bCs/>
                <w:sz w:val="24"/>
                <w:szCs w:val="24"/>
                <w:highlight w:val="none"/>
                <w:lang w:val="en-US" w:eastAsia="zh-CN"/>
              </w:rPr>
              <w:t>3.废水环境影响分析</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cs="Times New Roman"/>
                <w:sz w:val="24"/>
                <w:highlight w:val="none"/>
                <w:lang w:val="en-US" w:eastAsia="zh-CN"/>
              </w:rPr>
            </w:pPr>
            <w:r>
              <w:rPr>
                <w:rFonts w:hint="eastAsia" w:cs="Times New Roman"/>
                <w:sz w:val="24"/>
                <w:highlight w:val="none"/>
                <w:lang w:val="en-US" w:eastAsia="zh-CN"/>
              </w:rPr>
              <w:t>（1）生活污水</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cs="Times New Roman"/>
                <w:sz w:val="24"/>
                <w:highlight w:val="none"/>
                <w:lang w:val="en-US" w:eastAsia="zh-CN"/>
              </w:rPr>
            </w:pPr>
            <w:r>
              <w:rPr>
                <w:rFonts w:hint="eastAsia" w:cs="Times New Roman"/>
                <w:sz w:val="24"/>
                <w:highlight w:val="none"/>
                <w:lang w:val="en-US" w:eastAsia="zh-CN"/>
              </w:rPr>
              <w:t>本次探矿野外作业人员约12人。勘探人员日常洗漱和生活所产生的污水间断排放，主要含COD、BOD</w:t>
            </w:r>
            <w:r>
              <w:rPr>
                <w:rFonts w:hint="eastAsia" w:cs="Times New Roman"/>
                <w:sz w:val="24"/>
                <w:highlight w:val="none"/>
                <w:vertAlign w:val="subscript"/>
                <w:lang w:val="en-US" w:eastAsia="zh-CN"/>
              </w:rPr>
              <w:t>5</w:t>
            </w:r>
            <w:r>
              <w:rPr>
                <w:rFonts w:hint="eastAsia" w:cs="Times New Roman"/>
                <w:sz w:val="24"/>
                <w:highlight w:val="none"/>
                <w:lang w:val="en-US" w:eastAsia="zh-CN"/>
              </w:rPr>
              <w:t>、SS等污染物，生活污水包括粪便污水和洗漱用水等，类比一般生活污水污染物产生浓度，主要污染物中COD、BOD</w:t>
            </w:r>
            <w:r>
              <w:rPr>
                <w:rFonts w:hint="eastAsia" w:cs="Times New Roman"/>
                <w:sz w:val="24"/>
                <w:highlight w:val="none"/>
                <w:vertAlign w:val="subscript"/>
                <w:lang w:val="en-US" w:eastAsia="zh-CN"/>
              </w:rPr>
              <w:t>5</w:t>
            </w:r>
            <w:r>
              <w:rPr>
                <w:rFonts w:hint="eastAsia" w:cs="Times New Roman"/>
                <w:sz w:val="24"/>
                <w:highlight w:val="none"/>
                <w:lang w:val="en-US" w:eastAsia="zh-CN"/>
              </w:rPr>
              <w:t>、SS、NH</w:t>
            </w:r>
            <w:r>
              <w:rPr>
                <w:rFonts w:hint="eastAsia" w:cs="Times New Roman"/>
                <w:sz w:val="24"/>
                <w:highlight w:val="none"/>
                <w:vertAlign w:val="subscript"/>
                <w:lang w:val="en-US" w:eastAsia="zh-CN"/>
              </w:rPr>
              <w:t>4</w:t>
            </w:r>
            <w:r>
              <w:rPr>
                <w:rFonts w:hint="eastAsia" w:cs="Times New Roman"/>
                <w:sz w:val="24"/>
                <w:highlight w:val="none"/>
                <w:lang w:val="en-US" w:eastAsia="zh-CN"/>
              </w:rPr>
              <w:t>-N、动植物油的产生浓度分别为：320mg/m</w:t>
            </w:r>
            <w:r>
              <w:rPr>
                <w:rFonts w:hint="eastAsia" w:cs="Times New Roman"/>
                <w:sz w:val="24"/>
                <w:highlight w:val="none"/>
                <w:vertAlign w:val="superscript"/>
                <w:lang w:val="en-US" w:eastAsia="zh-CN"/>
              </w:rPr>
              <w:t>3</w:t>
            </w:r>
            <w:r>
              <w:rPr>
                <w:rFonts w:hint="eastAsia" w:cs="Times New Roman"/>
                <w:sz w:val="24"/>
                <w:highlight w:val="none"/>
                <w:lang w:val="en-US" w:eastAsia="zh-CN"/>
              </w:rPr>
              <w:t>、200mg/m</w:t>
            </w:r>
            <w:r>
              <w:rPr>
                <w:rFonts w:hint="eastAsia" w:cs="Times New Roman"/>
                <w:sz w:val="24"/>
                <w:highlight w:val="none"/>
                <w:vertAlign w:val="superscript"/>
                <w:lang w:val="en-US" w:eastAsia="zh-CN"/>
              </w:rPr>
              <w:t>3</w:t>
            </w:r>
            <w:r>
              <w:rPr>
                <w:rFonts w:hint="eastAsia" w:cs="Times New Roman"/>
                <w:sz w:val="24"/>
                <w:highlight w:val="none"/>
                <w:lang w:val="en-US" w:eastAsia="zh-CN"/>
              </w:rPr>
              <w:t>、360mg/m</w:t>
            </w:r>
            <w:r>
              <w:rPr>
                <w:rFonts w:hint="eastAsia" w:cs="Times New Roman"/>
                <w:sz w:val="24"/>
                <w:highlight w:val="none"/>
                <w:vertAlign w:val="superscript"/>
                <w:lang w:val="en-US" w:eastAsia="zh-CN"/>
              </w:rPr>
              <w:t>3</w:t>
            </w:r>
            <w:r>
              <w:rPr>
                <w:rFonts w:hint="eastAsia" w:cs="Times New Roman"/>
                <w:sz w:val="24"/>
                <w:highlight w:val="none"/>
                <w:lang w:val="en-US" w:eastAsia="zh-CN"/>
              </w:rPr>
              <w:t>、25mg/m</w:t>
            </w:r>
            <w:r>
              <w:rPr>
                <w:rFonts w:hint="eastAsia" w:cs="Times New Roman"/>
                <w:sz w:val="24"/>
                <w:highlight w:val="none"/>
                <w:vertAlign w:val="superscript"/>
                <w:lang w:val="en-US" w:eastAsia="zh-CN"/>
              </w:rPr>
              <w:t>3</w:t>
            </w:r>
            <w:r>
              <w:rPr>
                <w:rFonts w:hint="eastAsia" w:cs="Times New Roman"/>
                <w:sz w:val="24"/>
                <w:highlight w:val="none"/>
                <w:lang w:val="en-US" w:eastAsia="zh-CN"/>
              </w:rPr>
              <w:t>、30mg/m</w:t>
            </w:r>
            <w:r>
              <w:rPr>
                <w:rFonts w:hint="eastAsia" w:cs="Times New Roman"/>
                <w:sz w:val="24"/>
                <w:highlight w:val="none"/>
                <w:vertAlign w:val="superscript"/>
                <w:lang w:val="en-US" w:eastAsia="zh-CN"/>
              </w:rPr>
              <w:t>3</w:t>
            </w:r>
            <w:r>
              <w:rPr>
                <w:rFonts w:hint="eastAsia" w:cs="Times New Roman"/>
                <w:sz w:val="24"/>
                <w:highlight w:val="none"/>
                <w:lang w:val="en-US" w:eastAsia="zh-CN"/>
              </w:rPr>
              <w:t>。生活污水排入一体化污水处理设施处理达标后，其出水标准可达到《农村生活污水处理排放标准》（DB654275-2019）表2中C级标准，用于绿化，不与地表水体发生水力联系，对周围环境影响较小。</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cs="Times New Roman"/>
                <w:sz w:val="24"/>
                <w:highlight w:val="none"/>
                <w:lang w:val="en-US" w:eastAsia="zh-CN"/>
              </w:rPr>
            </w:pPr>
            <w:r>
              <w:rPr>
                <w:rFonts w:hint="eastAsia" w:cs="Times New Roman"/>
                <w:sz w:val="24"/>
                <w:highlight w:val="none"/>
                <w:lang w:val="en-US" w:eastAsia="zh-CN"/>
              </w:rPr>
              <w:t>（2）钻井设备冲洗水</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cs="Times New Roman"/>
                <w:sz w:val="24"/>
                <w:highlight w:val="none"/>
                <w:lang w:val="en-US" w:eastAsia="zh-CN"/>
              </w:rPr>
            </w:pPr>
            <w:r>
              <w:rPr>
                <w:rFonts w:hint="eastAsia" w:cs="Times New Roman"/>
                <w:sz w:val="24"/>
                <w:highlight w:val="none"/>
                <w:lang w:val="en-US" w:eastAsia="zh-CN"/>
              </w:rPr>
              <w:t>项目钻探过程中使用的钻井设备需清洗，勘探期产生的清洗废水经防渗沉淀池循环使用，探矿期结束后自然蒸发，不外排。</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cs="Times New Roman"/>
                <w:sz w:val="24"/>
                <w:highlight w:val="none"/>
                <w:lang w:val="en-US" w:eastAsia="zh-CN"/>
              </w:rPr>
            </w:pPr>
            <w:r>
              <w:rPr>
                <w:rFonts w:hint="eastAsia" w:cs="Times New Roman"/>
                <w:sz w:val="24"/>
                <w:highlight w:val="none"/>
                <w:lang w:val="en-US" w:eastAsia="zh-CN"/>
              </w:rPr>
              <w:t>（3）泥浆废水</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highlight w:val="none"/>
                <w:lang w:eastAsia="zh-CN"/>
              </w:rPr>
            </w:pPr>
            <w:r>
              <w:rPr>
                <w:rFonts w:hint="eastAsia" w:cs="Times New Roman"/>
                <w:sz w:val="24"/>
                <w:highlight w:val="none"/>
                <w:lang w:val="en-US" w:eastAsia="zh-CN"/>
              </w:rPr>
              <w:t>泥浆废水经防渗沉淀池处理后回用于钻孔泥浆配制，循环使用，探矿结束后，沉淀池内泥浆固化后交一般固废处置单位统一处理，不外排。</w:t>
            </w:r>
          </w:p>
          <w:p>
            <w:pPr>
              <w:keepNext w:val="0"/>
              <w:keepLines w:val="0"/>
              <w:pageBreakBefore w:val="0"/>
              <w:kinsoku/>
              <w:overflowPunct/>
              <w:autoSpaceDE/>
              <w:autoSpaceDN/>
              <w:bidi w:val="0"/>
              <w:adjustRightInd/>
              <w:snapToGrid/>
              <w:spacing w:line="520" w:lineRule="exact"/>
              <w:textAlignment w:val="auto"/>
              <w:rPr>
                <w:rFonts w:hint="default" w:ascii="Times New Roman" w:hAnsi="Times New Roman" w:eastAsia="宋体" w:cs="Times New Roman"/>
                <w:b/>
                <w:bCs w:val="0"/>
                <w:color w:val="auto"/>
                <w:sz w:val="24"/>
                <w:highlight w:val="none"/>
                <w:lang w:val="en-US" w:eastAsia="zh-CN"/>
              </w:rPr>
            </w:pPr>
            <w:r>
              <w:rPr>
                <w:rFonts w:hint="eastAsia" w:cs="Times New Roman"/>
                <w:b/>
                <w:bCs w:val="0"/>
                <w:color w:val="auto"/>
                <w:sz w:val="24"/>
                <w:highlight w:val="none"/>
                <w:lang w:val="en-US" w:eastAsia="zh-CN"/>
              </w:rPr>
              <w:t>4.</w:t>
            </w:r>
            <w:r>
              <w:rPr>
                <w:rFonts w:hint="default" w:ascii="Times New Roman" w:hAnsi="Times New Roman" w:cs="Times New Roman"/>
                <w:b/>
                <w:bCs w:val="0"/>
                <w:color w:val="auto"/>
                <w:sz w:val="24"/>
                <w:highlight w:val="none"/>
                <w:lang w:val="en-US" w:eastAsia="zh-CN"/>
              </w:rPr>
              <w:t>噪声</w:t>
            </w:r>
            <w:r>
              <w:rPr>
                <w:rFonts w:hint="eastAsia" w:cs="宋体"/>
                <w:b/>
                <w:bCs w:val="0"/>
                <w:sz w:val="24"/>
                <w:highlight w:val="none"/>
                <w:lang w:val="en-US" w:eastAsia="zh-CN"/>
              </w:rPr>
              <w:t>环境影响分析</w:t>
            </w:r>
          </w:p>
          <w:p>
            <w:pPr>
              <w:pStyle w:val="31"/>
              <w:keepNext w:val="0"/>
              <w:keepLines w:val="0"/>
              <w:pageBreakBefore w:val="0"/>
              <w:kinsoku/>
              <w:wordWrap/>
              <w:overflowPunct/>
              <w:topLinePunct w:val="0"/>
              <w:autoSpaceDE/>
              <w:autoSpaceDN/>
              <w:bidi w:val="0"/>
              <w:adjustRightInd/>
              <w:snapToGrid/>
              <w:spacing w:line="520" w:lineRule="exact"/>
              <w:ind w:left="0"/>
              <w:textAlignment w:val="auto"/>
              <w:rPr>
                <w:sz w:val="24"/>
                <w:szCs w:val="24"/>
                <w:highlight w:val="none"/>
              </w:rPr>
            </w:pPr>
            <w:r>
              <w:rPr>
                <w:rFonts w:hint="eastAsia"/>
                <w:bCs/>
                <w:color w:val="000000"/>
                <w:sz w:val="24"/>
                <w:szCs w:val="24"/>
                <w:highlight w:val="none"/>
              </w:rPr>
              <w:t>根据工程分析可知，</w:t>
            </w:r>
            <w:r>
              <w:rPr>
                <w:rFonts w:hint="eastAsia"/>
                <w:bCs/>
                <w:color w:val="000000"/>
                <w:sz w:val="24"/>
                <w:szCs w:val="24"/>
                <w:highlight w:val="none"/>
                <w:lang w:val="en-US" w:eastAsia="zh-CN"/>
              </w:rPr>
              <w:t>勘探期</w:t>
            </w:r>
            <w:r>
              <w:rPr>
                <w:rFonts w:hint="eastAsia"/>
                <w:bCs/>
                <w:color w:val="000000"/>
                <w:sz w:val="24"/>
                <w:szCs w:val="24"/>
                <w:highlight w:val="none"/>
              </w:rPr>
              <w:t>噪声来自施工作业噪声、机械噪声和施工车辆噪声，噪声源强一般为71~100</w:t>
            </w:r>
            <w:r>
              <w:rPr>
                <w:sz w:val="24"/>
                <w:szCs w:val="24"/>
                <w:highlight w:val="none"/>
              </w:rPr>
              <w:t>dB</w:t>
            </w:r>
            <w:r>
              <w:rPr>
                <w:rFonts w:hint="eastAsia"/>
                <w:sz w:val="24"/>
                <w:szCs w:val="24"/>
                <w:highlight w:val="none"/>
                <w:lang w:eastAsia="zh-CN"/>
              </w:rPr>
              <w:t>（</w:t>
            </w:r>
            <w:r>
              <w:rPr>
                <w:sz w:val="24"/>
                <w:szCs w:val="24"/>
                <w:highlight w:val="none"/>
              </w:rPr>
              <w:t>A</w:t>
            </w:r>
            <w:r>
              <w:rPr>
                <w:rFonts w:hint="eastAsia"/>
                <w:sz w:val="24"/>
                <w:szCs w:val="24"/>
                <w:highlight w:val="none"/>
                <w:lang w:eastAsia="zh-CN"/>
              </w:rPr>
              <w:t>）</w:t>
            </w:r>
            <w:r>
              <w:rPr>
                <w:rFonts w:hint="eastAsia"/>
                <w:sz w:val="24"/>
                <w:szCs w:val="24"/>
                <w:highlight w:val="none"/>
              </w:rPr>
              <w:t>，特点为暂时的短期间歇性行为，无规律性。</w:t>
            </w:r>
          </w:p>
          <w:p>
            <w:pPr>
              <w:pStyle w:val="31"/>
              <w:keepNext w:val="0"/>
              <w:keepLines w:val="0"/>
              <w:pageBreakBefore w:val="0"/>
              <w:kinsoku/>
              <w:wordWrap/>
              <w:overflowPunct/>
              <w:topLinePunct w:val="0"/>
              <w:autoSpaceDE/>
              <w:autoSpaceDN/>
              <w:bidi w:val="0"/>
              <w:adjustRightInd/>
              <w:snapToGrid/>
              <w:spacing w:line="520" w:lineRule="exact"/>
              <w:ind w:left="0"/>
              <w:textAlignment w:val="auto"/>
              <w:rPr>
                <w:sz w:val="24"/>
                <w:szCs w:val="24"/>
                <w:highlight w:val="none"/>
              </w:rPr>
            </w:pPr>
            <w:r>
              <w:rPr>
                <w:rFonts w:hint="eastAsia"/>
                <w:sz w:val="24"/>
                <w:szCs w:val="24"/>
                <w:highlight w:val="none"/>
                <w:lang w:eastAsia="zh-CN"/>
              </w:rPr>
              <w:t>（</w:t>
            </w:r>
            <w:r>
              <w:rPr>
                <w:rFonts w:hint="eastAsia"/>
                <w:sz w:val="24"/>
                <w:szCs w:val="24"/>
                <w:highlight w:val="none"/>
                <w:lang w:val="en-US" w:eastAsia="zh-CN"/>
              </w:rPr>
              <w:t>1</w:t>
            </w:r>
            <w:r>
              <w:rPr>
                <w:rFonts w:hint="eastAsia"/>
                <w:sz w:val="24"/>
                <w:szCs w:val="24"/>
                <w:highlight w:val="none"/>
                <w:lang w:eastAsia="zh-CN"/>
              </w:rPr>
              <w:t>）</w:t>
            </w:r>
            <w:r>
              <w:rPr>
                <w:rFonts w:hint="eastAsia"/>
                <w:sz w:val="24"/>
                <w:szCs w:val="24"/>
                <w:highlight w:val="none"/>
              </w:rPr>
              <w:t>施工噪声预测</w:t>
            </w:r>
          </w:p>
          <w:p>
            <w:pPr>
              <w:pStyle w:val="31"/>
              <w:keepNext w:val="0"/>
              <w:keepLines w:val="0"/>
              <w:pageBreakBefore w:val="0"/>
              <w:kinsoku/>
              <w:wordWrap/>
              <w:overflowPunct/>
              <w:topLinePunct w:val="0"/>
              <w:autoSpaceDE/>
              <w:autoSpaceDN/>
              <w:bidi w:val="0"/>
              <w:adjustRightInd/>
              <w:snapToGrid/>
              <w:spacing w:line="520" w:lineRule="exact"/>
              <w:ind w:left="0"/>
              <w:textAlignment w:val="auto"/>
              <w:rPr>
                <w:sz w:val="24"/>
                <w:szCs w:val="24"/>
                <w:highlight w:val="none"/>
              </w:rPr>
            </w:pPr>
            <w:r>
              <w:rPr>
                <w:rFonts w:hint="eastAsia"/>
                <w:sz w:val="24"/>
                <w:szCs w:val="24"/>
                <w:highlight w:val="none"/>
                <w:lang w:val="en-US" w:eastAsia="zh-CN"/>
              </w:rPr>
              <w:t>设备</w:t>
            </w:r>
            <w:r>
              <w:rPr>
                <w:rFonts w:hint="eastAsia"/>
                <w:sz w:val="24"/>
                <w:szCs w:val="24"/>
                <w:highlight w:val="none"/>
              </w:rPr>
              <w:t>噪声可近似视为点声源处理，其衰减模式如下：</w:t>
            </w:r>
          </w:p>
          <w:p>
            <w:pPr>
              <w:pStyle w:val="31"/>
              <w:keepNext w:val="0"/>
              <w:keepLines w:val="0"/>
              <w:pageBreakBefore w:val="0"/>
              <w:kinsoku/>
              <w:wordWrap/>
              <w:overflowPunct/>
              <w:topLinePunct w:val="0"/>
              <w:autoSpaceDE/>
              <w:autoSpaceDN/>
              <w:bidi w:val="0"/>
              <w:adjustRightInd/>
              <w:snapToGrid/>
              <w:spacing w:line="520" w:lineRule="exact"/>
              <w:ind w:left="0"/>
              <w:jc w:val="center"/>
              <w:textAlignment w:val="auto"/>
              <w:rPr>
                <w:sz w:val="24"/>
                <w:szCs w:val="24"/>
                <w:highlight w:val="none"/>
              </w:rPr>
            </w:pPr>
            <w:r>
              <w:rPr>
                <w:rFonts w:hint="eastAsia"/>
                <w:sz w:val="24"/>
                <w:szCs w:val="24"/>
                <w:highlight w:val="none"/>
              </w:rPr>
              <w:t>Lp=Lpo-20Lg</w:t>
            </w:r>
            <w:r>
              <w:rPr>
                <w:rFonts w:hint="eastAsia"/>
                <w:sz w:val="24"/>
                <w:szCs w:val="24"/>
                <w:highlight w:val="none"/>
                <w:lang w:eastAsia="zh-CN"/>
              </w:rPr>
              <w:t>(</w:t>
            </w:r>
            <w:r>
              <w:rPr>
                <w:rFonts w:hint="eastAsia"/>
                <w:sz w:val="24"/>
                <w:szCs w:val="24"/>
                <w:highlight w:val="none"/>
              </w:rPr>
              <w:t>r/ro</w:t>
            </w:r>
            <w:r>
              <w:rPr>
                <w:rFonts w:hint="eastAsia"/>
                <w:sz w:val="24"/>
                <w:szCs w:val="24"/>
                <w:highlight w:val="none"/>
                <w:lang w:eastAsia="zh-CN"/>
              </w:rPr>
              <w:t>)-</w:t>
            </w:r>
            <w:r>
              <w:rPr>
                <w:rFonts w:hint="eastAsia"/>
                <w:sz w:val="24"/>
                <w:szCs w:val="24"/>
                <w:highlight w:val="none"/>
              </w:rPr>
              <w:t>△L</w:t>
            </w:r>
          </w:p>
          <w:p>
            <w:pPr>
              <w:pStyle w:val="31"/>
              <w:keepNext w:val="0"/>
              <w:keepLines w:val="0"/>
              <w:pageBreakBefore w:val="0"/>
              <w:kinsoku/>
              <w:wordWrap/>
              <w:overflowPunct/>
              <w:topLinePunct w:val="0"/>
              <w:autoSpaceDE/>
              <w:autoSpaceDN/>
              <w:bidi w:val="0"/>
              <w:adjustRightInd/>
              <w:snapToGrid/>
              <w:spacing w:line="520" w:lineRule="exact"/>
              <w:ind w:left="0"/>
              <w:textAlignment w:val="auto"/>
              <w:rPr>
                <w:sz w:val="24"/>
                <w:szCs w:val="24"/>
                <w:highlight w:val="none"/>
              </w:rPr>
            </w:pPr>
            <w:r>
              <w:rPr>
                <w:rFonts w:hint="eastAsia"/>
                <w:sz w:val="24"/>
                <w:szCs w:val="24"/>
                <w:highlight w:val="none"/>
              </w:rPr>
              <w:t>式中：Lp——距声源rm处的施工噪声预测值，dB</w:t>
            </w:r>
            <w:r>
              <w:rPr>
                <w:rFonts w:hint="eastAsia"/>
                <w:sz w:val="24"/>
                <w:szCs w:val="24"/>
                <w:highlight w:val="none"/>
                <w:lang w:eastAsia="zh-CN"/>
              </w:rPr>
              <w:t>（</w:t>
            </w:r>
            <w:r>
              <w:rPr>
                <w:rFonts w:hint="eastAsia"/>
                <w:sz w:val="24"/>
                <w:szCs w:val="24"/>
                <w:highlight w:val="none"/>
              </w:rPr>
              <w:t>A</w:t>
            </w:r>
            <w:r>
              <w:rPr>
                <w:rFonts w:hint="eastAsia"/>
                <w:sz w:val="24"/>
                <w:szCs w:val="24"/>
                <w:highlight w:val="none"/>
                <w:lang w:eastAsia="zh-CN"/>
              </w:rPr>
              <w:t>）</w:t>
            </w:r>
            <w:r>
              <w:rPr>
                <w:rFonts w:hint="eastAsia"/>
                <w:sz w:val="24"/>
                <w:szCs w:val="24"/>
                <w:highlight w:val="none"/>
              </w:rPr>
              <w:t>；</w:t>
            </w:r>
          </w:p>
          <w:p>
            <w:pPr>
              <w:pStyle w:val="31"/>
              <w:keepNext w:val="0"/>
              <w:keepLines w:val="0"/>
              <w:pageBreakBefore w:val="0"/>
              <w:kinsoku/>
              <w:wordWrap/>
              <w:overflowPunct/>
              <w:topLinePunct w:val="0"/>
              <w:autoSpaceDE/>
              <w:autoSpaceDN/>
              <w:bidi w:val="0"/>
              <w:adjustRightInd/>
              <w:snapToGrid/>
              <w:spacing w:line="520" w:lineRule="exact"/>
              <w:ind w:left="0" w:firstLine="1200" w:firstLineChars="500"/>
              <w:textAlignment w:val="auto"/>
              <w:rPr>
                <w:sz w:val="24"/>
                <w:szCs w:val="24"/>
                <w:highlight w:val="none"/>
              </w:rPr>
            </w:pPr>
            <w:r>
              <w:rPr>
                <w:rFonts w:hint="eastAsia"/>
                <w:sz w:val="24"/>
                <w:szCs w:val="24"/>
                <w:highlight w:val="none"/>
              </w:rPr>
              <w:t>Lpo——距声源rom处的参考声级，dB</w:t>
            </w:r>
            <w:r>
              <w:rPr>
                <w:rFonts w:hint="eastAsia"/>
                <w:sz w:val="24"/>
                <w:szCs w:val="24"/>
                <w:highlight w:val="none"/>
                <w:lang w:eastAsia="zh-CN"/>
              </w:rPr>
              <w:t>（</w:t>
            </w:r>
            <w:r>
              <w:rPr>
                <w:rFonts w:hint="eastAsia"/>
                <w:sz w:val="24"/>
                <w:szCs w:val="24"/>
                <w:highlight w:val="none"/>
              </w:rPr>
              <w:t>A</w:t>
            </w:r>
            <w:r>
              <w:rPr>
                <w:rFonts w:hint="eastAsia"/>
                <w:sz w:val="24"/>
                <w:szCs w:val="24"/>
                <w:highlight w:val="none"/>
                <w:lang w:eastAsia="zh-CN"/>
              </w:rPr>
              <w:t>）</w:t>
            </w:r>
            <w:r>
              <w:rPr>
                <w:rFonts w:hint="eastAsia"/>
                <w:sz w:val="24"/>
                <w:szCs w:val="24"/>
                <w:highlight w:val="none"/>
              </w:rPr>
              <w:t>；</w:t>
            </w:r>
          </w:p>
          <w:p>
            <w:pPr>
              <w:pStyle w:val="31"/>
              <w:keepNext w:val="0"/>
              <w:keepLines w:val="0"/>
              <w:pageBreakBefore w:val="0"/>
              <w:kinsoku/>
              <w:wordWrap/>
              <w:overflowPunct/>
              <w:topLinePunct w:val="0"/>
              <w:autoSpaceDE/>
              <w:autoSpaceDN/>
              <w:bidi w:val="0"/>
              <w:adjustRightInd/>
              <w:snapToGrid/>
              <w:spacing w:line="520" w:lineRule="exact"/>
              <w:ind w:firstLine="1200" w:firstLineChars="500"/>
              <w:textAlignment w:val="auto"/>
              <w:rPr>
                <w:sz w:val="24"/>
                <w:szCs w:val="24"/>
                <w:highlight w:val="none"/>
              </w:rPr>
            </w:pPr>
            <w:r>
              <w:rPr>
                <w:rFonts w:hint="eastAsia"/>
                <w:sz w:val="24"/>
                <w:szCs w:val="24"/>
                <w:highlight w:val="none"/>
              </w:rPr>
              <w:t>ro——Lpo噪声的测点距离（1m），m。</w:t>
            </w:r>
          </w:p>
          <w:p>
            <w:pPr>
              <w:pStyle w:val="31"/>
              <w:keepNext w:val="0"/>
              <w:keepLines w:val="0"/>
              <w:pageBreakBefore w:val="0"/>
              <w:kinsoku/>
              <w:wordWrap/>
              <w:overflowPunct/>
              <w:topLinePunct w:val="0"/>
              <w:autoSpaceDE/>
              <w:autoSpaceDN/>
              <w:bidi w:val="0"/>
              <w:adjustRightInd/>
              <w:snapToGrid/>
              <w:spacing w:line="520" w:lineRule="exact"/>
              <w:ind w:left="0" w:firstLine="1200" w:firstLineChars="500"/>
              <w:textAlignment w:val="auto"/>
              <w:rPr>
                <w:sz w:val="24"/>
                <w:szCs w:val="24"/>
                <w:highlight w:val="none"/>
              </w:rPr>
            </w:pPr>
            <w:r>
              <w:rPr>
                <w:rFonts w:hint="eastAsia"/>
                <w:sz w:val="24"/>
                <w:szCs w:val="24"/>
                <w:highlight w:val="none"/>
              </w:rPr>
              <w:t>△L——采取各种措施后的噪声衰减量，dB</w:t>
            </w:r>
            <w:r>
              <w:rPr>
                <w:rFonts w:hint="eastAsia"/>
                <w:sz w:val="24"/>
                <w:szCs w:val="24"/>
                <w:highlight w:val="none"/>
                <w:lang w:eastAsia="zh-CN"/>
              </w:rPr>
              <w:t>（</w:t>
            </w:r>
            <w:r>
              <w:rPr>
                <w:rFonts w:hint="eastAsia"/>
                <w:sz w:val="24"/>
                <w:szCs w:val="24"/>
                <w:highlight w:val="none"/>
              </w:rPr>
              <w:t>A</w:t>
            </w:r>
            <w:r>
              <w:rPr>
                <w:rFonts w:hint="eastAsia"/>
                <w:sz w:val="24"/>
                <w:szCs w:val="24"/>
                <w:highlight w:val="none"/>
                <w:lang w:eastAsia="zh-CN"/>
              </w:rPr>
              <w:t>）</w:t>
            </w:r>
            <w:r>
              <w:rPr>
                <w:rFonts w:hint="eastAsia"/>
                <w:sz w:val="24"/>
                <w:szCs w:val="24"/>
                <w:highlight w:val="none"/>
              </w:rPr>
              <w:t>。</w:t>
            </w:r>
          </w:p>
          <w:p>
            <w:pPr>
              <w:pStyle w:val="31"/>
              <w:keepNext w:val="0"/>
              <w:keepLines w:val="0"/>
              <w:pageBreakBefore w:val="0"/>
              <w:kinsoku/>
              <w:wordWrap/>
              <w:overflowPunct/>
              <w:topLinePunct w:val="0"/>
              <w:autoSpaceDE/>
              <w:autoSpaceDN/>
              <w:bidi w:val="0"/>
              <w:adjustRightInd/>
              <w:snapToGrid/>
              <w:spacing w:line="520" w:lineRule="exact"/>
              <w:ind w:left="0"/>
              <w:textAlignment w:val="auto"/>
              <w:rPr>
                <w:sz w:val="24"/>
                <w:szCs w:val="24"/>
                <w:highlight w:val="none"/>
              </w:rPr>
            </w:pPr>
            <w:r>
              <w:rPr>
                <w:rFonts w:hint="eastAsia"/>
                <w:sz w:val="24"/>
                <w:szCs w:val="24"/>
                <w:highlight w:val="none"/>
                <w:lang w:val="en-US" w:eastAsia="zh-CN"/>
              </w:rPr>
              <w:t>勘探</w:t>
            </w:r>
            <w:r>
              <w:rPr>
                <w:rFonts w:hint="eastAsia"/>
                <w:sz w:val="24"/>
                <w:szCs w:val="24"/>
                <w:highlight w:val="none"/>
              </w:rPr>
              <w:t>期主要噪声源主要为</w:t>
            </w:r>
            <w:r>
              <w:rPr>
                <w:rFonts w:hint="eastAsia"/>
                <w:sz w:val="24"/>
                <w:szCs w:val="24"/>
                <w:highlight w:val="none"/>
                <w:lang w:val="en-US" w:eastAsia="zh-CN"/>
              </w:rPr>
              <w:t>设备</w:t>
            </w:r>
            <w:r>
              <w:rPr>
                <w:rFonts w:hint="eastAsia"/>
                <w:sz w:val="24"/>
                <w:szCs w:val="24"/>
                <w:highlight w:val="none"/>
              </w:rPr>
              <w:t>机械产生的噪声。</w:t>
            </w:r>
          </w:p>
          <w:p>
            <w:pPr>
              <w:pStyle w:val="31"/>
              <w:keepNext w:val="0"/>
              <w:keepLines w:val="0"/>
              <w:pageBreakBefore w:val="0"/>
              <w:kinsoku/>
              <w:wordWrap/>
              <w:overflowPunct/>
              <w:topLinePunct w:val="0"/>
              <w:autoSpaceDE/>
              <w:autoSpaceDN/>
              <w:bidi w:val="0"/>
              <w:adjustRightInd/>
              <w:snapToGrid/>
              <w:spacing w:line="520" w:lineRule="exact"/>
              <w:ind w:left="0"/>
              <w:textAlignment w:val="auto"/>
              <w:rPr>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lang w:val="en-US" w:eastAsia="zh-CN"/>
              </w:rPr>
              <w:t>勘探期</w:t>
            </w:r>
            <w:r>
              <w:rPr>
                <w:rFonts w:hint="eastAsia"/>
                <w:sz w:val="24"/>
                <w:szCs w:val="24"/>
                <w:highlight w:val="none"/>
              </w:rPr>
              <w:t>噪声预测结果及分析</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ascii="宋体" w:hAnsi="宋体" w:cs="宋体"/>
                <w:sz w:val="24"/>
                <w:szCs w:val="24"/>
                <w:highlight w:val="none"/>
              </w:rPr>
            </w:pPr>
            <w:r>
              <w:rPr>
                <w:rFonts w:hint="eastAsia" w:ascii="宋体" w:hAnsi="宋体" w:cs="宋体"/>
                <w:sz w:val="24"/>
                <w:szCs w:val="24"/>
                <w:highlight w:val="none"/>
              </w:rPr>
              <w:t>运用上式对</w:t>
            </w:r>
            <w:r>
              <w:rPr>
                <w:rFonts w:hint="eastAsia" w:ascii="宋体" w:hAnsi="宋体" w:cs="宋体"/>
                <w:sz w:val="24"/>
                <w:szCs w:val="24"/>
                <w:highlight w:val="none"/>
                <w:lang w:val="en-US" w:eastAsia="zh-CN"/>
              </w:rPr>
              <w:t>勘探过程中</w:t>
            </w:r>
            <w:r>
              <w:rPr>
                <w:rFonts w:hint="eastAsia" w:ascii="宋体" w:hAnsi="宋体" w:cs="宋体"/>
                <w:sz w:val="24"/>
                <w:szCs w:val="24"/>
                <w:highlight w:val="none"/>
              </w:rPr>
              <w:t>施工机械噪声的环境影响进行预测计算，其结果如表</w:t>
            </w:r>
            <w:r>
              <w:rPr>
                <w:rFonts w:hint="eastAsia" w:ascii="宋体" w:hAnsi="宋体" w:cs="宋体"/>
                <w:sz w:val="24"/>
                <w:szCs w:val="24"/>
                <w:highlight w:val="none"/>
                <w:lang w:val="en-US" w:eastAsia="zh-CN"/>
              </w:rPr>
              <w:t>4-4</w:t>
            </w:r>
            <w:r>
              <w:rPr>
                <w:rFonts w:hint="eastAsia" w:ascii="宋体" w:hAnsi="宋体" w:cs="宋体"/>
                <w:sz w:val="24"/>
                <w:szCs w:val="24"/>
                <w:highlight w:val="none"/>
              </w:rPr>
              <w:t>所示。</w:t>
            </w:r>
          </w:p>
          <w:p>
            <w:pPr>
              <w:pStyle w:val="37"/>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ascii="宋体" w:hAnsi="宋体" w:cs="宋体"/>
                <w:b/>
                <w:kern w:val="2"/>
                <w:sz w:val="24"/>
                <w:szCs w:val="24"/>
                <w:highlight w:val="none"/>
              </w:rPr>
            </w:pPr>
            <w:r>
              <w:rPr>
                <w:rFonts w:hint="default" w:ascii="Times New Roman" w:hAnsi="Times New Roman" w:cs="Times New Roman"/>
                <w:b/>
                <w:kern w:val="2"/>
                <w:sz w:val="24"/>
                <w:szCs w:val="24"/>
                <w:highlight w:val="none"/>
              </w:rPr>
              <w:t>表</w:t>
            </w:r>
            <w:r>
              <w:rPr>
                <w:rFonts w:hint="default" w:ascii="Times New Roman" w:hAnsi="Times New Roman" w:cs="Times New Roman"/>
                <w:b/>
                <w:kern w:val="2"/>
                <w:sz w:val="24"/>
                <w:szCs w:val="24"/>
                <w:highlight w:val="none"/>
                <w:lang w:val="en-US" w:eastAsia="zh-CN"/>
              </w:rPr>
              <w:t>4-</w:t>
            </w:r>
            <w:r>
              <w:rPr>
                <w:rFonts w:hint="eastAsia" w:cs="Times New Roman"/>
                <w:b/>
                <w:kern w:val="2"/>
                <w:sz w:val="24"/>
                <w:szCs w:val="24"/>
                <w:highlight w:val="none"/>
                <w:lang w:val="en-US" w:eastAsia="zh-CN"/>
              </w:rPr>
              <w:t xml:space="preserve">4 </w:t>
            </w:r>
            <w:r>
              <w:rPr>
                <w:rFonts w:hint="default" w:ascii="Times New Roman" w:hAnsi="Times New Roman" w:cs="Times New Roman"/>
                <w:b/>
                <w:kern w:val="2"/>
                <w:sz w:val="24"/>
                <w:szCs w:val="24"/>
                <w:highlight w:val="none"/>
              </w:rPr>
              <w:t xml:space="preserve"> 项目主要</w:t>
            </w:r>
            <w:r>
              <w:rPr>
                <w:rFonts w:hint="eastAsia" w:ascii="宋体" w:hAnsi="宋体" w:cs="宋体"/>
                <w:b/>
                <w:kern w:val="2"/>
                <w:sz w:val="24"/>
                <w:szCs w:val="24"/>
                <w:highlight w:val="none"/>
              </w:rPr>
              <w:t>施工机械在不同距离处的噪声预测值</w:t>
            </w:r>
          </w:p>
          <w:tbl>
            <w:tblPr>
              <w:tblStyle w:val="1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531"/>
              <w:gridCol w:w="650"/>
              <w:gridCol w:w="651"/>
              <w:gridCol w:w="651"/>
              <w:gridCol w:w="694"/>
              <w:gridCol w:w="772"/>
              <w:gridCol w:w="772"/>
              <w:gridCol w:w="772"/>
              <w:gridCol w:w="773"/>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5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机械类型</w:t>
                  </w:r>
                </w:p>
              </w:tc>
              <w:tc>
                <w:tcPr>
                  <w:tcW w:w="7039"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25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p>
              </w:tc>
              <w:tc>
                <w:tcPr>
                  <w:tcW w:w="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5m</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10m</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20m</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50m</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150m</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200m</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300m</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挖掘机</w:t>
                  </w:r>
                </w:p>
              </w:tc>
              <w:tc>
                <w:tcPr>
                  <w:tcW w:w="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81</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75</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69</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61</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59.4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51.5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49</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45.4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eastAsia="宋体" w:cs="Times New Roman"/>
                      <w:sz w:val="21"/>
                      <w:szCs w:val="21"/>
                      <w:highlight w:val="none"/>
                      <w:lang w:eastAsia="zh-CN"/>
                    </w:rPr>
                  </w:pPr>
                  <w:r>
                    <w:rPr>
                      <w:rFonts w:hint="eastAsia" w:ascii="Times New Roman" w:hAnsi="Times New Roman" w:cs="Times New Roman"/>
                      <w:sz w:val="21"/>
                      <w:szCs w:val="21"/>
                      <w:highlight w:val="none"/>
                      <w:lang w:val="en-US" w:eastAsia="zh-CN"/>
                    </w:rPr>
                    <w:t>钻井机</w:t>
                  </w:r>
                </w:p>
              </w:tc>
              <w:tc>
                <w:tcPr>
                  <w:tcW w:w="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72</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66</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60</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52</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46</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42.5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35.4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运输车辆</w:t>
                  </w:r>
                </w:p>
              </w:tc>
              <w:tc>
                <w:tcPr>
                  <w:tcW w:w="53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80</w:t>
                  </w:r>
                </w:p>
              </w:tc>
              <w:tc>
                <w:tcPr>
                  <w:tcW w:w="6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74</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68</w:t>
                  </w:r>
                </w:p>
              </w:tc>
              <w:tc>
                <w:tcPr>
                  <w:tcW w:w="6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60</w:t>
                  </w:r>
                </w:p>
              </w:tc>
              <w:tc>
                <w:tcPr>
                  <w:tcW w:w="69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58.4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54</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50.5</w:t>
                  </w:r>
                </w:p>
              </w:tc>
              <w:tc>
                <w:tcPr>
                  <w:tcW w:w="77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48</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43.4</w:t>
                  </w:r>
                </w:p>
              </w:tc>
              <w:tc>
                <w:tcPr>
                  <w:tcW w:w="7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shd w:val="clear" w:color="auto" w:fill="auto"/>
                  <w:noWrap w:val="0"/>
                  <w:vAlign w:val="center"/>
                </w:tcPr>
                <w:p>
                  <w:pPr>
                    <w:pStyle w:val="47"/>
                    <w:bidi w:val="0"/>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柴油发电机</w:t>
                  </w:r>
                </w:p>
              </w:tc>
              <w:tc>
                <w:tcPr>
                  <w:tcW w:w="531" w:type="dxa"/>
                  <w:shd w:val="clear" w:color="auto" w:fill="auto"/>
                  <w:noWrap w:val="0"/>
                  <w:vAlign w:val="center"/>
                </w:tcPr>
                <w:p>
                  <w:pPr>
                    <w:pStyle w:val="47"/>
                    <w:bidi w:val="0"/>
                    <w:rPr>
                      <w:rFonts w:hint="default" w:ascii="Times New Roman" w:hAnsi="Times New Roman" w:eastAsia="宋体" w:cs="Times New Roman"/>
                      <w:color w:val="auto"/>
                      <w:kern w:val="2"/>
                      <w:sz w:val="21"/>
                      <w:szCs w:val="21"/>
                      <w:lang w:val="en-US" w:eastAsia="zh-CN" w:bidi="ar-SA"/>
                    </w:rPr>
                  </w:pPr>
                  <w:r>
                    <w:rPr>
                      <w:rFonts w:hint="default"/>
                      <w:color w:val="auto"/>
                    </w:rPr>
                    <w:t>80</w:t>
                  </w:r>
                </w:p>
              </w:tc>
              <w:tc>
                <w:tcPr>
                  <w:tcW w:w="650" w:type="dxa"/>
                  <w:shd w:val="clear" w:color="auto" w:fill="auto"/>
                  <w:noWrap w:val="0"/>
                  <w:vAlign w:val="center"/>
                </w:tcPr>
                <w:p>
                  <w:pPr>
                    <w:pStyle w:val="47"/>
                    <w:bidi w:val="0"/>
                    <w:rPr>
                      <w:rFonts w:hint="default" w:ascii="Times New Roman" w:hAnsi="Times New Roman" w:eastAsia="宋体" w:cs="Times New Roman"/>
                      <w:color w:val="auto"/>
                      <w:kern w:val="2"/>
                      <w:sz w:val="21"/>
                      <w:szCs w:val="21"/>
                      <w:lang w:val="en-US" w:eastAsia="zh-CN" w:bidi="ar-SA"/>
                    </w:rPr>
                  </w:pPr>
                  <w:r>
                    <w:rPr>
                      <w:rFonts w:hint="default"/>
                      <w:color w:val="auto"/>
                    </w:rPr>
                    <w:t>74</w:t>
                  </w:r>
                </w:p>
              </w:tc>
              <w:tc>
                <w:tcPr>
                  <w:tcW w:w="651" w:type="dxa"/>
                  <w:shd w:val="clear" w:color="auto" w:fill="auto"/>
                  <w:noWrap w:val="0"/>
                  <w:vAlign w:val="center"/>
                </w:tcPr>
                <w:p>
                  <w:pPr>
                    <w:pStyle w:val="47"/>
                    <w:bidi w:val="0"/>
                    <w:rPr>
                      <w:rFonts w:hint="default" w:ascii="Times New Roman" w:hAnsi="Times New Roman" w:eastAsia="宋体" w:cs="Times New Roman"/>
                      <w:color w:val="auto"/>
                      <w:kern w:val="2"/>
                      <w:sz w:val="21"/>
                      <w:szCs w:val="21"/>
                      <w:lang w:val="en-US" w:eastAsia="zh-CN" w:bidi="ar-SA"/>
                    </w:rPr>
                  </w:pPr>
                  <w:r>
                    <w:rPr>
                      <w:rFonts w:hint="default"/>
                      <w:color w:val="auto"/>
                    </w:rPr>
                    <w:t>68</w:t>
                  </w:r>
                </w:p>
              </w:tc>
              <w:tc>
                <w:tcPr>
                  <w:tcW w:w="651" w:type="dxa"/>
                  <w:shd w:val="clear" w:color="auto" w:fill="auto"/>
                  <w:noWrap w:val="0"/>
                  <w:vAlign w:val="center"/>
                </w:tcPr>
                <w:p>
                  <w:pPr>
                    <w:pStyle w:val="47"/>
                    <w:bidi w:val="0"/>
                    <w:rPr>
                      <w:rFonts w:hint="default" w:ascii="Times New Roman" w:hAnsi="Times New Roman" w:eastAsia="宋体" w:cs="Times New Roman"/>
                      <w:color w:val="auto"/>
                      <w:kern w:val="2"/>
                      <w:sz w:val="21"/>
                      <w:szCs w:val="21"/>
                      <w:lang w:val="en-US" w:eastAsia="zh-CN" w:bidi="ar-SA"/>
                    </w:rPr>
                  </w:pPr>
                  <w:r>
                    <w:rPr>
                      <w:rFonts w:hint="default"/>
                      <w:color w:val="auto"/>
                    </w:rPr>
                    <w:t>60</w:t>
                  </w:r>
                </w:p>
              </w:tc>
              <w:tc>
                <w:tcPr>
                  <w:tcW w:w="694" w:type="dxa"/>
                  <w:shd w:val="clear" w:color="auto" w:fill="auto"/>
                  <w:noWrap w:val="0"/>
                  <w:vAlign w:val="center"/>
                </w:tcPr>
                <w:p>
                  <w:pPr>
                    <w:pStyle w:val="47"/>
                    <w:bidi w:val="0"/>
                    <w:rPr>
                      <w:rFonts w:hint="default" w:ascii="Times New Roman" w:hAnsi="Times New Roman" w:eastAsia="宋体" w:cs="Times New Roman"/>
                      <w:color w:val="auto"/>
                      <w:kern w:val="2"/>
                      <w:sz w:val="21"/>
                      <w:szCs w:val="21"/>
                      <w:lang w:val="en-US" w:eastAsia="zh-CN" w:bidi="ar-SA"/>
                    </w:rPr>
                  </w:pPr>
                  <w:r>
                    <w:rPr>
                      <w:rFonts w:hint="default"/>
                      <w:color w:val="auto"/>
                    </w:rPr>
                    <w:t>58.4</w:t>
                  </w:r>
                </w:p>
              </w:tc>
              <w:tc>
                <w:tcPr>
                  <w:tcW w:w="772" w:type="dxa"/>
                  <w:shd w:val="clear" w:color="auto" w:fill="auto"/>
                  <w:noWrap w:val="0"/>
                  <w:vAlign w:val="center"/>
                </w:tcPr>
                <w:p>
                  <w:pPr>
                    <w:pStyle w:val="47"/>
                    <w:bidi w:val="0"/>
                    <w:rPr>
                      <w:rFonts w:hint="default" w:ascii="Times New Roman" w:hAnsi="Times New Roman" w:eastAsia="宋体" w:cs="Times New Roman"/>
                      <w:color w:val="auto"/>
                      <w:kern w:val="2"/>
                      <w:sz w:val="21"/>
                      <w:szCs w:val="21"/>
                      <w:lang w:val="en-US" w:eastAsia="zh-CN" w:bidi="ar-SA"/>
                    </w:rPr>
                  </w:pPr>
                  <w:r>
                    <w:rPr>
                      <w:rFonts w:hint="default"/>
                      <w:color w:val="auto"/>
                    </w:rPr>
                    <w:t>54</w:t>
                  </w:r>
                </w:p>
              </w:tc>
              <w:tc>
                <w:tcPr>
                  <w:tcW w:w="772" w:type="dxa"/>
                  <w:shd w:val="clear" w:color="auto" w:fill="auto"/>
                  <w:noWrap w:val="0"/>
                  <w:vAlign w:val="center"/>
                </w:tcPr>
                <w:p>
                  <w:pPr>
                    <w:pStyle w:val="47"/>
                    <w:bidi w:val="0"/>
                    <w:rPr>
                      <w:rFonts w:hint="default" w:ascii="Times New Roman" w:hAnsi="Times New Roman" w:eastAsia="宋体" w:cs="Times New Roman"/>
                      <w:color w:val="auto"/>
                      <w:kern w:val="2"/>
                      <w:sz w:val="21"/>
                      <w:szCs w:val="21"/>
                      <w:lang w:val="en-US" w:eastAsia="zh-CN" w:bidi="ar-SA"/>
                    </w:rPr>
                  </w:pPr>
                  <w:r>
                    <w:rPr>
                      <w:rFonts w:hint="default"/>
                      <w:color w:val="auto"/>
                    </w:rPr>
                    <w:t>50.5</w:t>
                  </w:r>
                </w:p>
              </w:tc>
              <w:tc>
                <w:tcPr>
                  <w:tcW w:w="772" w:type="dxa"/>
                  <w:shd w:val="clear" w:color="auto" w:fill="auto"/>
                  <w:noWrap w:val="0"/>
                  <w:vAlign w:val="center"/>
                </w:tcPr>
                <w:p>
                  <w:pPr>
                    <w:pStyle w:val="47"/>
                    <w:bidi w:val="0"/>
                    <w:rPr>
                      <w:rFonts w:hint="default" w:ascii="Times New Roman" w:hAnsi="Times New Roman" w:eastAsia="宋体" w:cs="Times New Roman"/>
                      <w:color w:val="auto"/>
                      <w:kern w:val="2"/>
                      <w:sz w:val="21"/>
                      <w:szCs w:val="21"/>
                      <w:lang w:val="en-US" w:eastAsia="zh-CN" w:bidi="ar-SA"/>
                    </w:rPr>
                  </w:pPr>
                  <w:r>
                    <w:rPr>
                      <w:rFonts w:hint="default"/>
                      <w:color w:val="auto"/>
                    </w:rPr>
                    <w:t>48</w:t>
                  </w:r>
                </w:p>
              </w:tc>
              <w:tc>
                <w:tcPr>
                  <w:tcW w:w="773" w:type="dxa"/>
                  <w:shd w:val="clear" w:color="auto" w:fill="auto"/>
                  <w:noWrap w:val="0"/>
                  <w:vAlign w:val="center"/>
                </w:tcPr>
                <w:p>
                  <w:pPr>
                    <w:pStyle w:val="47"/>
                    <w:bidi w:val="0"/>
                    <w:rPr>
                      <w:rFonts w:hint="default" w:ascii="Times New Roman" w:hAnsi="Times New Roman" w:eastAsia="宋体" w:cs="Times New Roman"/>
                      <w:color w:val="auto"/>
                      <w:kern w:val="2"/>
                      <w:sz w:val="21"/>
                      <w:szCs w:val="21"/>
                      <w:lang w:val="en-US" w:eastAsia="zh-CN" w:bidi="ar-SA"/>
                    </w:rPr>
                  </w:pPr>
                  <w:r>
                    <w:rPr>
                      <w:rFonts w:hint="default"/>
                      <w:color w:val="auto"/>
                    </w:rPr>
                    <w:t>43.4</w:t>
                  </w:r>
                </w:p>
              </w:tc>
              <w:tc>
                <w:tcPr>
                  <w:tcW w:w="773" w:type="dxa"/>
                  <w:shd w:val="clear" w:color="auto" w:fill="auto"/>
                  <w:noWrap w:val="0"/>
                  <w:vAlign w:val="center"/>
                </w:tcPr>
                <w:p>
                  <w:pPr>
                    <w:pStyle w:val="47"/>
                    <w:bidi w:val="0"/>
                    <w:rPr>
                      <w:rFonts w:hint="default" w:ascii="Times New Roman" w:hAnsi="Times New Roman" w:eastAsia="宋体" w:cs="Times New Roman"/>
                      <w:color w:val="auto"/>
                      <w:kern w:val="2"/>
                      <w:sz w:val="21"/>
                      <w:szCs w:val="21"/>
                      <w:lang w:val="en-US" w:eastAsia="zh-CN" w:bidi="ar-SA"/>
                    </w:rPr>
                  </w:pPr>
                  <w:r>
                    <w:rPr>
                      <w:rFonts w:hint="default"/>
                      <w:color w:val="auto"/>
                    </w:rPr>
                    <w:t>40.9</w:t>
                  </w:r>
                </w:p>
              </w:tc>
            </w:tr>
          </w:tbl>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cs="Times New Roman"/>
                <w:kern w:val="0"/>
                <w:sz w:val="24"/>
                <w:szCs w:val="24"/>
                <w:highlight w:val="none"/>
              </w:rPr>
            </w:pPr>
            <w:r>
              <w:rPr>
                <w:rFonts w:hint="default" w:ascii="Times New Roman" w:hAnsi="Times New Roman" w:cs="Times New Roman"/>
                <w:sz w:val="24"/>
                <w:szCs w:val="24"/>
                <w:highlight w:val="none"/>
              </w:rPr>
              <w:t>本项目夜间不进行</w:t>
            </w:r>
            <w:r>
              <w:rPr>
                <w:rFonts w:hint="eastAsia" w:ascii="Times New Roman" w:hAnsi="Times New Roman" w:cs="Times New Roman"/>
                <w:sz w:val="24"/>
                <w:szCs w:val="24"/>
                <w:highlight w:val="none"/>
                <w:lang w:val="en-US" w:eastAsia="zh-CN"/>
              </w:rPr>
              <w:t>工作</w:t>
            </w:r>
            <w:r>
              <w:rPr>
                <w:rFonts w:hint="default" w:ascii="Times New Roman" w:hAnsi="Times New Roman" w:cs="Times New Roman"/>
                <w:sz w:val="24"/>
                <w:szCs w:val="24"/>
                <w:highlight w:val="none"/>
              </w:rPr>
              <w:t>，因此距</w:t>
            </w:r>
            <w:r>
              <w:rPr>
                <w:rFonts w:hint="eastAsia" w:cs="Times New Roman"/>
                <w:sz w:val="24"/>
                <w:szCs w:val="24"/>
                <w:highlight w:val="none"/>
                <w:lang w:val="en-US" w:eastAsia="zh-CN"/>
              </w:rPr>
              <w:t>施工机械20</w:t>
            </w:r>
            <w:r>
              <w:rPr>
                <w:rFonts w:hint="default" w:ascii="Times New Roman" w:hAnsi="Times New Roman" w:cs="Times New Roman"/>
                <w:sz w:val="24"/>
                <w:szCs w:val="24"/>
                <w:highlight w:val="none"/>
              </w:rPr>
              <w:t>m处，昼间噪声均达到</w:t>
            </w:r>
            <w:r>
              <w:rPr>
                <w:rFonts w:hint="eastAsia" w:cs="Times New Roman"/>
                <w:sz w:val="24"/>
                <w:szCs w:val="24"/>
                <w:highlight w:val="none"/>
                <w:lang w:val="en-US" w:eastAsia="zh-CN"/>
              </w:rPr>
              <w:t>《建筑施工噪声排放标准》（GB12523-2025）</w:t>
            </w:r>
            <w:r>
              <w:rPr>
                <w:rFonts w:hint="default" w:ascii="Times New Roman" w:hAnsi="Times New Roman" w:cs="Times New Roman"/>
                <w:sz w:val="24"/>
                <w:szCs w:val="24"/>
                <w:highlight w:val="none"/>
                <w:lang w:val="en-US" w:eastAsia="zh-CN"/>
              </w:rPr>
              <w:t>中施工噪声要求</w:t>
            </w:r>
            <w:r>
              <w:rPr>
                <w:rFonts w:hint="default" w:ascii="Times New Roman" w:hAnsi="Times New Roman" w:cs="Times New Roman"/>
                <w:kern w:val="0"/>
                <w:sz w:val="24"/>
                <w:szCs w:val="24"/>
                <w:highlight w:val="none"/>
              </w:rPr>
              <w:t>。</w:t>
            </w:r>
          </w:p>
          <w:p>
            <w:pPr>
              <w:pStyle w:val="6"/>
              <w:pageBreakBefore w:val="0"/>
              <w:kinsoku/>
              <w:wordWrap/>
              <w:overflowPunct/>
              <w:topLinePunct w:val="0"/>
              <w:autoSpaceDE/>
              <w:autoSpaceDN/>
              <w:bidi w:val="0"/>
              <w:adjustRightInd/>
              <w:snapToGrid/>
              <w:spacing w:line="520" w:lineRule="exact"/>
              <w:textAlignment w:val="auto"/>
              <w:outlineLvl w:val="1"/>
              <w:rPr>
                <w:b/>
                <w:bCs w:val="0"/>
                <w:sz w:val="24"/>
                <w:szCs w:val="24"/>
                <w:highlight w:val="none"/>
              </w:rPr>
            </w:pPr>
            <w:r>
              <w:rPr>
                <w:rFonts w:hint="eastAsia"/>
                <w:b/>
                <w:bCs w:val="0"/>
                <w:sz w:val="24"/>
                <w:szCs w:val="24"/>
                <w:highlight w:val="none"/>
                <w:lang w:val="en-US" w:eastAsia="zh-CN"/>
              </w:rPr>
              <w:t>5.</w:t>
            </w:r>
            <w:r>
              <w:rPr>
                <w:b/>
                <w:bCs w:val="0"/>
                <w:sz w:val="24"/>
                <w:szCs w:val="24"/>
                <w:highlight w:val="none"/>
              </w:rPr>
              <w:t>固体废物</w:t>
            </w:r>
            <w:r>
              <w:rPr>
                <w:rFonts w:hint="eastAsia" w:cs="宋体"/>
                <w:b/>
                <w:bCs w:val="0"/>
                <w:sz w:val="24"/>
                <w:highlight w:val="none"/>
                <w:lang w:val="en-US" w:eastAsia="zh-CN"/>
              </w:rPr>
              <w:t>环境影响分析</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sz w:val="24"/>
                <w:highlight w:val="none"/>
              </w:rPr>
            </w:pPr>
            <w:r>
              <w:rPr>
                <w:rFonts w:hint="eastAsia"/>
                <w:sz w:val="24"/>
                <w:highlight w:val="none"/>
              </w:rPr>
              <w:t>本项目固体废物主要为</w:t>
            </w:r>
            <w:r>
              <w:rPr>
                <w:rFonts w:hint="eastAsia"/>
                <w:sz w:val="24"/>
                <w:highlight w:val="none"/>
                <w:lang w:val="en-US" w:eastAsia="zh-CN"/>
              </w:rPr>
              <w:t>槽探</w:t>
            </w:r>
            <w:r>
              <w:rPr>
                <w:rFonts w:hint="eastAsia"/>
                <w:sz w:val="24"/>
                <w:highlight w:val="none"/>
              </w:rPr>
              <w:t>及钻探开挖时产生的临时土石方、员工的生活垃圾</w:t>
            </w:r>
            <w:r>
              <w:rPr>
                <w:rFonts w:hint="eastAsia"/>
                <w:sz w:val="24"/>
                <w:highlight w:val="none"/>
                <w:lang w:eastAsia="zh-CN"/>
              </w:rPr>
              <w:t>、</w:t>
            </w:r>
            <w:r>
              <w:rPr>
                <w:rFonts w:hint="eastAsia"/>
                <w:sz w:val="24"/>
                <w:highlight w:val="none"/>
                <w:lang w:val="en-US" w:eastAsia="zh-CN"/>
              </w:rPr>
              <w:t>污泥</w:t>
            </w:r>
            <w:r>
              <w:rPr>
                <w:rFonts w:hint="eastAsia"/>
                <w:sz w:val="24"/>
                <w:highlight w:val="none"/>
              </w:rPr>
              <w:t>和泥浆等</w:t>
            </w:r>
            <w:r>
              <w:rPr>
                <w:rFonts w:hint="eastAsia"/>
                <w:sz w:val="24"/>
                <w:highlight w:val="none"/>
                <w:lang w:eastAsia="zh-CN"/>
              </w:rPr>
              <w:t>，</w:t>
            </w:r>
            <w:r>
              <w:rPr>
                <w:rFonts w:hint="eastAsia"/>
                <w:sz w:val="24"/>
                <w:highlight w:val="none"/>
                <w:lang w:val="en-US" w:eastAsia="zh-CN"/>
              </w:rPr>
              <w:t>按照固体废物“减量化、资源化、无害化”原则进行处理</w:t>
            </w:r>
            <w:r>
              <w:rPr>
                <w:rFonts w:hint="eastAsia"/>
                <w:sz w:val="24"/>
                <w:highlight w:val="none"/>
              </w:rPr>
              <w:t>。</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（1）土石方</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根据工程分析，本项目勘探期的土石方主要是槽探、钻探过程中产生的，属于一般固废，挖出后堆放在槽探区一侧，使用彩条布覆盖并定期洒水，待工程结束后土石方全部回填于原位并进行平整，防止水土流失，无弃土产生，对周边环境影响较小。</w:t>
            </w:r>
          </w:p>
          <w:p>
            <w:pPr>
              <w:pageBreakBefore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（2）泥浆</w:t>
            </w:r>
            <w:r>
              <w:rPr>
                <w:rFonts w:hint="eastAsia" w:cs="Times New Roman"/>
                <w:kern w:val="2"/>
                <w:sz w:val="24"/>
                <w:szCs w:val="24"/>
                <w:highlight w:val="none"/>
                <w:lang w:val="en-US" w:eastAsia="zh-CN" w:bidi="ar-SA"/>
              </w:rPr>
              <w:t>、岩屑</w:t>
            </w:r>
          </w:p>
          <w:p>
            <w:pPr>
              <w:pageBreakBefore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本项目勘探期产生固体泥浆约为1t，在勘探结束后泥浆固化</w:t>
            </w:r>
            <w:r>
              <w:rPr>
                <w:rFonts w:hint="eastAsia" w:cs="Times New Roman"/>
                <w:kern w:val="2"/>
                <w:sz w:val="24"/>
                <w:szCs w:val="24"/>
                <w:highlight w:val="none"/>
                <w:lang w:val="en-US" w:eastAsia="zh-CN" w:bidi="ar-SA"/>
              </w:rPr>
              <w:t>后交</w:t>
            </w:r>
            <w:r>
              <w:rPr>
                <w:rFonts w:hint="eastAsia" w:ascii="Times New Roman" w:hAnsi="Times New Roman" w:eastAsia="宋体" w:cs="Times New Roman"/>
                <w:kern w:val="2"/>
                <w:sz w:val="24"/>
                <w:szCs w:val="24"/>
                <w:highlight w:val="none"/>
                <w:lang w:val="en-US" w:eastAsia="zh-CN" w:bidi="ar-SA"/>
              </w:rPr>
              <w:t>一般固废处置单位统一处理。</w:t>
            </w:r>
            <w:r>
              <w:rPr>
                <w:rFonts w:hint="eastAsia" w:cs="Times New Roman"/>
                <w:kern w:val="2"/>
                <w:sz w:val="24"/>
                <w:szCs w:val="24"/>
                <w:highlight w:val="none"/>
                <w:lang w:val="en-US" w:eastAsia="zh-CN" w:bidi="ar-SA"/>
              </w:rPr>
              <w:t>钻探岩屑约3.97m³，每个钻孔完毕后，岩屑用于回填钻孔。</w:t>
            </w:r>
          </w:p>
          <w:p>
            <w:pPr>
              <w:pageBreakBefore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（3）生活垃圾</w:t>
            </w:r>
            <w:r>
              <w:rPr>
                <w:rFonts w:hint="eastAsia" w:cs="Times New Roman"/>
                <w:kern w:val="2"/>
                <w:sz w:val="24"/>
                <w:szCs w:val="24"/>
                <w:highlight w:val="none"/>
                <w:lang w:val="en-US" w:eastAsia="zh-CN" w:bidi="ar-SA"/>
              </w:rPr>
              <w:t>、污泥</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本项目野外探矿作业人员约1</w:t>
            </w:r>
            <w:r>
              <w:rPr>
                <w:rFonts w:hint="eastAsia" w:cs="Times New Roman"/>
                <w:kern w:val="2"/>
                <w:sz w:val="24"/>
                <w:szCs w:val="24"/>
                <w:highlight w:val="none"/>
                <w:lang w:val="en-US" w:eastAsia="zh-CN" w:bidi="ar-SA"/>
              </w:rPr>
              <w:t>2</w:t>
            </w:r>
            <w:r>
              <w:rPr>
                <w:rFonts w:hint="eastAsia" w:ascii="Times New Roman" w:hAnsi="Times New Roman" w:eastAsia="宋体" w:cs="Times New Roman"/>
                <w:kern w:val="2"/>
                <w:sz w:val="24"/>
                <w:szCs w:val="24"/>
                <w:highlight w:val="none"/>
                <w:lang w:val="en-US" w:eastAsia="zh-CN" w:bidi="ar-SA"/>
              </w:rPr>
              <w:t>人，勘探期</w:t>
            </w:r>
            <w:r>
              <w:rPr>
                <w:rFonts w:hint="eastAsia" w:cs="Times New Roman"/>
                <w:kern w:val="2"/>
                <w:sz w:val="24"/>
                <w:szCs w:val="24"/>
                <w:highlight w:val="none"/>
                <w:lang w:val="en-US" w:eastAsia="zh-CN" w:bidi="ar-SA"/>
              </w:rPr>
              <w:t>设计工作天数为72</w:t>
            </w:r>
            <w:r>
              <w:rPr>
                <w:rFonts w:hint="eastAsia" w:ascii="Times New Roman" w:hAnsi="Times New Roman" w:eastAsia="宋体" w:cs="Times New Roman"/>
                <w:kern w:val="2"/>
                <w:sz w:val="24"/>
                <w:szCs w:val="24"/>
                <w:highlight w:val="none"/>
                <w:lang w:val="en-US" w:eastAsia="zh-CN" w:bidi="ar-SA"/>
              </w:rPr>
              <w:t>0d。按每人每天产生0.5kg生活垃圾计算，则生活垃圾产生量</w:t>
            </w:r>
            <w:r>
              <w:rPr>
                <w:rFonts w:hint="eastAsia" w:cs="Times New Roman"/>
                <w:kern w:val="2"/>
                <w:sz w:val="24"/>
                <w:szCs w:val="24"/>
                <w:highlight w:val="none"/>
                <w:lang w:val="en-US" w:eastAsia="zh-CN" w:bidi="ar-SA"/>
              </w:rPr>
              <w:t>约</w:t>
            </w:r>
            <w:r>
              <w:rPr>
                <w:rFonts w:hint="eastAsia" w:ascii="Times New Roman" w:hAnsi="Times New Roman" w:eastAsia="宋体" w:cs="Times New Roman"/>
                <w:kern w:val="2"/>
                <w:sz w:val="24"/>
                <w:szCs w:val="24"/>
                <w:highlight w:val="none"/>
                <w:lang w:val="en-US" w:eastAsia="zh-CN" w:bidi="ar-SA"/>
              </w:rPr>
              <w:t>为</w:t>
            </w:r>
            <w:r>
              <w:rPr>
                <w:rFonts w:hint="eastAsia" w:cs="Times New Roman"/>
                <w:kern w:val="2"/>
                <w:sz w:val="24"/>
                <w:szCs w:val="24"/>
                <w:highlight w:val="none"/>
                <w:lang w:val="en-US" w:eastAsia="zh-CN" w:bidi="ar-SA"/>
              </w:rPr>
              <w:t>4.32</w:t>
            </w:r>
            <w:r>
              <w:rPr>
                <w:rFonts w:hint="eastAsia" w:ascii="Times New Roman" w:hAnsi="Times New Roman" w:eastAsia="宋体" w:cs="Times New Roman"/>
                <w:kern w:val="2"/>
                <w:sz w:val="24"/>
                <w:szCs w:val="24"/>
                <w:highlight w:val="none"/>
                <w:lang w:val="en-US" w:eastAsia="zh-CN" w:bidi="ar-SA"/>
              </w:rPr>
              <w:t>t，施工营地内设置一定数量的垃圾桶，用于临时存放生活垃圾，最终统一收集后交由附近村镇环卫部门处置。</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本项目</w:t>
            </w:r>
            <w:r>
              <w:rPr>
                <w:rFonts w:hint="eastAsia" w:cs="Times New Roman"/>
                <w:kern w:val="2"/>
                <w:sz w:val="24"/>
                <w:szCs w:val="24"/>
                <w:highlight w:val="none"/>
                <w:lang w:val="en-US" w:eastAsia="zh-CN" w:bidi="ar-SA"/>
              </w:rPr>
              <w:t>一</w:t>
            </w:r>
            <w:r>
              <w:rPr>
                <w:rFonts w:hint="eastAsia" w:ascii="Times New Roman" w:hAnsi="Times New Roman" w:eastAsia="宋体" w:cs="Times New Roman"/>
                <w:kern w:val="2"/>
                <w:sz w:val="24"/>
                <w:szCs w:val="24"/>
                <w:highlight w:val="none"/>
                <w:lang w:val="en-US" w:eastAsia="zh-CN" w:bidi="ar-SA"/>
              </w:rPr>
              <w:t>体化污水处理设施产生的污泥约为0.05t，定期清掏，与生活垃圾一同带往山下交由环卫部门处理。</w:t>
            </w:r>
          </w:p>
          <w:p>
            <w:pPr>
              <w:pStyle w:val="37"/>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cs="Times New Roman"/>
                <w:b/>
                <w:kern w:val="2"/>
                <w:sz w:val="24"/>
                <w:szCs w:val="24"/>
                <w:highlight w:val="none"/>
                <w:lang w:val="en-US" w:eastAsia="zh-CN"/>
              </w:rPr>
            </w:pPr>
            <w:r>
              <w:rPr>
                <w:rFonts w:hint="eastAsia" w:ascii="Times New Roman" w:hAnsi="Times New Roman" w:cs="Times New Roman"/>
                <w:b/>
                <w:kern w:val="2"/>
                <w:sz w:val="24"/>
                <w:szCs w:val="24"/>
                <w:highlight w:val="none"/>
                <w:lang w:val="en-US" w:eastAsia="zh-CN"/>
              </w:rPr>
              <w:t>表4-3  项目固体废物产生情况</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7"/>
              <w:gridCol w:w="1500"/>
              <w:gridCol w:w="1143"/>
              <w:gridCol w:w="1388"/>
              <w:gridCol w:w="1219"/>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废物属性</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名称</w:t>
                  </w: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废物类别</w:t>
                  </w:r>
                </w:p>
              </w:tc>
              <w:tc>
                <w:tcPr>
                  <w:tcW w:w="13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废物代码</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产生量</w:t>
                  </w:r>
                </w:p>
              </w:tc>
              <w:tc>
                <w:tcPr>
                  <w:tcW w:w="190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7"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一般固废</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开挖土石方</w:t>
                  </w:r>
                </w:p>
              </w:tc>
              <w:tc>
                <w:tcPr>
                  <w:tcW w:w="1143"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SW</w:t>
                  </w:r>
                  <w:r>
                    <w:rPr>
                      <w:rFonts w:hint="eastAsia" w:cs="Times New Roman" w:eastAsiaTheme="minorEastAsia"/>
                      <w:sz w:val="21"/>
                      <w:szCs w:val="21"/>
                      <w:highlight w:val="none"/>
                      <w:lang w:val="en-US" w:eastAsia="zh-CN"/>
                    </w:rPr>
                    <w:t>59</w:t>
                  </w:r>
                </w:p>
              </w:tc>
              <w:tc>
                <w:tcPr>
                  <w:tcW w:w="1388"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900-099-S</w:t>
                  </w:r>
                  <w:r>
                    <w:rPr>
                      <w:rFonts w:hint="eastAsia" w:cs="Times New Roman" w:eastAsiaTheme="minorEastAsia"/>
                      <w:sz w:val="21"/>
                      <w:szCs w:val="21"/>
                      <w:highlight w:val="none"/>
                      <w:lang w:val="en-US" w:eastAsia="zh-CN"/>
                    </w:rPr>
                    <w:t>59</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2992</w:t>
                  </w:r>
                  <w:r>
                    <w:rPr>
                      <w:rFonts w:hint="default" w:ascii="Times New Roman" w:hAnsi="Times New Roman" w:cs="Times New Roman" w:eastAsiaTheme="minorEastAsia"/>
                      <w:sz w:val="21"/>
                      <w:szCs w:val="21"/>
                      <w:highlight w:val="none"/>
                    </w:rPr>
                    <w:t>m</w:t>
                  </w:r>
                  <w:r>
                    <w:rPr>
                      <w:rFonts w:hint="default" w:ascii="Times New Roman" w:hAnsi="Times New Roman" w:cs="Times New Roman" w:eastAsiaTheme="minorEastAsia"/>
                      <w:sz w:val="21"/>
                      <w:szCs w:val="21"/>
                      <w:highlight w:val="none"/>
                      <w:vertAlign w:val="superscript"/>
                    </w:rPr>
                    <w:t>3</w:t>
                  </w:r>
                </w:p>
              </w:tc>
              <w:tc>
                <w:tcPr>
                  <w:tcW w:w="190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勘探</w:t>
                  </w:r>
                  <w:r>
                    <w:rPr>
                      <w:rFonts w:hint="default" w:ascii="Times New Roman" w:hAnsi="Times New Roman" w:cs="Times New Roman" w:eastAsiaTheme="minorEastAsia"/>
                      <w:sz w:val="21"/>
                      <w:szCs w:val="21"/>
                      <w:highlight w:val="none"/>
                      <w:lang w:val="en-US" w:eastAsia="zh-CN"/>
                    </w:rPr>
                    <w:t>期结束全部回填至开挖迹地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13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岩屑</w:t>
                  </w:r>
                </w:p>
              </w:tc>
              <w:tc>
                <w:tcPr>
                  <w:tcW w:w="1143"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p>
              </w:tc>
              <w:tc>
                <w:tcPr>
                  <w:tcW w:w="1388"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3.97m</w:t>
                  </w:r>
                  <w:r>
                    <w:rPr>
                      <w:rFonts w:hint="eastAsia" w:cs="Times New Roman" w:eastAsiaTheme="minorEastAsia"/>
                      <w:sz w:val="21"/>
                      <w:szCs w:val="21"/>
                      <w:highlight w:val="none"/>
                      <w:vertAlign w:val="superscript"/>
                      <w:lang w:val="en-US" w:eastAsia="zh-CN"/>
                    </w:rPr>
                    <w:t>3</w:t>
                  </w:r>
                </w:p>
              </w:tc>
              <w:tc>
                <w:tcPr>
                  <w:tcW w:w="190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cs="Times New Roman" w:eastAsiaTheme="minorEastAsia"/>
                      <w:sz w:val="21"/>
                      <w:szCs w:val="21"/>
                      <w:highlight w:val="none"/>
                      <w:lang w:val="en-US" w:eastAsia="zh-CN"/>
                    </w:rPr>
                  </w:pPr>
                  <w:r>
                    <w:rPr>
                      <w:rFonts w:hint="eastAsia" w:ascii="Times New Roman" w:hAnsi="Times New Roman" w:cs="Times New Roman" w:eastAsiaTheme="minorEastAsia"/>
                      <w:sz w:val="21"/>
                      <w:szCs w:val="21"/>
                      <w:highlight w:val="none"/>
                      <w:lang w:val="en-US" w:eastAsia="zh-CN"/>
                    </w:rPr>
                    <w:t>统一收集后回填至钻</w:t>
                  </w:r>
                  <w:r>
                    <w:rPr>
                      <w:rFonts w:hint="eastAsia" w:cs="Times New Roman" w:eastAsiaTheme="minorEastAsia"/>
                      <w:sz w:val="21"/>
                      <w:szCs w:val="21"/>
                      <w:highlight w:val="none"/>
                      <w:lang w:val="en-US" w:eastAsia="zh-CN"/>
                    </w:rPr>
                    <w:t>孔</w:t>
                  </w:r>
                  <w:r>
                    <w:rPr>
                      <w:rFonts w:hint="eastAsia" w:ascii="Times New Roman" w:hAnsi="Times New Roman" w:cs="Times New Roman" w:eastAsiaTheme="minorEastAsia"/>
                      <w:sz w:val="21"/>
                      <w:szCs w:val="21"/>
                      <w:highlight w:val="none"/>
                      <w:lang w:val="en-US" w:eastAsia="zh-CN"/>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137"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固化钻井泥浆</w:t>
                  </w: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SW71</w:t>
                  </w:r>
                </w:p>
              </w:tc>
              <w:tc>
                <w:tcPr>
                  <w:tcW w:w="13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900-001-S71</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1t</w:t>
                  </w:r>
                </w:p>
              </w:tc>
              <w:tc>
                <w:tcPr>
                  <w:tcW w:w="190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生活垃圾</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生活垃圾</w:t>
                  </w: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lang w:val="en-US" w:eastAsia="zh-CN"/>
                    </w:rPr>
                    <w:t>SW61</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SW62</w:t>
                  </w:r>
                </w:p>
              </w:tc>
              <w:tc>
                <w:tcPr>
                  <w:tcW w:w="13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lang w:val="en-US" w:eastAsia="zh-CN"/>
                    </w:rPr>
                    <w:t>900-001-S61</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sz w:val="21"/>
                      <w:szCs w:val="21"/>
                      <w:highlight w:val="none"/>
                      <w:lang w:val="en-US" w:eastAsia="zh-CN"/>
                    </w:rPr>
                    <w:t>900-001-S62</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900-002-S62</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4.32</w:t>
                  </w:r>
                  <w:r>
                    <w:rPr>
                      <w:rFonts w:hint="default" w:ascii="Times New Roman" w:hAnsi="Times New Roman" w:cs="Times New Roman" w:eastAsiaTheme="minorEastAsia"/>
                      <w:sz w:val="21"/>
                      <w:szCs w:val="21"/>
                      <w:highlight w:val="none"/>
                      <w:lang w:val="en-US" w:eastAsia="zh-CN"/>
                    </w:rPr>
                    <w:t>t</w:t>
                  </w:r>
                </w:p>
              </w:tc>
              <w:tc>
                <w:tcPr>
                  <w:tcW w:w="190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eastAsiaTheme="minorEastAsia"/>
                      <w:sz w:val="21"/>
                      <w:szCs w:val="21"/>
                      <w:highlight w:val="none"/>
                      <w:lang w:val="en-US" w:eastAsia="zh-CN"/>
                    </w:rPr>
                    <w:t>统一收集后交由环卫部门定期处理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7"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其他固体废物</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污泥</w:t>
                  </w:r>
                </w:p>
              </w:tc>
              <w:tc>
                <w:tcPr>
                  <w:tcW w:w="114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SW07</w:t>
                  </w:r>
                </w:p>
              </w:tc>
              <w:tc>
                <w:tcPr>
                  <w:tcW w:w="1388"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900-099-S07</w:t>
                  </w:r>
                </w:p>
              </w:tc>
              <w:tc>
                <w:tcPr>
                  <w:tcW w:w="121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0.05t</w:t>
                  </w:r>
                </w:p>
              </w:tc>
              <w:tc>
                <w:tcPr>
                  <w:tcW w:w="1909"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highlight w:val="none"/>
                      <w:lang w:val="en-US" w:eastAsia="zh-CN"/>
                    </w:rPr>
                  </w:pPr>
                  <w:r>
                    <w:rPr>
                      <w:rFonts w:hint="eastAsia" w:cs="Times New Roman" w:eastAsiaTheme="minorEastAsia"/>
                      <w:sz w:val="21"/>
                      <w:szCs w:val="21"/>
                      <w:highlight w:val="none"/>
                      <w:lang w:val="en-US" w:eastAsia="zh-CN"/>
                    </w:rPr>
                    <w:t>定期清掏，与生活垃圾一同带往山下交由环卫部门处理</w:t>
                  </w:r>
                </w:p>
              </w:tc>
            </w:tr>
          </w:tbl>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Cs/>
                <w:sz w:val="24"/>
                <w:szCs w:val="24"/>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8" w:type="dxa"/>
            <w:noWrap w:val="0"/>
            <w:vAlign w:val="center"/>
          </w:tcPr>
          <w:p>
            <w:pPr>
              <w:pStyle w:val="15"/>
              <w:adjustRightInd w:val="0"/>
              <w:snapToGrid w:val="0"/>
              <w:spacing w:before="0" w:beforeAutospacing="0" w:after="0" w:afterAutospacing="0" w:line="240" w:lineRule="auto"/>
              <w:jc w:val="center"/>
              <w:rPr>
                <w:rFonts w:cs="宋体"/>
                <w:bCs/>
                <w:kern w:val="2"/>
                <w:sz w:val="21"/>
                <w:szCs w:val="21"/>
                <w:highlight w:val="none"/>
              </w:rPr>
            </w:pPr>
            <w:r>
              <w:rPr>
                <w:rFonts w:hint="eastAsia" w:cs="宋体"/>
                <w:bCs/>
                <w:kern w:val="2"/>
                <w:sz w:val="21"/>
                <w:szCs w:val="21"/>
                <w:highlight w:val="none"/>
              </w:rPr>
              <w:t>选址选线环境合理性分析</w:t>
            </w:r>
          </w:p>
        </w:tc>
        <w:tc>
          <w:tcPr>
            <w:tcW w:w="8614"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本项目</w:t>
            </w:r>
            <w:r>
              <w:rPr>
                <w:rFonts w:hint="default" w:ascii="Times New Roman" w:hAnsi="Times New Roman" w:eastAsia="宋体" w:cs="Times New Roman"/>
                <w:sz w:val="24"/>
                <w:szCs w:val="24"/>
                <w:highlight w:val="none"/>
              </w:rPr>
              <w:t>位于</w:t>
            </w:r>
            <w:r>
              <w:rPr>
                <w:rFonts w:hint="eastAsia" w:ascii="Times New Roman" w:hAnsi="Times New Roman" w:eastAsia="宋体" w:cs="Times New Roman"/>
                <w:sz w:val="24"/>
                <w:szCs w:val="24"/>
                <w:highlight w:val="none"/>
                <w:lang w:val="en-US" w:eastAsia="zh-CN"/>
              </w:rPr>
              <w:t>且末县</w:t>
            </w:r>
            <w:r>
              <w:rPr>
                <w:rFonts w:hint="eastAsia" w:cs="Times New Roman"/>
                <w:sz w:val="24"/>
                <w:szCs w:val="24"/>
                <w:highlight w:val="none"/>
                <w:lang w:val="en-US" w:eastAsia="zh-CN"/>
              </w:rPr>
              <w:t>西南219°方向</w:t>
            </w:r>
            <w:r>
              <w:rPr>
                <w:rFonts w:hint="eastAsia" w:ascii="Times New Roman" w:hAnsi="Times New Roman" w:eastAsia="宋体" w:cs="Times New Roman"/>
                <w:sz w:val="24"/>
                <w:szCs w:val="24"/>
                <w:highlight w:val="none"/>
                <w:lang w:val="en-US" w:eastAsia="zh-CN"/>
              </w:rPr>
              <w:t>直线约1</w:t>
            </w:r>
            <w:r>
              <w:rPr>
                <w:rFonts w:hint="eastAsia" w:cs="Times New Roman"/>
                <w:sz w:val="24"/>
                <w:szCs w:val="24"/>
                <w:highlight w:val="none"/>
                <w:lang w:val="en-US" w:eastAsia="zh-CN"/>
              </w:rPr>
              <w:t>95</w:t>
            </w:r>
            <w:r>
              <w:rPr>
                <w:rFonts w:hint="eastAsia" w:ascii="Times New Roman" w:hAnsi="Times New Roman" w:eastAsia="宋体" w:cs="Times New Roman"/>
                <w:sz w:val="24"/>
                <w:szCs w:val="24"/>
                <w:highlight w:val="none"/>
                <w:lang w:val="en-US" w:eastAsia="zh-CN"/>
              </w:rPr>
              <w:t>km处</w:t>
            </w:r>
            <w:r>
              <w:rPr>
                <w:rFonts w:hint="default"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rPr>
              <w:t>项目区及周围区域外环境关系较单纯，无重要保护文物、风景名胜区、水源保护地、生态敏感点等明显的环境制约因子</w:t>
            </w:r>
            <w:r>
              <w:rPr>
                <w:rFonts w:hint="eastAsia" w:ascii="Times New Roman" w:hAnsi="Times New Roman" w:eastAsia="宋体" w:cs="Times New Roman"/>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根据《产业结构调整指导目录（20</w:t>
            </w:r>
            <w:r>
              <w:rPr>
                <w:rFonts w:hint="eastAsia" w:ascii="Times New Roman" w:hAnsi="Times New Roman" w:eastAsia="宋体" w:cs="Times New Roman"/>
                <w:sz w:val="24"/>
                <w:szCs w:val="24"/>
                <w:highlight w:val="none"/>
                <w:lang w:val="en-US" w:eastAsia="zh-CN"/>
              </w:rPr>
              <w:t>24</w:t>
            </w:r>
            <w:r>
              <w:rPr>
                <w:rFonts w:hint="default" w:ascii="Times New Roman" w:hAnsi="Times New Roman" w:eastAsia="宋体" w:cs="Times New Roman"/>
                <w:sz w:val="24"/>
                <w:szCs w:val="24"/>
                <w:highlight w:val="none"/>
              </w:rPr>
              <w:t>年）》</w:t>
            </w:r>
            <w:r>
              <w:rPr>
                <w:rFonts w:hint="default" w:ascii="Times New Roman" w:hAnsi="Times New Roman" w:eastAsia="宋体" w:cs="Times New Roman"/>
                <w:sz w:val="24"/>
                <w:szCs w:val="24"/>
                <w:highlight w:val="none"/>
                <w:lang w:val="en-US" w:eastAsia="zh-CN"/>
              </w:rPr>
              <w:t>本项目属于陆地矿产资源地质勘查</w:t>
            </w:r>
            <w:r>
              <w:rPr>
                <w:rFonts w:hint="eastAsia" w:ascii="Times New Roman" w:hAnsi="Times New Roman" w:eastAsia="宋体" w:cs="Times New Roman"/>
                <w:sz w:val="24"/>
                <w:szCs w:val="24"/>
                <w:highlight w:val="none"/>
                <w:lang w:val="en-US" w:eastAsia="zh-CN"/>
              </w:rPr>
              <w:t>项目，</w:t>
            </w:r>
            <w:r>
              <w:rPr>
                <w:rFonts w:hint="default" w:ascii="Times New Roman" w:hAnsi="Times New Roman" w:eastAsia="宋体" w:cs="Times New Roman"/>
                <w:sz w:val="24"/>
                <w:szCs w:val="24"/>
                <w:highlight w:val="none"/>
              </w:rPr>
              <w:t>不属于鼓励类、限制类及淘汰类，属于允许类项目</w:t>
            </w:r>
            <w:r>
              <w:rPr>
                <w:rFonts w:hint="eastAsia"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符合产业政策和环境准入要求。项目不属于高污染、高能耗行业；项目已取得该区域的探矿权，探矿证号：</w:t>
            </w:r>
            <w:r>
              <w:rPr>
                <w:rFonts w:hint="eastAsia" w:cs="Times New Roman"/>
                <w:sz w:val="24"/>
                <w:szCs w:val="24"/>
                <w:highlight w:val="none"/>
                <w:lang w:val="en-US" w:eastAsia="zh-CN"/>
              </w:rPr>
              <w:t>DT6500002026033000000144</w:t>
            </w:r>
            <w:r>
              <w:rPr>
                <w:rFonts w:hint="eastAsia" w:ascii="Times New Roman" w:hAnsi="Times New Roman" w:eastAsia="宋体"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highlight w:val="none"/>
              </w:rPr>
            </w:pPr>
            <w:r>
              <w:rPr>
                <w:rFonts w:hint="default" w:ascii="Times New Roman" w:hAnsi="Times New Roman" w:eastAsia="宋体" w:cs="Times New Roman"/>
                <w:sz w:val="24"/>
                <w:szCs w:val="24"/>
                <w:highlight w:val="none"/>
              </w:rPr>
              <w:t>根据《新疆维吾尔自治区重点行业</w:t>
            </w:r>
            <w:r>
              <w:rPr>
                <w:rFonts w:hint="eastAsia" w:cs="Times New Roman"/>
                <w:sz w:val="24"/>
                <w:szCs w:val="24"/>
                <w:highlight w:val="none"/>
                <w:lang w:val="en-US" w:eastAsia="zh-CN"/>
              </w:rPr>
              <w:t>生态</w:t>
            </w:r>
            <w:r>
              <w:rPr>
                <w:rFonts w:hint="default" w:ascii="Times New Roman" w:hAnsi="Times New Roman" w:eastAsia="宋体" w:cs="Times New Roman"/>
                <w:sz w:val="24"/>
                <w:szCs w:val="24"/>
                <w:highlight w:val="none"/>
              </w:rPr>
              <w:t>环境准入条件（</w:t>
            </w:r>
            <w:r>
              <w:rPr>
                <w:rFonts w:hint="eastAsia" w:cs="Times New Roman"/>
                <w:sz w:val="24"/>
                <w:szCs w:val="24"/>
                <w:highlight w:val="none"/>
                <w:lang w:val="en-US" w:eastAsia="zh-CN"/>
              </w:rPr>
              <w:t>2024年</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eastAsia="zh-CN"/>
              </w:rPr>
              <w:t>：禁止在自然保护区、世界自然遗产地、风景名胜区、森林公园、地质公园、重要湿地、饮用水水源保护区等重点保</w:t>
            </w:r>
            <w:r>
              <w:rPr>
                <w:rFonts w:hint="default" w:ascii="Times New Roman" w:hAnsi="Times New Roman" w:cs="Times New Roman"/>
                <w:sz w:val="24"/>
                <w:szCs w:val="24"/>
                <w:highlight w:val="none"/>
                <w:lang w:eastAsia="zh-CN"/>
              </w:rPr>
              <w:t>护区域内</w:t>
            </w:r>
            <w:r>
              <w:rPr>
                <w:rFonts w:hint="eastAsia" w:cs="Times New Roman"/>
                <w:sz w:val="24"/>
                <w:szCs w:val="24"/>
                <w:highlight w:val="none"/>
                <w:lang w:eastAsia="zh-CN"/>
              </w:rPr>
              <w:t>及其他</w:t>
            </w:r>
            <w:r>
              <w:rPr>
                <w:rFonts w:hint="default" w:ascii="Times New Roman" w:hAnsi="Times New Roman" w:cs="Times New Roman"/>
                <w:sz w:val="24"/>
                <w:szCs w:val="24"/>
                <w:highlight w:val="none"/>
                <w:lang w:eastAsia="zh-CN"/>
              </w:rPr>
              <w:t>法律法规禁止的区域进行污染环境的任何开发活动。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根据现场勘查，</w:t>
            </w:r>
            <w:r>
              <w:rPr>
                <w:rFonts w:hint="default" w:ascii="Times New Roman" w:hAnsi="Times New Roman" w:cs="Times New Roman"/>
                <w:sz w:val="24"/>
                <w:szCs w:val="24"/>
                <w:highlight w:val="none"/>
                <w:lang w:eastAsia="zh-CN"/>
              </w:rPr>
              <w:t>勘探</w:t>
            </w:r>
            <w:r>
              <w:rPr>
                <w:rFonts w:hint="default" w:ascii="Times New Roman" w:hAnsi="Times New Roman" w:cs="Times New Roman"/>
                <w:sz w:val="24"/>
                <w:szCs w:val="24"/>
                <w:highlight w:val="none"/>
              </w:rPr>
              <w:t>区</w:t>
            </w:r>
            <w:r>
              <w:rPr>
                <w:rFonts w:hint="default" w:ascii="Times New Roman" w:hAnsi="Times New Roman" w:cs="Times New Roman"/>
                <w:sz w:val="24"/>
                <w:szCs w:val="24"/>
                <w:highlight w:val="none"/>
                <w:lang w:eastAsia="zh-CN"/>
              </w:rPr>
              <w:t>不涉及自然保护区、世界自然遗产地、风景名胜区、森林公园、地质公园、重要湿地、饮用水水源保护区等重点保护区域，</w:t>
            </w:r>
            <w:r>
              <w:rPr>
                <w:rFonts w:hint="default" w:ascii="Times New Roman" w:hAnsi="Times New Roman" w:cs="Times New Roman"/>
                <w:sz w:val="24"/>
                <w:szCs w:val="24"/>
                <w:highlight w:val="none"/>
              </w:rPr>
              <w:t>因此本项目选址符合《新疆维吾尔自治区重点行业</w:t>
            </w:r>
            <w:r>
              <w:rPr>
                <w:rFonts w:hint="eastAsia" w:cs="Times New Roman"/>
                <w:sz w:val="24"/>
                <w:szCs w:val="24"/>
                <w:highlight w:val="none"/>
                <w:lang w:val="en-US" w:eastAsia="zh-CN"/>
              </w:rPr>
              <w:t>生态</w:t>
            </w:r>
            <w:r>
              <w:rPr>
                <w:rFonts w:hint="default" w:ascii="Times New Roman" w:hAnsi="Times New Roman" w:cs="Times New Roman"/>
                <w:sz w:val="24"/>
                <w:szCs w:val="24"/>
                <w:highlight w:val="none"/>
              </w:rPr>
              <w:t>环境准入条件（</w:t>
            </w:r>
            <w:r>
              <w:rPr>
                <w:rFonts w:hint="eastAsia" w:cs="Times New Roman"/>
                <w:sz w:val="24"/>
                <w:szCs w:val="24"/>
                <w:highlight w:val="none"/>
                <w:lang w:val="en-US" w:eastAsia="zh-CN"/>
              </w:rPr>
              <w:t>2024年</w:t>
            </w:r>
            <w:r>
              <w:rPr>
                <w:rFonts w:hint="default" w:ascii="Times New Roman" w:hAnsi="Times New Roman" w:cs="Times New Roman"/>
                <w:sz w:val="24"/>
                <w:szCs w:val="24"/>
                <w:highlight w:val="none"/>
              </w:rPr>
              <w:t>）》的相关要求。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highlight w:val="none"/>
              </w:rPr>
            </w:pPr>
            <w:r>
              <w:rPr>
                <w:rFonts w:hint="default" w:ascii="Times New Roman" w:hAnsi="Times New Roman" w:eastAsia="宋体" w:cs="Times New Roman"/>
                <w:bCs/>
                <w:sz w:val="24"/>
                <w:szCs w:val="24"/>
                <w:highlight w:val="none"/>
              </w:rPr>
              <w:t>本项目为</w:t>
            </w:r>
            <w:r>
              <w:rPr>
                <w:rFonts w:hint="default" w:ascii="Times New Roman" w:hAnsi="Times New Roman" w:eastAsia="宋体" w:cs="Times New Roman"/>
                <w:bCs/>
                <w:sz w:val="24"/>
                <w:szCs w:val="24"/>
                <w:highlight w:val="none"/>
                <w:lang w:val="en-US" w:eastAsia="zh-CN"/>
              </w:rPr>
              <w:t>陆地矿产资源地质勘查项目</w:t>
            </w:r>
            <w:r>
              <w:rPr>
                <w:rFonts w:hint="default" w:ascii="Times New Roman" w:hAnsi="Times New Roman" w:eastAsia="宋体" w:cs="Times New Roman"/>
                <w:bCs/>
                <w:sz w:val="24"/>
                <w:szCs w:val="24"/>
                <w:highlight w:val="none"/>
              </w:rPr>
              <w:t>，</w:t>
            </w:r>
            <w:r>
              <w:rPr>
                <w:rFonts w:hint="default" w:ascii="Times New Roman" w:hAnsi="Times New Roman" w:eastAsia="宋体" w:cs="Times New Roman"/>
                <w:bCs/>
                <w:sz w:val="24"/>
                <w:szCs w:val="24"/>
                <w:highlight w:val="none"/>
                <w:lang w:eastAsia="zh-CN"/>
              </w:rPr>
              <w:t>根据</w:t>
            </w:r>
            <w:r>
              <w:rPr>
                <w:rFonts w:hint="default" w:ascii="Times New Roman" w:hAnsi="Times New Roman" w:cs="Times New Roman"/>
                <w:sz w:val="24"/>
                <w:szCs w:val="24"/>
                <w:highlight w:val="none"/>
              </w:rPr>
              <w:t>《新疆维吾尔自治区主体功能区规划》</w:t>
            </w:r>
            <w:r>
              <w:rPr>
                <w:rFonts w:hint="eastAsia" w:ascii="Times New Roman" w:hAnsi="Times New Roman" w:cs="Times New Roman"/>
                <w:sz w:val="24"/>
                <w:szCs w:val="24"/>
                <w:highlight w:val="none"/>
                <w:lang w:eastAsia="zh-CN"/>
              </w:rPr>
              <w:t>，</w:t>
            </w:r>
            <w:r>
              <w:rPr>
                <w:rFonts w:hint="default" w:ascii="Times New Roman" w:hAnsi="Times New Roman" w:eastAsia="宋体" w:cs="Times New Roman"/>
                <w:bCs/>
                <w:sz w:val="24"/>
                <w:szCs w:val="24"/>
                <w:highlight w:val="none"/>
              </w:rPr>
              <w:t>评价区属</w:t>
            </w:r>
            <w:r>
              <w:rPr>
                <w:rFonts w:hint="default" w:ascii="Times New Roman" w:hAnsi="Times New Roman" w:eastAsia="宋体" w:cs="Times New Roman"/>
                <w:bCs/>
                <w:sz w:val="24"/>
                <w:szCs w:val="24"/>
                <w:highlight w:val="none"/>
                <w:lang w:val="en-US" w:eastAsia="zh-CN"/>
              </w:rPr>
              <w:t>“阿尔金草原荒漠化</w:t>
            </w:r>
            <w:r>
              <w:rPr>
                <w:rFonts w:hint="eastAsia" w:cs="Times New Roman"/>
                <w:bCs/>
                <w:sz w:val="24"/>
                <w:szCs w:val="24"/>
                <w:highlight w:val="none"/>
                <w:lang w:val="en-US" w:eastAsia="zh-CN"/>
              </w:rPr>
              <w:t>防治</w:t>
            </w:r>
            <w:r>
              <w:rPr>
                <w:rFonts w:hint="default" w:ascii="Times New Roman" w:hAnsi="Times New Roman" w:eastAsia="宋体" w:cs="Times New Roman"/>
                <w:bCs/>
                <w:sz w:val="24"/>
                <w:szCs w:val="24"/>
                <w:highlight w:val="none"/>
                <w:lang w:val="en-US" w:eastAsia="zh-CN"/>
              </w:rPr>
              <w:t>生态</w:t>
            </w:r>
            <w:r>
              <w:rPr>
                <w:rFonts w:hint="eastAsia" w:cs="Times New Roman"/>
                <w:bCs/>
                <w:sz w:val="24"/>
                <w:szCs w:val="24"/>
                <w:highlight w:val="none"/>
                <w:lang w:val="en-US" w:eastAsia="zh-CN"/>
              </w:rPr>
              <w:t>功能</w:t>
            </w:r>
            <w:r>
              <w:rPr>
                <w:rFonts w:hint="default" w:ascii="Times New Roman" w:hAnsi="Times New Roman" w:eastAsia="宋体" w:cs="Times New Roman"/>
                <w:bCs/>
                <w:sz w:val="24"/>
                <w:szCs w:val="24"/>
                <w:highlight w:val="none"/>
                <w:lang w:val="en-US" w:eastAsia="zh-CN"/>
              </w:rPr>
              <w:t>区”</w:t>
            </w:r>
            <w:r>
              <w:rPr>
                <w:rFonts w:hint="default" w:ascii="Times New Roman" w:hAnsi="Times New Roman" w:eastAsia="宋体" w:cs="Times New Roman"/>
                <w:bCs/>
                <w:sz w:val="24"/>
                <w:szCs w:val="24"/>
                <w:highlight w:val="none"/>
              </w:rPr>
              <w:t>，</w:t>
            </w:r>
            <w:r>
              <w:rPr>
                <w:rFonts w:hint="default" w:ascii="Times New Roman" w:hAnsi="Times New Roman" w:cs="Times New Roman"/>
                <w:sz w:val="24"/>
                <w:szCs w:val="24"/>
                <w:highlight w:val="none"/>
                <w:lang w:eastAsia="zh-CN"/>
              </w:rPr>
              <w:t>本项目施工开挖土石方统一存放，并密闭处理，防止雨水冲刷滚落。规划路线行走、尽可能少使用车辆</w:t>
            </w:r>
            <w:r>
              <w:rPr>
                <w:rFonts w:hint="eastAsia"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eastAsia="zh-CN"/>
              </w:rPr>
              <w:t>严格控制电池、塑料等有害垃圾的使用，垃圾统一收集并定点处理，爱护地表植物，不惊吓，不捕捉野生动物。工作结束后</w:t>
            </w:r>
            <w:r>
              <w:rPr>
                <w:rFonts w:hint="eastAsia" w:ascii="Times New Roman" w:hAnsi="Times New Roman" w:cs="Times New Roman"/>
                <w:sz w:val="24"/>
                <w:szCs w:val="24"/>
                <w:highlight w:val="none"/>
                <w:lang w:val="en-US" w:eastAsia="zh-CN"/>
              </w:rPr>
              <w:t>及时</w:t>
            </w:r>
            <w:r>
              <w:rPr>
                <w:rFonts w:hint="default" w:ascii="Times New Roman" w:hAnsi="Times New Roman" w:cs="Times New Roman"/>
                <w:sz w:val="24"/>
                <w:szCs w:val="24"/>
                <w:highlight w:val="none"/>
                <w:lang w:eastAsia="zh-CN"/>
              </w:rPr>
              <w:t>恢复地表植被。</w:t>
            </w:r>
            <w:r>
              <w:rPr>
                <w:rFonts w:hint="default" w:ascii="Times New Roman" w:hAnsi="Times New Roman" w:cs="Times New Roman"/>
                <w:sz w:val="24"/>
                <w:szCs w:val="24"/>
                <w:highlight w:val="none"/>
              </w:rPr>
              <w:t>符合《新疆维吾尔自治区主体功能区规划》相关要求。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bCs/>
                <w:szCs w:val="21"/>
                <w:highlight w:val="none"/>
              </w:rPr>
            </w:pPr>
            <w:r>
              <w:rPr>
                <w:rFonts w:hint="eastAsia"/>
                <w:sz w:val="24"/>
                <w:highlight w:val="none"/>
                <w:lang w:val="en-US" w:eastAsia="zh-CN"/>
              </w:rPr>
              <w:t>因此，本</w:t>
            </w:r>
            <w:r>
              <w:rPr>
                <w:rFonts w:hint="eastAsia"/>
                <w:sz w:val="24"/>
                <w:highlight w:val="none"/>
              </w:rPr>
              <w:t>项目选址合理。</w:t>
            </w:r>
          </w:p>
        </w:tc>
      </w:tr>
    </w:tbl>
    <w:p>
      <w:pPr>
        <w:pStyle w:val="15"/>
        <w:spacing w:line="360" w:lineRule="auto"/>
        <w:jc w:val="center"/>
        <w:rPr>
          <w:rFonts w:ascii="黑体" w:hAnsi="黑体" w:eastAsia="黑体"/>
          <w:snapToGrid w:val="0"/>
          <w:sz w:val="36"/>
          <w:szCs w:val="36"/>
          <w:highlight w:val="none"/>
        </w:rPr>
        <w:sectPr>
          <w:pgSz w:w="11906" w:h="16838"/>
          <w:pgMar w:top="1440" w:right="1800" w:bottom="1440" w:left="1800" w:header="851" w:footer="1077" w:gutter="0"/>
          <w:pgNumType w:fmt="decimal"/>
          <w:cols w:space="720" w:num="1"/>
          <w:docGrid w:linePitch="312" w:charSpace="0"/>
        </w:sectPr>
      </w:pPr>
    </w:p>
    <w:p>
      <w:pPr>
        <w:pStyle w:val="15"/>
        <w:spacing w:line="240" w:lineRule="auto"/>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五、主要生态环境保护措施</w:t>
      </w:r>
    </w:p>
    <w:tbl>
      <w:tblPr>
        <w:tblStyle w:val="17"/>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861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7" w:type="dxa"/>
            <w:noWrap w:val="0"/>
            <w:tcMar>
              <w:left w:w="28" w:type="dxa"/>
              <w:right w:w="28" w:type="dxa"/>
            </w:tcMar>
            <w:vAlign w:val="center"/>
          </w:tcPr>
          <w:p>
            <w:pPr>
              <w:adjustRightInd w:val="0"/>
              <w:snapToGrid w:val="0"/>
              <w:spacing w:line="240" w:lineRule="auto"/>
              <w:jc w:val="center"/>
              <w:rPr>
                <w:rFonts w:ascii="宋体" w:hAnsi="宋体"/>
                <w:bCs/>
                <w:szCs w:val="21"/>
                <w:highlight w:val="none"/>
              </w:rPr>
            </w:pPr>
            <w:r>
              <w:rPr>
                <w:rFonts w:hint="eastAsia" w:ascii="宋体" w:hAnsi="宋体" w:cs="宋体"/>
                <w:bCs/>
                <w:spacing w:val="10"/>
                <w:szCs w:val="21"/>
                <w:highlight w:val="none"/>
              </w:rPr>
              <w:t>施工期生态环境保护措施</w:t>
            </w:r>
          </w:p>
        </w:tc>
        <w:tc>
          <w:tcPr>
            <w:tcW w:w="8613" w:type="dxa"/>
            <w:noWrap w:val="0"/>
            <w:vAlign w:val="top"/>
          </w:tcPr>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b/>
                <w:bCs/>
                <w:sz w:val="24"/>
                <w:highlight w:val="none"/>
                <w:lang w:val="en-US" w:eastAsia="zh-CN"/>
              </w:rPr>
            </w:pPr>
            <w:r>
              <w:rPr>
                <w:rFonts w:hint="eastAsia"/>
                <w:b/>
                <w:bCs/>
                <w:sz w:val="24"/>
                <w:highlight w:val="none"/>
                <w:lang w:val="en-US" w:eastAsia="zh-CN"/>
              </w:rPr>
              <w:t>1.施工期生态环境保护措施</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highlight w:val="none"/>
                <w:lang w:val="en-US" w:eastAsia="zh-CN"/>
              </w:rPr>
            </w:pPr>
            <w:r>
              <w:rPr>
                <w:rFonts w:hint="eastAsia"/>
                <w:b/>
                <w:bCs/>
                <w:sz w:val="24"/>
                <w:highlight w:val="none"/>
                <w:lang w:val="en-US" w:eastAsia="zh-CN"/>
              </w:rPr>
              <w:t>1.1对地表扰动的生态保护措施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（1）选择植被覆盖度较低、地势平坦的区域作为临时生活营地。</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（2）在进行场地平整时，尽量使用小型挖掘机械或人工作业，减少对周围环境的扰动。</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（3）工程建设过程中，严格控制施工范围，工程建设过程中，严格控制施工范围，及时拆除、清理临时设施，各类施工应进行清理，平整场地使扰动过的地表与周围的景观相协调。</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（4）施工结束土方回填时采用机械与人工相结合的方式，确保回填均匀，平整周边地形，使其与周边地形地貌相协调，最终使其自然恢复。</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highlight w:val="none"/>
                <w:lang w:val="en-US" w:eastAsia="zh-CN"/>
              </w:rPr>
            </w:pPr>
            <w:r>
              <w:rPr>
                <w:rFonts w:hint="eastAsia"/>
                <w:b/>
                <w:bCs/>
                <w:sz w:val="24"/>
                <w:highlight w:val="none"/>
                <w:lang w:val="en-US" w:eastAsia="zh-CN"/>
              </w:rPr>
              <w:t>1.2对野生动植物的保护措施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（1）优化施工场地的选址，严格限定施工作业带范围。施工营地、临时堆土区应布置在植被较少的区域，尽量减少对植被的破坏。</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（2）优化施工组织，尽量减少施工过程中动用的土石方数量，减少植被破坏量。</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（3）加强对施工人员进行宣传教育，强化保护野生动物的观念，不得捕猎。车辆行驶过程中不得鸣笛惊吓野生动物。</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（4）施工时，避免大型挖掘设备，尽量使用小型挖掘机械或人工作业，尽量缩短工期，减少因施工造成对动植物的影响。</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highlight w:val="none"/>
                <w:lang w:val="en-US" w:eastAsia="zh-CN"/>
              </w:rPr>
            </w:pPr>
            <w:r>
              <w:rPr>
                <w:rFonts w:hint="eastAsia"/>
                <w:b/>
                <w:bCs/>
                <w:sz w:val="24"/>
                <w:highlight w:val="none"/>
                <w:lang w:val="en-US" w:eastAsia="zh-CN"/>
              </w:rPr>
              <w:t>1.3施工期防沙治沙措施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项目施工时间短，范围小，对区域土地沙化影响较小。采取以下防沙治沙措施：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①施工结束后对场地进行平整和清理，尽量利用施工时产生的表层土对临时占地进行覆盖。</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②合理规划机械行驶路线，避免不必要的重复碾压。</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③严禁在大风大雨天气施工。</w:t>
            </w:r>
          </w:p>
          <w:p>
            <w:pPr>
              <w:keepNext w:val="0"/>
              <w:keepLines w:val="0"/>
              <w:pageBreakBefore w:val="0"/>
              <w:widowControl w:val="0"/>
              <w:kinsoku/>
              <w:wordWrap/>
              <w:overflowPunct/>
              <w:topLinePunct w:val="0"/>
              <w:bidi w:val="0"/>
              <w:adjustRightInd/>
              <w:snapToGrid/>
              <w:spacing w:line="520" w:lineRule="exact"/>
              <w:ind w:firstLine="482" w:firstLineChars="200"/>
              <w:textAlignment w:val="auto"/>
              <w:rPr>
                <w:rFonts w:hint="eastAsia"/>
                <w:b/>
                <w:bCs/>
                <w:sz w:val="24"/>
                <w:highlight w:val="none"/>
                <w:lang w:val="en-US" w:eastAsia="zh-CN"/>
              </w:rPr>
            </w:pPr>
            <w:r>
              <w:rPr>
                <w:rFonts w:hint="eastAsia"/>
                <w:b/>
                <w:bCs/>
                <w:sz w:val="24"/>
                <w:highlight w:val="none"/>
                <w:lang w:val="en-US" w:eastAsia="zh-CN"/>
              </w:rPr>
              <w:t>1.4施工期水土保持措施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项目施工过程中，各类工程活动如平整场地、搭建临时设施等会造成水土流失。采取以下水土保持措施：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①做好施工规划工作，合理布设施工场地，减少占用土地；</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②控制人为活动，加强施工监理，防止施工人员及施工机械超范围的活动；</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③结束后要对施工迹地进行清理平整与植被恢复工作，尽可能减少对植被的破坏。</w:t>
            </w:r>
          </w:p>
          <w:p>
            <w:pPr>
              <w:keepNext w:val="0"/>
              <w:keepLines w:val="0"/>
              <w:pageBreakBefore w:val="0"/>
              <w:widowControl w:val="0"/>
              <w:numPr>
                <w:ilvl w:val="0"/>
                <w:numId w:val="2"/>
              </w:numPr>
              <w:kinsoku/>
              <w:wordWrap/>
              <w:overflowPunct/>
              <w:topLinePunct w:val="0"/>
              <w:autoSpaceDE w:val="0"/>
              <w:autoSpaceDN w:val="0"/>
              <w:bidi w:val="0"/>
              <w:adjustRightInd/>
              <w:snapToGrid/>
              <w:spacing w:line="520" w:lineRule="exact"/>
              <w:textAlignment w:val="auto"/>
              <w:rPr>
                <w:rFonts w:hint="eastAsia"/>
                <w:b/>
                <w:bCs/>
                <w:sz w:val="24"/>
                <w:highlight w:val="none"/>
                <w:lang w:val="en-US" w:eastAsia="zh-CN"/>
              </w:rPr>
            </w:pPr>
            <w:r>
              <w:rPr>
                <w:rFonts w:hint="eastAsia"/>
                <w:b/>
                <w:bCs/>
                <w:sz w:val="24"/>
                <w:highlight w:val="none"/>
                <w:lang w:val="en-US" w:eastAsia="zh-CN"/>
              </w:rPr>
              <w:t>施工期大气环境保护措施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1）运输车辆应谨防运输车辆装载过满，并尽可能采取遮盖、密闭措施，苫布边缘至少要遮住槽帮上沿以下15cm，减少其沿途遗撒，及时清扫散落在路面的泥土和灰尘定时洒水压尘，减少运输过程中的扬尘，防止因速度过快导致的汽车扬尘。</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（2）施工工地道路积尘清理措施，定期对场区洒水，保持下垫面和空气湿润，减少起尘量，洒水频率视天气情况调整，原则上施工期每天进行4次洒水降尘。</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（3）施工期间场地平整过程中，对暂时开挖的土方进行防护，使用防雨、防尘的苫布遮挡，减少风力起尘。</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（4）对施工人员进行环保方面的教育，提高设备原料利用率，不用设备时及时关闭，减少废气排放；在装卸进程中，禁止野蛮作业，减少作业扬尘，并为施工人员配备防尘口罩等防尘用品。</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（5）尽量选用低能耗、低污染排放的施工机械、车辆，加强对本项目施工期所使用的机械设备的维护及保养，尽量减少因机械、车辆状况不佳造成的空气污染，降低尾气中有害成分的浓度。</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b/>
                <w:bCs/>
                <w:sz w:val="24"/>
                <w:highlight w:val="none"/>
                <w:lang w:val="en-US" w:eastAsia="zh-CN"/>
              </w:rPr>
            </w:pPr>
            <w:r>
              <w:rPr>
                <w:rFonts w:hint="eastAsia"/>
                <w:b/>
                <w:bCs/>
                <w:sz w:val="24"/>
                <w:highlight w:val="none"/>
                <w:lang w:val="en-US" w:eastAsia="zh-CN"/>
              </w:rPr>
              <w:t>3.施工期水环境保护措施</w:t>
            </w:r>
          </w:p>
          <w:p>
            <w:pPr>
              <w:widowControl/>
              <w:spacing w:line="520" w:lineRule="exact"/>
              <w:ind w:firstLine="480" w:firstLineChars="200"/>
              <w:rPr>
                <w:rFonts w:hint="eastAsia" w:asciiTheme="minorEastAsia" w:hAnsiTheme="minorEastAsia" w:cstheme="minorEastAsia"/>
                <w:sz w:val="24"/>
                <w:highlight w:val="none"/>
              </w:rPr>
            </w:pPr>
            <w:r>
              <w:rPr>
                <w:rFonts w:asciiTheme="minorEastAsia" w:hAnsiTheme="minorEastAsia" w:cstheme="minorEastAsia"/>
                <w:sz w:val="24"/>
                <w:highlight w:val="none"/>
              </w:rPr>
              <w:t>（</w:t>
            </w:r>
            <w:r>
              <w:rPr>
                <w:rFonts w:hint="eastAsia" w:asciiTheme="minorEastAsia" w:hAnsiTheme="minorEastAsia" w:cstheme="minorEastAsia"/>
                <w:sz w:val="24"/>
                <w:highlight w:val="none"/>
                <w:lang w:val="en-US" w:eastAsia="zh-CN"/>
              </w:rPr>
              <w:t>1</w:t>
            </w:r>
            <w:r>
              <w:rPr>
                <w:rFonts w:asciiTheme="minorEastAsia" w:hAnsiTheme="minorEastAsia" w:cstheme="minorEastAsia"/>
                <w:sz w:val="24"/>
                <w:highlight w:val="none"/>
              </w:rPr>
              <w:t>）施工过程中产生的生活污水排入</w:t>
            </w:r>
            <w:r>
              <w:rPr>
                <w:rFonts w:hint="eastAsia" w:asciiTheme="minorEastAsia" w:hAnsiTheme="minorEastAsia" w:cstheme="minorEastAsia"/>
                <w:sz w:val="24"/>
                <w:highlight w:val="none"/>
                <w:lang w:val="en-US" w:eastAsia="zh-CN"/>
              </w:rPr>
              <w:t>一体化污水处理设施，出水用于周边绿化</w:t>
            </w:r>
            <w:r>
              <w:rPr>
                <w:rFonts w:asciiTheme="minorEastAsia" w:hAnsiTheme="minorEastAsia" w:cstheme="minorEastAsia"/>
                <w:sz w:val="24"/>
                <w:highlight w:val="none"/>
              </w:rPr>
              <w:t>。</w:t>
            </w:r>
          </w:p>
          <w:p>
            <w:pPr>
              <w:widowControl/>
              <w:spacing w:line="520" w:lineRule="exact"/>
              <w:ind w:firstLine="480" w:firstLineChars="200"/>
              <w:rPr>
                <w:rFonts w:hint="default" w:ascii="微软雅黑" w:hAnsi="微软雅黑" w:eastAsia="微软雅黑" w:cs="微软雅黑"/>
                <w:i w:val="0"/>
                <w:iCs w:val="0"/>
                <w:caps w:val="0"/>
                <w:color w:val="333333"/>
                <w:spacing w:val="0"/>
                <w:sz w:val="24"/>
                <w:szCs w:val="24"/>
                <w:highlight w:val="none"/>
                <w:lang w:val="en-US" w:eastAsia="zh-CN"/>
              </w:rPr>
            </w:pPr>
            <w:r>
              <w:rPr>
                <w:rFonts w:asciiTheme="minorEastAsia" w:hAnsiTheme="minorEastAsia" w:cstheme="minorEastAsia"/>
                <w:sz w:val="24"/>
                <w:highlight w:val="none"/>
              </w:rPr>
              <w:t>（</w:t>
            </w:r>
            <w:r>
              <w:rPr>
                <w:rFonts w:hint="eastAsia" w:asciiTheme="minorEastAsia" w:hAnsiTheme="minorEastAsia" w:cstheme="minorEastAsia"/>
                <w:sz w:val="24"/>
                <w:highlight w:val="none"/>
                <w:lang w:val="en-US" w:eastAsia="zh-CN"/>
              </w:rPr>
              <w:t>2</w:t>
            </w:r>
            <w:r>
              <w:rPr>
                <w:rFonts w:asciiTheme="minorEastAsia" w:hAnsiTheme="minorEastAsia" w:cstheme="minorEastAsia"/>
                <w:sz w:val="24"/>
                <w:highlight w:val="none"/>
              </w:rPr>
              <w:t>）合理规划</w:t>
            </w:r>
            <w:r>
              <w:rPr>
                <w:rFonts w:hint="eastAsia" w:asciiTheme="minorEastAsia" w:hAnsiTheme="minorEastAsia" w:cstheme="minorEastAsia"/>
                <w:sz w:val="24"/>
                <w:highlight w:val="none"/>
              </w:rPr>
              <w:t>勘探</w:t>
            </w:r>
            <w:r>
              <w:rPr>
                <w:rFonts w:asciiTheme="minorEastAsia" w:hAnsiTheme="minorEastAsia" w:cstheme="minorEastAsia"/>
                <w:sz w:val="24"/>
                <w:highlight w:val="none"/>
              </w:rPr>
              <w:t>线路和作业区域，避免穿越季节性河流及冲沟。若无法避免，应采用对水系影响较小的方式，并设置防护设施，防止工程施工产生的废弃物进入水体，污染水质。</w:t>
            </w:r>
          </w:p>
          <w:p>
            <w:pPr>
              <w:keepNext w:val="0"/>
              <w:keepLines w:val="0"/>
              <w:pageBreakBefore w:val="0"/>
              <w:widowControl w:val="0"/>
              <w:kinsoku/>
              <w:wordWrap/>
              <w:overflowPunct/>
              <w:topLinePunct w:val="0"/>
              <w:bidi w:val="0"/>
              <w:adjustRightInd/>
              <w:snapToGrid/>
              <w:spacing w:line="520" w:lineRule="exact"/>
              <w:textAlignment w:val="auto"/>
              <w:rPr>
                <w:rFonts w:hint="eastAsia"/>
                <w:sz w:val="24"/>
                <w:highlight w:val="none"/>
                <w:lang w:val="en-US" w:eastAsia="zh-CN"/>
              </w:rPr>
            </w:pPr>
            <w:r>
              <w:rPr>
                <w:rFonts w:hint="eastAsia"/>
                <w:b/>
                <w:bCs/>
                <w:sz w:val="24"/>
                <w:highlight w:val="none"/>
                <w:lang w:val="en-US" w:eastAsia="zh-CN"/>
              </w:rPr>
              <w:t>4.施工期噪声环境保护措施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sz w:val="24"/>
                <w:highlight w:val="none"/>
                <w:lang w:val="en-US" w:eastAsia="zh-CN"/>
              </w:rPr>
            </w:pPr>
            <w:r>
              <w:rPr>
                <w:rFonts w:hint="eastAsia"/>
                <w:sz w:val="24"/>
                <w:highlight w:val="none"/>
                <w:lang w:val="en-US" w:eastAsia="zh-CN"/>
              </w:rPr>
              <w:t>本项目施工期噪声的来源包括运输车辆、发电机、挖机等产生的噪声，项目周边</w:t>
            </w:r>
            <w:r>
              <w:rPr>
                <w:rFonts w:hint="default"/>
                <w:sz w:val="24"/>
                <w:highlight w:val="none"/>
                <w:lang w:val="en-US" w:eastAsia="zh-CN"/>
              </w:rPr>
              <w:t>50m</w:t>
            </w:r>
            <w:r>
              <w:rPr>
                <w:rFonts w:hint="eastAsia"/>
                <w:sz w:val="24"/>
                <w:highlight w:val="none"/>
                <w:lang w:val="en-US" w:eastAsia="zh-CN"/>
              </w:rPr>
              <w:t>范围内无环境敏感目标，对环境影响较小。控制措施如下：</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（1）从声源上控制：使用低噪声的机械设备，严格按操作规范使用各类机械。</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（2）合理安排施工时间：制订施工计划时，应尽可能避免大量高噪声设备同时施工。</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（3）合理布置施工现场：施工现场应合理布局，将施工中的固定噪声源相对集中摆放，闲置不用的设备立即关闭，降低施工噪声对周边声环境的影响。</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（4）车辆出入施工现场时应低速、禁鸣。</w:t>
            </w:r>
          </w:p>
          <w:p>
            <w:pPr>
              <w:keepNext w:val="0"/>
              <w:keepLines w:val="0"/>
              <w:pageBreakBefore w:val="0"/>
              <w:widowControl w:val="0"/>
              <w:kinsoku/>
              <w:wordWrap/>
              <w:overflowPunct/>
              <w:topLinePunct w:val="0"/>
              <w:bidi w:val="0"/>
              <w:adjustRightInd/>
              <w:snapToGrid/>
              <w:spacing w:line="520" w:lineRule="exact"/>
              <w:textAlignment w:val="auto"/>
              <w:rPr>
                <w:rFonts w:hint="eastAsia"/>
                <w:b/>
                <w:bCs/>
                <w:sz w:val="24"/>
                <w:highlight w:val="none"/>
                <w:lang w:val="en-US" w:eastAsia="zh-CN"/>
              </w:rPr>
            </w:pPr>
            <w:r>
              <w:rPr>
                <w:rFonts w:hint="eastAsia"/>
                <w:b/>
                <w:bCs/>
                <w:sz w:val="24"/>
                <w:highlight w:val="none"/>
                <w:lang w:val="en-US" w:eastAsia="zh-CN"/>
              </w:rPr>
              <w:t>5.施工期固废环境保护措施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sz w:val="24"/>
                <w:highlight w:val="none"/>
                <w:lang w:val="en-US" w:eastAsia="zh-CN"/>
              </w:rPr>
            </w:pPr>
            <w:r>
              <w:rPr>
                <w:rFonts w:hint="eastAsia"/>
                <w:sz w:val="24"/>
                <w:highlight w:val="none"/>
                <w:lang w:val="en-US" w:eastAsia="zh-CN"/>
              </w:rPr>
              <w:t>施工期固体废物来自施工过程中土地平整所开挖的土石方，全部堆放在临时堆场内，待项目勘探期结束后，全部回填，恢复原有地貌。施工营地内设置一定数量的垃圾桶，用于临时存放生活垃圾，最终统一收集后交由环卫部门处置。</w:t>
            </w:r>
          </w:p>
          <w:p>
            <w:pPr>
              <w:keepNext w:val="0"/>
              <w:keepLines w:val="0"/>
              <w:pageBreakBefore w:val="0"/>
              <w:widowControl w:val="0"/>
              <w:kinsoku/>
              <w:wordWrap/>
              <w:overflowPunct/>
              <w:topLinePunct w:val="0"/>
              <w:bidi w:val="0"/>
              <w:adjustRightInd/>
              <w:snapToGrid/>
              <w:spacing w:line="520" w:lineRule="exact"/>
              <w:ind w:firstLine="0" w:firstLineChars="0"/>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6.施工期环境影响综合结论</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综上所述，施工期产生的污染物，对区域的生态环境、空气环境、声环境、地表水环境的影响是不可避免的。但由于施工期工作量较小，不会改变区域环境功能，对周围环境的影响较小，而且其影响是暂时的、局部的，其影响将随施工期的结束而消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597" w:type="dxa"/>
            <w:noWrap w:val="0"/>
            <w:tcMar>
              <w:left w:w="28" w:type="dxa"/>
              <w:right w:w="28" w:type="dxa"/>
            </w:tcMar>
            <w:vAlign w:val="center"/>
          </w:tcPr>
          <w:p>
            <w:pPr>
              <w:adjustRightInd w:val="0"/>
              <w:snapToGrid w:val="0"/>
              <w:spacing w:line="240" w:lineRule="auto"/>
              <w:jc w:val="center"/>
              <w:rPr>
                <w:rFonts w:ascii="宋体" w:hAnsi="宋体" w:cs="宋体"/>
                <w:bCs/>
                <w:spacing w:val="10"/>
                <w:szCs w:val="21"/>
                <w:highlight w:val="none"/>
              </w:rPr>
            </w:pPr>
            <w:r>
              <w:rPr>
                <w:rFonts w:hint="eastAsia" w:ascii="宋体" w:hAnsi="宋体" w:cs="宋体"/>
                <w:bCs/>
                <w:spacing w:val="10"/>
                <w:szCs w:val="21"/>
                <w:highlight w:val="none"/>
                <w:lang w:val="en-US" w:eastAsia="zh-CN"/>
              </w:rPr>
              <w:t>勘探</w:t>
            </w:r>
            <w:r>
              <w:rPr>
                <w:rFonts w:hint="eastAsia" w:ascii="宋体" w:hAnsi="宋体" w:cs="宋体"/>
                <w:bCs/>
                <w:spacing w:val="10"/>
                <w:szCs w:val="21"/>
                <w:highlight w:val="none"/>
              </w:rPr>
              <w:t>期生态环境保护措施</w:t>
            </w:r>
          </w:p>
        </w:tc>
        <w:tc>
          <w:tcPr>
            <w:tcW w:w="8613"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b/>
                <w:bCs/>
                <w:sz w:val="24"/>
                <w:highlight w:val="none"/>
                <w:lang w:val="en-US" w:eastAsia="zh-CN"/>
              </w:rPr>
            </w:pPr>
            <w:r>
              <w:rPr>
                <w:rFonts w:hint="eastAsia"/>
                <w:b/>
                <w:bCs/>
                <w:sz w:val="24"/>
                <w:highlight w:val="none"/>
                <w:lang w:val="en-US" w:eastAsia="zh-CN"/>
              </w:rPr>
              <w:t xml:space="preserve">1.生态环境影响保护措施 </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1.1</w:t>
            </w:r>
            <w:r>
              <w:rPr>
                <w:rFonts w:hint="eastAsia" w:ascii="Times New Roman" w:hAnsi="Times New Roman" w:cs="Times New Roman"/>
                <w:b/>
                <w:bCs/>
                <w:sz w:val="24"/>
                <w:szCs w:val="24"/>
                <w:highlight w:val="none"/>
                <w:lang w:val="en-US" w:eastAsia="zh-CN"/>
              </w:rPr>
              <w:t>陆生生物</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1</w:t>
            </w:r>
            <w:r>
              <w:rPr>
                <w:rFonts w:hint="eastAsia" w:ascii="Times New Roman" w:hAnsi="Times New Roman" w:cs="Times New Roman"/>
                <w:sz w:val="24"/>
                <w:szCs w:val="24"/>
                <w:highlight w:val="none"/>
                <w:lang w:val="en-US" w:eastAsia="zh-CN"/>
              </w:rPr>
              <w:t>）植物植被</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工作区地质活动主要为槽探和钻探，</w:t>
            </w:r>
            <w:r>
              <w:rPr>
                <w:rFonts w:hint="eastAsia" w:cs="Times New Roman"/>
                <w:sz w:val="24"/>
                <w:szCs w:val="24"/>
                <w:highlight w:val="none"/>
                <w:lang w:val="en-US" w:eastAsia="zh-CN"/>
              </w:rPr>
              <w:t>勘探</w:t>
            </w:r>
            <w:r>
              <w:rPr>
                <w:rFonts w:hint="eastAsia" w:ascii="Times New Roman" w:hAnsi="Times New Roman" w:cs="Times New Roman"/>
                <w:sz w:val="24"/>
                <w:szCs w:val="24"/>
                <w:highlight w:val="none"/>
                <w:lang w:val="en-US" w:eastAsia="zh-CN"/>
              </w:rPr>
              <w:t>过程中会对原有土地造成一定程度破坏。本次工程施工场地的布置将临时改变占地区土地利用状况，进而对一些植被造成破坏。根据现场调查了解，矿区内自然植物类型单一，种类、数量均较少，以草本植物为主，每年</w:t>
            </w:r>
            <w:r>
              <w:rPr>
                <w:rFonts w:hint="default" w:ascii="Times New Roman" w:hAnsi="Times New Roman" w:cs="Times New Roman"/>
                <w:sz w:val="24"/>
                <w:szCs w:val="24"/>
                <w:highlight w:val="none"/>
                <w:lang w:val="en-US" w:eastAsia="zh-CN"/>
              </w:rPr>
              <w:t>5</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7</w:t>
            </w:r>
            <w:r>
              <w:rPr>
                <w:rFonts w:hint="eastAsia" w:ascii="Times New Roman" w:hAnsi="Times New Roman" w:cs="Times New Roman"/>
                <w:sz w:val="24"/>
                <w:szCs w:val="24"/>
                <w:highlight w:val="none"/>
                <w:lang w:val="en-US" w:eastAsia="zh-CN"/>
              </w:rPr>
              <w:t>月在该区域生长。评价区内未发现国家重点保护野生植物。由于探矿工程施工，破坏了原有的植被和地貌景观，不可避免地要对地表植被造成破坏。勘探期间应采取以下措施：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①本评价要求建设单位综合考虑地形、地质与植被分布，合理规划施工勘探期地、临时道路等设施的布局，避免不必要的草地占用。优先选择植被覆盖度更低、生态敏感度相对较低的区域作为临时用地。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②尽量采用对草地破坏较小的施工工艺和设备，如使用小型、轻型设备，减少重型机械的碾压。在搬运设备和材料时，避免拖拽，防止对草地造成额外的损伤。</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③在勘探结束后，及时开展植被恢复工作，利用之前收集的表土对临时占</w:t>
            </w:r>
            <w:r>
              <w:rPr>
                <w:rFonts w:hint="eastAsia" w:cs="Times New Roman"/>
                <w:sz w:val="24"/>
                <w:szCs w:val="24"/>
                <w:highlight w:val="none"/>
                <w:lang w:val="en-US" w:eastAsia="zh-CN"/>
              </w:rPr>
              <w:t>地</w:t>
            </w:r>
            <w:r>
              <w:rPr>
                <w:rFonts w:hint="eastAsia" w:ascii="Times New Roman" w:hAnsi="Times New Roman" w:cs="Times New Roman"/>
                <w:sz w:val="24"/>
                <w:szCs w:val="24"/>
                <w:highlight w:val="none"/>
                <w:lang w:val="en-US" w:eastAsia="zh-CN"/>
              </w:rPr>
              <w:t>进行覆土，然后根据当地的自然条件和植被特点，选择适宜的草种进行播种或移栽。对勘探场地进行回填及迹地清理平整，项目营运过程中形成的裸露地表经过一段时间后可逐渐恢复原有的生态环境，区域内生态环境能够得到改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④勘探过程中应注意避让保护植物，不因项目建设对其生境造成破坏影响。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2</w:t>
            </w:r>
            <w:r>
              <w:rPr>
                <w:rFonts w:hint="eastAsia" w:ascii="Times New Roman" w:hAnsi="Times New Roman" w:cs="Times New Roman"/>
                <w:sz w:val="24"/>
                <w:szCs w:val="24"/>
                <w:highlight w:val="none"/>
                <w:lang w:val="en-US" w:eastAsia="zh-CN"/>
              </w:rPr>
              <w:t>）陆生动物</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经现场踏勘和资料分析，本项目可能涉及小型野生动物的栖息地，槽探开挖及施工作业破坏地形地貌的同时，也破坏了原有生态环境和小型野生动物的栖息环境，加上开采机械噪声及人员活动产生的影响，会对周围动物的生活造成干扰，使它们的生活受到威胁而迁徙，远离开采区域。勘探期间应采取以下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①勘探期间应严格规划行驶道路，尽可能减少对野生动物的扰动，尽量使用当地已有道路、牧道、不开辟新路线。对确需碾压地段，及时进行迹地的恢复治理，行驶时避让野生动物，不追逐，不惊吓。</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②根据调查，大部分野生动物都是夜间出没，因此建设单位应该加强开采管理，在勘探过程中应尽量安排在白天，避免夜间开采对野生动物的影响。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③加强员工对野生动物的保护意识，禁止捕捉野生动物，避免在野生动物的繁殖期、育幼期等敏感时期进行高强度作业，减少作业人员在矿区作业区以外活动区域，避免惊吓野生动物。</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项目分布的小型野生动物为当地常见类型，由于当地人为活动、车辆行驶频繁，这些动物已经对人为活动有一定的适应能力，因此，项目开采不会造成该区域某一物种消失，对这些动物的生存影响较小。</w:t>
            </w:r>
          </w:p>
          <w:p>
            <w:pPr>
              <w:keepNext w:val="0"/>
              <w:keepLines w:val="0"/>
              <w:pageBreakBefore w:val="0"/>
              <w:widowControl/>
              <w:suppressLineNumbers w:val="0"/>
              <w:kinsoku/>
              <w:wordWrap/>
              <w:overflowPunct/>
              <w:topLinePunct w:val="0"/>
              <w:autoSpaceDE/>
              <w:autoSpaceDN/>
              <w:bidi w:val="0"/>
              <w:snapToGrid/>
              <w:spacing w:line="520" w:lineRule="exact"/>
              <w:ind w:firstLine="482" w:firstLineChars="200"/>
              <w:jc w:val="left"/>
              <w:textAlignment w:val="auto"/>
              <w:rPr>
                <w:highlight w:val="none"/>
              </w:rPr>
            </w:pPr>
            <w:r>
              <w:rPr>
                <w:rFonts w:hint="default" w:ascii="Times New Roman" w:hAnsi="Times New Roman" w:eastAsia="宋体" w:cs="Times New Roman"/>
                <w:b/>
                <w:bCs/>
                <w:color w:val="000000"/>
                <w:kern w:val="0"/>
                <w:sz w:val="24"/>
                <w:szCs w:val="24"/>
                <w:highlight w:val="none"/>
                <w:lang w:val="en-US" w:eastAsia="zh-CN" w:bidi="ar"/>
              </w:rPr>
              <w:t>1.2</w:t>
            </w:r>
            <w:r>
              <w:rPr>
                <w:rFonts w:hint="eastAsia" w:ascii="宋体" w:hAnsi="宋体" w:eastAsia="宋体" w:cs="宋体"/>
                <w:b/>
                <w:bCs/>
                <w:color w:val="000000"/>
                <w:kern w:val="0"/>
                <w:sz w:val="24"/>
                <w:szCs w:val="24"/>
                <w:highlight w:val="none"/>
                <w:lang w:val="en-US" w:eastAsia="zh-CN" w:bidi="ar"/>
              </w:rPr>
              <w:t>土壤环境</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cs="Times New Roman"/>
                <w:sz w:val="24"/>
                <w:szCs w:val="24"/>
                <w:highlight w:val="none"/>
                <w:lang w:val="en-US" w:eastAsia="zh-CN"/>
              </w:rPr>
              <w:t>且末</w:t>
            </w:r>
            <w:r>
              <w:rPr>
                <w:rFonts w:hint="eastAsia" w:ascii="Times New Roman" w:hAnsi="Times New Roman" w:cs="Times New Roman"/>
                <w:sz w:val="24"/>
                <w:szCs w:val="24"/>
                <w:highlight w:val="none"/>
                <w:lang w:val="en-US" w:eastAsia="zh-CN"/>
              </w:rPr>
              <w:t>县地处欧亚大陆腹地，远离海洋，降水极少，气候干燥且多大风，属典型的暖温带极端大陆性干旱荒漠气候，全县土壤</w:t>
            </w:r>
            <w:r>
              <w:rPr>
                <w:rFonts w:hint="default" w:ascii="Times New Roman" w:hAnsi="Times New Roman" w:cs="Times New Roman"/>
                <w:sz w:val="24"/>
                <w:szCs w:val="24"/>
                <w:highlight w:val="none"/>
                <w:lang w:val="en-US" w:eastAsia="zh-CN"/>
              </w:rPr>
              <w:t>pH</w:t>
            </w:r>
            <w:r>
              <w:rPr>
                <w:rFonts w:hint="eastAsia" w:ascii="Times New Roman" w:hAnsi="Times New Roman" w:cs="Times New Roman"/>
                <w:sz w:val="24"/>
                <w:szCs w:val="24"/>
                <w:highlight w:val="none"/>
                <w:lang w:val="en-US" w:eastAsia="zh-CN"/>
              </w:rPr>
              <w:t>值多在</w:t>
            </w:r>
            <w:r>
              <w:rPr>
                <w:rFonts w:hint="default" w:ascii="Times New Roman" w:hAnsi="Times New Roman" w:cs="Times New Roman"/>
                <w:sz w:val="24"/>
                <w:szCs w:val="24"/>
                <w:highlight w:val="none"/>
                <w:lang w:val="en-US" w:eastAsia="zh-CN"/>
              </w:rPr>
              <w:t>8</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9</w:t>
            </w:r>
            <w:r>
              <w:rPr>
                <w:rFonts w:hint="eastAsia" w:ascii="Times New Roman" w:hAnsi="Times New Roman" w:cs="Times New Roman"/>
                <w:sz w:val="24"/>
                <w:szCs w:val="24"/>
                <w:highlight w:val="none"/>
                <w:lang w:val="en-US" w:eastAsia="zh-CN"/>
              </w:rPr>
              <w:t>，有机质含量在</w:t>
            </w:r>
            <w:r>
              <w:rPr>
                <w:rFonts w:hint="default" w:ascii="Times New Roman" w:hAnsi="Times New Roman" w:cs="Times New Roman"/>
                <w:sz w:val="24"/>
                <w:szCs w:val="24"/>
                <w:highlight w:val="none"/>
                <w:lang w:val="en-US" w:eastAsia="zh-CN"/>
              </w:rPr>
              <w:t>1%</w:t>
            </w:r>
            <w:r>
              <w:rPr>
                <w:rFonts w:hint="eastAsia" w:ascii="Times New Roman" w:hAnsi="Times New Roman" w:cs="Times New Roman"/>
                <w:sz w:val="24"/>
                <w:szCs w:val="24"/>
                <w:highlight w:val="none"/>
                <w:lang w:val="en-US" w:eastAsia="zh-CN"/>
              </w:rPr>
              <w:t>以下，一般氮素含量在</w:t>
            </w:r>
            <w:r>
              <w:rPr>
                <w:rFonts w:hint="default" w:ascii="Times New Roman" w:hAnsi="Times New Roman" w:cs="Times New Roman"/>
                <w:sz w:val="24"/>
                <w:szCs w:val="24"/>
                <w:highlight w:val="none"/>
                <w:lang w:val="en-US" w:eastAsia="zh-CN"/>
              </w:rPr>
              <w:t>0.6</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1ppm</w:t>
            </w:r>
            <w:r>
              <w:rPr>
                <w:rFonts w:hint="eastAsia" w:ascii="Times New Roman" w:hAnsi="Times New Roman" w:cs="Times New Roman"/>
                <w:sz w:val="24"/>
                <w:szCs w:val="24"/>
                <w:highlight w:val="none"/>
                <w:lang w:val="en-US" w:eastAsia="zh-CN"/>
              </w:rPr>
              <w:t>，速磷含量多在</w:t>
            </w:r>
            <w:r>
              <w:rPr>
                <w:rFonts w:hint="default" w:ascii="Times New Roman" w:hAnsi="Times New Roman" w:cs="Times New Roman"/>
                <w:sz w:val="24"/>
                <w:szCs w:val="24"/>
                <w:highlight w:val="none"/>
                <w:lang w:val="en-US" w:eastAsia="zh-CN"/>
              </w:rPr>
              <w:t>2.6</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10ppm</w:t>
            </w:r>
            <w:r>
              <w:rPr>
                <w:rFonts w:hint="eastAsia" w:ascii="Times New Roman" w:hAnsi="Times New Roman" w:cs="Times New Roman"/>
                <w:sz w:val="24"/>
                <w:szCs w:val="24"/>
                <w:highlight w:val="none"/>
                <w:lang w:val="en-US" w:eastAsia="zh-CN"/>
              </w:rPr>
              <w:t>。总体评价为表层土壤有效微量元素的含量以硼、铁、铜元素较丰富，但普遍缺锌、缺锰。工程施工过程中的土方开挖、回填、机械碾压对土壤的理化性质和土壤肥力会产生一定不利影响。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勘探期应严格控制施工区域，尽可能缩小施工范围，减少开挖量和生态破坏面积，从而减少开挖和恢复面积；优化土石方平衡，减少水土流失。加强</w:t>
            </w:r>
            <w:r>
              <w:rPr>
                <w:rFonts w:hint="eastAsia" w:cs="Times New Roman"/>
                <w:sz w:val="24"/>
                <w:szCs w:val="24"/>
                <w:highlight w:val="none"/>
                <w:lang w:val="en-US" w:eastAsia="zh-CN"/>
              </w:rPr>
              <w:t>设备</w:t>
            </w:r>
            <w:r>
              <w:rPr>
                <w:rFonts w:hint="eastAsia" w:ascii="Times New Roman" w:hAnsi="Times New Roman" w:cs="Times New Roman"/>
                <w:sz w:val="24"/>
                <w:szCs w:val="24"/>
                <w:highlight w:val="none"/>
                <w:lang w:val="en-US" w:eastAsia="zh-CN"/>
              </w:rPr>
              <w:t>机械、车辆行驶路线的管理，划定明确的施工作业范围和行驶路线，严禁越界施工和偏离施工便道进行无监管活动，减少作业人员在</w:t>
            </w:r>
            <w:r>
              <w:rPr>
                <w:rFonts w:hint="eastAsia" w:cs="Times New Roman"/>
                <w:sz w:val="24"/>
                <w:szCs w:val="24"/>
                <w:highlight w:val="none"/>
                <w:lang w:val="en-US" w:eastAsia="zh-CN"/>
              </w:rPr>
              <w:t>探</w:t>
            </w:r>
            <w:r>
              <w:rPr>
                <w:rFonts w:hint="eastAsia" w:ascii="Times New Roman" w:hAnsi="Times New Roman" w:cs="Times New Roman"/>
                <w:sz w:val="24"/>
                <w:szCs w:val="24"/>
                <w:highlight w:val="none"/>
                <w:lang w:val="en-US" w:eastAsia="zh-CN"/>
              </w:rPr>
              <w:t>矿区以外区域活动。</w:t>
            </w:r>
          </w:p>
          <w:p>
            <w:pPr>
              <w:keepNext w:val="0"/>
              <w:keepLines w:val="0"/>
              <w:pageBreakBefore w:val="0"/>
              <w:widowControl/>
              <w:suppressLineNumbers w:val="0"/>
              <w:kinsoku/>
              <w:wordWrap/>
              <w:overflowPunct/>
              <w:topLinePunct w:val="0"/>
              <w:autoSpaceDE/>
              <w:autoSpaceDN/>
              <w:bidi w:val="0"/>
              <w:snapToGrid/>
              <w:spacing w:line="520" w:lineRule="exact"/>
              <w:ind w:firstLine="482" w:firstLineChars="200"/>
              <w:jc w:val="left"/>
              <w:textAlignment w:val="auto"/>
              <w:rPr>
                <w:highlight w:val="none"/>
              </w:rPr>
            </w:pPr>
            <w:r>
              <w:rPr>
                <w:rFonts w:hint="default" w:ascii="Times New Roman" w:hAnsi="Times New Roman" w:eastAsia="宋体" w:cs="Times New Roman"/>
                <w:b/>
                <w:bCs/>
                <w:color w:val="000000"/>
                <w:kern w:val="0"/>
                <w:sz w:val="24"/>
                <w:szCs w:val="24"/>
                <w:highlight w:val="none"/>
                <w:lang w:val="en-US" w:eastAsia="zh-CN" w:bidi="ar"/>
              </w:rPr>
              <w:t>1.3</w:t>
            </w:r>
            <w:r>
              <w:rPr>
                <w:rFonts w:hint="eastAsia" w:ascii="宋体" w:hAnsi="宋体" w:eastAsia="宋体" w:cs="宋体"/>
                <w:b/>
                <w:bCs/>
                <w:color w:val="000000"/>
                <w:kern w:val="0"/>
                <w:sz w:val="24"/>
                <w:szCs w:val="24"/>
                <w:highlight w:val="none"/>
                <w:lang w:val="en-US" w:eastAsia="zh-CN" w:bidi="ar"/>
              </w:rPr>
              <w:t>自然景观</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项目</w:t>
            </w:r>
            <w:r>
              <w:rPr>
                <w:rFonts w:hint="eastAsia" w:cs="Times New Roman"/>
                <w:sz w:val="24"/>
                <w:szCs w:val="24"/>
                <w:highlight w:val="none"/>
                <w:lang w:val="en-US" w:eastAsia="zh-CN"/>
              </w:rPr>
              <w:t>勘探</w:t>
            </w:r>
            <w:r>
              <w:rPr>
                <w:rFonts w:hint="eastAsia" w:ascii="Times New Roman" w:hAnsi="Times New Roman" w:cs="Times New Roman"/>
                <w:sz w:val="24"/>
                <w:szCs w:val="24"/>
                <w:highlight w:val="none"/>
                <w:lang w:val="en-US" w:eastAsia="zh-CN"/>
              </w:rPr>
              <w:t>阶段，工程施工行为会对区域自然景观产生一定不利影响，项目实施过程中的开挖、弃渣堆放、生活区营地设置、施工迹地等若不能全面处理，则可出现渣土、生活垃圾及造成的植被枯死的景象，进而引发斑块状和条带状地形地貌使自然景观的整体性美感遭受破坏。</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项目须制定具体的复垦方案，预留复垦保障资金，采取边开挖边恢复开挖迹地的方法，对施工迹地进行恢复，确保项目区占地区域基本恢复到探矿前地貌。</w:t>
            </w:r>
          </w:p>
          <w:p>
            <w:pPr>
              <w:keepNext w:val="0"/>
              <w:keepLines w:val="0"/>
              <w:pageBreakBefore w:val="0"/>
              <w:widowControl/>
              <w:suppressLineNumbers w:val="0"/>
              <w:kinsoku/>
              <w:wordWrap/>
              <w:overflowPunct/>
              <w:topLinePunct w:val="0"/>
              <w:autoSpaceDE/>
              <w:autoSpaceDN/>
              <w:bidi w:val="0"/>
              <w:adjustRightInd w:val="0"/>
              <w:snapToGrid/>
              <w:spacing w:line="520" w:lineRule="exact"/>
              <w:ind w:firstLine="482" w:firstLineChars="200"/>
              <w:jc w:val="left"/>
              <w:textAlignment w:val="auto"/>
              <w:rPr>
                <w:highlight w:val="none"/>
              </w:rPr>
            </w:pPr>
            <w:r>
              <w:rPr>
                <w:rFonts w:hint="default" w:ascii="Times New Roman" w:hAnsi="Times New Roman" w:eastAsia="宋体" w:cs="Times New Roman"/>
                <w:b/>
                <w:bCs/>
                <w:color w:val="000000"/>
                <w:kern w:val="0"/>
                <w:sz w:val="24"/>
                <w:szCs w:val="24"/>
                <w:highlight w:val="none"/>
                <w:lang w:val="en-US" w:eastAsia="zh-CN" w:bidi="ar"/>
              </w:rPr>
              <w:t>1.4</w:t>
            </w:r>
            <w:r>
              <w:rPr>
                <w:rFonts w:hint="eastAsia" w:ascii="宋体" w:hAnsi="宋体" w:eastAsia="宋体" w:cs="宋体"/>
                <w:b/>
                <w:bCs/>
                <w:color w:val="000000"/>
                <w:kern w:val="0"/>
                <w:sz w:val="24"/>
                <w:szCs w:val="24"/>
                <w:highlight w:val="none"/>
                <w:lang w:val="en-US" w:eastAsia="zh-CN" w:bidi="ar"/>
              </w:rPr>
              <w:t>水土流失</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本项目位于</w:t>
            </w:r>
            <w:r>
              <w:rPr>
                <w:rFonts w:hint="eastAsia" w:cs="Times New Roman"/>
                <w:sz w:val="24"/>
                <w:szCs w:val="24"/>
                <w:highlight w:val="none"/>
                <w:lang w:val="en-US" w:eastAsia="zh-CN"/>
              </w:rPr>
              <w:t>且末</w:t>
            </w:r>
            <w:r>
              <w:rPr>
                <w:rFonts w:hint="eastAsia" w:ascii="Times New Roman" w:hAnsi="Times New Roman" w:cs="Times New Roman"/>
                <w:sz w:val="24"/>
                <w:szCs w:val="24"/>
                <w:highlight w:val="none"/>
                <w:lang w:val="en-US" w:eastAsia="zh-CN"/>
              </w:rPr>
              <w:t>县</w:t>
            </w:r>
            <w:r>
              <w:rPr>
                <w:rFonts w:hint="eastAsia" w:cs="Times New Roman"/>
                <w:sz w:val="24"/>
                <w:szCs w:val="24"/>
                <w:highlight w:val="none"/>
                <w:lang w:val="en-US" w:eastAsia="zh-CN"/>
              </w:rPr>
              <w:t>西南219°</w:t>
            </w:r>
            <w:r>
              <w:rPr>
                <w:rFonts w:hint="eastAsia" w:ascii="Times New Roman" w:hAnsi="Times New Roman" w:cs="Times New Roman"/>
                <w:sz w:val="24"/>
                <w:szCs w:val="24"/>
                <w:highlight w:val="none"/>
                <w:lang w:val="en-US" w:eastAsia="zh-CN"/>
              </w:rPr>
              <w:t>方向，直线距离约</w:t>
            </w:r>
            <w:r>
              <w:rPr>
                <w:rFonts w:hint="eastAsia" w:cs="Times New Roman"/>
                <w:sz w:val="24"/>
                <w:szCs w:val="24"/>
                <w:highlight w:val="none"/>
                <w:lang w:val="en-US" w:eastAsia="zh-CN"/>
              </w:rPr>
              <w:t>195</w:t>
            </w:r>
            <w:r>
              <w:rPr>
                <w:rFonts w:hint="eastAsia" w:ascii="Times New Roman" w:hAnsi="Times New Roman" w:cs="Times New Roman"/>
                <w:sz w:val="24"/>
                <w:szCs w:val="24"/>
                <w:highlight w:val="none"/>
                <w:lang w:val="en-US" w:eastAsia="zh-CN"/>
              </w:rPr>
              <w:t>千米处，勘探区降雨量较低，基本无法形成径流。故项目区的水土流失以风蚀为主，勘探区采用了边开挖、边回填、边复垦的勘探方式，符合《新疆维吾尔自治区水土保持规划（</w:t>
            </w:r>
            <w:r>
              <w:rPr>
                <w:rFonts w:hint="default" w:ascii="Times New Roman" w:hAnsi="Times New Roman" w:cs="Times New Roman"/>
                <w:sz w:val="24"/>
                <w:szCs w:val="24"/>
                <w:highlight w:val="none"/>
                <w:lang w:val="en-US" w:eastAsia="zh-CN"/>
              </w:rPr>
              <w:t>2018-2030</w:t>
            </w:r>
            <w:r>
              <w:rPr>
                <w:rFonts w:hint="eastAsia" w:ascii="Times New Roman" w:hAnsi="Times New Roman" w:cs="Times New Roman"/>
                <w:sz w:val="24"/>
                <w:szCs w:val="24"/>
                <w:highlight w:val="none"/>
                <w:lang w:val="en-US" w:eastAsia="zh-CN"/>
              </w:rPr>
              <w:t>年）》的相关要求。</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本项目</w:t>
            </w:r>
            <w:r>
              <w:rPr>
                <w:rFonts w:hint="eastAsia" w:cs="Times New Roman"/>
                <w:sz w:val="24"/>
                <w:szCs w:val="24"/>
                <w:highlight w:val="none"/>
                <w:lang w:val="en-US" w:eastAsia="zh-CN"/>
              </w:rPr>
              <w:t>勘探</w:t>
            </w:r>
            <w:r>
              <w:rPr>
                <w:rFonts w:hint="eastAsia" w:ascii="Times New Roman" w:hAnsi="Times New Roman" w:cs="Times New Roman"/>
                <w:sz w:val="24"/>
                <w:szCs w:val="24"/>
                <w:highlight w:val="none"/>
                <w:lang w:val="en-US" w:eastAsia="zh-CN"/>
              </w:rPr>
              <w:t>过程中由于勘探活动破坏了地表植被，从而使路面、坡面土壤裸露，在风蚀和水蚀的作用下，不可避免地造成一定的水土流失。为减小水土流失的影响，评价要求企业采取以下措施：</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cs="Times New Roman"/>
                <w:sz w:val="24"/>
                <w:szCs w:val="24"/>
                <w:highlight w:val="none"/>
                <w:lang w:val="en-US" w:eastAsia="zh-CN"/>
              </w:rPr>
              <w:t>（1）</w:t>
            </w:r>
            <w:r>
              <w:rPr>
                <w:rFonts w:hint="eastAsia" w:ascii="Times New Roman" w:hAnsi="Times New Roman" w:cs="Times New Roman"/>
                <w:sz w:val="24"/>
                <w:szCs w:val="24"/>
                <w:highlight w:val="none"/>
                <w:lang w:val="en-US" w:eastAsia="zh-CN"/>
              </w:rPr>
              <w:t>加强水土保持管理工作，严格控制和管理运输车辆及重型机械的运行范围。</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cs="Times New Roman"/>
                <w:sz w:val="24"/>
                <w:szCs w:val="24"/>
                <w:highlight w:val="none"/>
                <w:lang w:val="en-US" w:eastAsia="zh-CN"/>
              </w:rPr>
              <w:t>（2）</w:t>
            </w:r>
            <w:r>
              <w:rPr>
                <w:rFonts w:hint="eastAsia" w:ascii="Times New Roman" w:hAnsi="Times New Roman" w:cs="Times New Roman"/>
                <w:sz w:val="24"/>
                <w:szCs w:val="24"/>
                <w:highlight w:val="none"/>
                <w:lang w:val="en-US" w:eastAsia="zh-CN"/>
              </w:rPr>
              <w:t>划定适宜的堆料场，严禁材料乱堆乱放，尽量减少对地表植被及地表形态的扰动和破坏，边开挖、边回填，</w:t>
            </w:r>
            <w:r>
              <w:rPr>
                <w:rFonts w:hint="eastAsia" w:cs="Times New Roman"/>
                <w:sz w:val="24"/>
                <w:szCs w:val="24"/>
                <w:highlight w:val="none"/>
                <w:lang w:val="en-US" w:eastAsia="zh-CN"/>
              </w:rPr>
              <w:t>减少</w:t>
            </w:r>
            <w:r>
              <w:rPr>
                <w:rFonts w:hint="eastAsia" w:ascii="Times New Roman" w:hAnsi="Times New Roman" w:cs="Times New Roman"/>
                <w:sz w:val="24"/>
                <w:szCs w:val="24"/>
                <w:highlight w:val="none"/>
                <w:lang w:val="en-US" w:eastAsia="zh-CN"/>
              </w:rPr>
              <w:t>中间堆放量，减少水土流失。</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cs="Times New Roman"/>
                <w:sz w:val="24"/>
                <w:szCs w:val="24"/>
                <w:highlight w:val="none"/>
                <w:lang w:val="en-US" w:eastAsia="zh-CN"/>
              </w:rPr>
              <w:t>（3）</w:t>
            </w:r>
            <w:r>
              <w:rPr>
                <w:rFonts w:hint="eastAsia" w:ascii="Times New Roman" w:hAnsi="Times New Roman" w:cs="Times New Roman"/>
                <w:sz w:val="24"/>
                <w:szCs w:val="24"/>
                <w:highlight w:val="none"/>
                <w:lang w:val="en-US" w:eastAsia="zh-CN"/>
              </w:rPr>
              <w:t>加强管理，大风天气、雨季不得作业。</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cs="Times New Roman"/>
                <w:sz w:val="24"/>
                <w:szCs w:val="24"/>
                <w:highlight w:val="none"/>
                <w:lang w:val="en-US" w:eastAsia="zh-CN"/>
              </w:rPr>
              <w:t>（4）</w:t>
            </w:r>
            <w:r>
              <w:rPr>
                <w:rFonts w:hint="eastAsia" w:ascii="Times New Roman" w:hAnsi="Times New Roman" w:cs="Times New Roman"/>
                <w:sz w:val="24"/>
                <w:szCs w:val="24"/>
                <w:highlight w:val="none"/>
                <w:lang w:val="en-US" w:eastAsia="zh-CN"/>
              </w:rPr>
              <w:t>勘探完成后，</w:t>
            </w:r>
            <w:r>
              <w:rPr>
                <w:rFonts w:hint="eastAsia" w:cs="Times New Roman"/>
                <w:sz w:val="24"/>
                <w:szCs w:val="24"/>
                <w:highlight w:val="none"/>
                <w:lang w:val="en-US" w:eastAsia="zh-CN"/>
              </w:rPr>
              <w:t>对</w:t>
            </w:r>
            <w:r>
              <w:rPr>
                <w:rFonts w:hint="eastAsia" w:ascii="Times New Roman" w:hAnsi="Times New Roman" w:cs="Times New Roman"/>
                <w:sz w:val="24"/>
                <w:szCs w:val="24"/>
                <w:highlight w:val="none"/>
                <w:lang w:val="en-US" w:eastAsia="zh-CN"/>
              </w:rPr>
              <w:t>勘探区土地进行复垦，对探坑周边进行表层回填和迹地覆土恢复，及时对周围生态植被进行修复，增加区域防冲和固土能力，减小水土流失的影响。</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本项目在采取以上相关的水土保持措施后，可使勘查区内水土得以有效保持，不会对生态环境造成较大的影响。</w:t>
            </w:r>
          </w:p>
          <w:p>
            <w:pPr>
              <w:keepNext w:val="0"/>
              <w:keepLines w:val="0"/>
              <w:pageBreakBefore w:val="0"/>
              <w:widowControl/>
              <w:suppressLineNumbers w:val="0"/>
              <w:kinsoku/>
              <w:wordWrap/>
              <w:overflowPunct/>
              <w:topLinePunct w:val="0"/>
              <w:autoSpaceDE/>
              <w:autoSpaceDN/>
              <w:bidi w:val="0"/>
              <w:snapToGrid/>
              <w:spacing w:line="520" w:lineRule="exact"/>
              <w:jc w:val="left"/>
              <w:textAlignment w:val="auto"/>
              <w:rPr>
                <w:highlight w:val="none"/>
              </w:rPr>
            </w:pPr>
            <w:r>
              <w:rPr>
                <w:rFonts w:hint="default" w:ascii="Times New Roman" w:hAnsi="Times New Roman" w:eastAsia="宋体" w:cs="Times New Roman"/>
                <w:b/>
                <w:bCs/>
                <w:color w:val="000000"/>
                <w:kern w:val="0"/>
                <w:sz w:val="24"/>
                <w:szCs w:val="24"/>
                <w:highlight w:val="none"/>
                <w:lang w:val="en-US" w:eastAsia="zh-CN" w:bidi="ar"/>
              </w:rPr>
              <w:t>1.5</w:t>
            </w:r>
            <w:r>
              <w:rPr>
                <w:rFonts w:hint="eastAsia" w:ascii="宋体" w:hAnsi="宋体" w:eastAsia="宋体" w:cs="宋体"/>
                <w:b/>
                <w:bCs/>
                <w:color w:val="000000"/>
                <w:kern w:val="0"/>
                <w:sz w:val="24"/>
                <w:szCs w:val="24"/>
                <w:highlight w:val="none"/>
                <w:lang w:val="en-US" w:eastAsia="zh-CN" w:bidi="ar"/>
              </w:rPr>
              <w:t>土地沙化</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矿山勘查时，各类机械设备的活动会破坏地表植被，使其失去植被的固沙作用，加快土地沙化进程；机械碾压使土壤结构遭到破坏，进一步削弱</w:t>
            </w:r>
            <w:r>
              <w:rPr>
                <w:rFonts w:hint="eastAsia" w:ascii="Times New Roman" w:hAnsi="Times New Roman" w:eastAsia="宋体" w:cs="Times New Roman"/>
                <w:sz w:val="24"/>
                <w:szCs w:val="24"/>
                <w:highlight w:val="none"/>
                <w:lang w:val="en-US" w:eastAsia="zh-CN"/>
              </w:rPr>
              <w:t>了土壤的抗风蚀能力；勘查活动产生的弃土弃渣，增加空气中沙尘含量，同时周边土壤被侵蚀，导致土地沙化范围扩大。</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为防止施工过程中造成土地沙化，根据《中华人民共和国防沙治沙法（2018）》以及《关于加强沙区建设项目环境影响评价工作的通知》（新环环评发〔2020〕138号）、《防沙治沙技术规范》（GB/T21141-2007）的规定，项目实施过程中应采取以下防沙治沙措施：</w:t>
            </w:r>
          </w:p>
          <w:p>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①在探槽附近设置临时堆场，堆土采用彩条布苫盖，减少风蚀。</w:t>
            </w:r>
          </w:p>
          <w:p>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②在作业区域与周边植被之间设置隔离带，防止机械设备和人员误闯入造成植被破坏。</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③合理规划作业范围，在勘查结束后及时开展植被恢复工作</w:t>
            </w:r>
            <w:r>
              <w:rPr>
                <w:rFonts w:hint="eastAsia"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④严禁在大风大雨天气施工。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b/>
                <w:bCs/>
                <w:sz w:val="24"/>
                <w:highlight w:val="none"/>
                <w:lang w:val="en-US" w:eastAsia="zh-CN"/>
              </w:rPr>
            </w:pPr>
            <w:r>
              <w:rPr>
                <w:rFonts w:hint="eastAsia"/>
                <w:b/>
                <w:bCs/>
                <w:sz w:val="24"/>
                <w:highlight w:val="none"/>
                <w:lang w:val="en-US" w:eastAsia="zh-CN"/>
              </w:rPr>
              <w:t>2.勘探完成时的生态环境保护及恢复措施</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根据《矿山生态环境保护与恢复治理技术规范</w:t>
            </w:r>
            <w:r>
              <w:rPr>
                <w:rFonts w:hint="eastAsia" w:cs="Times New Roman"/>
                <w:sz w:val="24"/>
                <w:szCs w:val="24"/>
                <w:highlight w:val="none"/>
                <w:lang w:val="en-US" w:eastAsia="zh-CN"/>
              </w:rPr>
              <w:t>（</w:t>
            </w:r>
            <w:r>
              <w:rPr>
                <w:rFonts w:hint="eastAsia" w:ascii="Times New Roman" w:hAnsi="Times New Roman" w:cs="Times New Roman"/>
                <w:sz w:val="24"/>
                <w:szCs w:val="24"/>
                <w:highlight w:val="none"/>
                <w:lang w:val="en-US" w:eastAsia="zh-CN"/>
              </w:rPr>
              <w:t>试行</w:t>
            </w:r>
            <w:r>
              <w:rPr>
                <w:rFonts w:hint="eastAsia" w:cs="Times New Roman"/>
                <w:sz w:val="24"/>
                <w:szCs w:val="24"/>
                <w:highlight w:val="none"/>
                <w:lang w:val="en-US" w:eastAsia="zh-CN"/>
              </w:rPr>
              <w:t>）</w:t>
            </w:r>
            <w:r>
              <w:rPr>
                <w:rFonts w:hint="eastAsia" w:ascii="Times New Roman" w:hAnsi="Times New Roman" w:cs="Times New Roman"/>
                <w:sz w:val="24"/>
                <w:szCs w:val="24"/>
                <w:highlight w:val="none"/>
                <w:lang w:val="en-US" w:eastAsia="zh-CN"/>
              </w:rPr>
              <w:t>》</w:t>
            </w:r>
            <w:r>
              <w:rPr>
                <w:rFonts w:hint="eastAsia" w:cs="Times New Roman"/>
                <w:sz w:val="24"/>
                <w:szCs w:val="24"/>
                <w:highlight w:val="none"/>
                <w:lang w:val="en-US" w:eastAsia="zh-CN"/>
              </w:rPr>
              <w:t>（</w:t>
            </w:r>
            <w:r>
              <w:rPr>
                <w:rFonts w:hint="default" w:ascii="Times New Roman" w:hAnsi="Times New Roman" w:cs="Times New Roman"/>
                <w:sz w:val="24"/>
                <w:szCs w:val="24"/>
                <w:highlight w:val="none"/>
                <w:lang w:val="en-US" w:eastAsia="zh-CN"/>
              </w:rPr>
              <w:t>HJ651-2013</w:t>
            </w:r>
            <w:r>
              <w:rPr>
                <w:rFonts w:hint="eastAsia" w:cs="Times New Roman"/>
                <w:sz w:val="24"/>
                <w:szCs w:val="24"/>
                <w:highlight w:val="none"/>
                <w:lang w:val="en-US" w:eastAsia="zh-CN"/>
              </w:rPr>
              <w:t>）</w:t>
            </w:r>
            <w:r>
              <w:rPr>
                <w:rFonts w:hint="eastAsia" w:ascii="Times New Roman" w:hAnsi="Times New Roman" w:cs="Times New Roman"/>
                <w:sz w:val="24"/>
                <w:szCs w:val="24"/>
                <w:highlight w:val="none"/>
                <w:lang w:val="en-US" w:eastAsia="zh-CN"/>
              </w:rPr>
              <w:t>和《裸露坡面植被恢复技术规范》（</w:t>
            </w:r>
            <w:r>
              <w:rPr>
                <w:rFonts w:hint="default" w:ascii="Times New Roman" w:hAnsi="Times New Roman" w:cs="Times New Roman"/>
                <w:sz w:val="24"/>
                <w:szCs w:val="24"/>
                <w:highlight w:val="none"/>
                <w:lang w:val="en-US" w:eastAsia="zh-CN"/>
              </w:rPr>
              <w:t>GB/T38360-2019</w:t>
            </w:r>
            <w:r>
              <w:rPr>
                <w:rFonts w:hint="eastAsia" w:ascii="Times New Roman" w:hAnsi="Times New Roman" w:cs="Times New Roman"/>
                <w:sz w:val="24"/>
                <w:szCs w:val="24"/>
                <w:highlight w:val="none"/>
                <w:lang w:val="en-US" w:eastAsia="zh-CN"/>
              </w:rPr>
              <w:t>）可知，探矿完成时的保护措施及恢复如下。</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1</w:t>
            </w:r>
            <w:r>
              <w:rPr>
                <w:rFonts w:hint="eastAsia" w:ascii="Times New Roman" w:hAnsi="Times New Roman" w:cs="Times New Roman"/>
                <w:sz w:val="24"/>
                <w:szCs w:val="24"/>
                <w:highlight w:val="none"/>
                <w:lang w:val="en-US" w:eastAsia="zh-CN"/>
              </w:rPr>
              <w:t>）探矿活动结束后，应根据景观相似原则，对探矿活动造成的土壤、植被和地表景观破坏进行恢复。</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r>
              <w:rPr>
                <w:rFonts w:hint="eastAsia" w:cs="Times New Roman"/>
                <w:sz w:val="24"/>
                <w:szCs w:val="24"/>
                <w:highlight w:val="none"/>
                <w:lang w:val="en-US" w:eastAsia="zh-CN"/>
              </w:rPr>
              <w:t>2</w:t>
            </w:r>
            <w:r>
              <w:rPr>
                <w:rFonts w:hint="eastAsia" w:ascii="Times New Roman" w:hAnsi="Times New Roman" w:cs="Times New Roman"/>
                <w:sz w:val="24"/>
                <w:szCs w:val="24"/>
                <w:highlight w:val="none"/>
                <w:lang w:val="en-US" w:eastAsia="zh-CN"/>
              </w:rPr>
              <w:t>）不再使用的</w:t>
            </w:r>
            <w:r>
              <w:rPr>
                <w:rFonts w:hint="eastAsia" w:cs="Times New Roman"/>
                <w:sz w:val="24"/>
                <w:szCs w:val="24"/>
                <w:highlight w:val="none"/>
                <w:lang w:val="en-US" w:eastAsia="zh-CN"/>
              </w:rPr>
              <w:t>帐篷</w:t>
            </w:r>
            <w:r>
              <w:rPr>
                <w:rFonts w:hint="eastAsia" w:ascii="Times New Roman" w:hAnsi="Times New Roman" w:cs="Times New Roman"/>
                <w:sz w:val="24"/>
                <w:szCs w:val="24"/>
                <w:highlight w:val="none"/>
                <w:lang w:val="en-US" w:eastAsia="zh-CN"/>
              </w:rPr>
              <w:t>、沉淀池等各项建筑和基础设施应按照以下要求全部拆除。</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①分类收集：将拆除产生的建筑垃圾、生活垃圾等分类收集</w:t>
            </w:r>
            <w:r>
              <w:rPr>
                <w:rFonts w:hint="eastAsia"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②合规处置：建筑垃圾可回收部分送回收站，不可回收的运至指定消纳场；生活垃圾交环卫部门处理；</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③拆除作业易产生扬尘，定期洒水降尘，干燥天气增加频次，保持地面湿润。</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cs="Times New Roman"/>
                <w:sz w:val="24"/>
                <w:szCs w:val="24"/>
                <w:highlight w:val="none"/>
                <w:lang w:val="en-US" w:eastAsia="zh-CN"/>
              </w:rPr>
              <w:t>④</w:t>
            </w:r>
            <w:r>
              <w:rPr>
                <w:rFonts w:hint="eastAsia" w:ascii="Times New Roman" w:hAnsi="Times New Roman" w:cs="Times New Roman"/>
                <w:sz w:val="24"/>
                <w:szCs w:val="24"/>
                <w:highlight w:val="none"/>
                <w:lang w:val="en-US" w:eastAsia="zh-CN"/>
              </w:rPr>
              <w:t>及时进行场地平整，并开展景观和植被恢复工作。</w:t>
            </w:r>
          </w:p>
          <w:p>
            <w:pPr>
              <w:keepNext w:val="0"/>
              <w:keepLines w:val="0"/>
              <w:pageBreakBefore w:val="0"/>
              <w:widowControl/>
              <w:suppressLineNumbers w:val="0"/>
              <w:kinsoku/>
              <w:wordWrap/>
              <w:overflowPunct/>
              <w:topLinePunct w:val="0"/>
              <w:autoSpaceDE/>
              <w:autoSpaceDN/>
              <w:bidi w:val="0"/>
              <w:snapToGrid/>
              <w:spacing w:line="520" w:lineRule="exact"/>
              <w:ind w:firstLine="480" w:firstLineChars="200"/>
              <w:jc w:val="left"/>
              <w:textAlignment w:val="auto"/>
              <w:rPr>
                <w:highlight w:val="none"/>
              </w:rPr>
            </w:pPr>
            <w:r>
              <w:rPr>
                <w:rFonts w:hint="eastAsia" w:ascii="宋体" w:hAnsi="宋体" w:eastAsia="宋体" w:cs="宋体"/>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3</w:t>
            </w:r>
            <w:r>
              <w:rPr>
                <w:rFonts w:hint="eastAsia" w:ascii="宋体" w:hAnsi="宋体" w:eastAsia="宋体" w:cs="宋体"/>
                <w:color w:val="000000"/>
                <w:kern w:val="0"/>
                <w:sz w:val="24"/>
                <w:szCs w:val="24"/>
                <w:highlight w:val="none"/>
                <w:lang w:val="en-US" w:eastAsia="zh-CN" w:bidi="ar"/>
              </w:rPr>
              <w:t>）施工结束后应及时平整恢复，定期检查已回填恢复的探槽，尽可能恢复植被原貌。</w:t>
            </w:r>
          </w:p>
          <w:p>
            <w:pPr>
              <w:keepNext w:val="0"/>
              <w:keepLines w:val="0"/>
              <w:pageBreakBefore w:val="0"/>
              <w:widowControl/>
              <w:suppressLineNumbers w:val="0"/>
              <w:kinsoku/>
              <w:wordWrap/>
              <w:overflowPunct/>
              <w:topLinePunct w:val="0"/>
              <w:autoSpaceDE/>
              <w:autoSpaceDN/>
              <w:bidi w:val="0"/>
              <w:snapToGrid/>
              <w:spacing w:line="520" w:lineRule="exact"/>
              <w:ind w:firstLine="480" w:firstLineChars="200"/>
              <w:jc w:val="left"/>
              <w:textAlignment w:val="auto"/>
              <w:rPr>
                <w:rFonts w:hint="eastAsia" w:ascii="宋体" w:hAnsi="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w:t>
            </w:r>
            <w:r>
              <w:rPr>
                <w:rFonts w:hint="eastAsia" w:ascii="宋体" w:hAnsi="宋体" w:cs="宋体"/>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val="en-US" w:eastAsia="zh-CN" w:bidi="ar"/>
              </w:rPr>
              <w:t>）勘探完成后，将勘探区土地进行复垦，对探坑周边进行表层回填和迹地覆土恢复，及时对周围生态植被进行修复，增加区域防冲和固土能力，减少水土流失的影响</w:t>
            </w:r>
            <w:r>
              <w:rPr>
                <w:rFonts w:hint="eastAsia" w:ascii="宋体" w:hAnsi="宋体" w:cs="宋体"/>
                <w:color w:val="000000"/>
                <w:kern w:val="0"/>
                <w:sz w:val="24"/>
                <w:szCs w:val="24"/>
                <w:highlight w:val="none"/>
                <w:lang w:val="en-US" w:eastAsia="zh-CN" w:bidi="ar"/>
              </w:rPr>
              <w:t>。</w:t>
            </w:r>
          </w:p>
          <w:p>
            <w:pPr>
              <w:pStyle w:val="52"/>
              <w:keepNext w:val="0"/>
              <w:keepLines w:val="0"/>
              <w:pageBreakBefore w:val="0"/>
              <w:widowControl w:val="0"/>
              <w:numPr>
                <w:ilvl w:val="0"/>
                <w:numId w:val="0"/>
              </w:numPr>
              <w:kinsoku/>
              <w:overflowPunct/>
              <w:topLinePunct w:val="0"/>
              <w:autoSpaceDE/>
              <w:autoSpaceDN/>
              <w:bidi w:val="0"/>
              <w:adjustRightInd w:val="0"/>
              <w:snapToGrid w:val="0"/>
              <w:ind w:firstLine="480" w:firstLineChars="200"/>
              <w:textAlignment w:val="auto"/>
              <w:rPr>
                <w:rFonts w:hint="default"/>
                <w:color w:val="auto"/>
                <w:lang w:val="en-US" w:eastAsia="zh-CN"/>
              </w:rPr>
            </w:pPr>
            <w:r>
              <w:rPr>
                <w:rFonts w:hint="default" w:ascii="Times New Roman" w:hAnsi="Times New Roman" w:eastAsia="宋体" w:cs="宋体"/>
                <w:color w:val="auto"/>
                <w:kern w:val="0"/>
                <w:sz w:val="24"/>
                <w:szCs w:val="24"/>
                <w:lang w:val="en-US" w:eastAsia="zh-CN" w:bidi="ar-SA"/>
              </w:rPr>
              <w:t>（</w:t>
            </w:r>
            <w:r>
              <w:rPr>
                <w:rFonts w:hint="eastAsia" w:cs="宋体"/>
                <w:color w:val="auto"/>
                <w:kern w:val="0"/>
                <w:sz w:val="24"/>
                <w:szCs w:val="24"/>
                <w:lang w:val="en-US" w:eastAsia="zh-CN" w:bidi="ar-SA"/>
              </w:rPr>
              <w:t>5</w:t>
            </w:r>
            <w:r>
              <w:rPr>
                <w:rFonts w:hint="default" w:ascii="Times New Roman" w:hAnsi="Times New Roman" w:eastAsia="宋体" w:cs="宋体"/>
                <w:color w:val="auto"/>
                <w:kern w:val="0"/>
                <w:sz w:val="24"/>
                <w:szCs w:val="24"/>
                <w:lang w:val="en-US" w:eastAsia="zh-CN" w:bidi="ar-SA"/>
              </w:rPr>
              <w:t>）</w:t>
            </w:r>
            <w:r>
              <w:rPr>
                <w:rFonts w:hint="default"/>
                <w:color w:val="auto"/>
                <w:lang w:val="en-US" w:eastAsia="zh-CN"/>
              </w:rPr>
              <w:t>防沙治沙工作应当坚持预防为主、保护优先、因地制宜、突出重点、分区施策、以水定绿、科学防治、合理利用的原则</w:t>
            </w:r>
            <w:r>
              <w:rPr>
                <w:rFonts w:hint="eastAsia"/>
                <w:color w:val="auto"/>
                <w:lang w:val="en-US" w:eastAsia="zh-CN"/>
              </w:rPr>
              <w:t>。</w:t>
            </w:r>
            <w:r>
              <w:rPr>
                <w:rFonts w:hint="default"/>
                <w:color w:val="auto"/>
                <w:lang w:val="en-US" w:eastAsia="zh-CN"/>
              </w:rPr>
              <w:t>加强荒漠植被和野生动物栖息地保护</w:t>
            </w:r>
            <w:r>
              <w:rPr>
                <w:rFonts w:hint="eastAsia"/>
                <w:color w:val="auto"/>
                <w:lang w:val="en-US" w:eastAsia="zh-CN"/>
              </w:rPr>
              <w:t>，制止破坏或者损害荒漠生态系统功能的活动。</w:t>
            </w:r>
          </w:p>
          <w:p>
            <w:pPr>
              <w:keepNext w:val="0"/>
              <w:keepLines w:val="0"/>
              <w:pageBreakBefore w:val="0"/>
              <w:widowControl/>
              <w:suppressLineNumbers w:val="0"/>
              <w:kinsoku/>
              <w:wordWrap/>
              <w:overflowPunct/>
              <w:topLinePunct w:val="0"/>
              <w:autoSpaceDE/>
              <w:autoSpaceDN/>
              <w:bidi w:val="0"/>
              <w:snapToGrid/>
              <w:spacing w:line="520" w:lineRule="exact"/>
              <w:ind w:firstLine="480" w:firstLineChars="200"/>
              <w:jc w:val="left"/>
              <w:textAlignment w:val="auto"/>
              <w:rPr>
                <w:sz w:val="24"/>
                <w:szCs w:val="24"/>
                <w:highlight w:val="none"/>
              </w:rPr>
            </w:pPr>
            <w:r>
              <w:rPr>
                <w:rFonts w:hint="default"/>
                <w:color w:val="auto"/>
                <w:sz w:val="24"/>
                <w:szCs w:val="24"/>
                <w:lang w:val="en-US" w:eastAsia="zh-CN"/>
              </w:rPr>
              <w:t>这些措施科学合理，既符合生态修复技术标准，又结合新疆地区防沙治沙的特殊需求，能够有效减少水土流失，恢复区域生态功能，实现勘探活动与生态环境保护的协调统一</w:t>
            </w:r>
            <w:r>
              <w:rPr>
                <w:rFonts w:hint="eastAsia" w:ascii="宋体" w:hAnsi="宋体" w:eastAsia="宋体" w:cs="宋体"/>
                <w:color w:val="000000"/>
                <w:kern w:val="0"/>
                <w:sz w:val="24"/>
                <w:szCs w:val="24"/>
                <w:highlight w:val="none"/>
                <w:lang w:val="en-US" w:eastAsia="zh-CN" w:bidi="ar"/>
              </w:rPr>
              <w:t>。</w:t>
            </w:r>
          </w:p>
          <w:p>
            <w:pPr>
              <w:keepNext w:val="0"/>
              <w:keepLines w:val="0"/>
              <w:pageBreakBefore w:val="0"/>
              <w:widowControl/>
              <w:suppressLineNumbers w:val="0"/>
              <w:kinsoku/>
              <w:wordWrap/>
              <w:overflowPunct/>
              <w:topLinePunct w:val="0"/>
              <w:autoSpaceDE/>
              <w:autoSpaceDN/>
              <w:bidi w:val="0"/>
              <w:snapToGrid/>
              <w:spacing w:line="520" w:lineRule="exact"/>
              <w:jc w:val="left"/>
              <w:textAlignment w:val="auto"/>
              <w:rPr>
                <w:highlight w:val="none"/>
              </w:rPr>
            </w:pPr>
            <w:r>
              <w:rPr>
                <w:rFonts w:hint="eastAsia" w:cs="Times New Roman"/>
                <w:b/>
                <w:bCs/>
                <w:color w:val="000000"/>
                <w:kern w:val="0"/>
                <w:sz w:val="24"/>
                <w:szCs w:val="24"/>
                <w:highlight w:val="none"/>
                <w:lang w:val="en-US" w:eastAsia="zh-CN" w:bidi="ar"/>
              </w:rPr>
              <w:t>3.</w:t>
            </w:r>
            <w:r>
              <w:rPr>
                <w:rFonts w:hint="eastAsia" w:ascii="宋体" w:hAnsi="宋体" w:eastAsia="宋体" w:cs="宋体"/>
                <w:b/>
                <w:bCs/>
                <w:color w:val="000000"/>
                <w:kern w:val="0"/>
                <w:sz w:val="24"/>
                <w:szCs w:val="24"/>
                <w:highlight w:val="none"/>
                <w:lang w:val="en-US" w:eastAsia="zh-CN" w:bidi="ar"/>
              </w:rPr>
              <w:t xml:space="preserve">大气环境保护措施 </w:t>
            </w:r>
          </w:p>
          <w:p>
            <w:pPr>
              <w:keepNext w:val="0"/>
              <w:keepLines w:val="0"/>
              <w:pageBreakBefore w:val="0"/>
              <w:widowControl/>
              <w:suppressLineNumbers w:val="0"/>
              <w:kinsoku/>
              <w:wordWrap/>
              <w:overflowPunct/>
              <w:topLinePunct w:val="0"/>
              <w:autoSpaceDE/>
              <w:autoSpaceDN/>
              <w:bidi w:val="0"/>
              <w:snapToGrid/>
              <w:spacing w:line="520" w:lineRule="exact"/>
              <w:ind w:firstLine="482" w:firstLineChars="200"/>
              <w:jc w:val="left"/>
              <w:textAlignment w:val="auto"/>
              <w:rPr>
                <w:highlight w:val="none"/>
              </w:rPr>
            </w:pPr>
            <w:r>
              <w:rPr>
                <w:rFonts w:hint="default" w:ascii="Times New Roman" w:hAnsi="Times New Roman" w:eastAsia="宋体" w:cs="Times New Roman"/>
                <w:b/>
                <w:bCs/>
                <w:color w:val="000000"/>
                <w:kern w:val="0"/>
                <w:sz w:val="24"/>
                <w:szCs w:val="24"/>
                <w:highlight w:val="none"/>
                <w:lang w:val="en-US" w:eastAsia="zh-CN" w:bidi="ar"/>
              </w:rPr>
              <w:t>3.1</w:t>
            </w:r>
            <w:r>
              <w:rPr>
                <w:rFonts w:hint="eastAsia" w:ascii="宋体" w:hAnsi="宋体" w:eastAsia="宋体" w:cs="宋体"/>
                <w:b/>
                <w:bCs/>
                <w:color w:val="000000"/>
                <w:kern w:val="0"/>
                <w:sz w:val="24"/>
                <w:szCs w:val="24"/>
                <w:highlight w:val="none"/>
                <w:lang w:val="en-US" w:eastAsia="zh-CN" w:bidi="ar"/>
              </w:rPr>
              <w:t>开挖扬尘</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cs="Times New Roman"/>
                <w:sz w:val="24"/>
                <w:szCs w:val="24"/>
                <w:highlight w:val="none"/>
                <w:lang w:val="en-US" w:eastAsia="zh-CN"/>
              </w:rPr>
              <w:t>勘探</w:t>
            </w:r>
            <w:r>
              <w:rPr>
                <w:rFonts w:hint="eastAsia" w:ascii="Times New Roman" w:hAnsi="Times New Roman" w:cs="Times New Roman"/>
                <w:sz w:val="24"/>
                <w:szCs w:val="24"/>
                <w:highlight w:val="none"/>
                <w:lang w:val="en-US" w:eastAsia="zh-CN"/>
              </w:rPr>
              <w:t>过程中扬尘污染对项目区及周围环境产生一定的不利影响。为避免扬尘污染，拟提出以下防治措施：</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1</w:t>
            </w:r>
            <w:r>
              <w:rPr>
                <w:rFonts w:hint="eastAsia" w:ascii="Times New Roman" w:hAnsi="Times New Roman" w:cs="Times New Roman"/>
                <w:sz w:val="24"/>
                <w:szCs w:val="24"/>
                <w:highlight w:val="none"/>
                <w:lang w:val="en-US" w:eastAsia="zh-CN"/>
              </w:rPr>
              <w:t>）</w:t>
            </w:r>
            <w:r>
              <w:rPr>
                <w:rFonts w:hint="eastAsia" w:cs="Times New Roman"/>
                <w:sz w:val="24"/>
                <w:szCs w:val="24"/>
                <w:highlight w:val="none"/>
                <w:lang w:val="en-US" w:eastAsia="zh-CN"/>
              </w:rPr>
              <w:t>勘探</w:t>
            </w:r>
            <w:r>
              <w:rPr>
                <w:rFonts w:hint="eastAsia" w:ascii="Times New Roman" w:hAnsi="Times New Roman" w:cs="Times New Roman"/>
                <w:sz w:val="24"/>
                <w:szCs w:val="24"/>
                <w:highlight w:val="none"/>
                <w:lang w:val="en-US" w:eastAsia="zh-CN"/>
              </w:rPr>
              <w:t>前须制定控制工地扬尘方案，执行施工场地的相关规定，采取有效防尘措施。</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2</w:t>
            </w:r>
            <w:r>
              <w:rPr>
                <w:rFonts w:hint="eastAsia" w:ascii="Times New Roman" w:hAnsi="Times New Roman" w:cs="Times New Roman"/>
                <w:sz w:val="24"/>
                <w:szCs w:val="24"/>
                <w:highlight w:val="none"/>
                <w:lang w:val="en-US" w:eastAsia="zh-CN"/>
              </w:rPr>
              <w:t>）</w:t>
            </w:r>
            <w:r>
              <w:rPr>
                <w:rFonts w:hint="eastAsia" w:cs="Times New Roman"/>
                <w:sz w:val="24"/>
                <w:szCs w:val="24"/>
                <w:highlight w:val="none"/>
                <w:lang w:val="en-US" w:eastAsia="zh-CN"/>
              </w:rPr>
              <w:t>勘探</w:t>
            </w:r>
            <w:r>
              <w:rPr>
                <w:rFonts w:hint="eastAsia" w:ascii="Times New Roman" w:hAnsi="Times New Roman" w:cs="Times New Roman"/>
                <w:sz w:val="24"/>
                <w:szCs w:val="24"/>
                <w:highlight w:val="none"/>
                <w:lang w:val="en-US" w:eastAsia="zh-CN"/>
              </w:rPr>
              <w:t>现场合理布局，对道路常洒水，对易扬尘物料加盖苫布。</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3</w:t>
            </w:r>
            <w:r>
              <w:rPr>
                <w:rFonts w:hint="eastAsia" w:ascii="Times New Roman" w:hAnsi="Times New Roman" w:cs="Times New Roman"/>
                <w:sz w:val="24"/>
                <w:szCs w:val="24"/>
                <w:highlight w:val="none"/>
                <w:lang w:val="en-US" w:eastAsia="zh-CN"/>
              </w:rPr>
              <w:t>）为进一步降低</w:t>
            </w:r>
            <w:r>
              <w:rPr>
                <w:rFonts w:hint="eastAsia" w:cs="Times New Roman"/>
                <w:sz w:val="24"/>
                <w:szCs w:val="24"/>
                <w:highlight w:val="none"/>
                <w:lang w:val="en-US" w:eastAsia="zh-CN"/>
              </w:rPr>
              <w:t>勘探</w:t>
            </w:r>
            <w:r>
              <w:rPr>
                <w:rFonts w:hint="eastAsia" w:ascii="Times New Roman" w:hAnsi="Times New Roman" w:cs="Times New Roman"/>
                <w:sz w:val="24"/>
                <w:szCs w:val="24"/>
                <w:highlight w:val="none"/>
                <w:lang w:val="en-US" w:eastAsia="zh-CN"/>
              </w:rPr>
              <w:t>扬尘，定期对路面和场地洒水，保持下垫面和空气湿润，减少起尘量，洒水频率视天气情况调整，原则上晴天每天不少于</w:t>
            </w:r>
            <w:r>
              <w:rPr>
                <w:rFonts w:hint="default" w:ascii="Times New Roman" w:hAnsi="Times New Roman" w:cs="Times New Roman"/>
                <w:sz w:val="24"/>
                <w:szCs w:val="24"/>
                <w:highlight w:val="none"/>
                <w:lang w:val="en-US" w:eastAsia="zh-CN"/>
              </w:rPr>
              <w:t>4</w:t>
            </w:r>
            <w:r>
              <w:rPr>
                <w:rFonts w:hint="eastAsia" w:ascii="Times New Roman" w:hAnsi="Times New Roman" w:cs="Times New Roman"/>
                <w:sz w:val="24"/>
                <w:szCs w:val="24"/>
                <w:highlight w:val="none"/>
                <w:lang w:val="en-US" w:eastAsia="zh-CN"/>
              </w:rPr>
              <w:t>次。</w:t>
            </w:r>
          </w:p>
          <w:p>
            <w:pPr>
              <w:keepNext w:val="0"/>
              <w:keepLines w:val="0"/>
              <w:pageBreakBefore w:val="0"/>
              <w:widowControl/>
              <w:suppressLineNumbers w:val="0"/>
              <w:kinsoku/>
              <w:wordWrap/>
              <w:overflowPunct/>
              <w:topLinePunct w:val="0"/>
              <w:autoSpaceDE/>
              <w:autoSpaceDN/>
              <w:bidi w:val="0"/>
              <w:snapToGrid/>
              <w:spacing w:line="520" w:lineRule="exact"/>
              <w:ind w:firstLine="480" w:firstLineChars="200"/>
              <w:jc w:val="left"/>
              <w:textAlignment w:val="auto"/>
              <w:rPr>
                <w:highlight w:val="none"/>
              </w:rPr>
            </w:pP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val="en-US" w:eastAsia="zh-CN" w:bidi="ar"/>
              </w:rPr>
              <w:t>级以上大风天气，不得进行土方回填、转运以及其他可能产生扬尘污染的施工，并对施工场地做好遮掩工作。</w:t>
            </w:r>
          </w:p>
          <w:p>
            <w:pPr>
              <w:keepNext w:val="0"/>
              <w:keepLines w:val="0"/>
              <w:pageBreakBefore w:val="0"/>
              <w:widowControl/>
              <w:suppressLineNumbers w:val="0"/>
              <w:kinsoku/>
              <w:wordWrap/>
              <w:overflowPunct/>
              <w:topLinePunct w:val="0"/>
              <w:autoSpaceDE/>
              <w:autoSpaceDN/>
              <w:bidi w:val="0"/>
              <w:snapToGrid/>
              <w:spacing w:line="520" w:lineRule="exact"/>
              <w:ind w:firstLine="482" w:firstLineChars="200"/>
              <w:jc w:val="left"/>
              <w:textAlignment w:val="auto"/>
              <w:rPr>
                <w:highlight w:val="none"/>
              </w:rPr>
            </w:pPr>
            <w:r>
              <w:rPr>
                <w:rFonts w:hint="default" w:ascii="Times New Roman" w:hAnsi="Times New Roman" w:eastAsia="宋体" w:cs="Times New Roman"/>
                <w:b/>
                <w:bCs/>
                <w:color w:val="000000"/>
                <w:kern w:val="0"/>
                <w:sz w:val="24"/>
                <w:szCs w:val="24"/>
                <w:highlight w:val="none"/>
                <w:lang w:val="en-US" w:eastAsia="zh-CN" w:bidi="ar"/>
              </w:rPr>
              <w:t>3.2</w:t>
            </w:r>
            <w:r>
              <w:rPr>
                <w:rFonts w:hint="eastAsia" w:ascii="宋体" w:hAnsi="宋体" w:eastAsia="宋体" w:cs="宋体"/>
                <w:b/>
                <w:bCs/>
                <w:color w:val="000000"/>
                <w:kern w:val="0"/>
                <w:sz w:val="24"/>
                <w:szCs w:val="24"/>
                <w:highlight w:val="none"/>
                <w:lang w:val="en-US" w:eastAsia="zh-CN" w:bidi="ar"/>
              </w:rPr>
              <w:t>燃油废气</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由于施工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1</w:t>
            </w:r>
            <w:r>
              <w:rPr>
                <w:rFonts w:hint="eastAsia" w:ascii="Times New Roman" w:hAnsi="Times New Roman" w:cs="Times New Roman"/>
                <w:sz w:val="24"/>
                <w:szCs w:val="24"/>
                <w:highlight w:val="none"/>
                <w:lang w:val="en-US" w:eastAsia="zh-CN"/>
              </w:rPr>
              <w:t>）使用合格的施工与运输车辆，保证汽车尾气达到国家规定的排放标准。</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2</w:t>
            </w:r>
            <w:r>
              <w:rPr>
                <w:rFonts w:hint="eastAsia" w:ascii="Times New Roman" w:hAnsi="Times New Roman" w:cs="Times New Roman"/>
                <w:sz w:val="24"/>
                <w:szCs w:val="24"/>
                <w:highlight w:val="none"/>
                <w:lang w:val="en-US" w:eastAsia="zh-CN"/>
              </w:rPr>
              <w:t>）选用工艺先进、技术含量高的作业机械。</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cs="Times New Roman"/>
                <w:sz w:val="24"/>
                <w:szCs w:val="24"/>
                <w:highlight w:val="none"/>
                <w:lang w:val="en-US" w:eastAsia="zh-CN"/>
              </w:rPr>
            </w:pP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3</w:t>
            </w:r>
            <w:r>
              <w:rPr>
                <w:rFonts w:hint="eastAsia" w:ascii="Times New Roman" w:hAnsi="Times New Roman" w:cs="Times New Roman"/>
                <w:sz w:val="24"/>
                <w:szCs w:val="24"/>
                <w:highlight w:val="none"/>
                <w:lang w:val="en-US" w:eastAsia="zh-CN"/>
              </w:rPr>
              <w:t>）尽量避免施工机械同时运行，在机械停止使用时应及时熄火，避免猛踩油门增加燃油废气中有害物质的排放</w:t>
            </w:r>
            <w:r>
              <w:rPr>
                <w:rFonts w:hint="eastAsia" w:cs="Times New Roman"/>
                <w:sz w:val="24"/>
                <w:szCs w:val="24"/>
                <w:highlight w:val="none"/>
                <w:lang w:val="en-US" w:eastAsia="zh-CN"/>
              </w:rPr>
              <w:t>。</w:t>
            </w:r>
          </w:p>
          <w:p>
            <w:pPr>
              <w:pStyle w:val="51"/>
              <w:keepNext w:val="0"/>
              <w:keepLines w:val="0"/>
              <w:pageBreakBefore w:val="0"/>
              <w:widowControl w:val="0"/>
              <w:shd w:val="clear"/>
              <w:kinsoku/>
              <w:wordWrap/>
              <w:overflowPunct/>
              <w:topLinePunct w:val="0"/>
              <w:autoSpaceDE/>
              <w:autoSpaceDN/>
              <w:bidi w:val="0"/>
              <w:adjustRightInd w:val="0"/>
              <w:snapToGrid w:val="0"/>
              <w:ind w:firstLine="482" w:firstLineChars="200"/>
              <w:textAlignment w:val="auto"/>
              <w:rPr>
                <w:rFonts w:hint="eastAsia" w:eastAsia="宋体" w:cs="宋体"/>
                <w:color w:val="auto"/>
                <w:lang w:val="en-US" w:eastAsia="zh-CN"/>
              </w:rPr>
            </w:pPr>
            <w:r>
              <w:rPr>
                <w:rFonts w:hint="eastAsia" w:eastAsia="宋体" w:cs="宋体"/>
                <w:color w:val="auto"/>
                <w:lang w:val="en-US" w:eastAsia="zh-CN"/>
              </w:rPr>
              <w:t>3.</w:t>
            </w:r>
            <w:r>
              <w:rPr>
                <w:rFonts w:hint="eastAsia" w:cs="宋体"/>
                <w:color w:val="auto"/>
                <w:lang w:val="en-US" w:eastAsia="zh-CN"/>
              </w:rPr>
              <w:t>3</w:t>
            </w:r>
            <w:r>
              <w:rPr>
                <w:rFonts w:hint="eastAsia" w:eastAsia="宋体" w:cs="宋体"/>
                <w:color w:val="auto"/>
                <w:lang w:val="en-US" w:eastAsia="zh-CN"/>
              </w:rPr>
              <w:t>临时堆场</w:t>
            </w:r>
          </w:p>
          <w:p>
            <w:pPr>
              <w:pStyle w:val="57"/>
              <w:shd w:val="clear"/>
              <w:bidi w:val="0"/>
              <w:rPr>
                <w:rFonts w:hint="eastAsia"/>
                <w:color w:val="auto"/>
                <w:lang w:val="en-US" w:eastAsia="zh-CN"/>
              </w:rPr>
            </w:pPr>
            <w:r>
              <w:rPr>
                <w:color w:val="auto"/>
              </w:rPr>
              <w:t>为有效减少临时堆场对大气环境的影响，可从扬尘抑制、作业管理</w:t>
            </w:r>
            <w:r>
              <w:rPr>
                <w:rFonts w:hint="eastAsia"/>
                <w:color w:val="auto"/>
                <w:lang w:eastAsia="zh-CN"/>
              </w:rPr>
              <w:t>等</w:t>
            </w:r>
            <w:r>
              <w:rPr>
                <w:rFonts w:hint="eastAsia"/>
                <w:color w:val="auto"/>
                <w:lang w:val="en-US" w:eastAsia="zh-CN"/>
              </w:rPr>
              <w:t>方面入手，构建综合防护体系：</w:t>
            </w:r>
          </w:p>
          <w:p>
            <w:pPr>
              <w:pStyle w:val="57"/>
              <w:shd w:val="clear"/>
              <w:bidi w:val="0"/>
              <w:rPr>
                <w:rFonts w:hint="eastAsia"/>
                <w:color w:val="auto"/>
                <w:lang w:val="en-US" w:eastAsia="zh-CN"/>
              </w:rPr>
            </w:pPr>
            <w:r>
              <w:rPr>
                <w:rFonts w:hint="eastAsia"/>
                <w:color w:val="auto"/>
                <w:lang w:val="en-US" w:eastAsia="zh-CN"/>
              </w:rPr>
              <w:t>（1）物理覆盖降尘：采用彩布条对堆体进行全覆盖，边缘压实固定，防止大风掀翻。</w:t>
            </w:r>
          </w:p>
          <w:p>
            <w:pPr>
              <w:pStyle w:val="57"/>
              <w:shd w:val="clear"/>
              <w:bidi w:val="0"/>
              <w:rPr>
                <w:rFonts w:hint="default"/>
                <w:color w:val="auto"/>
                <w:lang w:val="en-US" w:eastAsia="zh-CN"/>
              </w:rPr>
            </w:pPr>
            <w:r>
              <w:rPr>
                <w:rFonts w:hint="eastAsia"/>
                <w:color w:val="auto"/>
                <w:lang w:val="en-US" w:eastAsia="zh-CN"/>
              </w:rPr>
              <w:t>（2）洒水降尘：定期对堆场及周边道路进行洒水作业，保持土石方表面湿润，减少风力扬尘；</w:t>
            </w:r>
            <w:r>
              <w:rPr>
                <w:color w:val="auto"/>
              </w:rPr>
              <w:t>根据天气情况调整洒水频次，高温干旱或大风天气增加洒水次数，确保表面湿度稳定。</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sz w:val="24"/>
                <w:szCs w:val="24"/>
                <w:highlight w:val="none"/>
                <w:lang w:val="en-US" w:eastAsia="zh-CN"/>
              </w:rPr>
            </w:pPr>
            <w:r>
              <w:rPr>
                <w:rFonts w:hint="eastAsia"/>
                <w:color w:val="auto"/>
                <w:sz w:val="24"/>
                <w:lang w:val="en-US" w:eastAsia="zh-CN"/>
              </w:rPr>
              <w:t>（3）规范作业管理：限制车辆在堆场周边的行驶速度，减少因碾压产生的扬尘；运输车辆采取密闭措施，车厢加盖篷布；优化装卸作业流程，降低物料落差，减少扬尘产生</w:t>
            </w:r>
            <w:r>
              <w:rPr>
                <w:rFonts w:hint="eastAsia" w:ascii="Times New Roman" w:hAnsi="Times New Roman" w:cs="Times New Roman"/>
                <w:sz w:val="24"/>
                <w:szCs w:val="24"/>
                <w:highlight w:val="none"/>
                <w:lang w:val="en-US" w:eastAsia="zh-CN"/>
              </w:rPr>
              <w:t>。</w:t>
            </w:r>
          </w:p>
          <w:p>
            <w:pPr>
              <w:keepNext w:val="0"/>
              <w:keepLines w:val="0"/>
              <w:pageBreakBefore w:val="0"/>
              <w:widowControl/>
              <w:suppressLineNumbers w:val="0"/>
              <w:kinsoku/>
              <w:wordWrap/>
              <w:overflowPunct/>
              <w:topLinePunct w:val="0"/>
              <w:autoSpaceDE/>
              <w:autoSpaceDN/>
              <w:bidi w:val="0"/>
              <w:snapToGrid/>
              <w:spacing w:line="520" w:lineRule="exact"/>
              <w:jc w:val="left"/>
              <w:textAlignment w:val="auto"/>
              <w:rPr>
                <w:highlight w:val="none"/>
              </w:rPr>
            </w:pPr>
            <w:r>
              <w:rPr>
                <w:rFonts w:hint="eastAsia" w:cs="Times New Roman"/>
                <w:b/>
                <w:bCs/>
                <w:color w:val="000000"/>
                <w:kern w:val="0"/>
                <w:sz w:val="24"/>
                <w:szCs w:val="24"/>
                <w:highlight w:val="none"/>
                <w:lang w:val="en-US" w:eastAsia="zh-CN" w:bidi="ar"/>
              </w:rPr>
              <w:t>4.</w:t>
            </w:r>
            <w:r>
              <w:rPr>
                <w:rFonts w:hint="eastAsia" w:ascii="宋体" w:hAnsi="宋体" w:eastAsia="宋体" w:cs="宋体"/>
                <w:b/>
                <w:bCs/>
                <w:color w:val="000000"/>
                <w:kern w:val="0"/>
                <w:sz w:val="24"/>
                <w:szCs w:val="24"/>
                <w:highlight w:val="none"/>
                <w:lang w:val="en-US" w:eastAsia="zh-CN" w:bidi="ar"/>
              </w:rPr>
              <w:t>水环境保护措施</w:t>
            </w:r>
          </w:p>
          <w:p>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施工废水主要来自钻探废水、设备清洗废水和生活</w:t>
            </w:r>
            <w:r>
              <w:rPr>
                <w:rFonts w:hint="eastAsia" w:ascii="Times New Roman" w:hAnsi="Times New Roman" w:cs="Times New Roman"/>
                <w:sz w:val="24"/>
                <w:szCs w:val="24"/>
                <w:highlight w:val="none"/>
                <w:lang w:val="en-US" w:eastAsia="zh-CN"/>
              </w:rPr>
              <w:t>污水。</w:t>
            </w:r>
            <w:r>
              <w:rPr>
                <w:rFonts w:hint="default" w:ascii="Times New Roman" w:hAnsi="Times New Roman" w:cs="Times New Roman"/>
                <w:sz w:val="24"/>
                <w:szCs w:val="24"/>
                <w:highlight w:val="none"/>
                <w:lang w:val="en-US" w:eastAsia="zh-CN"/>
              </w:rPr>
              <w:t>钻探废水、设备清洗废水主要污染物为SS，沉淀池收集沉淀后，</w:t>
            </w:r>
            <w:r>
              <w:rPr>
                <w:rFonts w:hint="eastAsia" w:cs="Times New Roman"/>
                <w:sz w:val="24"/>
                <w:szCs w:val="24"/>
                <w:highlight w:val="none"/>
                <w:lang w:val="en-US" w:eastAsia="zh-CN"/>
              </w:rPr>
              <w:t>循环使用</w:t>
            </w:r>
            <w:r>
              <w:rPr>
                <w:rFonts w:hint="default" w:ascii="Times New Roman" w:hAnsi="Times New Roman" w:cs="Times New Roman"/>
                <w:sz w:val="24"/>
                <w:szCs w:val="24"/>
                <w:highlight w:val="none"/>
                <w:lang w:val="en-US" w:eastAsia="zh-CN"/>
              </w:rPr>
              <w:t>，不外排。生活污水来源于施工人员及工地管理人员，其污染物较为简单，主要为SS、NH</w:t>
            </w:r>
            <w:r>
              <w:rPr>
                <w:rFonts w:hint="default" w:ascii="Times New Roman" w:hAnsi="Times New Roman" w:cs="Times New Roman"/>
                <w:sz w:val="24"/>
                <w:szCs w:val="24"/>
                <w:highlight w:val="none"/>
                <w:vertAlign w:val="subscript"/>
                <w:lang w:val="en-US" w:eastAsia="zh-CN"/>
              </w:rPr>
              <w:t>3</w:t>
            </w:r>
            <w:r>
              <w:rPr>
                <w:rFonts w:hint="default" w:ascii="Times New Roman" w:hAnsi="Times New Roman" w:cs="Times New Roman"/>
                <w:sz w:val="24"/>
                <w:szCs w:val="24"/>
                <w:highlight w:val="none"/>
                <w:lang w:val="en-US" w:eastAsia="zh-CN"/>
              </w:rPr>
              <w:t>-N、COD、BOD</w:t>
            </w:r>
            <w:r>
              <w:rPr>
                <w:rFonts w:hint="default" w:ascii="Times New Roman" w:hAnsi="Times New Roman" w:cs="Times New Roman"/>
                <w:sz w:val="24"/>
                <w:szCs w:val="24"/>
                <w:highlight w:val="none"/>
                <w:vertAlign w:val="subscript"/>
                <w:lang w:val="en-US" w:eastAsia="zh-CN"/>
              </w:rPr>
              <w:t>5</w:t>
            </w:r>
            <w:r>
              <w:rPr>
                <w:rFonts w:hint="default" w:ascii="Times New Roman" w:hAnsi="Times New Roman" w:cs="Times New Roman"/>
                <w:sz w:val="24"/>
                <w:szCs w:val="24"/>
                <w:highlight w:val="none"/>
                <w:lang w:val="en-US" w:eastAsia="zh-CN"/>
              </w:rPr>
              <w:t>等。生活污水</w:t>
            </w:r>
            <w:r>
              <w:rPr>
                <w:rFonts w:hint="eastAsia" w:ascii="Times New Roman" w:hAnsi="Times New Roman" w:cs="Times New Roman"/>
                <w:sz w:val="24"/>
                <w:szCs w:val="24"/>
                <w:highlight w:val="none"/>
                <w:lang w:val="en-US" w:eastAsia="zh-CN"/>
              </w:rPr>
              <w:t>经一体化污水处理设施处理完成后用于周边</w:t>
            </w:r>
            <w:r>
              <w:rPr>
                <w:rFonts w:hint="eastAsia" w:cs="Times New Roman"/>
                <w:sz w:val="24"/>
                <w:szCs w:val="24"/>
                <w:highlight w:val="none"/>
                <w:lang w:val="en-US" w:eastAsia="zh-CN"/>
              </w:rPr>
              <w:t>绿化</w:t>
            </w:r>
            <w:r>
              <w:rPr>
                <w:rFonts w:hint="default" w:ascii="Times New Roman" w:hAnsi="Times New Roman"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b/>
                <w:sz w:val="24"/>
                <w:highlight w:val="none"/>
              </w:rPr>
            </w:pPr>
            <w:r>
              <w:rPr>
                <w:rFonts w:hint="eastAsia"/>
                <w:b/>
                <w:sz w:val="24"/>
                <w:highlight w:val="none"/>
                <w:lang w:val="en-US" w:eastAsia="zh-CN"/>
              </w:rPr>
              <w:t>5.声环境保护</w:t>
            </w:r>
            <w:r>
              <w:rPr>
                <w:b/>
                <w:sz w:val="24"/>
                <w:highlight w:val="none"/>
              </w:rPr>
              <w:t>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highlight w:val="none"/>
              </w:rPr>
            </w:pPr>
            <w:r>
              <w:rPr>
                <w:sz w:val="24"/>
                <w:highlight w:val="none"/>
              </w:rPr>
              <w:t>本次探矿工作探槽为人力开挖；</w:t>
            </w:r>
            <w:r>
              <w:rPr>
                <w:rFonts w:hint="eastAsia"/>
                <w:sz w:val="24"/>
                <w:highlight w:val="none"/>
              </w:rPr>
              <w:t>钻</w:t>
            </w:r>
            <w:r>
              <w:rPr>
                <w:sz w:val="24"/>
                <w:highlight w:val="none"/>
              </w:rPr>
              <w:t>探以机械施工为主，辅以人工作业。</w:t>
            </w:r>
            <w:r>
              <w:rPr>
                <w:rFonts w:hint="eastAsia"/>
                <w:sz w:val="24"/>
                <w:highlight w:val="none"/>
              </w:rPr>
              <w:t>探矿</w:t>
            </w:r>
            <w:r>
              <w:rPr>
                <w:sz w:val="24"/>
                <w:highlight w:val="none"/>
              </w:rPr>
              <w:t>活动相对集中，噪声源相对固定。经类比调查，</w:t>
            </w:r>
            <w:r>
              <w:rPr>
                <w:rFonts w:hint="eastAsia"/>
                <w:sz w:val="24"/>
                <w:highlight w:val="none"/>
              </w:rPr>
              <w:t>探矿</w:t>
            </w:r>
            <w:r>
              <w:rPr>
                <w:sz w:val="24"/>
                <w:highlight w:val="none"/>
              </w:rPr>
              <w:t>期间声强范围在</w:t>
            </w:r>
            <w:r>
              <w:rPr>
                <w:rFonts w:hint="eastAsia"/>
                <w:bCs/>
                <w:color w:val="000000"/>
                <w:sz w:val="24"/>
                <w:szCs w:val="24"/>
                <w:highlight w:val="none"/>
              </w:rPr>
              <w:t>71~100</w:t>
            </w:r>
            <w:r>
              <w:rPr>
                <w:sz w:val="24"/>
                <w:szCs w:val="24"/>
                <w:highlight w:val="none"/>
              </w:rPr>
              <w:t>dB</w:t>
            </w:r>
            <w:r>
              <w:rPr>
                <w:sz w:val="24"/>
                <w:highlight w:val="none"/>
              </w:rPr>
              <w:t>之间。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highlight w:val="none"/>
              </w:rPr>
            </w:pPr>
            <w:r>
              <w:rPr>
                <w:sz w:val="24"/>
                <w:highlight w:val="none"/>
              </w:rPr>
              <w:t>项目探矿点周围</w:t>
            </w:r>
            <w:r>
              <w:rPr>
                <w:rFonts w:hint="eastAsia"/>
                <w:sz w:val="24"/>
                <w:highlight w:val="none"/>
                <w:lang w:val="en-US" w:eastAsia="zh-CN"/>
              </w:rPr>
              <w:t>5</w:t>
            </w:r>
            <w:r>
              <w:rPr>
                <w:rFonts w:hint="eastAsia"/>
                <w:sz w:val="24"/>
                <w:highlight w:val="none"/>
              </w:rPr>
              <w:t>00</w:t>
            </w:r>
            <w:r>
              <w:rPr>
                <w:sz w:val="24"/>
                <w:highlight w:val="none"/>
              </w:rPr>
              <w:t>m内没有居民，因此，本项目噪声对周围敏感点的噪声影响很小。为减少</w:t>
            </w:r>
            <w:r>
              <w:rPr>
                <w:rFonts w:hint="eastAsia"/>
                <w:sz w:val="24"/>
                <w:highlight w:val="none"/>
              </w:rPr>
              <w:t>本项目</w:t>
            </w:r>
            <w:r>
              <w:rPr>
                <w:rFonts w:hint="eastAsia"/>
                <w:sz w:val="24"/>
                <w:highlight w:val="none"/>
                <w:lang w:val="en-US" w:eastAsia="zh-CN"/>
              </w:rPr>
              <w:t>勘探</w:t>
            </w:r>
            <w:r>
              <w:rPr>
                <w:rFonts w:hint="eastAsia"/>
                <w:sz w:val="24"/>
                <w:highlight w:val="none"/>
              </w:rPr>
              <w:t>期间</w:t>
            </w:r>
            <w:r>
              <w:rPr>
                <w:sz w:val="24"/>
                <w:highlight w:val="none"/>
              </w:rPr>
              <w:t>噪声对周边环境的影响拟采取以下防治措施：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highlight w:val="none"/>
              </w:rPr>
            </w:pPr>
            <w:r>
              <w:rPr>
                <w:sz w:val="24"/>
                <w:highlight w:val="none"/>
              </w:rPr>
              <w:t>（1）合理安排施工时段：制定施工计划时，应尽可能避免大量噪声设备同时使用。应尽量安排在白天施工，夜间禁止施工。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highlight w:val="none"/>
              </w:rPr>
            </w:pPr>
            <w:r>
              <w:rPr>
                <w:sz w:val="24"/>
                <w:highlight w:val="none"/>
              </w:rPr>
              <w:t>（2）合理布局施工场地：避免在同一地点安排大量动力机械设备，以免局部声级过高。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highlight w:val="none"/>
              </w:rPr>
            </w:pPr>
            <w:r>
              <w:rPr>
                <w:sz w:val="24"/>
                <w:highlight w:val="none"/>
              </w:rPr>
              <w:t>（</w:t>
            </w:r>
            <w:r>
              <w:rPr>
                <w:rFonts w:hint="eastAsia"/>
                <w:sz w:val="24"/>
                <w:highlight w:val="none"/>
                <w:lang w:val="en-US" w:eastAsia="zh-CN"/>
              </w:rPr>
              <w:t>3</w:t>
            </w:r>
            <w:r>
              <w:rPr>
                <w:sz w:val="24"/>
                <w:highlight w:val="none"/>
              </w:rPr>
              <w:t>）管理措施：建设方应对施工单位提出明确的噪声环境要求，要求施工单位制定科学、合理的施工方案和严格的生产管理制度。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highlight w:val="none"/>
              </w:rPr>
            </w:pPr>
            <w:r>
              <w:rPr>
                <w:sz w:val="24"/>
                <w:highlight w:val="none"/>
              </w:rPr>
              <w:t>（</w:t>
            </w:r>
            <w:r>
              <w:rPr>
                <w:rFonts w:hint="eastAsia"/>
                <w:sz w:val="24"/>
                <w:highlight w:val="none"/>
                <w:lang w:val="en-US" w:eastAsia="zh-CN"/>
              </w:rPr>
              <w:t>4</w:t>
            </w:r>
            <w:r>
              <w:rPr>
                <w:sz w:val="24"/>
                <w:highlight w:val="none"/>
              </w:rPr>
              <w:t>）加强对设备的维护、养护，闲置设备应立即关闭。尽可能采用外加工材料，减少现场加工的工作量。</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4"/>
                <w:highlight w:val="none"/>
              </w:rPr>
            </w:pPr>
            <w:r>
              <w:rPr>
                <w:rFonts w:hint="eastAsia"/>
                <w:b/>
                <w:sz w:val="24"/>
                <w:highlight w:val="none"/>
                <w:lang w:val="en-US" w:eastAsia="zh-CN"/>
              </w:rPr>
              <w:t>6.</w:t>
            </w:r>
            <w:r>
              <w:rPr>
                <w:b/>
                <w:sz w:val="24"/>
                <w:highlight w:val="none"/>
              </w:rPr>
              <w:t>固体废物污染防治措施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highlight w:val="none"/>
              </w:rPr>
            </w:pPr>
            <w:r>
              <w:rPr>
                <w:rFonts w:hint="eastAsia"/>
                <w:sz w:val="24"/>
                <w:highlight w:val="none"/>
                <w:lang w:eastAsia="zh-CN"/>
              </w:rPr>
              <w:t>（</w:t>
            </w:r>
            <w:r>
              <w:rPr>
                <w:rFonts w:hint="eastAsia"/>
                <w:sz w:val="24"/>
                <w:highlight w:val="none"/>
                <w:lang w:val="en-US" w:eastAsia="zh-CN"/>
              </w:rPr>
              <w:t>1</w:t>
            </w:r>
            <w:r>
              <w:rPr>
                <w:rFonts w:hint="eastAsia"/>
                <w:sz w:val="24"/>
                <w:highlight w:val="none"/>
                <w:lang w:eastAsia="zh-CN"/>
              </w:rPr>
              <w:t>）</w:t>
            </w:r>
            <w:r>
              <w:rPr>
                <w:rFonts w:hint="eastAsia"/>
                <w:sz w:val="24"/>
                <w:highlight w:val="none"/>
              </w:rPr>
              <w:t>开挖临时堆土</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highlight w:val="none"/>
              </w:rPr>
            </w:pPr>
            <w:r>
              <w:rPr>
                <w:rFonts w:hint="eastAsia"/>
                <w:sz w:val="24"/>
                <w:highlight w:val="none"/>
              </w:rPr>
              <w:t>主要为槽探开挖产生</w:t>
            </w:r>
            <w:r>
              <w:rPr>
                <w:rFonts w:hint="eastAsia"/>
                <w:sz w:val="24"/>
                <w:highlight w:val="none"/>
                <w:lang w:val="en-US" w:eastAsia="zh-CN"/>
              </w:rPr>
              <w:t>的</w:t>
            </w:r>
            <w:r>
              <w:rPr>
                <w:rFonts w:hint="eastAsia"/>
                <w:sz w:val="24"/>
                <w:highlight w:val="none"/>
              </w:rPr>
              <w:t>土石方，属于一般固废。对</w:t>
            </w:r>
            <w:r>
              <w:rPr>
                <w:rFonts w:hint="eastAsia"/>
                <w:sz w:val="24"/>
                <w:highlight w:val="none"/>
                <w:lang w:val="en-US" w:eastAsia="zh-CN"/>
              </w:rPr>
              <w:t>挖出的土石方进行集中堆放，并使用彩条布苫盖，定期洒水，待槽探结束后立即回填</w:t>
            </w:r>
            <w:r>
              <w:rPr>
                <w:rFonts w:hint="eastAsia"/>
                <w:sz w:val="24"/>
                <w:highlight w:val="none"/>
              </w:rPr>
              <w:t>。勘探期内严禁将开挖土石方堆放在山间冲沟内，阻塞冲沟，确保冲沟的通畅性。开挖的土石方在勘探期结束后全部回填至开挖迹地，开挖临时堆土的环境影响较小。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highlight w:val="none"/>
              </w:rPr>
            </w:pPr>
            <w:r>
              <w:rPr>
                <w:rFonts w:hint="eastAsia"/>
                <w:sz w:val="24"/>
                <w:highlight w:val="none"/>
                <w:lang w:eastAsia="zh-CN"/>
              </w:rPr>
              <w:t>（</w:t>
            </w:r>
            <w:r>
              <w:rPr>
                <w:rFonts w:hint="eastAsia"/>
                <w:sz w:val="24"/>
                <w:highlight w:val="none"/>
                <w:lang w:val="en-US" w:eastAsia="zh-CN"/>
              </w:rPr>
              <w:t>2</w:t>
            </w:r>
            <w:r>
              <w:rPr>
                <w:rFonts w:hint="eastAsia"/>
                <w:sz w:val="24"/>
                <w:highlight w:val="none"/>
                <w:lang w:eastAsia="zh-CN"/>
              </w:rPr>
              <w:t>）</w:t>
            </w:r>
            <w:r>
              <w:rPr>
                <w:rFonts w:hint="eastAsia"/>
                <w:sz w:val="24"/>
                <w:highlight w:val="none"/>
              </w:rPr>
              <w:t>生活垃圾</w:t>
            </w:r>
          </w:p>
          <w:p>
            <w:pPr>
              <w:pageBreakBefore w:val="0"/>
              <w:numPr>
                <w:ilvl w:val="-1"/>
                <w:numId w:val="0"/>
              </w:numPr>
              <w:kinsoku/>
              <w:wordWrap/>
              <w:overflowPunct/>
              <w:topLinePunct w:val="0"/>
              <w:autoSpaceDE/>
              <w:autoSpaceDN/>
              <w:bidi w:val="0"/>
              <w:adjustRightInd/>
              <w:snapToGrid/>
              <w:spacing w:line="520" w:lineRule="exact"/>
              <w:ind w:firstLine="480" w:firstLineChars="200"/>
              <w:textAlignment w:val="auto"/>
              <w:rPr>
                <w:rFonts w:hint="eastAsia"/>
                <w:sz w:val="24"/>
                <w:highlight w:val="none"/>
              </w:rPr>
            </w:pPr>
            <w:r>
              <w:rPr>
                <w:sz w:val="24"/>
                <w:highlight w:val="none"/>
              </w:rPr>
              <w:t>本项目</w:t>
            </w:r>
            <w:r>
              <w:rPr>
                <w:rFonts w:hint="eastAsia"/>
                <w:sz w:val="24"/>
                <w:highlight w:val="none"/>
                <w:lang w:val="en-US" w:eastAsia="zh-CN"/>
              </w:rPr>
              <w:t>勘探</w:t>
            </w:r>
            <w:r>
              <w:rPr>
                <w:sz w:val="24"/>
                <w:highlight w:val="none"/>
              </w:rPr>
              <w:t>期间施工人员生活垃圾产生总量约为</w:t>
            </w:r>
            <w:r>
              <w:rPr>
                <w:rFonts w:hint="eastAsia"/>
                <w:sz w:val="24"/>
                <w:highlight w:val="none"/>
                <w:lang w:val="en-US" w:eastAsia="zh-CN"/>
              </w:rPr>
              <w:t>4.32</w:t>
            </w:r>
            <w:r>
              <w:rPr>
                <w:sz w:val="24"/>
                <w:highlight w:val="none"/>
              </w:rPr>
              <w:t>t</w:t>
            </w:r>
            <w:r>
              <w:rPr>
                <w:rFonts w:hint="eastAsia"/>
                <w:sz w:val="24"/>
                <w:highlight w:val="none"/>
              </w:rPr>
              <w:t>。</w:t>
            </w:r>
            <w:r>
              <w:rPr>
                <w:rFonts w:hint="eastAsia"/>
                <w:sz w:val="24"/>
                <w:highlight w:val="none"/>
                <w:lang w:eastAsia="zh-CN"/>
              </w:rPr>
              <w:t>在</w:t>
            </w:r>
            <w:r>
              <w:rPr>
                <w:rFonts w:hint="eastAsia"/>
                <w:sz w:val="24"/>
                <w:highlight w:val="none"/>
              </w:rPr>
              <w:t>营地内设置一定数量的垃圾桶，用于临时存放生活垃圾，最终经</w:t>
            </w:r>
            <w:r>
              <w:rPr>
                <w:sz w:val="24"/>
                <w:highlight w:val="none"/>
              </w:rPr>
              <w:t>统一收集后，</w:t>
            </w:r>
            <w:r>
              <w:rPr>
                <w:rFonts w:hint="eastAsia"/>
                <w:sz w:val="24"/>
                <w:highlight w:val="none"/>
                <w:lang w:val="en-US" w:eastAsia="zh-CN"/>
              </w:rPr>
              <w:t>交环卫部门处置</w:t>
            </w:r>
            <w:r>
              <w:rPr>
                <w:sz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sz w:val="24"/>
                <w:highlight w:val="none"/>
              </w:rPr>
            </w:pPr>
            <w:r>
              <w:rPr>
                <w:rFonts w:hint="eastAsia"/>
                <w:sz w:val="24"/>
                <w:highlight w:val="none"/>
                <w:lang w:eastAsia="zh-CN"/>
              </w:rPr>
              <w:t>（</w:t>
            </w:r>
            <w:r>
              <w:rPr>
                <w:rFonts w:hint="eastAsia"/>
                <w:sz w:val="24"/>
                <w:highlight w:val="none"/>
                <w:lang w:val="en-US" w:eastAsia="zh-CN"/>
              </w:rPr>
              <w:t>3</w:t>
            </w:r>
            <w:r>
              <w:rPr>
                <w:rFonts w:hint="eastAsia"/>
                <w:sz w:val="24"/>
                <w:highlight w:val="none"/>
                <w:lang w:eastAsia="zh-CN"/>
              </w:rPr>
              <w:t>）</w:t>
            </w:r>
            <w:r>
              <w:rPr>
                <w:rFonts w:hint="eastAsia"/>
                <w:sz w:val="24"/>
                <w:highlight w:val="none"/>
              </w:rPr>
              <w:t>钻井</w:t>
            </w:r>
            <w:r>
              <w:rPr>
                <w:rFonts w:hint="eastAsia"/>
                <w:sz w:val="24"/>
                <w:highlight w:val="none"/>
                <w:lang w:val="en-US" w:eastAsia="zh-CN"/>
              </w:rPr>
              <w:t>岩屑</w:t>
            </w:r>
            <w:r>
              <w:rPr>
                <w:rFonts w:hint="eastAsia"/>
                <w:sz w:val="24"/>
                <w:highlight w:val="none"/>
              </w:rPr>
              <w:t>和泥浆</w:t>
            </w:r>
          </w:p>
          <w:p>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hint="eastAsia" w:cs="Times New Roman"/>
                <w:sz w:val="24"/>
                <w:highlight w:val="none"/>
                <w:lang w:val="en-US" w:eastAsia="zh-CN"/>
              </w:rPr>
            </w:pPr>
            <w:r>
              <w:rPr>
                <w:rFonts w:hint="eastAsia"/>
                <w:sz w:val="24"/>
                <w:highlight w:val="none"/>
              </w:rPr>
              <w:t>根据地质勘探队多年的工作经验，软质岩层每30</w:t>
            </w:r>
            <w:r>
              <w:rPr>
                <w:rFonts w:hint="eastAsia"/>
                <w:sz w:val="24"/>
                <w:highlight w:val="none"/>
                <w:lang w:eastAsia="zh-CN"/>
              </w:rPr>
              <w:t>～</w:t>
            </w:r>
            <w:r>
              <w:rPr>
                <w:rFonts w:hint="eastAsia"/>
                <w:sz w:val="24"/>
                <w:highlight w:val="none"/>
              </w:rPr>
              <w:t>40m</w:t>
            </w:r>
            <w:r>
              <w:rPr>
                <w:rFonts w:hint="eastAsia"/>
                <w:sz w:val="24"/>
                <w:highlight w:val="none"/>
                <w:lang w:eastAsia="zh-CN"/>
              </w:rPr>
              <w:t>进行一次拔芯</w:t>
            </w:r>
            <w:r>
              <w:rPr>
                <w:rFonts w:hint="eastAsia"/>
                <w:sz w:val="24"/>
                <w:highlight w:val="none"/>
              </w:rPr>
              <w:t>，硬质岩层每100m</w:t>
            </w:r>
            <w:r>
              <w:rPr>
                <w:rFonts w:hint="eastAsia"/>
                <w:sz w:val="24"/>
                <w:highlight w:val="none"/>
                <w:lang w:eastAsia="zh-CN"/>
              </w:rPr>
              <w:t>进行一次拔芯</w:t>
            </w:r>
            <w:r>
              <w:rPr>
                <w:rFonts w:hint="eastAsia"/>
                <w:sz w:val="24"/>
                <w:highlight w:val="none"/>
              </w:rPr>
              <w:t>，本环评按照平均钻井50m</w:t>
            </w:r>
            <w:r>
              <w:rPr>
                <w:rFonts w:hint="eastAsia"/>
                <w:sz w:val="24"/>
                <w:highlight w:val="none"/>
                <w:lang w:eastAsia="zh-CN"/>
              </w:rPr>
              <w:t>进行一次拔芯</w:t>
            </w:r>
            <w:r>
              <w:rPr>
                <w:rFonts w:hint="eastAsia"/>
                <w:sz w:val="24"/>
                <w:highlight w:val="none"/>
              </w:rPr>
              <w:t>，</w:t>
            </w:r>
            <w:r>
              <w:rPr>
                <w:rFonts w:hint="eastAsia"/>
                <w:sz w:val="24"/>
                <w:highlight w:val="none"/>
                <w:lang w:eastAsia="zh-CN"/>
              </w:rPr>
              <w:t>单次拔芯约</w:t>
            </w:r>
            <w:r>
              <w:rPr>
                <w:rFonts w:hint="eastAsia"/>
                <w:sz w:val="24"/>
                <w:highlight w:val="none"/>
                <w:lang w:val="en-US" w:eastAsia="zh-CN"/>
              </w:rPr>
              <w:t>20cm</w:t>
            </w:r>
            <w:r>
              <w:rPr>
                <w:rFonts w:hint="eastAsia"/>
                <w:sz w:val="24"/>
                <w:highlight w:val="none"/>
              </w:rPr>
              <w:t>。</w:t>
            </w:r>
            <w:r>
              <w:rPr>
                <w:rFonts w:hint="eastAsia"/>
                <w:sz w:val="24"/>
                <w:highlight w:val="none"/>
                <w:lang w:val="en-US" w:eastAsia="zh-CN"/>
              </w:rPr>
              <w:t>钻探</w:t>
            </w:r>
            <w:r>
              <w:rPr>
                <w:rFonts w:hint="eastAsia"/>
                <w:sz w:val="24"/>
                <w:highlight w:val="none"/>
                <w:lang w:eastAsia="zh-CN"/>
              </w:rPr>
              <w:t>岩芯</w:t>
            </w:r>
            <w:r>
              <w:rPr>
                <w:rFonts w:hint="eastAsia"/>
                <w:sz w:val="24"/>
                <w:highlight w:val="none"/>
              </w:rPr>
              <w:t>由地质勘探队统一收集，最终交至单位</w:t>
            </w:r>
            <w:r>
              <w:rPr>
                <w:rFonts w:hint="eastAsia"/>
                <w:sz w:val="24"/>
                <w:highlight w:val="none"/>
                <w:lang w:eastAsia="zh-CN"/>
              </w:rPr>
              <w:t>岩芯</w:t>
            </w:r>
            <w:r>
              <w:rPr>
                <w:rFonts w:hint="eastAsia"/>
                <w:sz w:val="24"/>
                <w:highlight w:val="none"/>
              </w:rPr>
              <w:t>库统一保管，不能随意丢弃</w:t>
            </w:r>
            <w:r>
              <w:rPr>
                <w:rFonts w:hint="eastAsia"/>
                <w:sz w:val="24"/>
                <w:highlight w:val="none"/>
                <w:lang w:val="en-US" w:eastAsia="zh-CN"/>
              </w:rPr>
              <w:t>。泥浆固化后交一般固废处置单位统一处理，</w:t>
            </w:r>
            <w:r>
              <w:rPr>
                <w:rFonts w:hint="eastAsia" w:ascii="Times New Roman" w:hAnsi="Times New Roman" w:eastAsia="宋体" w:cs="Times New Roman"/>
                <w:sz w:val="24"/>
                <w:highlight w:val="none"/>
                <w:lang w:val="en-US" w:eastAsia="zh-CN"/>
              </w:rPr>
              <w:t>岩</w:t>
            </w:r>
            <w:r>
              <w:rPr>
                <w:rFonts w:hint="default" w:ascii="Times New Roman" w:hAnsi="Times New Roman" w:eastAsia="宋体" w:cs="Times New Roman"/>
                <w:sz w:val="24"/>
                <w:highlight w:val="none"/>
                <w:lang w:val="en-US" w:eastAsia="zh-CN"/>
              </w:rPr>
              <w:t>屑用于</w:t>
            </w:r>
            <w:r>
              <w:rPr>
                <w:rFonts w:hint="eastAsia" w:ascii="Times New Roman" w:hAnsi="Times New Roman" w:eastAsia="宋体" w:cs="Times New Roman"/>
                <w:sz w:val="24"/>
                <w:highlight w:val="none"/>
                <w:lang w:val="en-US" w:eastAsia="zh-CN"/>
              </w:rPr>
              <w:t>回填</w:t>
            </w:r>
            <w:r>
              <w:rPr>
                <w:rFonts w:hint="default" w:ascii="Times New Roman" w:hAnsi="Times New Roman" w:eastAsia="宋体" w:cs="Times New Roman"/>
                <w:sz w:val="24"/>
                <w:highlight w:val="none"/>
                <w:lang w:val="en-US" w:eastAsia="zh-CN"/>
              </w:rPr>
              <w:t>封孔</w:t>
            </w:r>
            <w:r>
              <w:rPr>
                <w:rFonts w:hint="eastAsia" w:cs="Times New Roman"/>
                <w:sz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cs="Times New Roman"/>
                <w:sz w:val="24"/>
                <w:highlight w:val="none"/>
                <w:lang w:val="en-US" w:eastAsia="zh-CN"/>
              </w:rPr>
            </w:pPr>
            <w:r>
              <w:rPr>
                <w:rFonts w:hint="eastAsia" w:ascii="Times New Roman" w:hAnsi="Times New Roman" w:eastAsia="宋体" w:cs="Times New Roman"/>
                <w:kern w:val="2"/>
                <w:sz w:val="24"/>
                <w:szCs w:val="24"/>
                <w:lang w:val="en-US" w:eastAsia="zh-CN" w:bidi="ar-SA"/>
              </w:rPr>
              <w:t>（4）</w:t>
            </w:r>
            <w:r>
              <w:rPr>
                <w:rFonts w:hint="eastAsia" w:cs="Times New Roman"/>
                <w:sz w:val="24"/>
                <w:highlight w:val="none"/>
                <w:lang w:val="en-US" w:eastAsia="zh-CN"/>
              </w:rPr>
              <w:t>污泥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highlight w:val="none"/>
                <w:lang w:val="en-US" w:eastAsia="zh-CN"/>
              </w:rPr>
            </w:pPr>
            <w:r>
              <w:rPr>
                <w:rFonts w:hint="eastAsia" w:cs="Times New Roman"/>
                <w:sz w:val="24"/>
                <w:szCs w:val="24"/>
                <w:highlight w:val="none"/>
                <w:lang w:val="en-US" w:eastAsia="zh-CN"/>
              </w:rPr>
              <w:t>一体化污水处理设施处理生活污水过程中会产生少量污泥，定期清掏，与生活垃圾一同带往山下交由环卫部门处理</w:t>
            </w:r>
            <w:r>
              <w:rPr>
                <w:rFonts w:hint="default" w:ascii="Times New Roman" w:hAnsi="Times New Roman" w:eastAsia="宋体" w:cs="Times New Roman"/>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eastAsia="宋体"/>
                <w:sz w:val="24"/>
                <w:highlight w:val="none"/>
              </w:rPr>
            </w:pPr>
            <w:r>
              <w:rPr>
                <w:rFonts w:eastAsia="宋体"/>
                <w:sz w:val="24"/>
                <w:highlight w:val="none"/>
              </w:rPr>
              <w:t>采取以上防治措施后，探矿工作产生的固体废物对环境影响较小。</w:t>
            </w:r>
          </w:p>
          <w:p>
            <w:pPr>
              <w:keepNext w:val="0"/>
              <w:keepLines w:val="0"/>
              <w:pageBreakBefore w:val="0"/>
              <w:widowControl w:val="0"/>
              <w:kinsoku/>
              <w:wordWrap/>
              <w:overflowPunct/>
              <w:topLinePunct w:val="0"/>
              <w:autoSpaceDE/>
              <w:autoSpaceDN/>
              <w:bidi w:val="0"/>
              <w:adjustRightInd/>
              <w:snapToGrid/>
              <w:spacing w:line="520" w:lineRule="exact"/>
              <w:textAlignment w:val="auto"/>
              <w:rPr>
                <w:b/>
                <w:bCs/>
                <w:sz w:val="24"/>
                <w:szCs w:val="24"/>
                <w:highlight w:val="none"/>
              </w:rPr>
            </w:pPr>
            <w:r>
              <w:rPr>
                <w:rFonts w:hint="eastAsia"/>
                <w:b/>
                <w:bCs/>
                <w:sz w:val="24"/>
                <w:szCs w:val="24"/>
                <w:highlight w:val="none"/>
                <w:lang w:val="en-US" w:eastAsia="zh-CN"/>
              </w:rPr>
              <w:t>7.</w:t>
            </w:r>
            <w:r>
              <w:rPr>
                <w:rFonts w:hint="eastAsia"/>
                <w:b/>
                <w:bCs/>
                <w:sz w:val="24"/>
                <w:szCs w:val="24"/>
                <w:highlight w:val="none"/>
              </w:rPr>
              <w:t>环境风险分析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bCs/>
                <w:sz w:val="24"/>
                <w:szCs w:val="24"/>
                <w:highlight w:val="none"/>
              </w:rPr>
            </w:pPr>
            <w:r>
              <w:rPr>
                <w:rFonts w:hint="eastAsia"/>
                <w:b/>
                <w:bCs/>
                <w:sz w:val="24"/>
                <w:szCs w:val="24"/>
                <w:highlight w:val="none"/>
                <w:lang w:val="en-US" w:eastAsia="zh-CN"/>
              </w:rPr>
              <w:t>7.1</w:t>
            </w:r>
            <w:r>
              <w:rPr>
                <w:rFonts w:hint="eastAsia"/>
                <w:b/>
                <w:bCs/>
                <w:sz w:val="24"/>
                <w:szCs w:val="24"/>
                <w:highlight w:val="none"/>
              </w:rPr>
              <w:t>风险识别</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kern w:val="0"/>
                <w:sz w:val="24"/>
                <w:szCs w:val="24"/>
                <w:highlight w:val="none"/>
              </w:rPr>
            </w:pPr>
            <w:r>
              <w:rPr>
                <w:rFonts w:hint="eastAsia"/>
                <w:bCs/>
                <w:kern w:val="0"/>
                <w:sz w:val="24"/>
                <w:szCs w:val="24"/>
                <w:highlight w:val="none"/>
              </w:rPr>
              <w:t>环境风险是指突发性事故造成的重大</w:t>
            </w:r>
            <w:r>
              <w:rPr>
                <w:rFonts w:hint="eastAsia"/>
                <w:bCs/>
                <w:kern w:val="0"/>
                <w:sz w:val="24"/>
                <w:szCs w:val="24"/>
                <w:highlight w:val="none"/>
                <w:lang w:eastAsia="zh-CN"/>
              </w:rPr>
              <w:t>环境污染</w:t>
            </w:r>
            <w:r>
              <w:rPr>
                <w:rFonts w:hint="eastAsia"/>
                <w:bCs/>
                <w:kern w:val="0"/>
                <w:sz w:val="24"/>
                <w:szCs w:val="24"/>
                <w:highlight w:val="none"/>
              </w:rPr>
              <w:t>事件，其特点是危害大、影响范围广、发生概率具有很大的不确定性</w:t>
            </w:r>
            <w:r>
              <w:rPr>
                <w:rFonts w:hint="eastAsia"/>
                <w:kern w:val="0"/>
                <w:sz w:val="24"/>
                <w:szCs w:val="24"/>
                <w:highlight w:val="none"/>
              </w:rPr>
              <w:t>。环境风险评价的目的是分析和预测项目存在的潜在危险、有害因素，项目可能发生的突发性事件或事故（一般不包括人为破坏及自然灾害），引起有毒有害和易燃易爆等物质泄漏，针对所造成的人身安全、环境影响及其损害程度，提出合理可行的防范、应急与减缓措施，以使项目事故率、损失和环境影响达到可接受水平。</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bCs/>
                <w:kern w:val="0"/>
                <w:sz w:val="24"/>
                <w:szCs w:val="24"/>
                <w:highlight w:val="none"/>
              </w:rPr>
            </w:pPr>
            <w:r>
              <w:rPr>
                <w:rFonts w:hint="eastAsia"/>
                <w:bCs/>
                <w:kern w:val="0"/>
                <w:sz w:val="24"/>
                <w:szCs w:val="24"/>
                <w:highlight w:val="none"/>
              </w:rPr>
              <w:t>本项目</w:t>
            </w:r>
            <w:r>
              <w:rPr>
                <w:rFonts w:hint="eastAsia"/>
                <w:bCs/>
                <w:kern w:val="0"/>
                <w:sz w:val="24"/>
                <w:szCs w:val="24"/>
                <w:highlight w:val="none"/>
                <w:lang w:val="en-US" w:eastAsia="zh-CN"/>
              </w:rPr>
              <w:t>勘探期间</w:t>
            </w:r>
            <w:r>
              <w:rPr>
                <w:rFonts w:hint="eastAsia"/>
                <w:bCs/>
                <w:kern w:val="0"/>
                <w:sz w:val="24"/>
                <w:szCs w:val="24"/>
                <w:highlight w:val="none"/>
              </w:rPr>
              <w:t>不涉及爆破，项目</w:t>
            </w:r>
            <w:r>
              <w:rPr>
                <w:rFonts w:hint="eastAsia"/>
                <w:bCs/>
                <w:kern w:val="0"/>
                <w:sz w:val="24"/>
                <w:szCs w:val="24"/>
                <w:highlight w:val="none"/>
                <w:lang w:val="en-US" w:eastAsia="zh-CN"/>
              </w:rPr>
              <w:t>施工</w:t>
            </w:r>
            <w:r>
              <w:rPr>
                <w:rFonts w:hint="eastAsia"/>
                <w:bCs/>
                <w:kern w:val="0"/>
                <w:sz w:val="24"/>
                <w:szCs w:val="24"/>
                <w:highlight w:val="none"/>
              </w:rPr>
              <w:t>过程中存在</w:t>
            </w:r>
            <w:r>
              <w:rPr>
                <w:rFonts w:hint="eastAsia"/>
                <w:bCs/>
                <w:kern w:val="0"/>
                <w:sz w:val="24"/>
                <w:szCs w:val="24"/>
                <w:highlight w:val="none"/>
                <w:lang w:eastAsia="zh-CN"/>
              </w:rPr>
              <w:t>钻探</w:t>
            </w:r>
            <w:r>
              <w:rPr>
                <w:rFonts w:hint="eastAsia"/>
                <w:bCs/>
                <w:kern w:val="0"/>
                <w:sz w:val="24"/>
                <w:szCs w:val="24"/>
                <w:highlight w:val="none"/>
              </w:rPr>
              <w:t>诱发地质灾害的环境风险。在</w:t>
            </w:r>
            <w:r>
              <w:rPr>
                <w:rFonts w:hint="eastAsia"/>
                <w:bCs/>
                <w:kern w:val="0"/>
                <w:sz w:val="24"/>
                <w:szCs w:val="24"/>
                <w:highlight w:val="none"/>
                <w:lang w:eastAsia="zh-CN"/>
              </w:rPr>
              <w:t>钻探</w:t>
            </w:r>
            <w:r>
              <w:rPr>
                <w:rFonts w:hint="eastAsia"/>
                <w:bCs/>
                <w:kern w:val="0"/>
                <w:sz w:val="24"/>
                <w:szCs w:val="24"/>
                <w:highlight w:val="none"/>
              </w:rPr>
              <w:t>过程中，若分层高度过大，在受到大气降水、岩层中的裂隙等因素的综合影响，可能在</w:t>
            </w:r>
            <w:r>
              <w:rPr>
                <w:rFonts w:hint="eastAsia"/>
                <w:bCs/>
                <w:kern w:val="0"/>
                <w:sz w:val="24"/>
                <w:szCs w:val="24"/>
                <w:highlight w:val="none"/>
                <w:lang w:eastAsia="zh-CN"/>
              </w:rPr>
              <w:t>钻探</w:t>
            </w:r>
            <w:r>
              <w:rPr>
                <w:rFonts w:hint="eastAsia"/>
                <w:bCs/>
                <w:kern w:val="0"/>
                <w:sz w:val="24"/>
                <w:szCs w:val="24"/>
                <w:highlight w:val="none"/>
              </w:rPr>
              <w:t>边坡上诱发和加剧掉块、崩塌等地质灾害，</w:t>
            </w:r>
            <w:r>
              <w:rPr>
                <w:rFonts w:hint="eastAsia"/>
                <w:sz w:val="24"/>
                <w:szCs w:val="24"/>
                <w:highlight w:val="none"/>
                <w:lang w:eastAsia="zh-CN"/>
              </w:rPr>
              <w:t>勘探</w:t>
            </w:r>
            <w:r>
              <w:rPr>
                <w:rFonts w:hint="eastAsia"/>
                <w:sz w:val="24"/>
                <w:szCs w:val="24"/>
                <w:highlight w:val="none"/>
              </w:rPr>
              <w:t>区遭遇百年洪水灾害</w:t>
            </w:r>
            <w:r>
              <w:rPr>
                <w:rFonts w:hint="eastAsia"/>
                <w:sz w:val="24"/>
                <w:szCs w:val="24"/>
                <w:highlight w:val="none"/>
                <w:lang w:eastAsia="zh-CN"/>
              </w:rPr>
              <w:t>或其他</w:t>
            </w:r>
            <w:r>
              <w:rPr>
                <w:rFonts w:hint="eastAsia"/>
                <w:sz w:val="24"/>
                <w:szCs w:val="24"/>
                <w:highlight w:val="none"/>
              </w:rPr>
              <w:t>不可抗力的自然灾害，</w:t>
            </w:r>
            <w:r>
              <w:rPr>
                <w:rFonts w:hint="eastAsia"/>
                <w:bCs/>
                <w:kern w:val="0"/>
                <w:sz w:val="24"/>
                <w:szCs w:val="24"/>
                <w:highlight w:val="none"/>
              </w:rPr>
              <w:t>危</w:t>
            </w:r>
            <w:r>
              <w:rPr>
                <w:rFonts w:hint="eastAsia" w:ascii="Times New Roman" w:hAnsi="Times New Roman" w:eastAsia="宋体" w:cs="Times New Roman"/>
                <w:bCs/>
                <w:kern w:val="0"/>
                <w:sz w:val="24"/>
                <w:szCs w:val="24"/>
                <w:highlight w:val="none"/>
              </w:rPr>
              <w:t>害工作人员及设备等。</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highlight w:val="none"/>
                <w:lang w:eastAsia="zh-CN"/>
              </w:rPr>
            </w:pPr>
            <w:r>
              <w:rPr>
                <w:rFonts w:hint="eastAsia" w:ascii="Times New Roman" w:hAnsi="Times New Roman" w:eastAsia="宋体" w:cs="Times New Roman"/>
                <w:bCs/>
                <w:kern w:val="0"/>
                <w:sz w:val="24"/>
                <w:szCs w:val="24"/>
                <w:highlight w:val="none"/>
              </w:rPr>
              <w:t>项目区设</w:t>
            </w:r>
            <w:r>
              <w:rPr>
                <w:rFonts w:hint="eastAsia" w:ascii="Times New Roman" w:hAnsi="Times New Roman" w:eastAsia="宋体" w:cs="Times New Roman"/>
                <w:bCs/>
                <w:kern w:val="0"/>
                <w:sz w:val="24"/>
                <w:szCs w:val="24"/>
                <w:highlight w:val="none"/>
                <w:lang w:val="en-US" w:eastAsia="zh-CN"/>
              </w:rPr>
              <w:t>有</w:t>
            </w:r>
            <w:r>
              <w:rPr>
                <w:rFonts w:hint="eastAsia" w:ascii="Times New Roman" w:hAnsi="Times New Roman" w:eastAsia="宋体" w:cs="Times New Roman"/>
                <w:bCs/>
                <w:kern w:val="0"/>
                <w:sz w:val="24"/>
                <w:szCs w:val="24"/>
                <w:highlight w:val="none"/>
              </w:rPr>
              <w:t>柴油存放区，</w:t>
            </w:r>
            <w:r>
              <w:rPr>
                <w:rFonts w:hint="eastAsia" w:ascii="Times New Roman" w:hAnsi="Times New Roman" w:eastAsia="宋体" w:cs="Times New Roman"/>
                <w:bCs/>
                <w:kern w:val="0"/>
                <w:sz w:val="24"/>
                <w:szCs w:val="24"/>
                <w:highlight w:val="none"/>
                <w:lang w:val="en-US" w:eastAsia="zh-CN"/>
              </w:rPr>
              <w:t>柴油属于风险物质，</w:t>
            </w:r>
            <w:r>
              <w:rPr>
                <w:rFonts w:hint="default" w:ascii="Times New Roman" w:hAnsi="Times New Roman" w:eastAsia="宋体" w:cs="Times New Roman"/>
                <w:bCs/>
                <w:kern w:val="0"/>
                <w:sz w:val="24"/>
                <w:szCs w:val="24"/>
                <w:highlight w:val="none"/>
                <w:lang w:eastAsia="zh-CN"/>
              </w:rPr>
              <w:t>危险物质及分布情况见表</w:t>
            </w:r>
            <w:r>
              <w:rPr>
                <w:rFonts w:hint="eastAsia" w:ascii="Times New Roman" w:hAnsi="Times New Roman" w:eastAsia="宋体" w:cs="Times New Roman"/>
                <w:bCs/>
                <w:kern w:val="0"/>
                <w:sz w:val="24"/>
                <w:szCs w:val="24"/>
                <w:highlight w:val="none"/>
                <w:lang w:val="en-US" w:eastAsia="zh-CN"/>
              </w:rPr>
              <w:t>5-1</w:t>
            </w:r>
            <w:r>
              <w:rPr>
                <w:rFonts w:hint="default" w:ascii="Times New Roman" w:hAnsi="Times New Roman" w:cs="Times New Roman"/>
                <w:sz w:val="24"/>
                <w:highlight w:val="none"/>
                <w:lang w:eastAsia="zh-CN"/>
              </w:rPr>
              <w:t>。</w:t>
            </w:r>
          </w:p>
          <w:p>
            <w:pPr>
              <w:pStyle w:val="22"/>
              <w:keepNext w:val="0"/>
              <w:keepLines w:val="0"/>
              <w:pageBreakBefore w:val="0"/>
              <w:widowControl w:val="0"/>
              <w:kinsoku/>
              <w:wordWrap/>
              <w:overflowPunct/>
              <w:topLinePunct w:val="0"/>
              <w:bidi w:val="0"/>
              <w:adjustRightInd/>
              <w:snapToGrid/>
              <w:spacing w:line="300" w:lineRule="exact"/>
              <w:jc w:val="center"/>
              <w:textAlignment w:val="auto"/>
              <w:rPr>
                <w:rFonts w:hint="default" w:ascii="Times New Roman" w:hAnsi="Times New Roman" w:eastAsia="宋体" w:cs="Times New Roman"/>
                <w:b/>
                <w:bCs/>
                <w:color w:val="auto"/>
                <w:kern w:val="2"/>
                <w:highlight w:val="none"/>
                <w:lang w:val="en-US" w:eastAsia="zh-CN"/>
              </w:rPr>
            </w:pPr>
            <w:r>
              <w:rPr>
                <w:rFonts w:hint="default" w:ascii="Times New Roman" w:hAnsi="Times New Roman" w:eastAsia="宋体" w:cs="Times New Roman"/>
                <w:b/>
                <w:bCs/>
                <w:color w:val="auto"/>
                <w:kern w:val="2"/>
                <w:highlight w:val="none"/>
                <w:lang w:eastAsia="zh-CN"/>
              </w:rPr>
              <w:t>表</w:t>
            </w:r>
            <w:r>
              <w:rPr>
                <w:rFonts w:hint="eastAsia" w:ascii="Times New Roman" w:cs="Times New Roman"/>
                <w:b/>
                <w:bCs/>
                <w:color w:val="auto"/>
                <w:kern w:val="2"/>
                <w:highlight w:val="none"/>
                <w:lang w:val="en-US" w:eastAsia="zh-CN"/>
              </w:rPr>
              <w:t>5-1</w:t>
            </w:r>
            <w:r>
              <w:rPr>
                <w:rFonts w:hint="default" w:ascii="Times New Roman" w:hAnsi="Times New Roman" w:eastAsia="宋体" w:cs="Times New Roman"/>
                <w:b/>
                <w:bCs/>
                <w:color w:val="auto"/>
                <w:kern w:val="2"/>
                <w:highlight w:val="none"/>
                <w:lang w:val="en-US" w:eastAsia="zh-CN"/>
              </w:rPr>
              <w:t xml:space="preserve">  危险物质及分布</w:t>
            </w:r>
            <w:r>
              <w:rPr>
                <w:rFonts w:hint="default" w:ascii="Times New Roman" w:hAnsi="Times New Roman" w:cs="Times New Roman"/>
                <w:b/>
                <w:bCs/>
                <w:color w:val="auto"/>
                <w:kern w:val="2"/>
                <w:highlight w:val="none"/>
                <w:lang w:val="en-US" w:eastAsia="zh-CN"/>
              </w:rPr>
              <w:t>情况</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0"/>
              <w:gridCol w:w="1802"/>
              <w:gridCol w:w="1446"/>
              <w:gridCol w:w="1375"/>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276" w:type="pct"/>
                  <w:noWrap w:val="0"/>
                  <w:vAlign w:val="center"/>
                </w:tcPr>
                <w:p>
                  <w:pPr>
                    <w:pStyle w:val="27"/>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highlight w:val="none"/>
                      <w:lang w:val="en-US" w:eastAsia="zh-CN" w:bidi="ar-SA"/>
                    </w:rPr>
                  </w:pPr>
                  <w:r>
                    <w:rPr>
                      <w:rFonts w:hint="default" w:ascii="Times New Roman" w:hAnsi="Times New Roman" w:cs="Times New Roman"/>
                      <w:sz w:val="21"/>
                      <w:szCs w:val="21"/>
                      <w:highlight w:val="none"/>
                      <w:lang w:val="en-US" w:eastAsia="zh-CN" w:bidi="ar-SA"/>
                    </w:rPr>
                    <w:t>危险物质</w:t>
                  </w:r>
                </w:p>
              </w:tc>
              <w:tc>
                <w:tcPr>
                  <w:tcW w:w="1074" w:type="pct"/>
                  <w:noWrap w:val="0"/>
                  <w:vAlign w:val="center"/>
                </w:tcPr>
                <w:p>
                  <w:pPr>
                    <w:pStyle w:val="27"/>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highlight w:val="none"/>
                      <w:lang w:val="en-US" w:eastAsia="zh-CN" w:bidi="ar-SA"/>
                    </w:rPr>
                  </w:pPr>
                  <w:r>
                    <w:rPr>
                      <w:rFonts w:hint="default" w:ascii="Times New Roman" w:hAnsi="Times New Roman" w:cs="Times New Roman"/>
                      <w:sz w:val="21"/>
                      <w:szCs w:val="21"/>
                      <w:highlight w:val="none"/>
                      <w:lang w:val="en-US" w:eastAsia="zh-CN" w:bidi="ar-SA"/>
                    </w:rPr>
                    <w:t>最大储存量（t/a）</w:t>
                  </w:r>
                </w:p>
              </w:tc>
              <w:tc>
                <w:tcPr>
                  <w:tcW w:w="862" w:type="pct"/>
                  <w:noWrap w:val="0"/>
                  <w:vAlign w:val="center"/>
                </w:tcPr>
                <w:p>
                  <w:pPr>
                    <w:pStyle w:val="27"/>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highlight w:val="none"/>
                      <w:lang w:val="en-US" w:eastAsia="zh-CN" w:bidi="ar-SA"/>
                    </w:rPr>
                  </w:pPr>
                  <w:r>
                    <w:rPr>
                      <w:rFonts w:hint="default" w:ascii="Times New Roman" w:hAnsi="Times New Roman" w:cs="Times New Roman"/>
                      <w:sz w:val="21"/>
                      <w:szCs w:val="21"/>
                      <w:highlight w:val="none"/>
                      <w:lang w:val="en-US" w:eastAsia="zh-CN" w:bidi="ar-SA"/>
                    </w:rPr>
                    <w:t>储存方式</w:t>
                  </w:r>
                </w:p>
              </w:tc>
              <w:tc>
                <w:tcPr>
                  <w:tcW w:w="820" w:type="pct"/>
                  <w:noWrap w:val="0"/>
                  <w:vAlign w:val="center"/>
                </w:tcPr>
                <w:p>
                  <w:pPr>
                    <w:pStyle w:val="27"/>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highlight w:val="none"/>
                      <w:lang w:val="en-US" w:eastAsia="zh-CN" w:bidi="ar-SA"/>
                    </w:rPr>
                  </w:pPr>
                  <w:r>
                    <w:rPr>
                      <w:rFonts w:hint="default" w:ascii="Times New Roman" w:hAnsi="Times New Roman" w:cs="Times New Roman"/>
                      <w:sz w:val="21"/>
                      <w:szCs w:val="21"/>
                      <w:highlight w:val="none"/>
                      <w:lang w:val="en-US" w:eastAsia="zh-CN" w:bidi="ar-SA"/>
                    </w:rPr>
                    <w:t>临界量（t）</w:t>
                  </w:r>
                </w:p>
              </w:tc>
              <w:tc>
                <w:tcPr>
                  <w:tcW w:w="966" w:type="pct"/>
                  <w:noWrap w:val="0"/>
                  <w:vAlign w:val="center"/>
                </w:tcPr>
                <w:p>
                  <w:pPr>
                    <w:pStyle w:val="27"/>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highlight w:val="none"/>
                      <w:lang w:val="en-US" w:eastAsia="zh-CN" w:bidi="ar-SA"/>
                    </w:rPr>
                  </w:pPr>
                  <w:r>
                    <w:rPr>
                      <w:rFonts w:hint="default" w:ascii="Times New Roman" w:hAnsi="Times New Roman" w:cs="Times New Roman"/>
                      <w:sz w:val="21"/>
                      <w:szCs w:val="21"/>
                      <w:highlight w:val="none"/>
                      <w:lang w:val="en-US" w:eastAsia="zh-CN" w:bidi="ar-SA"/>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76" w:type="pct"/>
                  <w:noWrap w:val="0"/>
                  <w:vAlign w:val="center"/>
                </w:tcPr>
                <w:p>
                  <w:pPr>
                    <w:pStyle w:val="27"/>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highlight w:val="none"/>
                      <w:lang w:val="en-US" w:eastAsia="zh-CN" w:bidi="ar-SA"/>
                    </w:rPr>
                  </w:pPr>
                  <w:r>
                    <w:rPr>
                      <w:rFonts w:hint="default" w:ascii="Times New Roman" w:hAnsi="Times New Roman" w:cs="Times New Roman"/>
                      <w:sz w:val="21"/>
                      <w:szCs w:val="21"/>
                      <w:highlight w:val="none"/>
                      <w:lang w:val="en-US" w:eastAsia="zh-CN" w:bidi="ar-SA"/>
                    </w:rPr>
                    <w:t>柴油</w:t>
                  </w:r>
                </w:p>
              </w:tc>
              <w:tc>
                <w:tcPr>
                  <w:tcW w:w="1074" w:type="pct"/>
                  <w:noWrap w:val="0"/>
                  <w:vAlign w:val="center"/>
                </w:tcPr>
                <w:p>
                  <w:pPr>
                    <w:pStyle w:val="27"/>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highlight w:val="none"/>
                      <w:lang w:val="en-US" w:eastAsia="zh-CN" w:bidi="ar-SA"/>
                    </w:rPr>
                  </w:pPr>
                  <w:r>
                    <w:rPr>
                      <w:rFonts w:hint="eastAsia" w:ascii="Times New Roman" w:cs="Times New Roman"/>
                      <w:sz w:val="21"/>
                      <w:szCs w:val="21"/>
                      <w:highlight w:val="none"/>
                      <w:lang w:val="en-US" w:eastAsia="zh-CN" w:bidi="ar-SA"/>
                    </w:rPr>
                    <w:t>0.5</w:t>
                  </w:r>
                </w:p>
              </w:tc>
              <w:tc>
                <w:tcPr>
                  <w:tcW w:w="862" w:type="pct"/>
                  <w:noWrap w:val="0"/>
                  <w:vAlign w:val="center"/>
                </w:tcPr>
                <w:p>
                  <w:pPr>
                    <w:pStyle w:val="27"/>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highlight w:val="none"/>
                      <w:lang w:val="en-US" w:eastAsia="zh-CN" w:bidi="ar-SA"/>
                    </w:rPr>
                  </w:pPr>
                  <w:r>
                    <w:rPr>
                      <w:rFonts w:hint="default" w:ascii="Times New Roman" w:hAnsi="Times New Roman" w:cs="Times New Roman"/>
                      <w:sz w:val="21"/>
                      <w:szCs w:val="21"/>
                      <w:highlight w:val="none"/>
                      <w:lang w:val="en-US" w:eastAsia="zh-CN" w:bidi="ar-SA"/>
                    </w:rPr>
                    <w:t>桶装</w:t>
                  </w:r>
                </w:p>
              </w:tc>
              <w:tc>
                <w:tcPr>
                  <w:tcW w:w="820" w:type="pct"/>
                  <w:noWrap w:val="0"/>
                  <w:vAlign w:val="center"/>
                </w:tcPr>
                <w:p>
                  <w:pPr>
                    <w:pStyle w:val="27"/>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highlight w:val="none"/>
                      <w:lang w:val="en-US" w:eastAsia="zh-CN" w:bidi="ar-SA"/>
                    </w:rPr>
                  </w:pPr>
                  <w:r>
                    <w:rPr>
                      <w:rFonts w:hint="default" w:ascii="Times New Roman" w:hAnsi="Times New Roman" w:cs="Times New Roman"/>
                      <w:sz w:val="21"/>
                      <w:szCs w:val="21"/>
                      <w:highlight w:val="none"/>
                      <w:lang w:val="en-US" w:eastAsia="zh-CN" w:bidi="ar-SA"/>
                    </w:rPr>
                    <w:t>2500</w:t>
                  </w:r>
                </w:p>
              </w:tc>
              <w:tc>
                <w:tcPr>
                  <w:tcW w:w="966" w:type="pct"/>
                  <w:noWrap w:val="0"/>
                  <w:vAlign w:val="center"/>
                </w:tcPr>
                <w:p>
                  <w:pPr>
                    <w:pStyle w:val="27"/>
                    <w:keepNext w:val="0"/>
                    <w:keepLines w:val="0"/>
                    <w:pageBreakBefore w:val="0"/>
                    <w:widowControl w:val="0"/>
                    <w:kinsoku/>
                    <w:wordWrap/>
                    <w:overflowPunct/>
                    <w:topLinePunct w:val="0"/>
                    <w:bidi w:val="0"/>
                    <w:adjustRightInd/>
                    <w:snapToGrid/>
                    <w:spacing w:line="300" w:lineRule="exact"/>
                    <w:textAlignment w:val="auto"/>
                    <w:rPr>
                      <w:rFonts w:hint="default" w:ascii="Times New Roman" w:hAnsi="Times New Roman" w:cs="Times New Roman"/>
                      <w:sz w:val="21"/>
                      <w:szCs w:val="21"/>
                      <w:highlight w:val="none"/>
                      <w:vertAlign w:val="superscript"/>
                      <w:lang w:val="en-US" w:eastAsia="zh-CN" w:bidi="ar-SA"/>
                    </w:rPr>
                  </w:pPr>
                  <w:r>
                    <w:rPr>
                      <w:rFonts w:hint="eastAsia" w:ascii="Times New Roman" w:cs="Times New Roman"/>
                      <w:sz w:val="21"/>
                      <w:szCs w:val="21"/>
                      <w:highlight w:val="none"/>
                      <w:lang w:val="en-US" w:eastAsia="zh-CN" w:bidi="ar-SA"/>
                    </w:rPr>
                    <w:t>2×10</w:t>
                  </w:r>
                  <w:r>
                    <w:rPr>
                      <w:rFonts w:hint="eastAsia" w:ascii="Times New Roman" w:cs="Times New Roman"/>
                      <w:sz w:val="21"/>
                      <w:szCs w:val="21"/>
                      <w:highlight w:val="none"/>
                      <w:vertAlign w:val="superscript"/>
                      <w:lang w:val="en-US" w:eastAsia="zh-CN" w:bidi="ar-SA"/>
                    </w:rPr>
                    <w:t>-4</w:t>
                  </w:r>
                </w:p>
              </w:tc>
            </w:tr>
          </w:tbl>
          <w:p>
            <w:pPr>
              <w:pStyle w:val="41"/>
              <w:keepNext w:val="0"/>
              <w:keepLines w:val="0"/>
              <w:pageBreakBefore w:val="0"/>
              <w:kinsoku/>
              <w:wordWrap/>
              <w:overflowPunct/>
              <w:topLinePunct w:val="0"/>
              <w:autoSpaceDE/>
              <w:autoSpaceDN/>
              <w:bidi w:val="0"/>
              <w:adjustRightInd/>
              <w:snapToGrid/>
              <w:spacing w:line="300" w:lineRule="exact"/>
              <w:rPr>
                <w:rFonts w:hint="eastAsia" w:eastAsia="宋体"/>
                <w:highlight w:val="none"/>
                <w:vertAlign w:val="subscript"/>
              </w:rPr>
            </w:pPr>
            <w:r>
              <w:rPr>
                <w:rFonts w:hint="eastAsia" w:eastAsia="宋体"/>
                <w:highlight w:val="none"/>
              </w:rPr>
              <w:t>表</w:t>
            </w:r>
            <w:r>
              <w:rPr>
                <w:rFonts w:hint="eastAsia" w:eastAsia="宋体"/>
                <w:highlight w:val="none"/>
                <w:lang w:val="en-US" w:eastAsia="zh-CN"/>
              </w:rPr>
              <w:t>5-2</w:t>
            </w:r>
            <w:r>
              <w:rPr>
                <w:rFonts w:hint="eastAsia" w:eastAsia="宋体"/>
                <w:highlight w:val="none"/>
              </w:rPr>
              <w:t xml:space="preserve">  物质危险性分析</w:t>
            </w:r>
          </w:p>
          <w:tbl>
            <w:tblPr>
              <w:tblStyle w:val="17"/>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57" w:type="dxa"/>
                <w:bottom w:w="0" w:type="dxa"/>
                <w:right w:w="57" w:type="dxa"/>
              </w:tblCellMar>
            </w:tblPr>
            <w:tblGrid>
              <w:gridCol w:w="541"/>
              <w:gridCol w:w="1743"/>
              <w:gridCol w:w="438"/>
              <w:gridCol w:w="4726"/>
              <w:gridCol w:w="94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337" w:hRule="atLeast"/>
                <w:jc w:val="center"/>
              </w:trPr>
              <w:tc>
                <w:tcPr>
                  <w:tcW w:w="322" w:type="pct"/>
                  <w:noWrap w:val="0"/>
                  <w:tcMar>
                    <w:left w:w="6" w:type="dxa"/>
                    <w:right w:w="6" w:type="dxa"/>
                  </w:tcMar>
                  <w:vAlign w:val="center"/>
                </w:tcPr>
                <w:p>
                  <w:pPr>
                    <w:pStyle w:val="42"/>
                    <w:keepNext w:val="0"/>
                    <w:keepLines w:val="0"/>
                    <w:pageBreakBefore w:val="0"/>
                    <w:kinsoku/>
                    <w:wordWrap/>
                    <w:overflowPunct/>
                    <w:topLinePunct w:val="0"/>
                    <w:autoSpaceDE/>
                    <w:autoSpaceDN/>
                    <w:bidi w:val="0"/>
                    <w:adjustRightInd/>
                    <w:snapToGrid/>
                    <w:spacing w:line="300" w:lineRule="exact"/>
                    <w:rPr>
                      <w:rFonts w:hint="eastAsia"/>
                      <w:b w:val="0"/>
                      <w:snapToGrid w:val="0"/>
                      <w:highlight w:val="none"/>
                    </w:rPr>
                  </w:pPr>
                  <w:r>
                    <w:rPr>
                      <w:rFonts w:hint="eastAsia"/>
                      <w:b w:val="0"/>
                      <w:snapToGrid w:val="0"/>
                      <w:highlight w:val="none"/>
                    </w:rPr>
                    <w:t>物质名称</w:t>
                  </w:r>
                </w:p>
              </w:tc>
              <w:tc>
                <w:tcPr>
                  <w:tcW w:w="1038" w:type="pct"/>
                  <w:noWrap w:val="0"/>
                  <w:tcMar>
                    <w:left w:w="6" w:type="dxa"/>
                    <w:right w:w="6" w:type="dxa"/>
                  </w:tcMar>
                  <w:vAlign w:val="center"/>
                </w:tcPr>
                <w:p>
                  <w:pPr>
                    <w:pStyle w:val="42"/>
                    <w:keepNext w:val="0"/>
                    <w:keepLines w:val="0"/>
                    <w:pageBreakBefore w:val="0"/>
                    <w:kinsoku/>
                    <w:wordWrap/>
                    <w:overflowPunct/>
                    <w:topLinePunct w:val="0"/>
                    <w:autoSpaceDE/>
                    <w:autoSpaceDN/>
                    <w:bidi w:val="0"/>
                    <w:adjustRightInd/>
                    <w:snapToGrid/>
                    <w:spacing w:line="300" w:lineRule="exact"/>
                    <w:rPr>
                      <w:rFonts w:hint="eastAsia"/>
                      <w:b w:val="0"/>
                      <w:snapToGrid w:val="0"/>
                      <w:highlight w:val="none"/>
                    </w:rPr>
                  </w:pPr>
                  <w:r>
                    <w:rPr>
                      <w:rFonts w:hint="eastAsia"/>
                      <w:b w:val="0"/>
                      <w:snapToGrid w:val="0"/>
                      <w:highlight w:val="none"/>
                    </w:rPr>
                    <w:t>理化性质</w:t>
                  </w:r>
                </w:p>
              </w:tc>
              <w:tc>
                <w:tcPr>
                  <w:tcW w:w="261" w:type="pct"/>
                  <w:noWrap w:val="0"/>
                  <w:tcMar>
                    <w:left w:w="6" w:type="dxa"/>
                    <w:right w:w="6" w:type="dxa"/>
                  </w:tcMar>
                  <w:vAlign w:val="center"/>
                </w:tcPr>
                <w:p>
                  <w:pPr>
                    <w:pStyle w:val="42"/>
                    <w:keepNext w:val="0"/>
                    <w:keepLines w:val="0"/>
                    <w:pageBreakBefore w:val="0"/>
                    <w:kinsoku/>
                    <w:wordWrap/>
                    <w:overflowPunct/>
                    <w:topLinePunct w:val="0"/>
                    <w:autoSpaceDE/>
                    <w:autoSpaceDN/>
                    <w:bidi w:val="0"/>
                    <w:adjustRightInd/>
                    <w:snapToGrid/>
                    <w:spacing w:line="300" w:lineRule="exact"/>
                    <w:rPr>
                      <w:rFonts w:hint="eastAsia"/>
                      <w:b w:val="0"/>
                      <w:snapToGrid w:val="0"/>
                      <w:highlight w:val="none"/>
                    </w:rPr>
                  </w:pPr>
                  <w:r>
                    <w:rPr>
                      <w:rFonts w:hint="eastAsia"/>
                      <w:b w:val="0"/>
                      <w:snapToGrid w:val="0"/>
                      <w:highlight w:val="none"/>
                    </w:rPr>
                    <w:t>物质类型</w:t>
                  </w:r>
                </w:p>
              </w:tc>
              <w:tc>
                <w:tcPr>
                  <w:tcW w:w="2815" w:type="pct"/>
                  <w:noWrap w:val="0"/>
                  <w:tcMar>
                    <w:left w:w="6" w:type="dxa"/>
                    <w:right w:w="6" w:type="dxa"/>
                  </w:tcMar>
                  <w:vAlign w:val="center"/>
                </w:tcPr>
                <w:p>
                  <w:pPr>
                    <w:pStyle w:val="42"/>
                    <w:keepNext w:val="0"/>
                    <w:keepLines w:val="0"/>
                    <w:pageBreakBefore w:val="0"/>
                    <w:kinsoku/>
                    <w:wordWrap/>
                    <w:overflowPunct/>
                    <w:topLinePunct w:val="0"/>
                    <w:autoSpaceDE/>
                    <w:autoSpaceDN/>
                    <w:bidi w:val="0"/>
                    <w:adjustRightInd/>
                    <w:snapToGrid/>
                    <w:spacing w:line="300" w:lineRule="exact"/>
                    <w:rPr>
                      <w:rFonts w:hint="eastAsia"/>
                      <w:b w:val="0"/>
                      <w:snapToGrid w:val="0"/>
                      <w:highlight w:val="none"/>
                    </w:rPr>
                  </w:pPr>
                  <w:r>
                    <w:rPr>
                      <w:rFonts w:hint="eastAsia"/>
                      <w:b w:val="0"/>
                      <w:snapToGrid w:val="0"/>
                      <w:highlight w:val="none"/>
                    </w:rPr>
                    <w:t>危险性描述</w:t>
                  </w:r>
                </w:p>
              </w:tc>
              <w:tc>
                <w:tcPr>
                  <w:tcW w:w="562" w:type="pct"/>
                  <w:noWrap w:val="0"/>
                  <w:tcMar>
                    <w:left w:w="6" w:type="dxa"/>
                    <w:right w:w="6" w:type="dxa"/>
                  </w:tcMar>
                  <w:vAlign w:val="center"/>
                </w:tcPr>
                <w:p>
                  <w:pPr>
                    <w:pStyle w:val="42"/>
                    <w:keepNext w:val="0"/>
                    <w:keepLines w:val="0"/>
                    <w:pageBreakBefore w:val="0"/>
                    <w:kinsoku/>
                    <w:wordWrap/>
                    <w:overflowPunct/>
                    <w:topLinePunct w:val="0"/>
                    <w:autoSpaceDE/>
                    <w:autoSpaceDN/>
                    <w:bidi w:val="0"/>
                    <w:adjustRightInd/>
                    <w:snapToGrid/>
                    <w:spacing w:line="300" w:lineRule="exact"/>
                    <w:rPr>
                      <w:rFonts w:hint="eastAsia"/>
                      <w:b w:val="0"/>
                      <w:snapToGrid w:val="0"/>
                      <w:highlight w:val="none"/>
                    </w:rPr>
                  </w:pPr>
                  <w:r>
                    <w:rPr>
                      <w:rFonts w:hint="eastAsia"/>
                      <w:b w:val="0"/>
                      <w:snapToGrid w:val="0"/>
                      <w:highlight w:val="none"/>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79" w:hRule="atLeast"/>
                <w:jc w:val="center"/>
              </w:trPr>
              <w:tc>
                <w:tcPr>
                  <w:tcW w:w="322" w:type="pct"/>
                  <w:noWrap w:val="0"/>
                  <w:tcMar>
                    <w:left w:w="6" w:type="dxa"/>
                    <w:right w:w="6" w:type="dxa"/>
                  </w:tcMar>
                  <w:vAlign w:val="center"/>
                </w:tcPr>
                <w:p>
                  <w:pPr>
                    <w:pStyle w:val="43"/>
                    <w:keepNext w:val="0"/>
                    <w:keepLines w:val="0"/>
                    <w:pageBreakBefore w:val="0"/>
                    <w:kinsoku/>
                    <w:wordWrap/>
                    <w:overflowPunct/>
                    <w:topLinePunct w:val="0"/>
                    <w:autoSpaceDE/>
                    <w:autoSpaceDN/>
                    <w:bidi w:val="0"/>
                    <w:adjustRightInd/>
                    <w:snapToGrid/>
                    <w:spacing w:line="300" w:lineRule="exact"/>
                    <w:rPr>
                      <w:rFonts w:hint="eastAsia"/>
                      <w:snapToGrid w:val="0"/>
                      <w:highlight w:val="none"/>
                      <w:lang w:val="en-US" w:eastAsia="zh-CN"/>
                    </w:rPr>
                  </w:pPr>
                  <w:r>
                    <w:rPr>
                      <w:rFonts w:hint="eastAsia"/>
                      <w:snapToGrid w:val="0"/>
                      <w:highlight w:val="none"/>
                      <w:lang w:val="en-US" w:eastAsia="zh-CN"/>
                    </w:rPr>
                    <w:t>柴油</w:t>
                  </w:r>
                </w:p>
              </w:tc>
              <w:tc>
                <w:tcPr>
                  <w:tcW w:w="1038" w:type="pct"/>
                  <w:noWrap w:val="0"/>
                  <w:tcMar>
                    <w:left w:w="6" w:type="dxa"/>
                    <w:right w:w="6" w:type="dxa"/>
                  </w:tcMar>
                  <w:vAlign w:val="center"/>
                </w:tcPr>
                <w:p>
                  <w:pPr>
                    <w:pStyle w:val="43"/>
                    <w:keepNext w:val="0"/>
                    <w:keepLines w:val="0"/>
                    <w:pageBreakBefore w:val="0"/>
                    <w:kinsoku/>
                    <w:wordWrap/>
                    <w:overflowPunct/>
                    <w:topLinePunct w:val="0"/>
                    <w:autoSpaceDE/>
                    <w:autoSpaceDN/>
                    <w:bidi w:val="0"/>
                    <w:adjustRightInd/>
                    <w:snapToGrid/>
                    <w:spacing w:line="300" w:lineRule="exact"/>
                    <w:rPr>
                      <w:snapToGrid w:val="0"/>
                      <w:highlight w:val="none"/>
                      <w:lang w:val="en-US" w:eastAsia="zh-CN"/>
                    </w:rPr>
                  </w:pPr>
                  <w:r>
                    <w:rPr>
                      <w:rFonts w:hint="eastAsia"/>
                      <w:snapToGrid w:val="0"/>
                      <w:highlight w:val="none"/>
                      <w:lang w:val="en-US" w:eastAsia="zh-CN"/>
                    </w:rPr>
                    <w:t>常温下为稍有黏性的棕色的液体，相对密度（水=1）：0.845，闪点：56℃，引燃温度：257℃。</w:t>
                  </w:r>
                </w:p>
              </w:tc>
              <w:tc>
                <w:tcPr>
                  <w:tcW w:w="261" w:type="pct"/>
                  <w:noWrap w:val="0"/>
                  <w:tcMar>
                    <w:left w:w="6" w:type="dxa"/>
                    <w:right w:w="6" w:type="dxa"/>
                  </w:tcMar>
                  <w:vAlign w:val="center"/>
                </w:tcPr>
                <w:p>
                  <w:pPr>
                    <w:pStyle w:val="43"/>
                    <w:keepNext w:val="0"/>
                    <w:keepLines w:val="0"/>
                    <w:pageBreakBefore w:val="0"/>
                    <w:kinsoku/>
                    <w:wordWrap/>
                    <w:overflowPunct/>
                    <w:topLinePunct w:val="0"/>
                    <w:autoSpaceDE/>
                    <w:autoSpaceDN/>
                    <w:bidi w:val="0"/>
                    <w:adjustRightInd/>
                    <w:snapToGrid/>
                    <w:spacing w:line="300" w:lineRule="exact"/>
                    <w:rPr>
                      <w:rFonts w:hint="eastAsia"/>
                      <w:snapToGrid w:val="0"/>
                      <w:highlight w:val="none"/>
                      <w:lang w:val="en-US" w:eastAsia="zh-CN"/>
                    </w:rPr>
                  </w:pPr>
                  <w:r>
                    <w:rPr>
                      <w:rFonts w:hint="eastAsia"/>
                      <w:snapToGrid w:val="0"/>
                      <w:highlight w:val="none"/>
                      <w:lang w:val="en-US" w:eastAsia="zh-CN"/>
                    </w:rPr>
                    <w:t>易燃液体</w:t>
                  </w:r>
                </w:p>
              </w:tc>
              <w:tc>
                <w:tcPr>
                  <w:tcW w:w="2815" w:type="pct"/>
                  <w:noWrap w:val="0"/>
                  <w:tcMar>
                    <w:left w:w="6" w:type="dxa"/>
                    <w:right w:w="6" w:type="dxa"/>
                  </w:tcMar>
                  <w:vAlign w:val="center"/>
                </w:tcPr>
                <w:p>
                  <w:pPr>
                    <w:pStyle w:val="43"/>
                    <w:keepNext w:val="0"/>
                    <w:keepLines w:val="0"/>
                    <w:pageBreakBefore w:val="0"/>
                    <w:kinsoku/>
                    <w:wordWrap/>
                    <w:overflowPunct/>
                    <w:topLinePunct w:val="0"/>
                    <w:autoSpaceDE/>
                    <w:autoSpaceDN/>
                    <w:bidi w:val="0"/>
                    <w:adjustRightInd/>
                    <w:snapToGrid/>
                    <w:spacing w:line="300" w:lineRule="exact"/>
                    <w:rPr>
                      <w:snapToGrid w:val="0"/>
                      <w:highlight w:val="none"/>
                      <w:lang w:val="en-US" w:eastAsia="zh-CN"/>
                    </w:rPr>
                  </w:pPr>
                  <w:r>
                    <w:rPr>
                      <w:rFonts w:hint="eastAsia"/>
                      <w:snapToGrid w:val="0"/>
                      <w:highlight w:val="none"/>
                      <w:lang w:val="en-US" w:eastAsia="zh-CN"/>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2" w:type="pct"/>
                  <w:noWrap w:val="0"/>
                  <w:tcMar>
                    <w:left w:w="6" w:type="dxa"/>
                    <w:right w:w="6" w:type="dxa"/>
                  </w:tcMar>
                  <w:vAlign w:val="center"/>
                </w:tcPr>
                <w:p>
                  <w:pPr>
                    <w:pStyle w:val="43"/>
                    <w:keepNext w:val="0"/>
                    <w:keepLines w:val="0"/>
                    <w:pageBreakBefore w:val="0"/>
                    <w:kinsoku/>
                    <w:wordWrap/>
                    <w:overflowPunct/>
                    <w:topLinePunct w:val="0"/>
                    <w:autoSpaceDE/>
                    <w:autoSpaceDN/>
                    <w:bidi w:val="0"/>
                    <w:adjustRightInd/>
                    <w:snapToGrid/>
                    <w:spacing w:line="300" w:lineRule="exact"/>
                    <w:rPr>
                      <w:rFonts w:hint="eastAsia"/>
                      <w:snapToGrid w:val="0"/>
                      <w:highlight w:val="none"/>
                      <w:lang w:val="en-US" w:eastAsia="zh-CN"/>
                    </w:rPr>
                  </w:pPr>
                  <w:r>
                    <w:rPr>
                      <w:rFonts w:hint="eastAsia"/>
                      <w:snapToGrid w:val="0"/>
                      <w:highlight w:val="none"/>
                      <w:lang w:val="en-US" w:eastAsia="zh-CN"/>
                    </w:rPr>
                    <w:t>柴油发电机液体燃料，用于整个钻井过程</w:t>
                  </w:r>
                </w:p>
              </w:tc>
            </w:tr>
          </w:tbl>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kern w:val="0"/>
                <w:sz w:val="24"/>
                <w:szCs w:val="24"/>
                <w:highlight w:val="none"/>
              </w:rPr>
            </w:pPr>
            <w:r>
              <w:rPr>
                <w:rFonts w:hint="eastAsia"/>
                <w:b/>
                <w:kern w:val="0"/>
                <w:sz w:val="24"/>
                <w:szCs w:val="24"/>
                <w:highlight w:val="none"/>
                <w:lang w:val="en-US" w:eastAsia="zh-CN"/>
              </w:rPr>
              <w:t>7.2</w:t>
            </w:r>
            <w:r>
              <w:rPr>
                <w:rFonts w:hint="eastAsia"/>
                <w:b/>
                <w:kern w:val="0"/>
                <w:sz w:val="24"/>
                <w:szCs w:val="24"/>
                <w:highlight w:val="none"/>
              </w:rPr>
              <w:t>环境风险潜势与评价等级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bCs/>
                <w:sz w:val="24"/>
                <w:szCs w:val="24"/>
                <w:highlight w:val="none"/>
              </w:rPr>
            </w:pPr>
            <w:r>
              <w:rPr>
                <w:rFonts w:hint="eastAsia"/>
                <w:bCs/>
                <w:sz w:val="24"/>
                <w:szCs w:val="24"/>
                <w:highlight w:val="none"/>
              </w:rPr>
              <w:t>（</w:t>
            </w:r>
            <w:r>
              <w:rPr>
                <w:bCs/>
                <w:sz w:val="24"/>
                <w:szCs w:val="24"/>
                <w:highlight w:val="none"/>
              </w:rPr>
              <w:t>1</w:t>
            </w:r>
            <w:r>
              <w:rPr>
                <w:rFonts w:hint="eastAsia"/>
                <w:bCs/>
                <w:sz w:val="24"/>
                <w:szCs w:val="24"/>
                <w:highlight w:val="none"/>
              </w:rPr>
              <w:t>）环境风险潜势划分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highlight w:val="none"/>
              </w:rPr>
            </w:pPr>
            <w:r>
              <w:rPr>
                <w:rFonts w:hint="default" w:ascii="Times New Roman" w:hAnsi="Times New Roman" w:cs="Times New Roman"/>
                <w:sz w:val="24"/>
                <w:szCs w:val="24"/>
                <w:highlight w:val="none"/>
              </w:rPr>
              <w:t>根据《建设项目环境风险评价技术导则》（HJ169-2018），建设项目环境风险潜势划分为Ⅰ、Ⅱ、Ⅲ、Ⅳ/Ⅳ+级。根据建设项目涉及的物质和工艺系统的危险性及其所在地的环境敏感程度，</w:t>
            </w:r>
            <w:r>
              <w:rPr>
                <w:rFonts w:hint="eastAsia"/>
                <w:sz w:val="24"/>
                <w:szCs w:val="24"/>
                <w:highlight w:val="none"/>
              </w:rPr>
              <w:t>结合事故情形下环境影响途径，对建设项目潜在环境危害程度进行概化分析，按照表</w:t>
            </w:r>
            <w:r>
              <w:rPr>
                <w:rFonts w:hint="eastAsia"/>
                <w:sz w:val="24"/>
                <w:szCs w:val="24"/>
                <w:highlight w:val="none"/>
                <w:lang w:val="en-US" w:eastAsia="zh-CN"/>
              </w:rPr>
              <w:t>5-3</w:t>
            </w:r>
            <w:r>
              <w:rPr>
                <w:rFonts w:hint="eastAsia"/>
                <w:sz w:val="24"/>
                <w:szCs w:val="24"/>
                <w:highlight w:val="none"/>
              </w:rPr>
              <w:t>确定环境风险潜势。</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
                <w:sz w:val="24"/>
                <w:szCs w:val="24"/>
                <w:highlight w:val="none"/>
              </w:rPr>
            </w:pPr>
            <w:r>
              <w:rPr>
                <w:rFonts w:hint="eastAsia"/>
                <w:b/>
                <w:sz w:val="24"/>
                <w:szCs w:val="24"/>
                <w:highlight w:val="none"/>
              </w:rPr>
              <w:t>表</w:t>
            </w:r>
            <w:r>
              <w:rPr>
                <w:rFonts w:hint="eastAsia"/>
                <w:b/>
                <w:sz w:val="24"/>
                <w:szCs w:val="24"/>
                <w:highlight w:val="none"/>
                <w:lang w:val="en-US" w:eastAsia="zh-CN"/>
              </w:rPr>
              <w:t>5-3</w:t>
            </w:r>
            <w:r>
              <w:rPr>
                <w:b/>
                <w:sz w:val="24"/>
                <w:szCs w:val="24"/>
                <w:highlight w:val="none"/>
              </w:rPr>
              <w:t xml:space="preserve">  </w:t>
            </w:r>
            <w:r>
              <w:rPr>
                <w:rFonts w:hint="eastAsia"/>
                <w:b/>
                <w:sz w:val="24"/>
                <w:szCs w:val="24"/>
                <w:highlight w:val="none"/>
              </w:rPr>
              <w:t>建设项目环境风险潜势划分</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4" w:type="dxa"/>
                <w:left w:w="108" w:type="dxa"/>
                <w:bottom w:w="0" w:type="dxa"/>
                <w:right w:w="2" w:type="dxa"/>
              </w:tblCellMar>
            </w:tblPr>
            <w:tblGrid>
              <w:gridCol w:w="2097"/>
              <w:gridCol w:w="1661"/>
              <w:gridCol w:w="1662"/>
              <w:gridCol w:w="1523"/>
              <w:gridCol w:w="1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250"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环境敏感程度（E）</w:t>
                  </w:r>
                </w:p>
              </w:tc>
              <w:tc>
                <w:tcPr>
                  <w:tcW w:w="3750" w:type="pct"/>
                  <w:gridSpan w:val="4"/>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250"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rPr>
                  </w:pPr>
                </w:p>
              </w:tc>
              <w:tc>
                <w:tcPr>
                  <w:tcW w:w="99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极高危害（P1）</w:t>
                  </w:r>
                </w:p>
              </w:tc>
              <w:tc>
                <w:tcPr>
                  <w:tcW w:w="99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高度危害（P2）</w:t>
                  </w:r>
                </w:p>
              </w:tc>
              <w:tc>
                <w:tcPr>
                  <w:tcW w:w="90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中度危害（P3）</w:t>
                  </w:r>
                </w:p>
              </w:tc>
              <w:tc>
                <w:tcPr>
                  <w:tcW w:w="8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25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环境高度敏感区（E1）</w:t>
                  </w:r>
                </w:p>
              </w:tc>
              <w:tc>
                <w:tcPr>
                  <w:tcW w:w="99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Ⅳ+</w:t>
                  </w:r>
                </w:p>
              </w:tc>
              <w:tc>
                <w:tcPr>
                  <w:tcW w:w="99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Ⅳ</w:t>
                  </w:r>
                </w:p>
              </w:tc>
              <w:tc>
                <w:tcPr>
                  <w:tcW w:w="90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Ⅲ</w:t>
                  </w:r>
                </w:p>
              </w:tc>
              <w:tc>
                <w:tcPr>
                  <w:tcW w:w="8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25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环境中度敏感区（E2</w:t>
                  </w:r>
                  <w:r>
                    <w:rPr>
                      <w:rFonts w:hint="eastAsia" w:cs="Times New Roman"/>
                      <w:sz w:val="21"/>
                      <w:szCs w:val="21"/>
                      <w:highlight w:val="none"/>
                      <w:lang w:eastAsia="zh-CN"/>
                    </w:rPr>
                    <w:t>）</w:t>
                  </w:r>
                </w:p>
              </w:tc>
              <w:tc>
                <w:tcPr>
                  <w:tcW w:w="99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Ⅳ</w:t>
                  </w:r>
                </w:p>
              </w:tc>
              <w:tc>
                <w:tcPr>
                  <w:tcW w:w="99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Ⅲ</w:t>
                  </w:r>
                </w:p>
              </w:tc>
              <w:tc>
                <w:tcPr>
                  <w:tcW w:w="90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Ⅲ</w:t>
                  </w:r>
                </w:p>
              </w:tc>
              <w:tc>
                <w:tcPr>
                  <w:tcW w:w="8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25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环境低度敏感区（E3）</w:t>
                  </w:r>
                </w:p>
              </w:tc>
              <w:tc>
                <w:tcPr>
                  <w:tcW w:w="990"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Ⅲ</w:t>
                  </w:r>
                </w:p>
              </w:tc>
              <w:tc>
                <w:tcPr>
                  <w:tcW w:w="99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Ⅲ</w:t>
                  </w:r>
                </w:p>
              </w:tc>
              <w:tc>
                <w:tcPr>
                  <w:tcW w:w="90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Ⅱ</w:t>
                  </w:r>
                </w:p>
              </w:tc>
              <w:tc>
                <w:tcPr>
                  <w:tcW w:w="862"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5000" w:type="pct"/>
                  <w:gridSpan w:val="5"/>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注：Ⅳ+为极高环境风险</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highlight w:val="none"/>
              </w:rPr>
            </w:pPr>
            <w:r>
              <w:rPr>
                <w:rFonts w:hint="eastAsia"/>
                <w:sz w:val="24"/>
                <w:szCs w:val="24"/>
                <w:highlight w:val="none"/>
              </w:rPr>
              <w:t>根据上表可知，风险潜势由危险物质及工艺系统危险性（</w:t>
            </w:r>
            <w:r>
              <w:rPr>
                <w:sz w:val="24"/>
                <w:szCs w:val="24"/>
                <w:highlight w:val="none"/>
              </w:rPr>
              <w:t>P</w:t>
            </w:r>
            <w:r>
              <w:rPr>
                <w:rFonts w:hint="eastAsia"/>
                <w:sz w:val="24"/>
                <w:szCs w:val="24"/>
                <w:highlight w:val="none"/>
              </w:rPr>
              <w:t>）与环境敏感程度（</w:t>
            </w:r>
            <w:r>
              <w:rPr>
                <w:sz w:val="24"/>
                <w:szCs w:val="24"/>
                <w:highlight w:val="none"/>
              </w:rPr>
              <w:t>E</w:t>
            </w:r>
            <w:r>
              <w:rPr>
                <w:rFonts w:hint="eastAsia"/>
                <w:sz w:val="24"/>
                <w:szCs w:val="24"/>
                <w:highlight w:val="none"/>
              </w:rPr>
              <w:t>）共同确定，而</w:t>
            </w:r>
            <w:r>
              <w:rPr>
                <w:sz w:val="24"/>
                <w:szCs w:val="24"/>
                <w:highlight w:val="none"/>
              </w:rPr>
              <w:t>P</w:t>
            </w:r>
            <w:r>
              <w:rPr>
                <w:rFonts w:hint="eastAsia"/>
                <w:sz w:val="24"/>
                <w:szCs w:val="24"/>
                <w:highlight w:val="none"/>
              </w:rPr>
              <w:t>的分级由风险物质数量与临界量的比值（</w:t>
            </w:r>
            <w:r>
              <w:rPr>
                <w:sz w:val="24"/>
                <w:szCs w:val="24"/>
                <w:highlight w:val="none"/>
              </w:rPr>
              <w:t>Q</w:t>
            </w:r>
            <w:r>
              <w:rPr>
                <w:rFonts w:hint="eastAsia"/>
                <w:sz w:val="24"/>
                <w:szCs w:val="24"/>
                <w:highlight w:val="none"/>
              </w:rPr>
              <w:t>）和所属行业及生产工艺特点（</w:t>
            </w:r>
            <w:r>
              <w:rPr>
                <w:sz w:val="24"/>
                <w:szCs w:val="24"/>
                <w:highlight w:val="none"/>
              </w:rPr>
              <w:t>M</w:t>
            </w:r>
            <w:r>
              <w:rPr>
                <w:rFonts w:hint="eastAsia"/>
                <w:sz w:val="24"/>
                <w:szCs w:val="24"/>
                <w:highlight w:val="none"/>
              </w:rPr>
              <w:t>）共同确定。临界量比值（</w:t>
            </w:r>
            <w:r>
              <w:rPr>
                <w:sz w:val="24"/>
                <w:szCs w:val="24"/>
                <w:highlight w:val="none"/>
              </w:rPr>
              <w:t>Q</w:t>
            </w:r>
            <w:r>
              <w:rPr>
                <w:rFonts w:hint="eastAsia"/>
                <w:sz w:val="24"/>
                <w:szCs w:val="24"/>
                <w:highlight w:val="none"/>
              </w:rPr>
              <w:t>）为每种风险物质在厂界内的最大存在总量与其在《建设项目环境风险评价技术导则》（</w:t>
            </w:r>
            <w:r>
              <w:rPr>
                <w:sz w:val="24"/>
                <w:szCs w:val="24"/>
                <w:highlight w:val="none"/>
              </w:rPr>
              <w:t>HJ169-2018</w:t>
            </w:r>
            <w:r>
              <w:rPr>
                <w:rFonts w:hint="eastAsia"/>
                <w:sz w:val="24"/>
                <w:szCs w:val="24"/>
                <w:highlight w:val="none"/>
              </w:rPr>
              <w:t>）附录</w:t>
            </w:r>
            <w:r>
              <w:rPr>
                <w:sz w:val="24"/>
                <w:szCs w:val="24"/>
                <w:highlight w:val="none"/>
              </w:rPr>
              <w:t>B</w:t>
            </w:r>
            <w:r>
              <w:rPr>
                <w:rFonts w:hint="eastAsia"/>
                <w:sz w:val="24"/>
                <w:szCs w:val="24"/>
                <w:highlight w:val="none"/>
              </w:rPr>
              <w:t>中对应临界量的比值。</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highlight w:val="none"/>
              </w:rPr>
            </w:pPr>
            <w:r>
              <w:rPr>
                <w:rFonts w:hint="eastAsia"/>
                <w:sz w:val="24"/>
                <w:szCs w:val="24"/>
                <w:highlight w:val="none"/>
              </w:rPr>
              <w:t>当企业只涉及一种环境风险物质时，该物质的数量与其临界量比值，即为</w:t>
            </w:r>
            <w:r>
              <w:rPr>
                <w:sz w:val="24"/>
                <w:szCs w:val="24"/>
                <w:highlight w:val="none"/>
              </w:rPr>
              <w:t>Q</w:t>
            </w:r>
            <w:r>
              <w:rPr>
                <w:rFonts w:hint="eastAsia"/>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highlight w:val="none"/>
              </w:rPr>
            </w:pPr>
            <w:r>
              <w:rPr>
                <w:rFonts w:hint="eastAsia"/>
                <w:sz w:val="24"/>
                <w:szCs w:val="24"/>
                <w:highlight w:val="none"/>
              </w:rPr>
              <w:t>当企业存在多种风险物质时，则按照下式进行计算</w:t>
            </w:r>
            <w:r>
              <w:rPr>
                <w:rFonts w:hint="eastAsia"/>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highlight w:val="none"/>
              </w:rPr>
            </w:pPr>
            <w:r>
              <w:rPr>
                <w:position w:val="-28"/>
                <w:sz w:val="24"/>
                <w:szCs w:val="24"/>
                <w:highlight w:val="none"/>
              </w:rPr>
              <w:pict>
                <v:shape id="Object 15" o:spid="_x0000_s1028" o:spt="75" type="#_x0000_t75" style="position:absolute;left:0pt;margin-left:117.95pt;margin-top:7.65pt;height:32.55pt;width:143.3pt;mso-position-horizontal-relative:page;mso-position-vertical-relative:page;mso-wrap-distance-bottom:0pt;mso-wrap-distance-top:0pt;z-index:251663360;mso-width-relative:page;mso-height-relative:page;" o:ole="t" filled="f" o:preferrelative="t" stroked="f" coordsize="21600,21600">
                  <v:path/>
                  <v:fill on="f" focussize="0,0"/>
                  <v:stroke on="f"/>
                  <v:imagedata r:id="rId11" o:title=""/>
                  <o:lock v:ext="edit" aspectratio="t"/>
                  <w10:wrap type="topAndBottom"/>
                </v:shape>
                <o:OLEObject Type="Embed" ProgID="" ShapeID="Object 15" DrawAspect="Content" ObjectID="_1468075725" r:id="rId10">
                  <o:LockedField>false</o:LockedField>
                </o:OLEObject>
              </w:pict>
            </w:r>
            <w:r>
              <w:rPr>
                <w:rFonts w:hint="eastAsia"/>
                <w:sz w:val="24"/>
                <w:szCs w:val="24"/>
                <w:highlight w:val="none"/>
              </w:rPr>
              <w:t>式中：</w:t>
            </w:r>
            <w:r>
              <w:rPr>
                <w:sz w:val="24"/>
                <w:szCs w:val="24"/>
                <w:highlight w:val="none"/>
              </w:rPr>
              <w:t>q1</w:t>
            </w:r>
            <w:r>
              <w:rPr>
                <w:rFonts w:hint="eastAsia"/>
                <w:sz w:val="24"/>
                <w:szCs w:val="24"/>
                <w:highlight w:val="none"/>
              </w:rPr>
              <w:t>、</w:t>
            </w:r>
            <w:r>
              <w:rPr>
                <w:sz w:val="24"/>
                <w:szCs w:val="24"/>
                <w:highlight w:val="none"/>
              </w:rPr>
              <w:t>q2</w:t>
            </w:r>
            <w:r>
              <w:rPr>
                <w:rFonts w:hint="eastAsia"/>
                <w:sz w:val="24"/>
                <w:szCs w:val="24"/>
                <w:highlight w:val="none"/>
              </w:rPr>
              <w:t>、</w:t>
            </w:r>
            <w:r>
              <w:rPr>
                <w:sz w:val="24"/>
                <w:szCs w:val="24"/>
                <w:highlight w:val="none"/>
              </w:rPr>
              <w:t>q3</w:t>
            </w:r>
            <w:r>
              <w:rPr>
                <w:rFonts w:hint="eastAsia"/>
                <w:sz w:val="24"/>
                <w:szCs w:val="24"/>
                <w:highlight w:val="none"/>
              </w:rPr>
              <w:t>、</w:t>
            </w:r>
            <w:r>
              <w:rPr>
                <w:sz w:val="24"/>
                <w:szCs w:val="24"/>
                <w:highlight w:val="none"/>
              </w:rPr>
              <w:t>qn</w:t>
            </w:r>
            <w:r>
              <w:rPr>
                <w:rFonts w:hint="eastAsia"/>
                <w:sz w:val="24"/>
                <w:szCs w:val="24"/>
                <w:highlight w:val="none"/>
              </w:rPr>
              <w:t>为每种风险物质的存在量，</w:t>
            </w:r>
            <w:r>
              <w:rPr>
                <w:sz w:val="24"/>
                <w:szCs w:val="24"/>
                <w:highlight w:val="none"/>
              </w:rPr>
              <w:t>t</w:t>
            </w:r>
            <w:r>
              <w:rPr>
                <w:rFonts w:hint="eastAsia"/>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sz w:val="24"/>
                <w:szCs w:val="24"/>
                <w:highlight w:val="none"/>
              </w:rPr>
            </w:pPr>
            <w:r>
              <w:rPr>
                <w:sz w:val="24"/>
                <w:szCs w:val="24"/>
                <w:highlight w:val="none"/>
              </w:rPr>
              <w:t>Q1</w:t>
            </w:r>
            <w:r>
              <w:rPr>
                <w:rFonts w:hint="eastAsia"/>
                <w:sz w:val="24"/>
                <w:szCs w:val="24"/>
                <w:highlight w:val="none"/>
              </w:rPr>
              <w:t>、</w:t>
            </w:r>
            <w:r>
              <w:rPr>
                <w:sz w:val="24"/>
                <w:szCs w:val="24"/>
                <w:highlight w:val="none"/>
              </w:rPr>
              <w:t>Q2</w:t>
            </w:r>
            <w:r>
              <w:rPr>
                <w:rFonts w:hint="eastAsia"/>
                <w:sz w:val="24"/>
                <w:szCs w:val="24"/>
                <w:highlight w:val="none"/>
              </w:rPr>
              <w:t>、</w:t>
            </w:r>
            <w:r>
              <w:rPr>
                <w:sz w:val="24"/>
                <w:szCs w:val="24"/>
                <w:highlight w:val="none"/>
              </w:rPr>
              <w:t>Q3</w:t>
            </w:r>
            <w:r>
              <w:rPr>
                <w:rFonts w:hint="eastAsia"/>
                <w:sz w:val="24"/>
                <w:szCs w:val="24"/>
                <w:highlight w:val="none"/>
              </w:rPr>
              <w:t>、</w:t>
            </w:r>
            <w:r>
              <w:rPr>
                <w:sz w:val="24"/>
                <w:szCs w:val="24"/>
                <w:highlight w:val="none"/>
              </w:rPr>
              <w:t>Qn</w:t>
            </w:r>
            <w:r>
              <w:rPr>
                <w:rFonts w:hint="eastAsia"/>
                <w:sz w:val="24"/>
                <w:szCs w:val="24"/>
                <w:highlight w:val="none"/>
              </w:rPr>
              <w:t>为每种风险物质的临界量，</w:t>
            </w:r>
            <w:r>
              <w:rPr>
                <w:sz w:val="24"/>
                <w:szCs w:val="24"/>
                <w:highlight w:val="none"/>
              </w:rPr>
              <w:t>t</w:t>
            </w:r>
            <w:r>
              <w:rPr>
                <w:rFonts w:hint="eastAsia"/>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sz w:val="24"/>
                <w:szCs w:val="24"/>
                <w:highlight w:val="none"/>
              </w:rPr>
            </w:pPr>
            <w:r>
              <w:rPr>
                <w:rFonts w:hint="eastAsia"/>
                <w:sz w:val="24"/>
                <w:szCs w:val="24"/>
                <w:highlight w:val="none"/>
              </w:rPr>
              <w:t>当</w:t>
            </w:r>
            <w:r>
              <w:rPr>
                <w:sz w:val="24"/>
                <w:szCs w:val="24"/>
                <w:highlight w:val="none"/>
              </w:rPr>
              <w:t>Q</w:t>
            </w:r>
            <w:r>
              <w:rPr>
                <w:rFonts w:hint="eastAsia"/>
                <w:sz w:val="24"/>
                <w:szCs w:val="24"/>
                <w:highlight w:val="none"/>
              </w:rPr>
              <w:t>＜</w:t>
            </w:r>
            <w:r>
              <w:rPr>
                <w:sz w:val="24"/>
                <w:szCs w:val="24"/>
                <w:highlight w:val="none"/>
              </w:rPr>
              <w:t>1</w:t>
            </w:r>
            <w:r>
              <w:rPr>
                <w:rFonts w:hint="eastAsia"/>
                <w:sz w:val="24"/>
                <w:szCs w:val="24"/>
                <w:highlight w:val="none"/>
              </w:rPr>
              <w:t>时，该项目的环境风险潜势为</w:t>
            </w:r>
            <w:r>
              <w:rPr>
                <w:sz w:val="24"/>
                <w:szCs w:val="24"/>
                <w:highlight w:val="none"/>
              </w:rPr>
              <w:t>I</w:t>
            </w:r>
            <w:r>
              <w:rPr>
                <w:rFonts w:hint="eastAsia"/>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highlight w:val="none"/>
              </w:rPr>
            </w:pPr>
            <w:r>
              <w:rPr>
                <w:rFonts w:hint="eastAsia"/>
                <w:sz w:val="24"/>
                <w:szCs w:val="24"/>
                <w:highlight w:val="none"/>
              </w:rPr>
              <w:t>本项目</w:t>
            </w:r>
            <w:r>
              <w:rPr>
                <w:rFonts w:hint="eastAsia"/>
                <w:sz w:val="24"/>
                <w:szCs w:val="24"/>
                <w:highlight w:val="none"/>
                <w:lang w:eastAsia="zh-CN"/>
              </w:rPr>
              <w:t>柴油为</w:t>
            </w:r>
            <w:r>
              <w:rPr>
                <w:rFonts w:hint="eastAsia"/>
                <w:sz w:val="24"/>
                <w:szCs w:val="24"/>
                <w:highlight w:val="none"/>
              </w:rPr>
              <w:t>风险物质，</w:t>
            </w:r>
            <w:r>
              <w:rPr>
                <w:sz w:val="24"/>
                <w:szCs w:val="24"/>
                <w:highlight w:val="none"/>
              </w:rPr>
              <w:t>Q</w:t>
            </w:r>
            <w:r>
              <w:rPr>
                <w:rFonts w:hint="eastAsia"/>
                <w:sz w:val="24"/>
                <w:szCs w:val="24"/>
                <w:highlight w:val="none"/>
              </w:rPr>
              <w:t>值</w:t>
            </w:r>
            <w:r>
              <w:rPr>
                <w:rFonts w:hint="eastAsia"/>
                <w:sz w:val="24"/>
                <w:szCs w:val="24"/>
                <w:highlight w:val="none"/>
                <w:lang w:eastAsia="zh-CN"/>
              </w:rPr>
              <w:t>小于</w:t>
            </w:r>
            <w:r>
              <w:rPr>
                <w:rFonts w:hint="eastAsia"/>
                <w:sz w:val="24"/>
                <w:szCs w:val="24"/>
                <w:highlight w:val="none"/>
                <w:lang w:val="en-US" w:eastAsia="zh-CN"/>
              </w:rPr>
              <w:t>1</w:t>
            </w:r>
            <w:r>
              <w:rPr>
                <w:rFonts w:hint="eastAsia"/>
                <w:sz w:val="24"/>
                <w:szCs w:val="24"/>
                <w:highlight w:val="none"/>
              </w:rPr>
              <w:t>，风险潜势为</w:t>
            </w:r>
            <w:r>
              <w:rPr>
                <w:sz w:val="24"/>
                <w:szCs w:val="24"/>
                <w:highlight w:val="none"/>
              </w:rPr>
              <w:t>I</w:t>
            </w:r>
            <w:r>
              <w:rPr>
                <w:rFonts w:hint="eastAsia"/>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bCs/>
                <w:sz w:val="24"/>
                <w:szCs w:val="24"/>
                <w:highlight w:val="none"/>
              </w:rPr>
            </w:pPr>
            <w:r>
              <w:rPr>
                <w:rFonts w:hint="eastAsia"/>
                <w:bCs/>
                <w:sz w:val="24"/>
                <w:szCs w:val="24"/>
                <w:highlight w:val="none"/>
              </w:rPr>
              <w:t>（</w:t>
            </w:r>
            <w:r>
              <w:rPr>
                <w:bCs/>
                <w:sz w:val="24"/>
                <w:szCs w:val="24"/>
                <w:highlight w:val="none"/>
              </w:rPr>
              <w:t>2</w:t>
            </w:r>
            <w:r>
              <w:rPr>
                <w:rFonts w:hint="eastAsia"/>
                <w:bCs/>
                <w:sz w:val="24"/>
                <w:szCs w:val="24"/>
                <w:highlight w:val="none"/>
              </w:rPr>
              <w:t>）评价等级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rPr>
              <w:t>可开展简单分析。具体如下表</w:t>
            </w:r>
            <w:r>
              <w:rPr>
                <w:rFonts w:hint="default" w:ascii="Times New Roman" w:hAnsi="Times New Roman" w:cs="Times New Roman"/>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
                <w:bCs/>
                <w:sz w:val="24"/>
                <w:szCs w:val="24"/>
                <w:highlight w:val="none"/>
              </w:rPr>
            </w:pPr>
            <w:r>
              <w:rPr>
                <w:rFonts w:hint="eastAsia"/>
                <w:b/>
                <w:bCs/>
                <w:sz w:val="24"/>
                <w:szCs w:val="24"/>
                <w:highlight w:val="none"/>
              </w:rPr>
              <w:t>表</w:t>
            </w:r>
            <w:r>
              <w:rPr>
                <w:rFonts w:hint="eastAsia"/>
                <w:b/>
                <w:bCs/>
                <w:sz w:val="24"/>
                <w:szCs w:val="24"/>
                <w:highlight w:val="none"/>
                <w:lang w:val="en-US" w:eastAsia="zh-CN"/>
              </w:rPr>
              <w:t>5-4</w:t>
            </w:r>
            <w:r>
              <w:rPr>
                <w:b/>
                <w:bCs/>
                <w:sz w:val="24"/>
                <w:szCs w:val="24"/>
                <w:highlight w:val="none"/>
              </w:rPr>
              <w:t xml:space="preserve">   </w:t>
            </w:r>
            <w:r>
              <w:rPr>
                <w:rFonts w:hint="eastAsia"/>
                <w:b/>
                <w:bCs/>
                <w:sz w:val="24"/>
                <w:szCs w:val="24"/>
                <w:highlight w:val="none"/>
              </w:rPr>
              <w:t>评价工作等级划分</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6"/>
              <w:gridCol w:w="1676"/>
              <w:gridCol w:w="1679"/>
              <w:gridCol w:w="1677"/>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szCs w:val="21"/>
                      <w:highlight w:val="none"/>
                    </w:rPr>
                  </w:pPr>
                  <w:r>
                    <w:rPr>
                      <w:rFonts w:hint="eastAsia"/>
                      <w:bCs/>
                      <w:szCs w:val="21"/>
                      <w:highlight w:val="none"/>
                    </w:rPr>
                    <w:t>环境风险潜势</w:t>
                  </w:r>
                </w:p>
              </w:tc>
              <w:tc>
                <w:tcPr>
                  <w:tcW w:w="999"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szCs w:val="21"/>
                      <w:highlight w:val="none"/>
                    </w:rPr>
                  </w:pPr>
                  <w:r>
                    <w:rPr>
                      <w:rFonts w:hint="eastAsia"/>
                      <w:bCs/>
                      <w:szCs w:val="21"/>
                      <w:highlight w:val="none"/>
                      <w:lang w:eastAsia="zh-CN"/>
                    </w:rPr>
                    <w:t>Ⅳ</w:t>
                  </w:r>
                  <w:r>
                    <w:rPr>
                      <w:rFonts w:hint="eastAsia"/>
                      <w:bCs/>
                      <w:szCs w:val="21"/>
                      <w:highlight w:val="none"/>
                    </w:rPr>
                    <w:t>、</w:t>
                  </w:r>
                  <w:r>
                    <w:rPr>
                      <w:rFonts w:hint="eastAsia"/>
                      <w:bCs/>
                      <w:szCs w:val="21"/>
                      <w:highlight w:val="none"/>
                      <w:lang w:eastAsia="zh-CN"/>
                    </w:rPr>
                    <w:t>Ⅳ</w:t>
                  </w:r>
                  <w:r>
                    <w:rPr>
                      <w:bCs/>
                      <w:szCs w:val="21"/>
                      <w:highlight w:val="none"/>
                      <w:vertAlign w:val="superscript"/>
                    </w:rPr>
                    <w:t>+</w:t>
                  </w:r>
                </w:p>
              </w:tc>
              <w:tc>
                <w:tcPr>
                  <w:tcW w:w="1001"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szCs w:val="21"/>
                      <w:highlight w:val="none"/>
                    </w:rPr>
                  </w:pPr>
                  <w:r>
                    <w:rPr>
                      <w:rFonts w:hint="eastAsia"/>
                      <w:bCs/>
                      <w:szCs w:val="21"/>
                      <w:highlight w:val="none"/>
                      <w:lang w:eastAsia="zh-CN"/>
                    </w:rPr>
                    <w:t>Ⅲ</w:t>
                  </w:r>
                </w:p>
              </w:tc>
              <w:tc>
                <w:tcPr>
                  <w:tcW w:w="1000"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szCs w:val="21"/>
                      <w:highlight w:val="none"/>
                    </w:rPr>
                  </w:pPr>
                  <w:r>
                    <w:rPr>
                      <w:bCs/>
                      <w:szCs w:val="21"/>
                      <w:highlight w:val="none"/>
                    </w:rPr>
                    <w:t>II</w:t>
                  </w:r>
                </w:p>
              </w:tc>
              <w:tc>
                <w:tcPr>
                  <w:tcW w:w="1001"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szCs w:val="21"/>
                      <w:highlight w:val="none"/>
                    </w:rPr>
                  </w:pPr>
                  <w:r>
                    <w:rPr>
                      <w:bCs/>
                      <w:szCs w:val="21"/>
                      <w:highlight w:val="none"/>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szCs w:val="21"/>
                      <w:highlight w:val="none"/>
                    </w:rPr>
                  </w:pPr>
                  <w:r>
                    <w:rPr>
                      <w:rFonts w:hint="eastAsia"/>
                      <w:szCs w:val="21"/>
                      <w:highlight w:val="none"/>
                    </w:rPr>
                    <w:t>评价工作等级</w:t>
                  </w:r>
                </w:p>
              </w:tc>
              <w:tc>
                <w:tcPr>
                  <w:tcW w:w="999"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szCs w:val="21"/>
                      <w:highlight w:val="none"/>
                    </w:rPr>
                  </w:pPr>
                  <w:r>
                    <w:rPr>
                      <w:rFonts w:hint="eastAsia"/>
                      <w:szCs w:val="21"/>
                      <w:highlight w:val="none"/>
                    </w:rPr>
                    <w:t>一</w:t>
                  </w:r>
                </w:p>
              </w:tc>
              <w:tc>
                <w:tcPr>
                  <w:tcW w:w="1001"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szCs w:val="21"/>
                      <w:highlight w:val="none"/>
                    </w:rPr>
                  </w:pPr>
                  <w:r>
                    <w:rPr>
                      <w:rFonts w:hint="eastAsia"/>
                      <w:szCs w:val="21"/>
                      <w:highlight w:val="none"/>
                    </w:rPr>
                    <w:t>二</w:t>
                  </w:r>
                </w:p>
              </w:tc>
              <w:tc>
                <w:tcPr>
                  <w:tcW w:w="1000"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szCs w:val="21"/>
                      <w:highlight w:val="none"/>
                    </w:rPr>
                  </w:pPr>
                  <w:r>
                    <w:rPr>
                      <w:rFonts w:hint="eastAsia"/>
                      <w:szCs w:val="21"/>
                      <w:highlight w:val="none"/>
                    </w:rPr>
                    <w:t>三</w:t>
                  </w:r>
                </w:p>
              </w:tc>
              <w:tc>
                <w:tcPr>
                  <w:tcW w:w="1001" w:type="pct"/>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szCs w:val="21"/>
                      <w:highlight w:val="none"/>
                    </w:rPr>
                  </w:pPr>
                  <w:r>
                    <w:rPr>
                      <w:rFonts w:hint="eastAsia"/>
                      <w:szCs w:val="21"/>
                      <w:highlight w:val="none"/>
                    </w:rPr>
                    <w:t>简单分析</w:t>
                  </w:r>
                  <w:r>
                    <w:rPr>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szCs w:val="21"/>
                      <w:highlight w:val="none"/>
                    </w:rPr>
                  </w:pPr>
                  <w:r>
                    <w:rPr>
                      <w:szCs w:val="21"/>
                      <w:highlight w:val="none"/>
                    </w:rPr>
                    <w:t>*</w:t>
                  </w:r>
                  <w:r>
                    <w:rPr>
                      <w:rFonts w:hint="eastAsia"/>
                      <w:szCs w:val="21"/>
                      <w:highlight w:val="none"/>
                    </w:rPr>
                    <w:t>是相对于详细评价工作内容而言，在描述危险物质、环境影响途径、环境危害后果、风险防范措施等</w:t>
                  </w:r>
                  <w:r>
                    <w:rPr>
                      <w:rFonts w:hint="eastAsia"/>
                      <w:szCs w:val="21"/>
                      <w:highlight w:val="none"/>
                      <w:lang w:eastAsia="zh-CN"/>
                    </w:rPr>
                    <w:t>方</w:t>
                  </w:r>
                  <w:r>
                    <w:rPr>
                      <w:rFonts w:hint="eastAsia"/>
                      <w:szCs w:val="21"/>
                      <w:highlight w:val="none"/>
                    </w:rPr>
                    <w:t>面给出定性的说明。</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highlight w:val="none"/>
              </w:rPr>
            </w:pPr>
            <w:r>
              <w:rPr>
                <w:rFonts w:hint="eastAsia"/>
                <w:sz w:val="24"/>
                <w:szCs w:val="24"/>
                <w:highlight w:val="none"/>
              </w:rPr>
              <w:t>本项目风险潜势为</w:t>
            </w:r>
            <w:r>
              <w:rPr>
                <w:sz w:val="24"/>
                <w:szCs w:val="24"/>
                <w:highlight w:val="none"/>
              </w:rPr>
              <w:t>I</w:t>
            </w:r>
            <w:r>
              <w:rPr>
                <w:rFonts w:hint="eastAsia"/>
                <w:sz w:val="24"/>
                <w:szCs w:val="24"/>
                <w:highlight w:val="none"/>
              </w:rPr>
              <w:t>，故本项目需进行简单分析。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bCs/>
                <w:sz w:val="24"/>
                <w:szCs w:val="24"/>
                <w:highlight w:val="none"/>
              </w:rPr>
            </w:pPr>
            <w:r>
              <w:rPr>
                <w:rFonts w:hint="eastAsia"/>
                <w:b/>
                <w:bCs/>
                <w:sz w:val="24"/>
                <w:szCs w:val="24"/>
                <w:highlight w:val="none"/>
                <w:lang w:val="en-US" w:eastAsia="zh-CN"/>
              </w:rPr>
              <w:t>7.3</w:t>
            </w:r>
            <w:r>
              <w:rPr>
                <w:rFonts w:hint="eastAsia"/>
                <w:b/>
                <w:bCs/>
                <w:sz w:val="24"/>
                <w:szCs w:val="24"/>
                <w:highlight w:val="none"/>
              </w:rPr>
              <w:t>风险防范措施</w:t>
            </w:r>
          </w:p>
          <w:p>
            <w:pPr>
              <w:pStyle w:val="11"/>
              <w:keepNext w:val="0"/>
              <w:keepLines w:val="0"/>
              <w:pageBreakBefore w:val="0"/>
              <w:widowControl w:val="0"/>
              <w:kinsoku/>
              <w:wordWrap/>
              <w:overflowPunct/>
              <w:topLinePunct w:val="0"/>
              <w:autoSpaceDE/>
              <w:autoSpaceDN/>
              <w:bidi w:val="0"/>
              <w:adjustRightInd/>
              <w:snapToGrid/>
              <w:spacing w:after="0" w:afterLines="0" w:line="520" w:lineRule="exact"/>
              <w:ind w:left="0" w:leftChars="0" w:firstLine="480" w:firstLineChars="200"/>
              <w:jc w:val="left"/>
              <w:textAlignment w:val="auto"/>
              <w:rPr>
                <w:rFonts w:hint="eastAsia" w:ascii="Times New Roman" w:hAnsi="Times New Roman" w:cs="Times New Roman"/>
                <w:sz w:val="24"/>
                <w:highlight w:val="none"/>
                <w:lang w:eastAsia="zh-CN"/>
              </w:rPr>
            </w:pPr>
            <w:r>
              <w:rPr>
                <w:rFonts w:hint="eastAsia" w:ascii="Times New Roman" w:hAnsi="Times New Roman" w:cs="Times New Roman"/>
                <w:sz w:val="24"/>
                <w:highlight w:val="none"/>
                <w:lang w:eastAsia="zh-CN"/>
              </w:rPr>
              <w:t>（</w:t>
            </w:r>
            <w:r>
              <w:rPr>
                <w:rFonts w:hint="eastAsia" w:ascii="Times New Roman" w:hAnsi="Times New Roman" w:cs="Times New Roman"/>
                <w:sz w:val="24"/>
                <w:highlight w:val="none"/>
                <w:lang w:val="en-US" w:eastAsia="zh-CN"/>
              </w:rPr>
              <w:t>1）</w:t>
            </w:r>
            <w:r>
              <w:rPr>
                <w:rFonts w:hint="eastAsia" w:ascii="Times New Roman" w:hAnsi="Times New Roman" w:cs="Times New Roman"/>
                <w:sz w:val="24"/>
                <w:highlight w:val="none"/>
                <w:lang w:eastAsia="zh-CN"/>
              </w:rPr>
              <w:t>加强</w:t>
            </w:r>
            <w:r>
              <w:rPr>
                <w:rFonts w:hint="eastAsia" w:cs="Times New Roman"/>
                <w:sz w:val="24"/>
                <w:highlight w:val="none"/>
                <w:lang w:eastAsia="zh-CN"/>
              </w:rPr>
              <w:t>柴油</w:t>
            </w:r>
            <w:r>
              <w:rPr>
                <w:rFonts w:hint="eastAsia" w:ascii="Times New Roman" w:hAnsi="Times New Roman" w:cs="Times New Roman"/>
                <w:sz w:val="24"/>
                <w:highlight w:val="none"/>
                <w:lang w:eastAsia="zh-CN"/>
              </w:rPr>
              <w:t>管理，使用时远离火源；</w:t>
            </w:r>
          </w:p>
          <w:p>
            <w:pPr>
              <w:pStyle w:val="11"/>
              <w:keepNext w:val="0"/>
              <w:keepLines w:val="0"/>
              <w:pageBreakBefore w:val="0"/>
              <w:widowControl w:val="0"/>
              <w:kinsoku/>
              <w:wordWrap/>
              <w:overflowPunct/>
              <w:topLinePunct w:val="0"/>
              <w:autoSpaceDE/>
              <w:autoSpaceDN/>
              <w:bidi w:val="0"/>
              <w:adjustRightInd/>
              <w:snapToGrid/>
              <w:spacing w:after="0" w:afterLines="0" w:line="520" w:lineRule="exact"/>
              <w:ind w:left="0" w:leftChars="0" w:firstLine="480" w:firstLineChars="200"/>
              <w:jc w:val="left"/>
              <w:textAlignment w:val="auto"/>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eastAsia="zh-CN"/>
              </w:rPr>
              <w:t>（</w:t>
            </w:r>
            <w:r>
              <w:rPr>
                <w:rFonts w:hint="eastAsia" w:ascii="Times New Roman" w:hAnsi="Times New Roman" w:cs="Times New Roman"/>
                <w:sz w:val="24"/>
                <w:highlight w:val="none"/>
                <w:lang w:val="en-US" w:eastAsia="zh-CN"/>
              </w:rPr>
              <w:t>2）</w:t>
            </w:r>
            <w:r>
              <w:rPr>
                <w:rFonts w:hint="eastAsia" w:cs="Times New Roman"/>
                <w:sz w:val="24"/>
                <w:highlight w:val="none"/>
                <w:lang w:eastAsia="zh-CN"/>
              </w:rPr>
              <w:t>发生泄漏时，及时用吸油毡吸附并放置到密闭的容器中储存，防止接触火源引发火灾。</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kern w:val="0"/>
                <w:sz w:val="24"/>
                <w:szCs w:val="24"/>
                <w:highlight w:val="none"/>
              </w:rPr>
            </w:pPr>
            <w:r>
              <w:rPr>
                <w:rFonts w:hint="eastAsia"/>
                <w:bCs/>
                <w:kern w:val="0"/>
                <w:sz w:val="24"/>
                <w:szCs w:val="24"/>
                <w:highlight w:val="none"/>
                <w:lang w:eastAsia="zh-CN"/>
              </w:rPr>
              <w:t>（</w:t>
            </w:r>
            <w:r>
              <w:rPr>
                <w:rFonts w:hint="eastAsia"/>
                <w:bCs/>
                <w:kern w:val="0"/>
                <w:sz w:val="24"/>
                <w:szCs w:val="24"/>
                <w:highlight w:val="none"/>
                <w:lang w:val="en-US" w:eastAsia="zh-CN"/>
              </w:rPr>
              <w:t>3）</w:t>
            </w:r>
            <w:r>
              <w:rPr>
                <w:rFonts w:hint="eastAsia"/>
                <w:bCs/>
                <w:kern w:val="0"/>
                <w:sz w:val="24"/>
                <w:szCs w:val="24"/>
                <w:highlight w:val="none"/>
              </w:rPr>
              <w:t>制定事故应急救援方案，发生事故时，及时采取应急行动，保护工作人员</w:t>
            </w:r>
            <w:r>
              <w:rPr>
                <w:rFonts w:hint="eastAsia"/>
                <w:kern w:val="0"/>
                <w:sz w:val="24"/>
                <w:szCs w:val="24"/>
                <w:highlight w:val="none"/>
              </w:rPr>
              <w:t>及周边人员安全，并防止事故扩大，最大限度地减少事故损失。</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b/>
                <w:iCs/>
                <w:sz w:val="24"/>
                <w:szCs w:val="24"/>
                <w:highlight w:val="none"/>
                <w:lang w:bidi="en-US"/>
              </w:rPr>
            </w:pPr>
            <w:r>
              <w:rPr>
                <w:rFonts w:hint="eastAsia"/>
                <w:b/>
                <w:iCs/>
                <w:sz w:val="24"/>
                <w:szCs w:val="24"/>
                <w:highlight w:val="none"/>
                <w:lang w:val="en-US" w:eastAsia="zh-CN" w:bidi="en-US"/>
              </w:rPr>
              <w:t>7.4</w:t>
            </w:r>
            <w:r>
              <w:rPr>
                <w:rFonts w:hint="eastAsia"/>
                <w:b/>
                <w:iCs/>
                <w:sz w:val="24"/>
                <w:szCs w:val="24"/>
                <w:highlight w:val="none"/>
                <w:lang w:bidi="en-US"/>
              </w:rPr>
              <w:t>环境风险评价结论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sz w:val="24"/>
                <w:szCs w:val="24"/>
                <w:highlight w:val="none"/>
              </w:rPr>
            </w:pPr>
            <w:r>
              <w:rPr>
                <w:rFonts w:hint="eastAsia"/>
                <w:sz w:val="24"/>
                <w:szCs w:val="24"/>
                <w:highlight w:val="none"/>
              </w:rPr>
              <w:t>本项目环境风险开展简单分析。具体内容如下表。</w:t>
            </w:r>
          </w:p>
          <w:p>
            <w:pPr>
              <w:keepNext w:val="0"/>
              <w:keepLines w:val="0"/>
              <w:pageBreakBefore w:val="0"/>
              <w:widowControl w:val="0"/>
              <w:kinsoku/>
              <w:wordWrap/>
              <w:overflowPunct/>
              <w:topLinePunct w:val="0"/>
              <w:autoSpaceDE/>
              <w:autoSpaceDN/>
              <w:bidi w:val="0"/>
              <w:adjustRightInd/>
              <w:snapToGrid/>
              <w:spacing w:line="300" w:lineRule="exact"/>
              <w:ind w:firstLine="482" w:firstLineChars="200"/>
              <w:jc w:val="center"/>
              <w:textAlignment w:val="auto"/>
              <w:rPr>
                <w:b/>
                <w:bCs/>
                <w:sz w:val="24"/>
                <w:szCs w:val="24"/>
                <w:highlight w:val="none"/>
              </w:rPr>
            </w:pPr>
            <w:r>
              <w:rPr>
                <w:rFonts w:hint="eastAsia"/>
                <w:b/>
                <w:bCs/>
                <w:sz w:val="24"/>
                <w:szCs w:val="24"/>
                <w:highlight w:val="none"/>
              </w:rPr>
              <w:t>表</w:t>
            </w:r>
            <w:r>
              <w:rPr>
                <w:rFonts w:hint="eastAsia"/>
                <w:b/>
                <w:bCs/>
                <w:sz w:val="24"/>
                <w:szCs w:val="24"/>
                <w:highlight w:val="none"/>
                <w:lang w:val="en-US" w:eastAsia="zh-CN"/>
              </w:rPr>
              <w:t>5-5</w:t>
            </w:r>
            <w:r>
              <w:rPr>
                <w:b/>
                <w:bCs/>
                <w:sz w:val="24"/>
                <w:szCs w:val="24"/>
                <w:highlight w:val="none"/>
              </w:rPr>
              <w:t xml:space="preserve">  </w:t>
            </w:r>
            <w:r>
              <w:rPr>
                <w:rFonts w:hint="eastAsia"/>
                <w:b/>
                <w:bCs/>
                <w:sz w:val="24"/>
                <w:szCs w:val="24"/>
                <w:highlight w:val="none"/>
              </w:rPr>
              <w:t>建设项目环境风险简单分析内容表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6"/>
              <w:gridCol w:w="6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
                      <w:color w:val="auto"/>
                      <w:szCs w:val="21"/>
                      <w:highlight w:val="none"/>
                    </w:rPr>
                  </w:pPr>
                  <w:r>
                    <w:rPr>
                      <w:rFonts w:hint="eastAsia"/>
                      <w:b w:val="0"/>
                      <w:bCs/>
                      <w:color w:val="auto"/>
                      <w:szCs w:val="21"/>
                      <w:highlight w:val="none"/>
                    </w:rPr>
                    <w:t>建设项目名称</w:t>
                  </w:r>
                </w:p>
              </w:tc>
              <w:tc>
                <w:tcPr>
                  <w:tcW w:w="368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color w:val="auto"/>
                      <w:szCs w:val="21"/>
                      <w:highlight w:val="none"/>
                    </w:rPr>
                  </w:pPr>
                  <w:r>
                    <w:rPr>
                      <w:rFonts w:hint="eastAsia" w:cs="Times New Roman"/>
                      <w:szCs w:val="21"/>
                      <w:highlight w:val="none"/>
                      <w:lang w:val="en-US" w:eastAsia="zh-CN"/>
                    </w:rPr>
                    <w:t>新疆且末县纳其能卡铺铜矿多金属矿普查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color w:val="auto"/>
                      <w:szCs w:val="21"/>
                      <w:highlight w:val="none"/>
                    </w:rPr>
                  </w:pPr>
                  <w:r>
                    <w:rPr>
                      <w:rFonts w:hint="eastAsia"/>
                      <w:bCs/>
                      <w:color w:val="auto"/>
                      <w:szCs w:val="21"/>
                      <w:highlight w:val="none"/>
                    </w:rPr>
                    <w:t>建设地点</w:t>
                  </w:r>
                </w:p>
              </w:tc>
              <w:tc>
                <w:tcPr>
                  <w:tcW w:w="3685" w:type="pct"/>
                  <w:noWrap w:val="0"/>
                  <w:vAlign w:val="center"/>
                </w:tcPr>
                <w:p>
                  <w:pPr>
                    <w:pStyle w:val="31"/>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eastAsia="宋体"/>
                      <w:bCs/>
                      <w:color w:val="auto"/>
                      <w:sz w:val="21"/>
                      <w:szCs w:val="21"/>
                      <w:highlight w:val="none"/>
                      <w:lang w:eastAsia="zh-CN"/>
                    </w:rPr>
                  </w:pPr>
                  <w:r>
                    <w:rPr>
                      <w:rFonts w:hint="eastAsia" w:eastAsia="宋体"/>
                      <w:bCs/>
                      <w:color w:val="auto"/>
                      <w:sz w:val="21"/>
                      <w:szCs w:val="21"/>
                      <w:highlight w:val="none"/>
                      <w:lang w:eastAsia="zh-CN"/>
                    </w:rPr>
                    <w:t>新疆维吾尔自治区巴音郭楞蒙古自治州</w:t>
                  </w:r>
                  <w:r>
                    <w:rPr>
                      <w:rFonts w:hint="eastAsia"/>
                      <w:bCs/>
                      <w:color w:val="auto"/>
                      <w:sz w:val="21"/>
                      <w:szCs w:val="21"/>
                      <w:highlight w:val="none"/>
                      <w:lang w:val="en-US" w:eastAsia="zh-CN"/>
                    </w:rPr>
                    <w:t>且末</w:t>
                  </w:r>
                  <w:r>
                    <w:rPr>
                      <w:rFonts w:hint="eastAsia" w:eastAsia="宋体"/>
                      <w:bCs/>
                      <w:color w:val="auto"/>
                      <w:sz w:val="21"/>
                      <w:szCs w:val="21"/>
                      <w:highlight w:val="none"/>
                      <w:lang w:val="en-US" w:eastAsia="zh-CN"/>
                    </w:rPr>
                    <w:t>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color w:val="auto"/>
                      <w:szCs w:val="21"/>
                      <w:highlight w:val="none"/>
                    </w:rPr>
                  </w:pPr>
                  <w:r>
                    <w:rPr>
                      <w:rFonts w:hint="eastAsia"/>
                      <w:bCs/>
                      <w:color w:val="auto"/>
                      <w:szCs w:val="21"/>
                      <w:highlight w:val="none"/>
                    </w:rPr>
                    <w:t>地理坐标</w:t>
                  </w:r>
                </w:p>
              </w:tc>
              <w:tc>
                <w:tcPr>
                  <w:tcW w:w="368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color w:val="auto"/>
                      <w:szCs w:val="21"/>
                      <w:highlight w:val="none"/>
                      <w:lang w:eastAsia="zh-CN"/>
                    </w:rPr>
                  </w:pPr>
                  <w:r>
                    <w:rPr>
                      <w:rFonts w:hint="default" w:ascii="Times New Roman" w:hAnsi="Times New Roman" w:cs="Times New Roman"/>
                      <w:bCs/>
                      <w:color w:val="auto"/>
                      <w:szCs w:val="21"/>
                      <w:highlight w:val="none"/>
                      <w:lang w:eastAsia="zh-CN"/>
                    </w:rPr>
                    <w:t>项目中心坐标：</w:t>
                  </w:r>
                  <w:r>
                    <w:rPr>
                      <w:rFonts w:hint="default" w:ascii="Times New Roman" w:hAnsi="Times New Roman" w:eastAsia="宋体" w:cs="Times New Roman"/>
                      <w:sz w:val="21"/>
                      <w:szCs w:val="21"/>
                      <w:highlight w:val="none"/>
                      <w:lang w:eastAsia="zh-CN"/>
                    </w:rPr>
                    <w:t>东经</w:t>
                  </w:r>
                  <w:r>
                    <w:rPr>
                      <w:rFonts w:hint="eastAsia" w:cs="Times New Roman"/>
                      <w:sz w:val="21"/>
                      <w:szCs w:val="21"/>
                      <w:highlight w:val="none"/>
                      <w:lang w:eastAsia="zh-CN"/>
                    </w:rPr>
                    <w:t>84°9′53.224″</w:t>
                  </w:r>
                  <w:r>
                    <w:rPr>
                      <w:rFonts w:hint="default" w:ascii="Times New Roman" w:hAnsi="Times New Roman" w:eastAsia="宋体" w:cs="Times New Roman"/>
                      <w:sz w:val="21"/>
                      <w:szCs w:val="21"/>
                      <w:highlight w:val="none"/>
                      <w:lang w:eastAsia="zh-CN"/>
                    </w:rPr>
                    <w:t>，北纬</w:t>
                  </w:r>
                  <w:r>
                    <w:rPr>
                      <w:rFonts w:hint="eastAsia" w:cs="Times New Roman"/>
                      <w:sz w:val="21"/>
                      <w:szCs w:val="21"/>
                      <w:highlight w:val="none"/>
                      <w:lang w:eastAsia="zh-CN"/>
                    </w:rPr>
                    <w:t>36°47′16.046″。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color w:val="auto"/>
                      <w:szCs w:val="21"/>
                      <w:highlight w:val="none"/>
                    </w:rPr>
                  </w:pPr>
                  <w:r>
                    <w:rPr>
                      <w:rFonts w:hint="eastAsia"/>
                      <w:bCs/>
                      <w:color w:val="auto"/>
                      <w:szCs w:val="21"/>
                      <w:highlight w:val="none"/>
                    </w:rPr>
                    <w:t>主要危险物质及分布</w:t>
                  </w:r>
                </w:p>
              </w:tc>
              <w:tc>
                <w:tcPr>
                  <w:tcW w:w="368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eastAsia="zh-CN"/>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color w:val="auto"/>
                      <w:szCs w:val="21"/>
                      <w:highlight w:val="none"/>
                    </w:rPr>
                  </w:pPr>
                  <w:r>
                    <w:rPr>
                      <w:rFonts w:hint="eastAsia"/>
                      <w:bCs/>
                      <w:color w:val="auto"/>
                      <w:szCs w:val="21"/>
                      <w:highlight w:val="none"/>
                    </w:rPr>
                    <w:t>环境影响途径及危害后果（大气、地下水）</w:t>
                  </w:r>
                </w:p>
              </w:tc>
              <w:tc>
                <w:tcPr>
                  <w:tcW w:w="368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lang w:eastAsia="zh-CN"/>
                    </w:rPr>
                    <w:t>勘探</w:t>
                  </w:r>
                  <w:r>
                    <w:rPr>
                      <w:rFonts w:hint="eastAsia" w:ascii="Times New Roman" w:hAnsi="Times New Roman" w:eastAsia="宋体" w:cs="Times New Roman"/>
                      <w:color w:val="auto"/>
                      <w:szCs w:val="21"/>
                      <w:highlight w:val="none"/>
                    </w:rPr>
                    <w:t>过程</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lang w:eastAsia="zh-CN"/>
                    </w:rPr>
                    <w:t>勘探</w:t>
                  </w:r>
                  <w:r>
                    <w:rPr>
                      <w:rFonts w:hint="eastAsia" w:ascii="Times New Roman" w:hAnsi="Times New Roman" w:cs="Times New Roman"/>
                      <w:color w:val="auto"/>
                      <w:szCs w:val="21"/>
                      <w:highlight w:val="none"/>
                    </w:rPr>
                    <w:t>过程引发自然地质灾害。</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2）泄漏</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rFonts w:hint="eastAsia"/>
                      <w:highlight w:val="none"/>
                      <w:lang w:val="en-US" w:eastAsia="zh-CN"/>
                    </w:rPr>
                  </w:pPr>
                  <w:r>
                    <w:rPr>
                      <w:rFonts w:hint="default" w:ascii="Times New Roman" w:hAnsi="Times New Roman" w:cs="Times New Roman"/>
                      <w:lang w:val="en-US" w:eastAsia="zh-CN"/>
                    </w:rPr>
                    <w:t>油桶破损导致柴油泄漏，污染周边地下水和土壤</w:t>
                  </w:r>
                  <w:r>
                    <w:rPr>
                      <w:rFonts w:hint="eastAsia" w:ascii="Times New Roman" w:hAnsi="Times New Roman" w:cs="Times New Roman"/>
                      <w:color w:val="auto"/>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w:t>
                  </w:r>
                  <w:r>
                    <w:rPr>
                      <w:rFonts w:hint="eastAsia" w:cs="Times New Roman"/>
                      <w:color w:val="auto"/>
                      <w:szCs w:val="21"/>
                      <w:highlight w:val="none"/>
                      <w:lang w:val="en-US" w:eastAsia="zh-CN"/>
                    </w:rPr>
                    <w:t>3</w:t>
                  </w:r>
                  <w:r>
                    <w:rPr>
                      <w:rFonts w:hint="eastAsia" w:ascii="Times New Roman" w:hAnsi="Times New Roman" w:eastAsia="宋体" w:cs="Times New Roman"/>
                      <w:color w:val="auto"/>
                      <w:szCs w:val="21"/>
                      <w:highlight w:val="none"/>
                    </w:rPr>
                    <w:t>）火灾</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color w:val="auto"/>
                      <w:szCs w:val="21"/>
                      <w:highlight w:val="none"/>
                    </w:rPr>
                  </w:pPr>
                  <w:r>
                    <w:rPr>
                      <w:rFonts w:hint="eastAsia" w:ascii="Times New Roman" w:hAnsi="Times New Roman" w:eastAsia="宋体" w:cs="Times New Roman"/>
                      <w:color w:val="auto"/>
                      <w:szCs w:val="21"/>
                      <w:highlight w:val="none"/>
                    </w:rPr>
                    <w:t>火灾的危害</w:t>
                  </w:r>
                  <w:r>
                    <w:rPr>
                      <w:rFonts w:hint="eastAsia"/>
                      <w:color w:val="auto"/>
                      <w:szCs w:val="21"/>
                      <w:highlight w:val="none"/>
                    </w:rPr>
                    <w:t>主要来自三方面，一是火源</w:t>
                  </w:r>
                  <w:r>
                    <w:rPr>
                      <w:rFonts w:hint="eastAsia"/>
                      <w:color w:val="auto"/>
                      <w:szCs w:val="21"/>
                      <w:highlight w:val="none"/>
                      <w:lang w:eastAsia="zh-CN"/>
                    </w:rPr>
                    <w:t>失去</w:t>
                  </w:r>
                  <w:r>
                    <w:rPr>
                      <w:rFonts w:hint="eastAsia"/>
                      <w:color w:val="auto"/>
                      <w:szCs w:val="21"/>
                      <w:highlight w:val="none"/>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bCs/>
                      <w:color w:val="auto"/>
                      <w:szCs w:val="21"/>
                      <w:highlight w:val="none"/>
                    </w:rPr>
                  </w:pPr>
                  <w:r>
                    <w:rPr>
                      <w:rFonts w:hint="eastAsia"/>
                      <w:bCs/>
                      <w:color w:val="auto"/>
                      <w:szCs w:val="21"/>
                      <w:highlight w:val="none"/>
                    </w:rPr>
                    <w:t>风险防范措施要求</w:t>
                  </w:r>
                </w:p>
              </w:tc>
              <w:tc>
                <w:tcPr>
                  <w:tcW w:w="368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）制定环境风险管理制度</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color w:val="auto"/>
                      <w:szCs w:val="21"/>
                      <w:highlight w:val="none"/>
                    </w:rPr>
                  </w:pPr>
                  <w:r>
                    <w:rPr>
                      <w:rFonts w:hint="eastAsia"/>
                      <w:color w:val="auto"/>
                      <w:szCs w:val="21"/>
                      <w:highlight w:val="none"/>
                    </w:rPr>
                    <w:t>建设单位需制定《环境保护责任制》《安全环保风险管理制度》，可满足企业环境风险管理要求，但是制度需要在执行中检验其可操作性。</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）风险防控及应急措施</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color w:val="auto"/>
                      <w:szCs w:val="21"/>
                      <w:highlight w:val="none"/>
                    </w:rPr>
                  </w:pPr>
                  <w:r>
                    <w:rPr>
                      <w:rFonts w:hint="eastAsia"/>
                      <w:color w:val="auto"/>
                      <w:szCs w:val="21"/>
                      <w:highlight w:val="none"/>
                    </w:rPr>
                    <w:t>为防止可能出现的风险事故，项目需在总图布局、工艺技术与自动控制、电气配置等方面采取风险防范措施，需制定应急处理及救援预案。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）环境应急资源</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color w:val="auto"/>
                      <w:szCs w:val="21"/>
                      <w:highlight w:val="none"/>
                    </w:rPr>
                  </w:pPr>
                  <w:r>
                    <w:rPr>
                      <w:rFonts w:hint="eastAsia"/>
                      <w:color w:val="auto"/>
                      <w:szCs w:val="21"/>
                      <w:highlight w:val="none"/>
                    </w:rPr>
                    <w:t>应按照制定的《安全环保风险管理制度》购置相应的环境风险应急资源，成立应急救援队伍。</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）环境风险演练和培训</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bCs/>
                      <w:color w:val="auto"/>
                      <w:szCs w:val="21"/>
                      <w:highlight w:val="none"/>
                    </w:rPr>
                  </w:pPr>
                  <w:r>
                    <w:rPr>
                      <w:rFonts w:hint="eastAsia"/>
                      <w:color w:val="auto"/>
                      <w:szCs w:val="21"/>
                      <w:highlight w:val="none"/>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bCs/>
                      <w:color w:val="auto"/>
                      <w:szCs w:val="21"/>
                      <w:highlight w:val="none"/>
                    </w:rPr>
                  </w:pPr>
                  <w:r>
                    <w:rPr>
                      <w:rFonts w:hint="eastAsia"/>
                      <w:bCs/>
                      <w:color w:val="auto"/>
                      <w:szCs w:val="21"/>
                      <w:highlight w:val="none"/>
                    </w:rPr>
                    <w:t>填表说明：</w:t>
                  </w:r>
                </w:p>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both"/>
                    <w:textAlignment w:val="auto"/>
                    <w:rPr>
                      <w:bCs/>
                      <w:color w:val="auto"/>
                      <w:szCs w:val="21"/>
                      <w:highlight w:val="none"/>
                    </w:rPr>
                  </w:pPr>
                  <w:r>
                    <w:rPr>
                      <w:rFonts w:hint="eastAsia"/>
                      <w:bCs/>
                      <w:color w:val="auto"/>
                      <w:szCs w:val="21"/>
                      <w:highlight w:val="none"/>
                    </w:rPr>
                    <w:t>根据本项目污染物特性，本项目应建立独立的环境风险应急预案，并</w:t>
                  </w:r>
                  <w:r>
                    <w:rPr>
                      <w:rFonts w:hint="eastAsia"/>
                      <w:bCs/>
                      <w:color w:val="auto"/>
                      <w:szCs w:val="21"/>
                      <w:highlight w:val="none"/>
                      <w:lang w:eastAsia="zh-CN"/>
                    </w:rPr>
                    <w:t>报当</w:t>
                  </w:r>
                  <w:r>
                    <w:rPr>
                      <w:rFonts w:hint="eastAsia"/>
                      <w:bCs/>
                      <w:color w:val="auto"/>
                      <w:szCs w:val="21"/>
                      <w:highlight w:val="none"/>
                    </w:rPr>
                    <w:t>地环境主管部门备案。</w:t>
                  </w:r>
                </w:p>
              </w:tc>
            </w:tr>
          </w:tbl>
          <w:p>
            <w:pPr>
              <w:keepNext w:val="0"/>
              <w:keepLines w:val="0"/>
              <w:pageBreakBefore w:val="0"/>
              <w:widowControl/>
              <w:kinsoku/>
              <w:wordWrap/>
              <w:overflowPunct/>
              <w:topLinePunct w:val="0"/>
              <w:autoSpaceDE/>
              <w:autoSpaceDN/>
              <w:bidi w:val="0"/>
              <w:adjustRightInd/>
              <w:snapToGrid/>
              <w:spacing w:line="520" w:lineRule="exact"/>
              <w:ind w:left="0" w:firstLine="480" w:firstLineChars="200"/>
              <w:jc w:val="left"/>
              <w:textAlignment w:val="auto"/>
              <w:rPr>
                <w:rFonts w:cs="宋体"/>
                <w:kern w:val="0"/>
                <w:sz w:val="24"/>
                <w:szCs w:val="24"/>
                <w:highlight w:val="none"/>
              </w:rPr>
            </w:pPr>
            <w:r>
              <w:rPr>
                <w:rFonts w:hint="eastAsia"/>
                <w:sz w:val="24"/>
                <w:szCs w:val="24"/>
                <w:highlight w:val="none"/>
              </w:rPr>
              <w:t>根据上述分析，本项目环境风险是可防控的。</w:t>
            </w:r>
          </w:p>
          <w:p>
            <w:pPr>
              <w:keepNext w:val="0"/>
              <w:keepLines w:val="0"/>
              <w:pageBreakBefore w:val="0"/>
              <w:kinsoku/>
              <w:wordWrap/>
              <w:overflowPunct/>
              <w:topLinePunct w:val="0"/>
              <w:autoSpaceDE/>
              <w:autoSpaceDN/>
              <w:bidi w:val="0"/>
              <w:adjustRightInd/>
              <w:snapToGrid/>
              <w:spacing w:line="520" w:lineRule="exact"/>
              <w:textAlignment w:val="auto"/>
              <w:rPr>
                <w:rFonts w:hint="eastAsia"/>
                <w:b/>
                <w:bCs/>
                <w:sz w:val="24"/>
                <w:szCs w:val="24"/>
                <w:highlight w:val="none"/>
                <w:lang w:eastAsia="zh-CN"/>
              </w:rPr>
            </w:pPr>
            <w:r>
              <w:rPr>
                <w:rFonts w:hint="eastAsia"/>
                <w:b/>
                <w:bCs/>
                <w:sz w:val="24"/>
                <w:szCs w:val="24"/>
                <w:highlight w:val="none"/>
                <w:lang w:val="en-US" w:eastAsia="zh-CN"/>
              </w:rPr>
              <w:t>8.</w:t>
            </w:r>
            <w:r>
              <w:rPr>
                <w:rFonts w:hint="eastAsia"/>
                <w:b/>
                <w:bCs/>
                <w:sz w:val="24"/>
                <w:szCs w:val="24"/>
                <w:highlight w:val="none"/>
                <w:lang w:eastAsia="zh-CN"/>
              </w:rPr>
              <w:t>环境影响综合结论</w:t>
            </w:r>
          </w:p>
          <w:p>
            <w:pPr>
              <w:pStyle w:val="13"/>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highlight w:val="none"/>
                <w:lang w:eastAsia="zh-CN"/>
              </w:rPr>
            </w:pPr>
            <w:r>
              <w:rPr>
                <w:rFonts w:hint="eastAsia"/>
                <w:sz w:val="24"/>
                <w:szCs w:val="24"/>
                <w:highlight w:val="none"/>
                <w:lang w:eastAsia="zh-CN"/>
              </w:rPr>
              <w:t>综上所述，</w:t>
            </w:r>
            <w:r>
              <w:rPr>
                <w:rFonts w:hint="eastAsia"/>
                <w:sz w:val="24"/>
                <w:szCs w:val="24"/>
                <w:highlight w:val="none"/>
                <w:lang w:val="en-US" w:eastAsia="zh-CN"/>
              </w:rPr>
              <w:t>本项目</w:t>
            </w:r>
            <w:r>
              <w:rPr>
                <w:rFonts w:hint="eastAsia"/>
                <w:sz w:val="24"/>
                <w:szCs w:val="24"/>
                <w:highlight w:val="none"/>
                <w:lang w:eastAsia="zh-CN"/>
              </w:rPr>
              <w:t>产生的污染物，对区域的生态环境、空气环境、声环境、地表水环境的影响是不可避免的。但由于本项目工程量较小，不会改变区域环境功能，对周围环境的影响较小，而且其影响是暂时的、局部的，其影响将随勘查工作的结束而消失。</w:t>
            </w:r>
          </w:p>
          <w:p>
            <w:pPr>
              <w:pStyle w:val="13"/>
              <w:keepNext w:val="0"/>
              <w:keepLines w:val="0"/>
              <w:pageBreakBefore w:val="0"/>
              <w:kinsoku/>
              <w:wordWrap/>
              <w:overflowPunct/>
              <w:topLinePunct w:val="0"/>
              <w:autoSpaceDE/>
              <w:autoSpaceDN/>
              <w:bidi w:val="0"/>
              <w:adjustRightInd/>
              <w:snapToGrid/>
              <w:spacing w:line="520" w:lineRule="exact"/>
              <w:textAlignment w:val="auto"/>
              <w:rPr>
                <w:rFonts w:hint="eastAsia"/>
                <w:b/>
                <w:bCs/>
                <w:sz w:val="24"/>
                <w:szCs w:val="24"/>
                <w:highlight w:val="none"/>
                <w:lang w:eastAsia="zh-CN"/>
              </w:rPr>
            </w:pPr>
            <w:r>
              <w:rPr>
                <w:rFonts w:hint="eastAsia"/>
                <w:b/>
                <w:bCs/>
                <w:sz w:val="24"/>
                <w:szCs w:val="24"/>
                <w:highlight w:val="none"/>
                <w:lang w:val="en-US" w:eastAsia="zh-CN"/>
              </w:rPr>
              <w:t>9.</w:t>
            </w:r>
            <w:r>
              <w:rPr>
                <w:rFonts w:hint="eastAsia"/>
                <w:b/>
                <w:bCs/>
                <w:sz w:val="24"/>
                <w:szCs w:val="24"/>
                <w:highlight w:val="none"/>
                <w:lang w:eastAsia="zh-CN"/>
              </w:rPr>
              <w:t>生态影响恢复措施的合理性和可行性分析</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highlight w:val="none"/>
                <w:lang w:eastAsia="zh-CN"/>
              </w:rPr>
            </w:pPr>
            <w:r>
              <w:rPr>
                <w:rFonts w:hint="eastAsia"/>
                <w:sz w:val="24"/>
                <w:szCs w:val="24"/>
                <w:highlight w:val="none"/>
                <w:lang w:eastAsia="zh-CN"/>
              </w:rPr>
              <w:t>由于本项目区生态环境较脆弱，应特别注重勘探区的生态恢复。</w:t>
            </w:r>
            <w:r>
              <w:rPr>
                <w:rFonts w:hint="eastAsia"/>
                <w:sz w:val="24"/>
                <w:szCs w:val="24"/>
                <w:highlight w:val="none"/>
                <w:lang w:val="en-US" w:eastAsia="zh-CN"/>
              </w:rPr>
              <w:t>槽探</w:t>
            </w:r>
            <w:r>
              <w:rPr>
                <w:rFonts w:hint="eastAsia"/>
                <w:sz w:val="24"/>
                <w:szCs w:val="24"/>
                <w:highlight w:val="none"/>
                <w:lang w:eastAsia="zh-CN"/>
              </w:rPr>
              <w:t>开挖的临时弃</w:t>
            </w:r>
            <w:r>
              <w:rPr>
                <w:rFonts w:hint="eastAsia"/>
                <w:sz w:val="24"/>
                <w:szCs w:val="24"/>
                <w:highlight w:val="none"/>
                <w:lang w:val="en-US" w:eastAsia="zh-CN"/>
              </w:rPr>
              <w:t>方</w:t>
            </w:r>
            <w:r>
              <w:rPr>
                <w:rFonts w:hint="eastAsia"/>
                <w:sz w:val="24"/>
                <w:szCs w:val="24"/>
                <w:highlight w:val="none"/>
                <w:lang w:eastAsia="zh-CN"/>
              </w:rPr>
              <w:t>就地堆放在探槽两侧，并用彩条布铺垫，工程完成后立即回填。合理进行探矿布置，精心组织，严格控制探矿活动范围，对于山地工程、</w:t>
            </w:r>
            <w:r>
              <w:rPr>
                <w:rFonts w:hint="eastAsia"/>
                <w:sz w:val="24"/>
                <w:szCs w:val="24"/>
                <w:highlight w:val="none"/>
                <w:lang w:val="en-US" w:eastAsia="zh-CN"/>
              </w:rPr>
              <w:t>槽探</w:t>
            </w:r>
            <w:r>
              <w:rPr>
                <w:rFonts w:hint="eastAsia"/>
                <w:sz w:val="24"/>
                <w:szCs w:val="24"/>
                <w:highlight w:val="none"/>
                <w:lang w:eastAsia="zh-CN"/>
              </w:rPr>
              <w:t>弃</w:t>
            </w:r>
            <w:r>
              <w:rPr>
                <w:rFonts w:hint="eastAsia"/>
                <w:sz w:val="24"/>
                <w:szCs w:val="24"/>
                <w:highlight w:val="none"/>
                <w:lang w:val="en-US" w:eastAsia="zh-CN"/>
              </w:rPr>
              <w:t>方</w:t>
            </w:r>
            <w:r>
              <w:rPr>
                <w:rFonts w:hint="eastAsia"/>
                <w:sz w:val="24"/>
                <w:szCs w:val="24"/>
                <w:highlight w:val="none"/>
                <w:lang w:eastAsia="zh-CN"/>
              </w:rPr>
              <w:t>临时堆放场地等用地的生态恢复工作，应在探矿结束后恢复与周围景观基本相协调，与原生地形、地貌基本一致，无明显斑块状、条带状视觉印象。</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highlight w:val="none"/>
                <w:lang w:eastAsia="zh-CN"/>
              </w:rPr>
            </w:pPr>
            <w:r>
              <w:rPr>
                <w:rFonts w:hint="eastAsia"/>
                <w:sz w:val="24"/>
                <w:szCs w:val="24"/>
                <w:highlight w:val="none"/>
                <w:lang w:eastAsia="zh-CN"/>
              </w:rPr>
              <w:t>（1）经济可行性</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highlight w:val="none"/>
                <w:lang w:eastAsia="zh-CN"/>
              </w:rPr>
            </w:pPr>
            <w:r>
              <w:rPr>
                <w:rFonts w:hint="eastAsia"/>
                <w:sz w:val="24"/>
                <w:szCs w:val="24"/>
                <w:highlight w:val="none"/>
                <w:lang w:eastAsia="zh-CN"/>
              </w:rPr>
              <w:t>本项目生态恢复措施</w:t>
            </w:r>
            <w:r>
              <w:rPr>
                <w:rFonts w:hint="eastAsia"/>
                <w:sz w:val="24"/>
                <w:szCs w:val="24"/>
                <w:highlight w:val="none"/>
                <w:lang w:val="en-US" w:eastAsia="zh-CN"/>
              </w:rPr>
              <w:t>主要为</w:t>
            </w:r>
            <w:r>
              <w:rPr>
                <w:rFonts w:hint="eastAsia"/>
                <w:sz w:val="24"/>
                <w:szCs w:val="24"/>
                <w:highlight w:val="none"/>
                <w:lang w:eastAsia="zh-CN"/>
              </w:rPr>
              <w:t>工程措施，对临时堆土采用彩条布拦挡。工程完成后，对施工迹地和</w:t>
            </w:r>
            <w:r>
              <w:rPr>
                <w:rFonts w:hint="eastAsia"/>
                <w:sz w:val="24"/>
                <w:szCs w:val="24"/>
                <w:highlight w:val="none"/>
                <w:lang w:val="en-US" w:eastAsia="zh-CN"/>
              </w:rPr>
              <w:t>临时堆土区进行土地平整，恢复原有地貌。</w:t>
            </w:r>
            <w:r>
              <w:rPr>
                <w:rFonts w:hint="eastAsia"/>
                <w:sz w:val="24"/>
                <w:szCs w:val="24"/>
                <w:highlight w:val="none"/>
                <w:lang w:eastAsia="zh-CN"/>
              </w:rPr>
              <w:t>工程措施简单易行，所需设备材料价格合理。</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highlight w:val="none"/>
                <w:lang w:eastAsia="zh-CN"/>
              </w:rPr>
            </w:pPr>
            <w:r>
              <w:rPr>
                <w:rFonts w:hint="eastAsia"/>
                <w:sz w:val="24"/>
                <w:szCs w:val="24"/>
                <w:highlight w:val="none"/>
                <w:lang w:eastAsia="zh-CN"/>
              </w:rPr>
              <w:t>项目总投资为</w:t>
            </w:r>
            <w:r>
              <w:rPr>
                <w:rFonts w:hint="eastAsia"/>
                <w:sz w:val="24"/>
                <w:szCs w:val="24"/>
                <w:highlight w:val="none"/>
                <w:lang w:val="en-US" w:eastAsia="zh-CN"/>
              </w:rPr>
              <w:t>1022.46</w:t>
            </w:r>
            <w:r>
              <w:rPr>
                <w:rFonts w:hint="eastAsia"/>
                <w:sz w:val="24"/>
                <w:szCs w:val="24"/>
                <w:highlight w:val="none"/>
                <w:lang w:eastAsia="zh-CN"/>
              </w:rPr>
              <w:t>万元，环保投资为</w:t>
            </w:r>
            <w:r>
              <w:rPr>
                <w:rFonts w:hint="eastAsia"/>
                <w:sz w:val="24"/>
                <w:szCs w:val="24"/>
                <w:highlight w:val="none"/>
                <w:lang w:val="en-US" w:eastAsia="zh-CN"/>
              </w:rPr>
              <w:t>20.5</w:t>
            </w:r>
            <w:r>
              <w:rPr>
                <w:rFonts w:hint="eastAsia"/>
                <w:sz w:val="24"/>
                <w:szCs w:val="24"/>
                <w:highlight w:val="none"/>
                <w:lang w:eastAsia="zh-CN"/>
              </w:rPr>
              <w:t>万元，环保投资占总投资的</w:t>
            </w:r>
            <w:r>
              <w:rPr>
                <w:rFonts w:hint="eastAsia"/>
                <w:sz w:val="24"/>
                <w:szCs w:val="24"/>
                <w:highlight w:val="none"/>
                <w:lang w:val="en-US" w:eastAsia="zh-CN"/>
              </w:rPr>
              <w:t>2%</w:t>
            </w:r>
            <w:r>
              <w:rPr>
                <w:rFonts w:hint="eastAsia"/>
                <w:sz w:val="24"/>
                <w:szCs w:val="24"/>
                <w:highlight w:val="none"/>
                <w:lang w:eastAsia="zh-CN"/>
              </w:rPr>
              <w:t>。项目的生态恢复措施投资额度在经济上是可接受的，能在一定经济基础上完成对生态环境最大程度上的恢复工作。因此，本项目生态恢复措施在经济上是可行的。</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szCs w:val="24"/>
                <w:highlight w:val="none"/>
                <w:lang w:eastAsia="zh-CN"/>
              </w:rPr>
            </w:pPr>
            <w:r>
              <w:rPr>
                <w:rFonts w:hint="eastAsia"/>
                <w:sz w:val="24"/>
                <w:szCs w:val="24"/>
                <w:highlight w:val="none"/>
                <w:lang w:eastAsia="zh-CN"/>
              </w:rPr>
              <w:t>（2）技术可行性</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eastAsia="宋体"/>
                <w:sz w:val="24"/>
                <w:szCs w:val="24"/>
                <w:highlight w:val="none"/>
                <w:lang w:eastAsia="zh-CN"/>
              </w:rPr>
            </w:pPr>
            <w:r>
              <w:rPr>
                <w:rFonts w:hint="eastAsia" w:eastAsia="宋体"/>
                <w:sz w:val="24"/>
                <w:szCs w:val="24"/>
                <w:highlight w:val="none"/>
                <w:lang w:eastAsia="zh-CN"/>
              </w:rPr>
              <w:t>工程措施施工技术较简单，易操作，所需设备材料易取，对生态恢复的效果明显，措施实施后将对生态环境的恢复起到比较明显的效果。因此本项目生态恢复措施在技术上是可行的。</w:t>
            </w:r>
          </w:p>
          <w:p>
            <w:pPr>
              <w:keepNext w:val="0"/>
              <w:keepLines w:val="0"/>
              <w:pageBreakBefore w:val="0"/>
              <w:kinsoku/>
              <w:wordWrap/>
              <w:overflowPunct/>
              <w:topLinePunct w:val="0"/>
              <w:autoSpaceDE/>
              <w:autoSpaceDN/>
              <w:bidi w:val="0"/>
              <w:adjustRightInd/>
              <w:snapToGrid/>
              <w:spacing w:line="520" w:lineRule="exact"/>
              <w:ind w:left="0" w:firstLine="480" w:firstLineChars="200"/>
              <w:textAlignment w:val="auto"/>
              <w:rPr>
                <w:rFonts w:hint="eastAsia"/>
                <w:sz w:val="24"/>
                <w:highlight w:val="none"/>
                <w:lang w:eastAsia="zh-CN"/>
              </w:rPr>
            </w:pPr>
            <w:r>
              <w:rPr>
                <w:rFonts w:hint="eastAsia" w:eastAsia="宋体"/>
                <w:sz w:val="24"/>
                <w:szCs w:val="24"/>
                <w:highlight w:val="none"/>
                <w:lang w:eastAsia="zh-CN"/>
              </w:rPr>
              <w:t>综上，本项目生态保护措施是合理的，是可行的。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597" w:type="dxa"/>
            <w:noWrap w:val="0"/>
            <w:vAlign w:val="center"/>
          </w:tcPr>
          <w:p>
            <w:pPr>
              <w:adjustRightInd w:val="0"/>
              <w:snapToGrid w:val="0"/>
              <w:spacing w:line="360" w:lineRule="auto"/>
              <w:jc w:val="center"/>
              <w:rPr>
                <w:rFonts w:ascii="宋体" w:hAnsi="宋体" w:cs="宋体"/>
                <w:bCs/>
                <w:spacing w:val="10"/>
                <w:szCs w:val="21"/>
                <w:highlight w:val="none"/>
              </w:rPr>
            </w:pPr>
            <w:r>
              <w:rPr>
                <w:rFonts w:hint="eastAsia" w:ascii="宋体" w:hAnsi="宋体"/>
                <w:bCs/>
                <w:szCs w:val="21"/>
                <w:highlight w:val="none"/>
              </w:rPr>
              <w:t>其他</w:t>
            </w:r>
          </w:p>
        </w:tc>
        <w:tc>
          <w:tcPr>
            <w:tcW w:w="8613" w:type="dxa"/>
            <w:noWrap w:val="0"/>
            <w:vAlign w:val="center"/>
          </w:tcPr>
          <w:p>
            <w:pPr>
              <w:keepNext w:val="0"/>
              <w:keepLines w:val="0"/>
              <w:pageBreakBefore w:val="0"/>
              <w:widowControl w:val="0"/>
              <w:kinsoku/>
              <w:wordWrap/>
              <w:topLinePunct w:val="0"/>
              <w:autoSpaceDE/>
              <w:autoSpaceDN/>
              <w:bidi w:val="0"/>
              <w:adjustRightInd/>
              <w:snapToGrid/>
              <w:spacing w:line="520" w:lineRule="exact"/>
              <w:textAlignment w:val="auto"/>
              <w:rPr>
                <w:b/>
                <w:bCs/>
                <w:sz w:val="24"/>
                <w:szCs w:val="24"/>
                <w:highlight w:val="none"/>
              </w:rPr>
            </w:pPr>
            <w:r>
              <w:rPr>
                <w:rFonts w:hint="eastAsia"/>
                <w:b/>
                <w:bCs/>
                <w:sz w:val="24"/>
                <w:szCs w:val="24"/>
                <w:highlight w:val="none"/>
                <w:lang w:val="en-US" w:eastAsia="zh-CN"/>
              </w:rPr>
              <w:t>1.</w:t>
            </w:r>
            <w:r>
              <w:rPr>
                <w:rFonts w:hint="eastAsia"/>
                <w:b/>
                <w:bCs/>
                <w:sz w:val="24"/>
                <w:szCs w:val="24"/>
                <w:highlight w:val="none"/>
              </w:rPr>
              <w:t>环境管理计划</w:t>
            </w:r>
          </w:p>
          <w:p>
            <w:pPr>
              <w:keepNext w:val="0"/>
              <w:keepLines w:val="0"/>
              <w:pageBreakBefore w:val="0"/>
              <w:widowControl w:val="0"/>
              <w:kinsoku/>
              <w:wordWrap/>
              <w:overflowPunct w:val="0"/>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kern w:val="0"/>
                <w:sz w:val="24"/>
                <w:szCs w:val="24"/>
                <w:highlight w:val="none"/>
              </w:rPr>
            </w:pPr>
            <w:r>
              <w:rPr>
                <w:rFonts w:hint="eastAsia" w:cs="Times New Roman"/>
                <w:b/>
                <w:bCs/>
                <w:kern w:val="0"/>
                <w:sz w:val="24"/>
                <w:szCs w:val="24"/>
                <w:highlight w:val="none"/>
                <w:lang w:val="en-US" w:eastAsia="zh-CN"/>
              </w:rPr>
              <w:t>1.1</w:t>
            </w:r>
            <w:r>
              <w:rPr>
                <w:rFonts w:hint="default" w:ascii="Times New Roman" w:hAnsi="Times New Roman" w:eastAsia="宋体" w:cs="Times New Roman"/>
                <w:b/>
                <w:bCs/>
                <w:kern w:val="0"/>
                <w:sz w:val="24"/>
                <w:szCs w:val="24"/>
                <w:highlight w:val="none"/>
              </w:rPr>
              <w:t>环境管理的目标</w:t>
            </w:r>
          </w:p>
          <w:p>
            <w:pPr>
              <w:keepNext w:val="0"/>
              <w:keepLines w:val="0"/>
              <w:pageBreakBefore w:val="0"/>
              <w:widowControl w:val="0"/>
              <w:kinsoku/>
              <w:wordWrap/>
              <w:overflowPunct w:val="0"/>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本项目环境管理的目标应达到国家规定的水、气、声、渣</w:t>
            </w:r>
            <w:r>
              <w:rPr>
                <w:rFonts w:hint="eastAsia" w:cs="Times New Roman"/>
                <w:kern w:val="0"/>
                <w:sz w:val="24"/>
                <w:szCs w:val="24"/>
                <w:highlight w:val="none"/>
                <w:lang w:eastAsia="zh-CN"/>
              </w:rPr>
              <w:t>等</w:t>
            </w:r>
            <w:r>
              <w:rPr>
                <w:rFonts w:hint="default" w:ascii="Times New Roman" w:hAnsi="Times New Roman" w:eastAsia="宋体" w:cs="Times New Roman"/>
                <w:kern w:val="0"/>
                <w:sz w:val="24"/>
                <w:szCs w:val="24"/>
                <w:highlight w:val="none"/>
              </w:rPr>
              <w:t>污染物排放标准，确保环境管理的持续改进。</w:t>
            </w:r>
          </w:p>
          <w:p>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kern w:val="0"/>
                <w:sz w:val="24"/>
                <w:szCs w:val="24"/>
                <w:highlight w:val="none"/>
              </w:rPr>
            </w:pPr>
            <w:r>
              <w:rPr>
                <w:rFonts w:hint="eastAsia" w:cs="Times New Roman"/>
                <w:b/>
                <w:bCs/>
                <w:kern w:val="0"/>
                <w:sz w:val="24"/>
                <w:szCs w:val="24"/>
                <w:highlight w:val="none"/>
                <w:lang w:val="en-US" w:eastAsia="zh-CN"/>
              </w:rPr>
              <w:t>1.2</w:t>
            </w:r>
            <w:r>
              <w:rPr>
                <w:rFonts w:hint="default" w:ascii="Times New Roman" w:hAnsi="Times New Roman" w:eastAsia="宋体" w:cs="Times New Roman"/>
                <w:b/>
                <w:bCs/>
                <w:kern w:val="0"/>
                <w:sz w:val="24"/>
                <w:szCs w:val="24"/>
                <w:highlight w:val="none"/>
              </w:rPr>
              <w:t>环境管理的主要内容</w:t>
            </w:r>
          </w:p>
          <w:p>
            <w:pPr>
              <w:keepNext w:val="0"/>
              <w:keepLines w:val="0"/>
              <w:pageBreakBefore w:val="0"/>
              <w:widowControl w:val="0"/>
              <w:kinsoku/>
              <w:wordWrap/>
              <w:overflowPunct w:val="0"/>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本项目针对不同工作阶段，制定环境管理工作计划，项目建设管理工作计划见表</w:t>
            </w:r>
            <w:r>
              <w:rPr>
                <w:rFonts w:hint="default" w:ascii="Times New Roman" w:hAnsi="Times New Roman" w:eastAsia="宋体" w:cs="Times New Roman"/>
                <w:kern w:val="0"/>
                <w:sz w:val="24"/>
                <w:szCs w:val="24"/>
                <w:highlight w:val="none"/>
                <w:lang w:val="en-US" w:eastAsia="zh-CN"/>
              </w:rPr>
              <w:t>5-</w:t>
            </w:r>
            <w:r>
              <w:rPr>
                <w:rFonts w:hint="eastAsia" w:cs="Times New Roman"/>
                <w:kern w:val="0"/>
                <w:sz w:val="24"/>
                <w:szCs w:val="24"/>
                <w:highlight w:val="none"/>
                <w:lang w:val="en-US" w:eastAsia="zh-CN"/>
              </w:rPr>
              <w:t>6</w:t>
            </w:r>
            <w:r>
              <w:rPr>
                <w:rFonts w:hint="default" w:ascii="Times New Roman" w:hAnsi="Times New Roman" w:eastAsia="宋体" w:cs="Times New Roman"/>
                <w:kern w:val="0"/>
                <w:sz w:val="24"/>
                <w:szCs w:val="24"/>
                <w:highlight w:val="none"/>
              </w:rPr>
              <w:t>。</w:t>
            </w:r>
          </w:p>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rFonts w:hint="default" w:ascii="Times New Roman" w:hAnsi="Times New Roman" w:eastAsia="宋体" w:cs="Times New Roman"/>
                <w:b/>
                <w:bCs/>
                <w:kern w:val="0"/>
                <w:sz w:val="24"/>
                <w:szCs w:val="24"/>
                <w:highlight w:val="none"/>
              </w:rPr>
            </w:pPr>
            <w:r>
              <w:rPr>
                <w:rFonts w:hint="default" w:ascii="Times New Roman" w:hAnsi="Times New Roman" w:eastAsia="宋体" w:cs="Times New Roman"/>
                <w:b/>
                <w:bCs/>
                <w:kern w:val="0"/>
                <w:sz w:val="24"/>
                <w:szCs w:val="24"/>
                <w:highlight w:val="none"/>
              </w:rPr>
              <w:t>表</w:t>
            </w:r>
            <w:r>
              <w:rPr>
                <w:rFonts w:hint="default" w:ascii="Times New Roman" w:hAnsi="Times New Roman" w:eastAsia="宋体" w:cs="Times New Roman"/>
                <w:b/>
                <w:bCs/>
                <w:kern w:val="0"/>
                <w:sz w:val="24"/>
                <w:szCs w:val="24"/>
                <w:highlight w:val="none"/>
                <w:lang w:val="en-US" w:eastAsia="zh-CN"/>
              </w:rPr>
              <w:t>5-</w:t>
            </w:r>
            <w:r>
              <w:rPr>
                <w:rFonts w:hint="eastAsia" w:cs="Times New Roman"/>
                <w:b/>
                <w:bCs/>
                <w:kern w:val="0"/>
                <w:sz w:val="24"/>
                <w:szCs w:val="24"/>
                <w:highlight w:val="none"/>
                <w:lang w:val="en-US" w:eastAsia="zh-CN"/>
              </w:rPr>
              <w:t>6</w:t>
            </w:r>
            <w:r>
              <w:rPr>
                <w:rFonts w:hint="default" w:ascii="Times New Roman" w:hAnsi="Times New Roman" w:eastAsia="宋体" w:cs="Times New Roman"/>
                <w:b/>
                <w:bCs/>
                <w:kern w:val="0"/>
                <w:sz w:val="24"/>
                <w:szCs w:val="24"/>
                <w:highlight w:val="none"/>
              </w:rPr>
              <w:t xml:space="preserve">  各阶段环境管理工作主要内容</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5"/>
              <w:gridCol w:w="7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66" w:type="pct"/>
                  <w:noWrap w:val="0"/>
                  <w:vAlign w:val="center"/>
                </w:tcPr>
                <w:p>
                  <w:pPr>
                    <w:keepNext w:val="0"/>
                    <w:keepLines w:val="0"/>
                    <w:pageBreakBefore w:val="0"/>
                    <w:widowControl w:val="0"/>
                    <w:kinsoku/>
                    <w:wordWrap/>
                    <w:topLinePunct w:val="0"/>
                    <w:autoSpaceDE/>
                    <w:autoSpaceDN/>
                    <w:bidi w:val="0"/>
                    <w:adjustRightInd/>
                    <w:snapToGrid/>
                    <w:spacing w:line="300" w:lineRule="exact"/>
                    <w:jc w:val="center"/>
                    <w:textAlignment w:val="baseline"/>
                    <w:rPr>
                      <w:rFonts w:hint="default" w:ascii="Times New Roman" w:hAnsi="Times New Roman" w:cs="Times New Roman"/>
                      <w:bCs/>
                      <w:szCs w:val="21"/>
                      <w:highlight w:val="none"/>
                    </w:rPr>
                  </w:pPr>
                  <w:r>
                    <w:rPr>
                      <w:rFonts w:hint="default" w:ascii="Times New Roman" w:hAnsi="Times New Roman" w:cs="Times New Roman"/>
                      <w:bCs/>
                      <w:szCs w:val="21"/>
                      <w:highlight w:val="none"/>
                    </w:rPr>
                    <w:t>阶段</w:t>
                  </w:r>
                </w:p>
              </w:tc>
              <w:tc>
                <w:tcPr>
                  <w:tcW w:w="4233" w:type="pct"/>
                  <w:noWrap w:val="0"/>
                  <w:vAlign w:val="center"/>
                </w:tcPr>
                <w:p>
                  <w:pPr>
                    <w:keepNext w:val="0"/>
                    <w:keepLines w:val="0"/>
                    <w:pageBreakBefore w:val="0"/>
                    <w:widowControl w:val="0"/>
                    <w:kinsoku/>
                    <w:wordWrap/>
                    <w:topLinePunct w:val="0"/>
                    <w:autoSpaceDE/>
                    <w:autoSpaceDN/>
                    <w:bidi w:val="0"/>
                    <w:adjustRightInd/>
                    <w:snapToGrid/>
                    <w:spacing w:line="300" w:lineRule="exact"/>
                    <w:jc w:val="center"/>
                    <w:textAlignment w:val="baseline"/>
                    <w:rPr>
                      <w:rFonts w:hint="default" w:ascii="Times New Roman" w:hAnsi="Times New Roman" w:cs="Times New Roman"/>
                      <w:bCs/>
                      <w:szCs w:val="21"/>
                      <w:highlight w:val="none"/>
                    </w:rPr>
                  </w:pPr>
                  <w:r>
                    <w:rPr>
                      <w:rFonts w:hint="default" w:ascii="Times New Roman" w:hAnsi="Times New Roman" w:cs="Times New Roman"/>
                      <w:bCs/>
                      <w:szCs w:val="21"/>
                      <w:highlight w:val="none"/>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66" w:type="pct"/>
                  <w:noWrap w:val="0"/>
                  <w:vAlign w:val="center"/>
                </w:tcPr>
                <w:p>
                  <w:pPr>
                    <w:keepNext w:val="0"/>
                    <w:keepLines w:val="0"/>
                    <w:pageBreakBefore w:val="0"/>
                    <w:widowControl w:val="0"/>
                    <w:kinsoku/>
                    <w:wordWrap/>
                    <w:topLinePunct w:val="0"/>
                    <w:autoSpaceDE/>
                    <w:autoSpaceDN/>
                    <w:bidi w:val="0"/>
                    <w:adjustRightInd/>
                    <w:snapToGrid/>
                    <w:spacing w:line="300" w:lineRule="exact"/>
                    <w:jc w:val="center"/>
                    <w:textAlignment w:val="baseline"/>
                    <w:rPr>
                      <w:rFonts w:hint="default" w:ascii="Times New Roman" w:hAnsi="Times New Roman" w:cs="Times New Roman"/>
                      <w:szCs w:val="21"/>
                      <w:highlight w:val="none"/>
                    </w:rPr>
                  </w:pPr>
                  <w:r>
                    <w:rPr>
                      <w:rFonts w:hint="default" w:ascii="Times New Roman" w:hAnsi="Times New Roman" w:cs="Times New Roman"/>
                      <w:szCs w:val="21"/>
                      <w:highlight w:val="none"/>
                    </w:rPr>
                    <w:t>环境管理</w:t>
                  </w:r>
                </w:p>
                <w:p>
                  <w:pPr>
                    <w:keepNext w:val="0"/>
                    <w:keepLines w:val="0"/>
                    <w:pageBreakBefore w:val="0"/>
                    <w:widowControl w:val="0"/>
                    <w:kinsoku/>
                    <w:wordWrap/>
                    <w:topLinePunct w:val="0"/>
                    <w:autoSpaceDE/>
                    <w:autoSpaceDN/>
                    <w:bidi w:val="0"/>
                    <w:adjustRightInd/>
                    <w:snapToGrid/>
                    <w:spacing w:line="300" w:lineRule="exact"/>
                    <w:jc w:val="center"/>
                    <w:textAlignment w:val="baseline"/>
                    <w:rPr>
                      <w:rFonts w:hint="default" w:ascii="Times New Roman" w:hAnsi="Times New Roman" w:cs="Times New Roman"/>
                      <w:szCs w:val="21"/>
                      <w:highlight w:val="none"/>
                    </w:rPr>
                  </w:pPr>
                  <w:r>
                    <w:rPr>
                      <w:rFonts w:hint="default" w:ascii="Times New Roman" w:hAnsi="Times New Roman" w:cs="Times New Roman"/>
                      <w:szCs w:val="21"/>
                      <w:highlight w:val="none"/>
                    </w:rPr>
                    <w:t>机构职能</w:t>
                  </w:r>
                </w:p>
              </w:tc>
              <w:tc>
                <w:tcPr>
                  <w:tcW w:w="4233" w:type="pct"/>
                  <w:noWrap w:val="0"/>
                  <w:vAlign w:val="center"/>
                </w:tcPr>
                <w:p>
                  <w:pPr>
                    <w:keepNext w:val="0"/>
                    <w:keepLines w:val="0"/>
                    <w:pageBreakBefore w:val="0"/>
                    <w:widowControl w:val="0"/>
                    <w:kinsoku/>
                    <w:wordWrap/>
                    <w:topLinePunct w:val="0"/>
                    <w:autoSpaceDE/>
                    <w:autoSpaceDN/>
                    <w:bidi w:val="0"/>
                    <w:adjustRightInd/>
                    <w:snapToGrid/>
                    <w:spacing w:line="300" w:lineRule="exact"/>
                    <w:ind w:firstLine="420"/>
                    <w:jc w:val="left"/>
                    <w:textAlignment w:val="baseline"/>
                    <w:rPr>
                      <w:rFonts w:hint="default" w:ascii="Times New Roman" w:hAnsi="Times New Roman" w:cs="Times New Roman"/>
                      <w:szCs w:val="21"/>
                      <w:highlight w:val="none"/>
                    </w:rPr>
                  </w:pPr>
                  <w:r>
                    <w:rPr>
                      <w:rFonts w:hint="default" w:ascii="Times New Roman" w:hAnsi="Times New Roman" w:cs="Times New Roman"/>
                      <w:szCs w:val="21"/>
                      <w:highlight w:val="none"/>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66" w:type="pct"/>
                  <w:noWrap w:val="0"/>
                  <w:vAlign w:val="center"/>
                </w:tcPr>
                <w:p>
                  <w:pPr>
                    <w:keepNext w:val="0"/>
                    <w:keepLines w:val="0"/>
                    <w:pageBreakBefore w:val="0"/>
                    <w:widowControl w:val="0"/>
                    <w:kinsoku/>
                    <w:wordWrap/>
                    <w:topLinePunct w:val="0"/>
                    <w:autoSpaceDE/>
                    <w:autoSpaceDN/>
                    <w:bidi w:val="0"/>
                    <w:adjustRightInd/>
                    <w:snapToGrid/>
                    <w:spacing w:line="300" w:lineRule="exact"/>
                    <w:jc w:val="center"/>
                    <w:textAlignment w:val="baseline"/>
                    <w:rPr>
                      <w:szCs w:val="21"/>
                      <w:highlight w:val="none"/>
                    </w:rPr>
                  </w:pPr>
                  <w:r>
                    <w:rPr>
                      <w:rFonts w:hint="eastAsia"/>
                      <w:szCs w:val="21"/>
                      <w:highlight w:val="none"/>
                    </w:rPr>
                    <w:t>准备阶段</w:t>
                  </w:r>
                </w:p>
              </w:tc>
              <w:tc>
                <w:tcPr>
                  <w:tcW w:w="4233" w:type="pct"/>
                  <w:noWrap w:val="0"/>
                  <w:vAlign w:val="center"/>
                </w:tcPr>
                <w:p>
                  <w:pPr>
                    <w:keepNext w:val="0"/>
                    <w:keepLines w:val="0"/>
                    <w:pageBreakBefore w:val="0"/>
                    <w:widowControl w:val="0"/>
                    <w:kinsoku/>
                    <w:wordWrap/>
                    <w:topLinePunct w:val="0"/>
                    <w:autoSpaceDE/>
                    <w:autoSpaceDN/>
                    <w:bidi w:val="0"/>
                    <w:adjustRightInd/>
                    <w:snapToGrid/>
                    <w:spacing w:line="300" w:lineRule="exact"/>
                    <w:jc w:val="left"/>
                    <w:textAlignment w:val="baseline"/>
                    <w:rPr>
                      <w:szCs w:val="21"/>
                      <w:highlight w:val="none"/>
                    </w:rPr>
                  </w:pPr>
                  <w:r>
                    <w:rPr>
                      <w:rFonts w:hint="eastAsia"/>
                      <w:szCs w:val="21"/>
                      <w:highlight w:val="none"/>
                    </w:rPr>
                    <w:t>（</w:t>
                  </w:r>
                  <w:r>
                    <w:rPr>
                      <w:szCs w:val="21"/>
                      <w:highlight w:val="none"/>
                    </w:rPr>
                    <w:t>1</w:t>
                  </w:r>
                  <w:r>
                    <w:rPr>
                      <w:rFonts w:hint="eastAsia"/>
                      <w:szCs w:val="21"/>
                      <w:highlight w:val="none"/>
                    </w:rPr>
                    <w:t>）与项目可行性研究同期，委托持有</w:t>
                  </w:r>
                  <w:r>
                    <w:rPr>
                      <w:szCs w:val="21"/>
                      <w:highlight w:val="none"/>
                    </w:rPr>
                    <w:t>“</w:t>
                  </w:r>
                  <w:r>
                    <w:rPr>
                      <w:rFonts w:hint="eastAsia"/>
                      <w:szCs w:val="21"/>
                      <w:highlight w:val="none"/>
                    </w:rPr>
                    <w:t>建设项目环境影响评价资质证书</w:t>
                  </w:r>
                  <w:r>
                    <w:rPr>
                      <w:szCs w:val="21"/>
                      <w:highlight w:val="none"/>
                    </w:rPr>
                    <w:t>”</w:t>
                  </w:r>
                  <w:r>
                    <w:rPr>
                      <w:rFonts w:hint="eastAsia"/>
                      <w:szCs w:val="21"/>
                      <w:highlight w:val="none"/>
                    </w:rPr>
                    <w:t>的环评单位进行项目的环境影响评价工作；</w:t>
                  </w:r>
                </w:p>
                <w:p>
                  <w:pPr>
                    <w:keepNext w:val="0"/>
                    <w:keepLines w:val="0"/>
                    <w:pageBreakBefore w:val="0"/>
                    <w:widowControl w:val="0"/>
                    <w:kinsoku/>
                    <w:wordWrap/>
                    <w:topLinePunct w:val="0"/>
                    <w:autoSpaceDE/>
                    <w:autoSpaceDN/>
                    <w:bidi w:val="0"/>
                    <w:adjustRightInd/>
                    <w:snapToGrid/>
                    <w:spacing w:line="300" w:lineRule="exact"/>
                    <w:jc w:val="left"/>
                    <w:textAlignment w:val="baseline"/>
                    <w:rPr>
                      <w:szCs w:val="21"/>
                      <w:highlight w:val="none"/>
                    </w:rPr>
                  </w:pPr>
                  <w:r>
                    <w:rPr>
                      <w:rFonts w:hint="eastAsia"/>
                      <w:szCs w:val="21"/>
                      <w:highlight w:val="none"/>
                    </w:rPr>
                    <w:t>（</w:t>
                  </w:r>
                  <w:r>
                    <w:rPr>
                      <w:szCs w:val="21"/>
                      <w:highlight w:val="none"/>
                    </w:rPr>
                    <w:t>2</w:t>
                  </w:r>
                  <w:r>
                    <w:rPr>
                      <w:rFonts w:hint="eastAsia"/>
                      <w:szCs w:val="21"/>
                      <w:highlight w:val="none"/>
                    </w:rPr>
                    <w:t>）积极配合可研和环评工作所需进行现场调研；</w:t>
                  </w:r>
                </w:p>
                <w:p>
                  <w:pPr>
                    <w:keepNext w:val="0"/>
                    <w:keepLines w:val="0"/>
                    <w:pageBreakBefore w:val="0"/>
                    <w:widowControl w:val="0"/>
                    <w:kinsoku/>
                    <w:wordWrap/>
                    <w:topLinePunct w:val="0"/>
                    <w:autoSpaceDE/>
                    <w:autoSpaceDN/>
                    <w:bidi w:val="0"/>
                    <w:adjustRightInd/>
                    <w:snapToGrid/>
                    <w:spacing w:line="300" w:lineRule="exact"/>
                    <w:jc w:val="left"/>
                    <w:textAlignment w:val="baseline"/>
                    <w:rPr>
                      <w:szCs w:val="21"/>
                      <w:highlight w:val="none"/>
                    </w:rPr>
                  </w:pPr>
                  <w:r>
                    <w:rPr>
                      <w:rFonts w:hint="eastAsia"/>
                      <w:szCs w:val="21"/>
                      <w:highlight w:val="none"/>
                    </w:rPr>
                    <w:t>（</w:t>
                  </w:r>
                  <w:r>
                    <w:rPr>
                      <w:szCs w:val="21"/>
                      <w:highlight w:val="none"/>
                    </w:rPr>
                    <w:t>3</w:t>
                  </w:r>
                  <w:r>
                    <w:rPr>
                      <w:rFonts w:hint="eastAsia"/>
                      <w:szCs w:val="21"/>
                      <w:highlight w:val="none"/>
                    </w:rPr>
                    <w:t>）针对项目具体情况，制定本企业所必需的环境管理与监测制度；</w:t>
                  </w:r>
                </w:p>
                <w:p>
                  <w:pPr>
                    <w:keepNext w:val="0"/>
                    <w:keepLines w:val="0"/>
                    <w:pageBreakBefore w:val="0"/>
                    <w:widowControl w:val="0"/>
                    <w:kinsoku/>
                    <w:wordWrap/>
                    <w:topLinePunct w:val="0"/>
                    <w:autoSpaceDE/>
                    <w:autoSpaceDN/>
                    <w:bidi w:val="0"/>
                    <w:adjustRightInd/>
                    <w:snapToGrid/>
                    <w:spacing w:line="300" w:lineRule="exact"/>
                    <w:jc w:val="left"/>
                    <w:textAlignment w:val="baseline"/>
                    <w:rPr>
                      <w:szCs w:val="21"/>
                      <w:highlight w:val="none"/>
                    </w:rPr>
                  </w:pPr>
                  <w:r>
                    <w:rPr>
                      <w:rFonts w:hint="eastAsia"/>
                      <w:szCs w:val="21"/>
                      <w:highlight w:val="none"/>
                    </w:rPr>
                    <w:t>（</w:t>
                  </w:r>
                  <w:r>
                    <w:rPr>
                      <w:szCs w:val="21"/>
                      <w:highlight w:val="none"/>
                    </w:rPr>
                    <w:t>4</w:t>
                  </w:r>
                  <w:r>
                    <w:rPr>
                      <w:rFonts w:hint="eastAsia"/>
                      <w:szCs w:val="21"/>
                      <w:highlight w:val="none"/>
                    </w:rPr>
                    <w:t>）对所聘生产方面的员工进行岗位培训。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66" w:type="pct"/>
                  <w:noWrap w:val="0"/>
                  <w:vAlign w:val="center"/>
                </w:tcPr>
                <w:p>
                  <w:pPr>
                    <w:keepNext w:val="0"/>
                    <w:keepLines w:val="0"/>
                    <w:pageBreakBefore w:val="0"/>
                    <w:widowControl w:val="0"/>
                    <w:kinsoku/>
                    <w:wordWrap/>
                    <w:topLinePunct w:val="0"/>
                    <w:autoSpaceDE/>
                    <w:autoSpaceDN/>
                    <w:bidi w:val="0"/>
                    <w:adjustRightInd/>
                    <w:snapToGrid/>
                    <w:spacing w:line="300" w:lineRule="exact"/>
                    <w:jc w:val="center"/>
                    <w:textAlignment w:val="baseline"/>
                    <w:rPr>
                      <w:szCs w:val="21"/>
                      <w:highlight w:val="none"/>
                    </w:rPr>
                  </w:pPr>
                  <w:r>
                    <w:rPr>
                      <w:rFonts w:hint="eastAsia"/>
                      <w:szCs w:val="21"/>
                      <w:highlight w:val="none"/>
                    </w:rPr>
                    <w:t>施工阶段</w:t>
                  </w:r>
                </w:p>
              </w:tc>
              <w:tc>
                <w:tcPr>
                  <w:tcW w:w="4233" w:type="pct"/>
                  <w:noWrap w:val="0"/>
                  <w:vAlign w:val="center"/>
                </w:tcPr>
                <w:p>
                  <w:pPr>
                    <w:keepNext w:val="0"/>
                    <w:keepLines w:val="0"/>
                    <w:pageBreakBefore w:val="0"/>
                    <w:widowControl w:val="0"/>
                    <w:kinsoku/>
                    <w:wordWrap/>
                    <w:topLinePunct w:val="0"/>
                    <w:autoSpaceDE/>
                    <w:autoSpaceDN/>
                    <w:bidi w:val="0"/>
                    <w:adjustRightInd/>
                    <w:snapToGrid/>
                    <w:spacing w:line="300" w:lineRule="exact"/>
                    <w:jc w:val="left"/>
                    <w:textAlignment w:val="baseline"/>
                    <w:rPr>
                      <w:szCs w:val="21"/>
                      <w:highlight w:val="none"/>
                    </w:rPr>
                  </w:pPr>
                  <w:r>
                    <w:rPr>
                      <w:rFonts w:hint="eastAsia"/>
                      <w:szCs w:val="21"/>
                      <w:highlight w:val="none"/>
                    </w:rPr>
                    <w:t>（</w:t>
                  </w:r>
                  <w:r>
                    <w:rPr>
                      <w:rFonts w:hint="eastAsia" w:ascii="Times New Roman" w:hAnsi="Times New Roman" w:eastAsia="宋体" w:cs="Times New Roman"/>
                      <w:szCs w:val="21"/>
                      <w:highlight w:val="none"/>
                    </w:rPr>
                    <w:t>1）严格执行各项生产及环境管理制度；</w:t>
                  </w:r>
                </w:p>
                <w:p>
                  <w:pPr>
                    <w:keepNext w:val="0"/>
                    <w:keepLines w:val="0"/>
                    <w:pageBreakBefore w:val="0"/>
                    <w:widowControl w:val="0"/>
                    <w:kinsoku/>
                    <w:wordWrap/>
                    <w:topLinePunct w:val="0"/>
                    <w:autoSpaceDE/>
                    <w:autoSpaceDN/>
                    <w:bidi w:val="0"/>
                    <w:adjustRightInd/>
                    <w:snapToGrid/>
                    <w:spacing w:line="300" w:lineRule="exact"/>
                    <w:jc w:val="left"/>
                    <w:textAlignment w:val="baseline"/>
                    <w:rPr>
                      <w:szCs w:val="21"/>
                      <w:highlight w:val="none"/>
                    </w:rPr>
                  </w:pPr>
                  <w:r>
                    <w:rPr>
                      <w:rFonts w:hint="eastAsia"/>
                      <w:szCs w:val="21"/>
                      <w:highlight w:val="none"/>
                    </w:rPr>
                    <w:t>（</w:t>
                  </w:r>
                  <w:r>
                    <w:rPr>
                      <w:szCs w:val="21"/>
                      <w:highlight w:val="none"/>
                    </w:rPr>
                    <w:t>2</w:t>
                  </w:r>
                  <w:r>
                    <w:rPr>
                      <w:rFonts w:hint="eastAsia"/>
                      <w:szCs w:val="21"/>
                      <w:highlight w:val="none"/>
                    </w:rPr>
                    <w:t>）按照环评报告</w:t>
                  </w:r>
                  <w:r>
                    <w:rPr>
                      <w:rFonts w:hint="eastAsia"/>
                      <w:szCs w:val="21"/>
                      <w:highlight w:val="none"/>
                      <w:lang w:val="en-US" w:eastAsia="zh-CN"/>
                    </w:rPr>
                    <w:t>表</w:t>
                  </w:r>
                  <w:r>
                    <w:rPr>
                      <w:rFonts w:hint="eastAsia"/>
                      <w:szCs w:val="21"/>
                      <w:highlight w:val="none"/>
                    </w:rPr>
                    <w:t>中提出的要求，制定出建设项目施工措施实施计划表，并与当地环保部门签订落实计划内的目标责任书；</w:t>
                  </w:r>
                </w:p>
                <w:p>
                  <w:pPr>
                    <w:keepNext w:val="0"/>
                    <w:keepLines w:val="0"/>
                    <w:pageBreakBefore w:val="0"/>
                    <w:widowControl w:val="0"/>
                    <w:kinsoku/>
                    <w:wordWrap/>
                    <w:topLinePunct w:val="0"/>
                    <w:autoSpaceDE/>
                    <w:autoSpaceDN/>
                    <w:bidi w:val="0"/>
                    <w:adjustRightInd/>
                    <w:snapToGrid/>
                    <w:spacing w:line="300" w:lineRule="exact"/>
                    <w:jc w:val="left"/>
                    <w:textAlignment w:val="baseline"/>
                    <w:rPr>
                      <w:szCs w:val="21"/>
                      <w:highlight w:val="none"/>
                    </w:rPr>
                  </w:pPr>
                  <w:r>
                    <w:rPr>
                      <w:rFonts w:hint="eastAsia"/>
                      <w:szCs w:val="21"/>
                      <w:highlight w:val="none"/>
                    </w:rPr>
                    <w:t>（</w:t>
                  </w:r>
                  <w:r>
                    <w:rPr>
                      <w:szCs w:val="21"/>
                      <w:highlight w:val="none"/>
                    </w:rPr>
                    <w:t>3</w:t>
                  </w:r>
                  <w:r>
                    <w:rPr>
                      <w:rFonts w:hint="eastAsia"/>
                      <w:szCs w:val="21"/>
                      <w:highlight w:val="none"/>
                    </w:rPr>
                    <w:t>）施工噪声与振动要符合有关噪声污染防治规定，不得</w:t>
                  </w:r>
                  <w:r>
                    <w:rPr>
                      <w:rFonts w:hint="eastAsia"/>
                      <w:szCs w:val="21"/>
                      <w:highlight w:val="none"/>
                      <w:lang w:val="en-US" w:eastAsia="zh-CN"/>
                    </w:rPr>
                    <w:t>影响区域声环境质量</w:t>
                  </w:r>
                  <w:r>
                    <w:rPr>
                      <w:rFonts w:hint="eastAsia"/>
                      <w:szCs w:val="21"/>
                      <w:highlight w:val="none"/>
                    </w:rPr>
                    <w:t>；</w:t>
                  </w:r>
                </w:p>
                <w:p>
                  <w:pPr>
                    <w:keepNext w:val="0"/>
                    <w:keepLines w:val="0"/>
                    <w:pageBreakBefore w:val="0"/>
                    <w:widowControl w:val="0"/>
                    <w:kinsoku/>
                    <w:wordWrap/>
                    <w:topLinePunct w:val="0"/>
                    <w:autoSpaceDE/>
                    <w:autoSpaceDN/>
                    <w:bidi w:val="0"/>
                    <w:adjustRightInd/>
                    <w:snapToGrid/>
                    <w:spacing w:line="300" w:lineRule="exact"/>
                    <w:jc w:val="left"/>
                    <w:textAlignment w:val="baseline"/>
                    <w:rPr>
                      <w:rFonts w:hint="eastAsia" w:ascii="Times New Roman" w:hAnsi="Times New Roman" w:eastAsia="宋体" w:cs="Times New Roman"/>
                      <w:szCs w:val="21"/>
                      <w:highlight w:val="none"/>
                    </w:rPr>
                  </w:pPr>
                  <w:r>
                    <w:rPr>
                      <w:rFonts w:hint="eastAsia"/>
                      <w:szCs w:val="21"/>
                      <w:highlight w:val="none"/>
                    </w:rPr>
                    <w:t>（</w:t>
                  </w:r>
                  <w:r>
                    <w:rPr>
                      <w:szCs w:val="21"/>
                      <w:highlight w:val="none"/>
                    </w:rPr>
                    <w:t>4</w:t>
                  </w:r>
                  <w:r>
                    <w:rPr>
                      <w:rFonts w:hint="eastAsia"/>
                      <w:szCs w:val="21"/>
                      <w:highlight w:val="none"/>
                    </w:rPr>
                    <w:t>）建设项目竣工后，应督促施工单位及时恢复建设过程中受到破坏的环境</w:t>
                  </w:r>
                  <w:r>
                    <w:rPr>
                      <w:rFonts w:hint="eastAsia" w:ascii="Times New Roman" w:hAnsi="Times New Roman" w:eastAsia="宋体" w:cs="Times New Roman"/>
                      <w:szCs w:val="21"/>
                      <w:highlight w:val="none"/>
                    </w:rPr>
                    <w:t>。</w:t>
                  </w:r>
                </w:p>
                <w:p>
                  <w:pPr>
                    <w:keepNext w:val="0"/>
                    <w:keepLines w:val="0"/>
                    <w:pageBreakBefore w:val="0"/>
                    <w:widowControl w:val="0"/>
                    <w:kinsoku/>
                    <w:wordWrap/>
                    <w:topLinePunct w:val="0"/>
                    <w:autoSpaceDE/>
                    <w:autoSpaceDN/>
                    <w:bidi w:val="0"/>
                    <w:adjustRightInd/>
                    <w:snapToGrid/>
                    <w:spacing w:line="300" w:lineRule="exact"/>
                    <w:jc w:val="left"/>
                    <w:textAlignment w:val="baseline"/>
                    <w:rPr>
                      <w:szCs w:val="21"/>
                      <w:highlight w:val="none"/>
                    </w:rPr>
                  </w:pPr>
                  <w:r>
                    <w:rPr>
                      <w:rFonts w:hint="eastAsia" w:ascii="Times New Roman" w:hAnsi="Times New Roman" w:eastAsia="宋体" w:cs="Times New Roman"/>
                      <w:szCs w:val="21"/>
                      <w:highlight w:val="none"/>
                    </w:rPr>
                    <w:t>（5）重视群众监督作用，提高企业职工环保意识，鼓励职工及外部人员对生产状况提出意见，并通过积极吸收宝贵意见，提高企业环境管理水平；（6）积极配合环保部门的检查、验收。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766" w:type="pct"/>
                  <w:noWrap w:val="0"/>
                  <w:vAlign w:val="center"/>
                </w:tcPr>
                <w:p>
                  <w:pPr>
                    <w:keepNext w:val="0"/>
                    <w:keepLines w:val="0"/>
                    <w:pageBreakBefore w:val="0"/>
                    <w:widowControl w:val="0"/>
                    <w:kinsoku/>
                    <w:wordWrap/>
                    <w:topLinePunct w:val="0"/>
                    <w:autoSpaceDE/>
                    <w:autoSpaceDN/>
                    <w:bidi w:val="0"/>
                    <w:adjustRightInd/>
                    <w:snapToGrid/>
                    <w:spacing w:line="300" w:lineRule="exact"/>
                    <w:jc w:val="center"/>
                    <w:textAlignment w:val="baseline"/>
                    <w:rPr>
                      <w:szCs w:val="21"/>
                      <w:highlight w:val="none"/>
                    </w:rPr>
                  </w:pPr>
                  <w:r>
                    <w:rPr>
                      <w:rFonts w:hint="eastAsia"/>
                      <w:szCs w:val="21"/>
                      <w:highlight w:val="none"/>
                      <w:lang w:val="en-US" w:eastAsia="zh-CN"/>
                    </w:rPr>
                    <w:t>探矿区生态恢复阶段</w:t>
                  </w:r>
                </w:p>
              </w:tc>
              <w:tc>
                <w:tcPr>
                  <w:tcW w:w="4233" w:type="pct"/>
                  <w:noWrap w:val="0"/>
                  <w:vAlign w:val="center"/>
                </w:tcPr>
                <w:p>
                  <w:pPr>
                    <w:keepNext w:val="0"/>
                    <w:keepLines w:val="0"/>
                    <w:pageBreakBefore w:val="0"/>
                    <w:widowControl w:val="0"/>
                    <w:kinsoku/>
                    <w:wordWrap/>
                    <w:topLinePunct w:val="0"/>
                    <w:autoSpaceDE/>
                    <w:autoSpaceDN/>
                    <w:bidi w:val="0"/>
                    <w:adjustRightInd/>
                    <w:snapToGrid/>
                    <w:spacing w:line="300" w:lineRule="exact"/>
                    <w:jc w:val="left"/>
                    <w:textAlignment w:val="baseline"/>
                    <w:rPr>
                      <w:sz w:val="21"/>
                      <w:szCs w:val="21"/>
                      <w:highlight w:val="none"/>
                    </w:rPr>
                  </w:pPr>
                  <w:r>
                    <w:rPr>
                      <w:rFonts w:hint="eastAsia"/>
                      <w:sz w:val="21"/>
                      <w:szCs w:val="21"/>
                      <w:highlight w:val="none"/>
                    </w:rPr>
                    <w:t>（</w:t>
                  </w:r>
                  <w:r>
                    <w:rPr>
                      <w:sz w:val="21"/>
                      <w:szCs w:val="21"/>
                      <w:highlight w:val="none"/>
                    </w:rPr>
                    <w:t>1</w:t>
                  </w:r>
                  <w:r>
                    <w:rPr>
                      <w:rFonts w:hint="eastAsia"/>
                      <w:sz w:val="21"/>
                      <w:szCs w:val="21"/>
                      <w:highlight w:val="none"/>
                    </w:rPr>
                    <w:t>）</w:t>
                  </w:r>
                  <w:r>
                    <w:rPr>
                      <w:rFonts w:hint="eastAsia"/>
                      <w:sz w:val="21"/>
                      <w:szCs w:val="21"/>
                      <w:highlight w:val="none"/>
                      <w:lang w:eastAsia="zh-CN"/>
                    </w:rPr>
                    <w:t>勘探工作完成后</w:t>
                  </w:r>
                  <w:r>
                    <w:rPr>
                      <w:rFonts w:hint="eastAsia"/>
                      <w:sz w:val="21"/>
                      <w:szCs w:val="21"/>
                      <w:highlight w:val="none"/>
                    </w:rPr>
                    <w:t>，应</w:t>
                  </w:r>
                  <w:r>
                    <w:rPr>
                      <w:rFonts w:hint="eastAsia"/>
                      <w:sz w:val="21"/>
                      <w:szCs w:val="21"/>
                      <w:highlight w:val="none"/>
                      <w:lang w:eastAsia="zh-CN"/>
                    </w:rPr>
                    <w:t>及时回填并恢复原有地貌</w:t>
                  </w:r>
                  <w:r>
                    <w:rPr>
                      <w:rFonts w:hint="eastAsia"/>
                      <w:sz w:val="21"/>
                      <w:szCs w:val="21"/>
                      <w:highlight w:val="none"/>
                    </w:rPr>
                    <w:t>，及时进行生态恢复。</w:t>
                  </w:r>
                </w:p>
                <w:p>
                  <w:pPr>
                    <w:keepNext w:val="0"/>
                    <w:keepLines w:val="0"/>
                    <w:pageBreakBefore w:val="0"/>
                    <w:widowControl w:val="0"/>
                    <w:kinsoku/>
                    <w:wordWrap/>
                    <w:topLinePunct w:val="0"/>
                    <w:autoSpaceDE/>
                    <w:autoSpaceDN/>
                    <w:bidi w:val="0"/>
                    <w:adjustRightInd/>
                    <w:snapToGrid/>
                    <w:spacing w:line="300" w:lineRule="exact"/>
                    <w:jc w:val="left"/>
                    <w:textAlignment w:val="baseline"/>
                    <w:rPr>
                      <w:rFonts w:hint="eastAsia" w:eastAsia="宋体"/>
                      <w:sz w:val="21"/>
                      <w:szCs w:val="21"/>
                      <w:highlight w:val="none"/>
                      <w:lang w:eastAsia="zh-CN"/>
                    </w:rPr>
                  </w:pPr>
                  <w:r>
                    <w:rPr>
                      <w:rFonts w:hint="eastAsia"/>
                      <w:sz w:val="21"/>
                      <w:szCs w:val="21"/>
                      <w:highlight w:val="none"/>
                    </w:rPr>
                    <w:t>（</w:t>
                  </w:r>
                  <w:r>
                    <w:rPr>
                      <w:sz w:val="21"/>
                      <w:szCs w:val="21"/>
                      <w:highlight w:val="none"/>
                    </w:rPr>
                    <w:t>2</w:t>
                  </w:r>
                  <w:r>
                    <w:rPr>
                      <w:rFonts w:hint="eastAsia"/>
                      <w:sz w:val="21"/>
                      <w:szCs w:val="21"/>
                      <w:highlight w:val="none"/>
                    </w:rPr>
                    <w:t>）落实专项资金、加强监督管理</w:t>
                  </w:r>
                  <w:r>
                    <w:rPr>
                      <w:rFonts w:hint="eastAsia"/>
                      <w:lang w:eastAsia="zh-CN"/>
                    </w:rPr>
                    <w:t>。</w:t>
                  </w:r>
                </w:p>
                <w:p>
                  <w:pPr>
                    <w:keepNext w:val="0"/>
                    <w:keepLines w:val="0"/>
                    <w:pageBreakBefore w:val="0"/>
                    <w:widowControl w:val="0"/>
                    <w:kinsoku/>
                    <w:wordWrap/>
                    <w:topLinePunct w:val="0"/>
                    <w:autoSpaceDE/>
                    <w:autoSpaceDN/>
                    <w:bidi w:val="0"/>
                    <w:adjustRightInd/>
                    <w:snapToGrid/>
                    <w:spacing w:line="300" w:lineRule="exact"/>
                    <w:jc w:val="left"/>
                    <w:textAlignment w:val="baseline"/>
                    <w:rPr>
                      <w:rFonts w:hint="eastAsia"/>
                      <w:szCs w:val="21"/>
                      <w:highlight w:val="none"/>
                    </w:rPr>
                  </w:pPr>
                  <w:r>
                    <w:rPr>
                      <w:rFonts w:hint="eastAsia"/>
                      <w:sz w:val="21"/>
                      <w:szCs w:val="21"/>
                      <w:highlight w:val="none"/>
                      <w:lang w:eastAsia="zh-CN"/>
                    </w:rPr>
                    <w:t>（</w:t>
                  </w:r>
                  <w:r>
                    <w:rPr>
                      <w:rFonts w:hint="eastAsia"/>
                      <w:sz w:val="21"/>
                      <w:szCs w:val="21"/>
                      <w:highlight w:val="none"/>
                      <w:lang w:val="en-US" w:eastAsia="zh-CN"/>
                    </w:rPr>
                    <w:t>3</w:t>
                  </w:r>
                  <w:r>
                    <w:rPr>
                      <w:rFonts w:hint="eastAsia"/>
                      <w:sz w:val="21"/>
                      <w:szCs w:val="21"/>
                      <w:highlight w:val="none"/>
                      <w:lang w:eastAsia="zh-CN"/>
                    </w:rPr>
                    <w:t>）</w:t>
                  </w:r>
                  <w:r>
                    <w:rPr>
                      <w:rFonts w:hint="eastAsia"/>
                      <w:sz w:val="21"/>
                      <w:szCs w:val="21"/>
                      <w:highlight w:val="none"/>
                    </w:rPr>
                    <w:t>认真落实已编制的生态环境恢复</w:t>
                  </w:r>
                  <w:r>
                    <w:rPr>
                      <w:rFonts w:hint="eastAsia"/>
                      <w:szCs w:val="21"/>
                      <w:highlight w:val="none"/>
                    </w:rPr>
                    <w:t>治理方案，</w:t>
                  </w:r>
                  <w:r>
                    <w:rPr>
                      <w:rFonts w:hint="eastAsia"/>
                      <w:szCs w:val="21"/>
                      <w:highlight w:val="none"/>
                      <w:lang w:eastAsia="zh-CN"/>
                    </w:rPr>
                    <w:t>做好地质普查后</w:t>
                  </w:r>
                  <w:r>
                    <w:rPr>
                      <w:rFonts w:hint="eastAsia"/>
                      <w:szCs w:val="21"/>
                      <w:highlight w:val="none"/>
                    </w:rPr>
                    <w:t>环境整治及土地复垦等工作。</w:t>
                  </w:r>
                </w:p>
                <w:p>
                  <w:pPr>
                    <w:keepNext w:val="0"/>
                    <w:keepLines w:val="0"/>
                    <w:pageBreakBefore w:val="0"/>
                    <w:widowControl w:val="0"/>
                    <w:kinsoku/>
                    <w:wordWrap/>
                    <w:topLinePunct w:val="0"/>
                    <w:autoSpaceDE/>
                    <w:autoSpaceDN/>
                    <w:bidi w:val="0"/>
                    <w:adjustRightInd/>
                    <w:snapToGrid/>
                    <w:spacing w:line="300" w:lineRule="exact"/>
                    <w:jc w:val="left"/>
                    <w:textAlignment w:val="baseline"/>
                    <w:rPr>
                      <w:rFonts w:hint="default" w:eastAsia="宋体"/>
                      <w:szCs w:val="21"/>
                      <w:highlight w:val="none"/>
                      <w:lang w:val="en-US" w:eastAsia="zh-CN"/>
                    </w:rPr>
                  </w:pPr>
                  <w:r>
                    <w:rPr>
                      <w:rFonts w:hint="eastAsia"/>
                      <w:szCs w:val="21"/>
                      <w:highlight w:val="none"/>
                      <w:lang w:eastAsia="zh-CN"/>
                    </w:rPr>
                    <w:t>（</w:t>
                  </w:r>
                  <w:r>
                    <w:rPr>
                      <w:rFonts w:hint="eastAsia"/>
                      <w:szCs w:val="21"/>
                      <w:highlight w:val="none"/>
                      <w:lang w:val="en-US" w:eastAsia="zh-CN"/>
                    </w:rPr>
                    <w:t>4</w:t>
                  </w:r>
                  <w:r>
                    <w:rPr>
                      <w:rFonts w:hint="eastAsia"/>
                      <w:szCs w:val="21"/>
                      <w:highlight w:val="none"/>
                      <w:lang w:eastAsia="zh-CN"/>
                    </w:rPr>
                    <w:t>）</w:t>
                  </w:r>
                  <w:r>
                    <w:rPr>
                      <w:rFonts w:hint="eastAsia"/>
                      <w:szCs w:val="21"/>
                      <w:highlight w:val="none"/>
                    </w:rPr>
                    <w:t>建立环保设施档案，主动接受环保部门监督，配合环保部门的检查、验收。</w:t>
                  </w:r>
                </w:p>
              </w:tc>
            </w:tr>
          </w:tbl>
          <w:p>
            <w:pPr>
              <w:adjustRightInd w:val="0"/>
              <w:snapToGrid w:val="0"/>
              <w:spacing w:line="360" w:lineRule="auto"/>
              <w:jc w:val="both"/>
              <w:rPr>
                <w:rFonts w:hint="default" w:ascii="宋体" w:hAnsi="宋体" w:eastAsia="宋体" w:cs="宋体"/>
                <w:bCs/>
                <w:spacing w:val="10"/>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58" w:hRule="atLeast"/>
          <w:jc w:val="center"/>
        </w:trPr>
        <w:tc>
          <w:tcPr>
            <w:tcW w:w="597" w:type="dxa"/>
            <w:noWrap w:val="0"/>
            <w:vAlign w:val="center"/>
          </w:tcPr>
          <w:p>
            <w:pPr>
              <w:adjustRightInd w:val="0"/>
              <w:snapToGrid w:val="0"/>
              <w:spacing w:line="360" w:lineRule="auto"/>
              <w:jc w:val="center"/>
              <w:rPr>
                <w:rFonts w:ascii="宋体" w:hAnsi="宋体" w:cs="宋体"/>
                <w:bCs/>
                <w:spacing w:val="10"/>
                <w:szCs w:val="21"/>
                <w:highlight w:val="none"/>
              </w:rPr>
            </w:pPr>
            <w:r>
              <w:rPr>
                <w:rFonts w:hint="eastAsia" w:ascii="宋体" w:hAnsi="宋体"/>
                <w:bCs/>
                <w:szCs w:val="21"/>
                <w:highlight w:val="none"/>
              </w:rPr>
              <w:t>环保投资</w:t>
            </w:r>
          </w:p>
        </w:tc>
        <w:tc>
          <w:tcPr>
            <w:tcW w:w="8613"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firstLine="520" w:firstLineChars="200"/>
              <w:textAlignment w:val="auto"/>
              <w:rPr>
                <w:rFonts w:hint="default" w:ascii="Times New Roman" w:hAnsi="Times New Roman" w:cs="Times New Roman"/>
                <w:bCs/>
                <w:spacing w:val="10"/>
                <w:sz w:val="24"/>
                <w:highlight w:val="none"/>
              </w:rPr>
            </w:pPr>
            <w:r>
              <w:rPr>
                <w:rFonts w:hint="eastAsia" w:ascii="宋体" w:hAnsi="宋体" w:cs="宋体"/>
                <w:bCs/>
                <w:spacing w:val="10"/>
                <w:sz w:val="24"/>
                <w:highlight w:val="none"/>
              </w:rPr>
              <w:t>项目总</w:t>
            </w:r>
            <w:r>
              <w:rPr>
                <w:rFonts w:hint="default" w:ascii="Times New Roman" w:hAnsi="Times New Roman" w:cs="Times New Roman"/>
                <w:bCs/>
                <w:spacing w:val="10"/>
                <w:sz w:val="24"/>
                <w:highlight w:val="none"/>
              </w:rPr>
              <w:t>投资</w:t>
            </w:r>
            <w:r>
              <w:rPr>
                <w:rFonts w:hint="eastAsia" w:cs="Times New Roman"/>
                <w:bCs/>
                <w:spacing w:val="10"/>
                <w:sz w:val="24"/>
                <w:highlight w:val="none"/>
                <w:lang w:val="en-US" w:eastAsia="zh-CN"/>
              </w:rPr>
              <w:t>1022.46</w:t>
            </w:r>
            <w:r>
              <w:rPr>
                <w:rFonts w:hint="default" w:ascii="Times New Roman" w:hAnsi="Times New Roman" w:cs="Times New Roman"/>
                <w:bCs/>
                <w:spacing w:val="10"/>
                <w:sz w:val="24"/>
                <w:highlight w:val="none"/>
              </w:rPr>
              <w:t>万元，其中环保投资</w:t>
            </w:r>
            <w:r>
              <w:rPr>
                <w:rFonts w:hint="eastAsia" w:cs="Times New Roman"/>
                <w:bCs/>
                <w:spacing w:val="10"/>
                <w:sz w:val="24"/>
                <w:highlight w:val="none"/>
                <w:lang w:val="en-US" w:eastAsia="zh-CN"/>
              </w:rPr>
              <w:t>20.5</w:t>
            </w:r>
            <w:r>
              <w:rPr>
                <w:rFonts w:hint="default" w:ascii="Times New Roman" w:hAnsi="Times New Roman" w:cs="Times New Roman"/>
                <w:bCs/>
                <w:spacing w:val="10"/>
                <w:sz w:val="24"/>
                <w:highlight w:val="none"/>
              </w:rPr>
              <w:t>万元，占总投资的</w:t>
            </w:r>
            <w:r>
              <w:rPr>
                <w:rFonts w:hint="eastAsia" w:cs="Times New Roman"/>
                <w:bCs/>
                <w:spacing w:val="10"/>
                <w:sz w:val="24"/>
                <w:highlight w:val="none"/>
                <w:lang w:val="en-US" w:eastAsia="zh-CN"/>
              </w:rPr>
              <w:t>2</w:t>
            </w:r>
            <w:r>
              <w:rPr>
                <w:rFonts w:hint="default" w:ascii="Times New Roman" w:hAnsi="Times New Roman" w:cs="Times New Roman"/>
                <w:bCs/>
                <w:spacing w:val="10"/>
                <w:sz w:val="24"/>
                <w:highlight w:val="none"/>
              </w:rPr>
              <w:t>％。环保投资情况见下表。</w:t>
            </w:r>
          </w:p>
          <w:p>
            <w:pPr>
              <w:keepNext w:val="0"/>
              <w:keepLines w:val="0"/>
              <w:pageBreakBefore w:val="0"/>
              <w:widowControl w:val="0"/>
              <w:kinsoku/>
              <w:wordWrap/>
              <w:overflowPunct/>
              <w:topLinePunct w:val="0"/>
              <w:autoSpaceDE/>
              <w:autoSpaceDN/>
              <w:bidi w:val="0"/>
              <w:adjustRightInd/>
              <w:snapToGrid/>
              <w:spacing w:line="300" w:lineRule="exact"/>
              <w:ind w:firstLine="522" w:firstLineChars="200"/>
              <w:jc w:val="center"/>
              <w:textAlignment w:val="auto"/>
              <w:rPr>
                <w:rFonts w:hint="default" w:ascii="Times New Roman" w:hAnsi="Times New Roman" w:cs="Times New Roman"/>
                <w:b/>
                <w:bCs/>
                <w:spacing w:val="10"/>
                <w:sz w:val="24"/>
                <w:highlight w:val="none"/>
              </w:rPr>
            </w:pPr>
            <w:r>
              <w:rPr>
                <w:rFonts w:hint="default" w:ascii="Times New Roman" w:hAnsi="Times New Roman" w:cs="Times New Roman"/>
                <w:b/>
                <w:bCs/>
                <w:spacing w:val="10"/>
                <w:sz w:val="24"/>
                <w:highlight w:val="none"/>
              </w:rPr>
              <w:t>表</w:t>
            </w:r>
            <w:r>
              <w:rPr>
                <w:rFonts w:hint="default" w:ascii="Times New Roman" w:hAnsi="Times New Roman" w:cs="Times New Roman"/>
                <w:b/>
                <w:bCs/>
                <w:spacing w:val="10"/>
                <w:sz w:val="24"/>
                <w:highlight w:val="none"/>
                <w:lang w:val="en-US" w:eastAsia="zh-CN"/>
              </w:rPr>
              <w:t>5-</w:t>
            </w:r>
            <w:r>
              <w:rPr>
                <w:rFonts w:hint="eastAsia" w:cs="Times New Roman"/>
                <w:b/>
                <w:bCs/>
                <w:spacing w:val="10"/>
                <w:sz w:val="24"/>
                <w:highlight w:val="none"/>
                <w:lang w:val="en-US" w:eastAsia="zh-CN"/>
              </w:rPr>
              <w:t>7</w:t>
            </w:r>
            <w:r>
              <w:rPr>
                <w:rFonts w:hint="default" w:ascii="Times New Roman" w:hAnsi="Times New Roman" w:cs="Times New Roman"/>
                <w:b/>
                <w:bCs/>
                <w:spacing w:val="10"/>
                <w:sz w:val="24"/>
                <w:highlight w:val="none"/>
              </w:rPr>
              <w:t xml:space="preserve">  本项目环保投资估算表</w:t>
            </w:r>
          </w:p>
          <w:tbl>
            <w:tblPr>
              <w:tblStyle w:val="17"/>
              <w:tblW w:w="499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1" w:type="dxa"/>
                <w:bottom w:w="0" w:type="dxa"/>
                <w:right w:w="11" w:type="dxa"/>
              </w:tblCellMar>
            </w:tblPr>
            <w:tblGrid>
              <w:gridCol w:w="1097"/>
              <w:gridCol w:w="1580"/>
              <w:gridCol w:w="4512"/>
              <w:gridCol w:w="119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65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szCs w:val="21"/>
                      <w:highlight w:val="none"/>
                    </w:rPr>
                  </w:pPr>
                  <w:r>
                    <w:rPr>
                      <w:szCs w:val="21"/>
                      <w:highlight w:val="none"/>
                    </w:rPr>
                    <w:t>污染类别</w:t>
                  </w:r>
                </w:p>
              </w:tc>
              <w:tc>
                <w:tcPr>
                  <w:tcW w:w="94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szCs w:val="21"/>
                      <w:highlight w:val="none"/>
                    </w:rPr>
                  </w:pPr>
                  <w:r>
                    <w:rPr>
                      <w:szCs w:val="21"/>
                      <w:highlight w:val="none"/>
                    </w:rPr>
                    <w:t>污染源</w:t>
                  </w:r>
                </w:p>
              </w:tc>
              <w:tc>
                <w:tcPr>
                  <w:tcW w:w="268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szCs w:val="21"/>
                      <w:highlight w:val="none"/>
                    </w:rPr>
                  </w:pPr>
                  <w:r>
                    <w:rPr>
                      <w:szCs w:val="21"/>
                      <w:highlight w:val="none"/>
                    </w:rPr>
                    <w:t>环保设施</w:t>
                  </w:r>
                </w:p>
              </w:tc>
              <w:tc>
                <w:tcPr>
                  <w:tcW w:w="71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eastAsia="宋体"/>
                      <w:szCs w:val="21"/>
                      <w:highlight w:val="none"/>
                      <w:lang w:eastAsia="zh-CN"/>
                    </w:rPr>
                  </w:pPr>
                  <w:r>
                    <w:rPr>
                      <w:szCs w:val="21"/>
                      <w:highlight w:val="none"/>
                    </w:rPr>
                    <w:t>投资</w:t>
                  </w:r>
                  <w:r>
                    <w:rPr>
                      <w:rFonts w:hint="eastAsia"/>
                      <w:szCs w:val="21"/>
                      <w:highlight w:val="none"/>
                      <w:lang w:eastAsia="zh-CN"/>
                    </w:rPr>
                    <w:t>（万元）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65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szCs w:val="21"/>
                      <w:highlight w:val="none"/>
                    </w:rPr>
                  </w:pPr>
                  <w:r>
                    <w:rPr>
                      <w:szCs w:val="21"/>
                      <w:highlight w:val="none"/>
                    </w:rPr>
                    <w:t>废气</w:t>
                  </w:r>
                </w:p>
              </w:tc>
              <w:tc>
                <w:tcPr>
                  <w:tcW w:w="941"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szCs w:val="21"/>
                      <w:highlight w:val="none"/>
                    </w:rPr>
                  </w:pPr>
                  <w:r>
                    <w:rPr>
                      <w:rFonts w:hint="eastAsia"/>
                      <w:szCs w:val="21"/>
                      <w:highlight w:val="none"/>
                    </w:rPr>
                    <w:t>粉尘</w:t>
                  </w:r>
                </w:p>
              </w:tc>
              <w:tc>
                <w:tcPr>
                  <w:tcW w:w="268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szCs w:val="21"/>
                      <w:highlight w:val="none"/>
                    </w:rPr>
                  </w:pPr>
                  <w:r>
                    <w:rPr>
                      <w:rFonts w:hint="eastAsia"/>
                      <w:szCs w:val="21"/>
                      <w:highlight w:val="none"/>
                      <w:lang w:val="en-US" w:eastAsia="zh-CN"/>
                    </w:rPr>
                    <w:t>对弃渣堆表面压实、覆盖、洒水降尘；矿区道路、工作面及装卸点洒水除尘</w:t>
                  </w:r>
                </w:p>
              </w:tc>
              <w:tc>
                <w:tcPr>
                  <w:tcW w:w="71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eastAsia="宋体"/>
                      <w:szCs w:val="21"/>
                      <w:highlight w:val="none"/>
                      <w:lang w:val="en-US" w:eastAsia="zh-CN"/>
                    </w:rPr>
                  </w:pPr>
                  <w:r>
                    <w:rPr>
                      <w:rFonts w:hint="eastAsia"/>
                      <w:szCs w:val="21"/>
                      <w:highlight w:val="none"/>
                      <w:lang w:val="en-US" w:eastAsia="zh-CN"/>
                    </w:rPr>
                    <w:t>2.5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654"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szCs w:val="21"/>
                      <w:highlight w:val="none"/>
                    </w:rPr>
                  </w:pPr>
                  <w:r>
                    <w:rPr>
                      <w:rFonts w:hint="eastAsia"/>
                      <w:szCs w:val="21"/>
                      <w:highlight w:val="none"/>
                    </w:rPr>
                    <w:t>废水</w:t>
                  </w:r>
                </w:p>
              </w:tc>
              <w:tc>
                <w:tcPr>
                  <w:tcW w:w="941"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eastAsia="宋体"/>
                      <w:szCs w:val="21"/>
                      <w:highlight w:val="none"/>
                      <w:lang w:val="en-US" w:eastAsia="zh-CN"/>
                    </w:rPr>
                  </w:pPr>
                  <w:r>
                    <w:rPr>
                      <w:szCs w:val="21"/>
                      <w:highlight w:val="none"/>
                    </w:rPr>
                    <w:t>生活</w:t>
                  </w:r>
                  <w:r>
                    <w:rPr>
                      <w:rFonts w:hint="eastAsia"/>
                      <w:szCs w:val="21"/>
                      <w:highlight w:val="none"/>
                      <w:lang w:val="en-US" w:eastAsia="zh-CN"/>
                    </w:rPr>
                    <w:t>污水</w:t>
                  </w:r>
                </w:p>
              </w:tc>
              <w:tc>
                <w:tcPr>
                  <w:tcW w:w="268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szCs w:val="21"/>
                      <w:highlight w:val="none"/>
                      <w:lang w:val="en-US"/>
                    </w:rPr>
                  </w:pPr>
                  <w:r>
                    <w:rPr>
                      <w:rFonts w:hint="eastAsia"/>
                      <w:szCs w:val="21"/>
                      <w:highlight w:val="none"/>
                      <w:lang w:val="en-US" w:eastAsia="zh-CN"/>
                    </w:rPr>
                    <w:t>一体化污水处理设施</w:t>
                  </w:r>
                </w:p>
              </w:tc>
              <w:tc>
                <w:tcPr>
                  <w:tcW w:w="71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eastAsia="宋体"/>
                      <w:szCs w:val="21"/>
                      <w:highlight w:val="none"/>
                      <w:lang w:val="en-US" w:eastAsia="zh-CN"/>
                    </w:rPr>
                  </w:pPr>
                  <w:r>
                    <w:rPr>
                      <w:rFonts w:hint="eastAsia"/>
                      <w:szCs w:val="21"/>
                      <w:highlight w:val="none"/>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654"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szCs w:val="21"/>
                      <w:highlight w:val="none"/>
                    </w:rPr>
                  </w:pPr>
                </w:p>
              </w:tc>
              <w:tc>
                <w:tcPr>
                  <w:tcW w:w="941"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szCs w:val="21"/>
                      <w:highlight w:val="none"/>
                    </w:rPr>
                  </w:pPr>
                  <w:r>
                    <w:rPr>
                      <w:rFonts w:hint="eastAsia"/>
                      <w:szCs w:val="21"/>
                      <w:highlight w:val="none"/>
                      <w:lang w:val="en-US" w:eastAsia="zh-CN"/>
                    </w:rPr>
                    <w:t>废水</w:t>
                  </w:r>
                </w:p>
              </w:tc>
              <w:tc>
                <w:tcPr>
                  <w:tcW w:w="268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szCs w:val="21"/>
                      <w:highlight w:val="none"/>
                    </w:rPr>
                  </w:pPr>
                  <w:r>
                    <w:rPr>
                      <w:rFonts w:hint="eastAsia"/>
                      <w:szCs w:val="21"/>
                      <w:highlight w:val="none"/>
                      <w:lang w:eastAsia="zh-CN"/>
                    </w:rPr>
                    <w:t>沉淀池</w:t>
                  </w:r>
                </w:p>
              </w:tc>
              <w:tc>
                <w:tcPr>
                  <w:tcW w:w="71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szCs w:val="21"/>
                      <w:highlight w:val="none"/>
                      <w:lang w:val="en-US" w:eastAsia="zh-CN"/>
                    </w:rPr>
                  </w:pPr>
                  <w:r>
                    <w:rPr>
                      <w:rFonts w:hint="eastAsia"/>
                      <w:szCs w:val="21"/>
                      <w:highlight w:val="none"/>
                      <w:lang w:val="en-US" w:eastAsia="zh-CN"/>
                    </w:rPr>
                    <w:t>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65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eastAsia="宋体"/>
                      <w:szCs w:val="21"/>
                      <w:highlight w:val="none"/>
                      <w:lang w:val="en-US" w:eastAsia="zh-CN"/>
                    </w:rPr>
                  </w:pPr>
                  <w:r>
                    <w:rPr>
                      <w:rFonts w:hint="eastAsia"/>
                      <w:szCs w:val="21"/>
                      <w:highlight w:val="none"/>
                      <w:lang w:val="en-US" w:eastAsia="zh-CN"/>
                    </w:rPr>
                    <w:t>噪声</w:t>
                  </w:r>
                </w:p>
              </w:tc>
              <w:tc>
                <w:tcPr>
                  <w:tcW w:w="941"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szCs w:val="21"/>
                      <w:highlight w:val="none"/>
                      <w:lang w:val="en-US" w:eastAsia="zh-CN"/>
                    </w:rPr>
                  </w:pPr>
                  <w:r>
                    <w:rPr>
                      <w:rFonts w:hint="eastAsia"/>
                      <w:szCs w:val="21"/>
                      <w:highlight w:val="none"/>
                      <w:lang w:val="en-US" w:eastAsia="zh-CN"/>
                    </w:rPr>
                    <w:t>机械噪声</w:t>
                  </w:r>
                </w:p>
              </w:tc>
              <w:tc>
                <w:tcPr>
                  <w:tcW w:w="268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szCs w:val="21"/>
                      <w:highlight w:val="none"/>
                      <w:lang w:eastAsia="zh-CN"/>
                    </w:rPr>
                  </w:pPr>
                  <w:r>
                    <w:rPr>
                      <w:rFonts w:hint="eastAsia"/>
                      <w:szCs w:val="21"/>
                      <w:highlight w:val="none"/>
                      <w:lang w:val="en-US" w:eastAsia="zh-CN"/>
                    </w:rPr>
                    <w:t>选用低噪声设备，加强对柴油施工机械设备维护保养工</w:t>
                  </w:r>
                  <w:r>
                    <w:rPr>
                      <w:rFonts w:hint="default"/>
                      <w:szCs w:val="21"/>
                      <w:highlight w:val="none"/>
                      <w:lang w:val="en-US" w:eastAsia="zh-CN"/>
                    </w:rPr>
                    <w:t>作，保持其良好工况</w:t>
                  </w:r>
                </w:p>
              </w:tc>
              <w:tc>
                <w:tcPr>
                  <w:tcW w:w="71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szCs w:val="21"/>
                      <w:highlight w:val="none"/>
                      <w:lang w:val="en-US" w:eastAsia="zh-CN"/>
                    </w:rPr>
                  </w:pPr>
                  <w:r>
                    <w:rPr>
                      <w:rFonts w:hint="eastAsia"/>
                      <w:szCs w:val="21"/>
                      <w:highlight w:val="none"/>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654" w:type="pct"/>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szCs w:val="21"/>
                      <w:highlight w:val="none"/>
                    </w:rPr>
                  </w:pPr>
                  <w:r>
                    <w:rPr>
                      <w:szCs w:val="21"/>
                      <w:highlight w:val="none"/>
                    </w:rPr>
                    <w:t>固废</w:t>
                  </w:r>
                </w:p>
              </w:tc>
              <w:tc>
                <w:tcPr>
                  <w:tcW w:w="941"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szCs w:val="21"/>
                      <w:highlight w:val="none"/>
                    </w:rPr>
                  </w:pPr>
                  <w:r>
                    <w:rPr>
                      <w:szCs w:val="21"/>
                      <w:highlight w:val="none"/>
                    </w:rPr>
                    <w:t>生活垃圾</w:t>
                  </w:r>
                </w:p>
              </w:tc>
              <w:tc>
                <w:tcPr>
                  <w:tcW w:w="268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szCs w:val="21"/>
                      <w:highlight w:val="none"/>
                    </w:rPr>
                  </w:pPr>
                  <w:r>
                    <w:rPr>
                      <w:rFonts w:hint="eastAsia"/>
                      <w:szCs w:val="21"/>
                      <w:highlight w:val="none"/>
                    </w:rPr>
                    <w:t>生活垃圾箱</w:t>
                  </w:r>
                </w:p>
              </w:tc>
              <w:tc>
                <w:tcPr>
                  <w:tcW w:w="71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eastAsia="宋体"/>
                      <w:szCs w:val="21"/>
                      <w:highlight w:val="none"/>
                      <w:lang w:val="en-US" w:eastAsia="zh-CN"/>
                    </w:rPr>
                  </w:pPr>
                  <w:r>
                    <w:rPr>
                      <w:rFonts w:hint="eastAsia"/>
                      <w:szCs w:val="21"/>
                      <w:highlight w:val="none"/>
                      <w:lang w:val="en-US" w:eastAsia="zh-CN"/>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654" w:type="pct"/>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szCs w:val="21"/>
                      <w:highlight w:val="none"/>
                    </w:rPr>
                  </w:pPr>
                </w:p>
              </w:tc>
              <w:tc>
                <w:tcPr>
                  <w:tcW w:w="941" w:type="pc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szCs w:val="21"/>
                      <w:highlight w:val="none"/>
                      <w:lang w:val="en-US" w:eastAsia="zh-CN"/>
                    </w:rPr>
                  </w:pPr>
                  <w:r>
                    <w:rPr>
                      <w:rFonts w:hint="eastAsia"/>
                      <w:szCs w:val="21"/>
                      <w:highlight w:val="none"/>
                      <w:lang w:val="en-US" w:eastAsia="zh-CN"/>
                    </w:rPr>
                    <w:t>土石方</w:t>
                  </w:r>
                </w:p>
              </w:tc>
              <w:tc>
                <w:tcPr>
                  <w:tcW w:w="268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szCs w:val="21"/>
                      <w:highlight w:val="none"/>
                      <w:lang w:val="en-US" w:eastAsia="zh-CN"/>
                    </w:rPr>
                  </w:pPr>
                  <w:r>
                    <w:rPr>
                      <w:rFonts w:hint="eastAsia"/>
                      <w:szCs w:val="21"/>
                      <w:highlight w:val="none"/>
                      <w:lang w:val="en-US" w:eastAsia="zh-CN"/>
                    </w:rPr>
                    <w:t>剥离的土石方堆放在弃土场，待探矿完成后，剥离的土石方全部用于矿区的复垦覆土，不外排</w:t>
                  </w:r>
                </w:p>
              </w:tc>
              <w:tc>
                <w:tcPr>
                  <w:tcW w:w="71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szCs w:val="21"/>
                      <w:highlight w:val="none"/>
                      <w:lang w:val="en-US" w:eastAsia="zh-CN"/>
                    </w:rPr>
                  </w:pPr>
                  <w:r>
                    <w:rPr>
                      <w:rFonts w:hint="eastAsia"/>
                      <w:szCs w:val="21"/>
                      <w:highlight w:val="none"/>
                      <w:lang w:val="en-US" w:eastAsia="zh-CN"/>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jc w:val="center"/>
              </w:trPr>
              <w:tc>
                <w:tcPr>
                  <w:tcW w:w="1596" w:type="pct"/>
                  <w:gridSpan w:val="2"/>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szCs w:val="21"/>
                      <w:highlight w:val="none"/>
                    </w:rPr>
                  </w:pPr>
                  <w:r>
                    <w:rPr>
                      <w:szCs w:val="21"/>
                      <w:highlight w:val="none"/>
                    </w:rPr>
                    <w:t>生态保护与恢复措施</w:t>
                  </w:r>
                </w:p>
              </w:tc>
              <w:tc>
                <w:tcPr>
                  <w:tcW w:w="2689"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szCs w:val="21"/>
                      <w:highlight w:val="none"/>
                    </w:rPr>
                  </w:pPr>
                  <w:r>
                    <w:rPr>
                      <w:rFonts w:hint="eastAsia"/>
                      <w:szCs w:val="21"/>
                      <w:highlight w:val="none"/>
                      <w:lang w:eastAsia="zh-CN"/>
                    </w:rPr>
                    <w:t>废</w:t>
                  </w:r>
                  <w:r>
                    <w:rPr>
                      <w:rFonts w:hint="eastAsia"/>
                      <w:szCs w:val="21"/>
                      <w:highlight w:val="none"/>
                      <w:lang w:val="en-US" w:eastAsia="zh-CN"/>
                    </w:rPr>
                    <w:t>石</w:t>
                  </w:r>
                  <w:r>
                    <w:rPr>
                      <w:rFonts w:hint="eastAsia"/>
                      <w:szCs w:val="21"/>
                      <w:highlight w:val="none"/>
                      <w:lang w:eastAsia="zh-CN"/>
                    </w:rPr>
                    <w:t>回填，</w:t>
                  </w:r>
                  <w:r>
                    <w:rPr>
                      <w:rFonts w:hint="eastAsia"/>
                      <w:szCs w:val="21"/>
                      <w:highlight w:val="none"/>
                    </w:rPr>
                    <w:t>所有地面建筑拆除，清除固废，平整场地，恢复土地原貌。</w:t>
                  </w:r>
                </w:p>
              </w:tc>
              <w:tc>
                <w:tcPr>
                  <w:tcW w:w="714"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eastAsia="宋体"/>
                      <w:szCs w:val="21"/>
                      <w:highlight w:val="none"/>
                      <w:lang w:val="en-US" w:eastAsia="zh-CN"/>
                    </w:rPr>
                  </w:pPr>
                  <w:r>
                    <w:rPr>
                      <w:rFonts w:hint="eastAsia"/>
                      <w:szCs w:val="21"/>
                      <w:highlight w:val="none"/>
                      <w:lang w:val="en-US" w:eastAsia="zh-CN"/>
                    </w:rPr>
                    <w:t>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jc w:val="center"/>
              </w:trPr>
              <w:tc>
                <w:tcPr>
                  <w:tcW w:w="4285" w:type="pct"/>
                  <w:gridSpan w:val="3"/>
                  <w:noWrap w:val="0"/>
                  <w:vAlign w:val="center"/>
                </w:tcPr>
                <w:p>
                  <w:pPr>
                    <w:widowControl/>
                    <w:spacing w:line="240" w:lineRule="auto"/>
                    <w:jc w:val="center"/>
                    <w:rPr>
                      <w:rFonts w:hint="default"/>
                      <w:szCs w:val="21"/>
                      <w:highlight w:val="none"/>
                      <w:lang w:val="en-US" w:eastAsia="zh-CN"/>
                    </w:rPr>
                  </w:pPr>
                  <w:r>
                    <w:rPr>
                      <w:rFonts w:hint="eastAsia"/>
                      <w:szCs w:val="21"/>
                      <w:highlight w:val="none"/>
                      <w:lang w:val="en-US" w:eastAsia="zh-CN"/>
                    </w:rPr>
                    <w:t>合计</w:t>
                  </w:r>
                </w:p>
              </w:tc>
              <w:tc>
                <w:tcPr>
                  <w:tcW w:w="714" w:type="pct"/>
                  <w:noWrap w:val="0"/>
                  <w:vAlign w:val="center"/>
                </w:tcPr>
                <w:p>
                  <w:pPr>
                    <w:spacing w:line="240" w:lineRule="auto"/>
                    <w:jc w:val="center"/>
                    <w:rPr>
                      <w:rFonts w:hint="default"/>
                      <w:szCs w:val="21"/>
                      <w:highlight w:val="none"/>
                      <w:lang w:val="en-US" w:eastAsia="zh-CN"/>
                    </w:rPr>
                  </w:pPr>
                  <w:r>
                    <w:rPr>
                      <w:rFonts w:hint="eastAsia"/>
                      <w:szCs w:val="21"/>
                      <w:highlight w:val="none"/>
                      <w:lang w:val="en-US" w:eastAsia="zh-CN"/>
                    </w:rPr>
                    <w:t>20.5</w:t>
                  </w:r>
                </w:p>
              </w:tc>
            </w:tr>
          </w:tbl>
          <w:p>
            <w:pPr>
              <w:adjustRightInd w:val="0"/>
              <w:snapToGrid w:val="0"/>
              <w:spacing w:line="360" w:lineRule="auto"/>
              <w:rPr>
                <w:rFonts w:ascii="宋体" w:hAnsi="宋体" w:cs="宋体"/>
                <w:bCs/>
                <w:spacing w:val="10"/>
                <w:szCs w:val="21"/>
                <w:highlight w:val="none"/>
              </w:rPr>
            </w:pPr>
          </w:p>
        </w:tc>
      </w:tr>
    </w:tbl>
    <w:p>
      <w:pPr>
        <w:spacing w:line="360" w:lineRule="auto"/>
        <w:rPr>
          <w:highlight w:val="none"/>
        </w:rPr>
        <w:sectPr>
          <w:pgSz w:w="11907" w:h="16840"/>
          <w:pgMar w:top="1440" w:right="1797" w:bottom="1440" w:left="1797" w:header="851" w:footer="1077" w:gutter="0"/>
          <w:pgNumType w:fmt="decimal"/>
          <w:cols w:space="720" w:num="1"/>
          <w:docGrid w:linePitch="312" w:charSpace="0"/>
        </w:sectPr>
      </w:pPr>
    </w:p>
    <w:p>
      <w:pPr>
        <w:pStyle w:val="15"/>
        <w:spacing w:line="240" w:lineRule="auto"/>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六、生态环境保护措施监督检查清单</w:t>
      </w:r>
    </w:p>
    <w:tbl>
      <w:tblPr>
        <w:tblStyle w:val="1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44"/>
        <w:gridCol w:w="1603"/>
        <w:gridCol w:w="1943"/>
        <w:gridCol w:w="1789"/>
        <w:gridCol w:w="19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68" w:type="pct"/>
            <w:vMerge w:val="restart"/>
            <w:tcBorders>
              <w:tl2br w:val="single" w:color="auto" w:sz="4" w:space="0"/>
            </w:tcBorders>
            <w:noWrap w:val="0"/>
            <w:vAlign w:val="top"/>
          </w:tcPr>
          <w:p>
            <w:pPr>
              <w:pStyle w:val="15"/>
              <w:keepNext w:val="0"/>
              <w:keepLines w:val="0"/>
              <w:pageBreakBefore w:val="0"/>
              <w:kinsoku/>
              <w:wordWrap/>
              <w:overflowPunct/>
              <w:topLinePunct w:val="0"/>
              <w:autoSpaceDE/>
              <w:autoSpaceDN/>
              <w:bidi w:val="0"/>
              <w:adjustRightInd/>
              <w:snapToGrid/>
              <w:spacing w:before="72" w:beforeLines="30" w:beforeAutospacing="0" w:after="0" w:afterAutospacing="0" w:line="300" w:lineRule="exact"/>
              <w:jc w:val="center"/>
              <w:textAlignment w:val="auto"/>
              <w:outlineLvl w:val="0"/>
              <w:rPr>
                <w:rFonts w:hint="default" w:ascii="Times New Roman" w:hAnsi="Times New Roman" w:eastAsia="黑体" w:cs="Times New Roman"/>
                <w:kern w:val="2"/>
                <w:sz w:val="21"/>
                <w:szCs w:val="21"/>
                <w:highlight w:val="none"/>
              </w:rPr>
            </w:pPr>
            <w:r>
              <w:rPr>
                <w:rFonts w:hint="default" w:ascii="Times New Roman" w:hAnsi="Times New Roman" w:eastAsia="黑体" w:cs="Times New Roman"/>
                <w:kern w:val="2"/>
                <w:sz w:val="21"/>
                <w:szCs w:val="21"/>
                <w:highlight w:val="none"/>
              </w:rPr>
              <w:t>内容</w:t>
            </w:r>
          </w:p>
          <w:p>
            <w:pPr>
              <w:pStyle w:val="15"/>
              <w:keepNext w:val="0"/>
              <w:keepLines w:val="0"/>
              <w:pageBreakBefore w:val="0"/>
              <w:kinsoku/>
              <w:wordWrap/>
              <w:overflowPunct/>
              <w:topLinePunct w:val="0"/>
              <w:autoSpaceDE/>
              <w:autoSpaceDN/>
              <w:bidi w:val="0"/>
              <w:adjustRightInd/>
              <w:snapToGrid/>
              <w:spacing w:before="72" w:beforeLines="30" w:beforeAutospacing="0" w:after="0" w:afterAutospacing="0" w:line="300" w:lineRule="exact"/>
              <w:jc w:val="center"/>
              <w:textAlignment w:val="auto"/>
              <w:outlineLvl w:val="0"/>
              <w:rPr>
                <w:rFonts w:hint="default" w:ascii="Times New Roman" w:hAnsi="Times New Roman" w:eastAsia="黑体" w:cs="Times New Roman"/>
                <w:kern w:val="2"/>
                <w:sz w:val="21"/>
                <w:szCs w:val="21"/>
                <w:highlight w:val="none"/>
              </w:rPr>
            </w:pPr>
          </w:p>
          <w:p>
            <w:pPr>
              <w:pStyle w:val="15"/>
              <w:keepNext w:val="0"/>
              <w:keepLines w:val="0"/>
              <w:pageBreakBefore w:val="0"/>
              <w:kinsoku/>
              <w:wordWrap/>
              <w:overflowPunct/>
              <w:topLinePunct w:val="0"/>
              <w:autoSpaceDE/>
              <w:autoSpaceDN/>
              <w:bidi w:val="0"/>
              <w:adjustRightInd/>
              <w:snapToGrid/>
              <w:spacing w:before="0" w:beforeAutospacing="0" w:after="0" w:afterAutospacing="0" w:line="300" w:lineRule="exact"/>
              <w:textAlignment w:val="auto"/>
              <w:outlineLvl w:val="0"/>
              <w:rPr>
                <w:rFonts w:hint="default" w:ascii="Times New Roman" w:hAnsi="Times New Roman" w:eastAsia="黑体" w:cs="Times New Roman"/>
                <w:kern w:val="2"/>
                <w:sz w:val="21"/>
                <w:szCs w:val="21"/>
                <w:highlight w:val="none"/>
              </w:rPr>
            </w:pPr>
            <w:r>
              <w:rPr>
                <w:rFonts w:hint="default" w:ascii="Times New Roman" w:hAnsi="Times New Roman" w:eastAsia="黑体" w:cs="Times New Roman"/>
                <w:kern w:val="2"/>
                <w:sz w:val="21"/>
                <w:szCs w:val="21"/>
                <w:highlight w:val="none"/>
              </w:rPr>
              <w:t>要素</w:t>
            </w:r>
          </w:p>
        </w:tc>
        <w:tc>
          <w:tcPr>
            <w:tcW w:w="2056" w:type="pct"/>
            <w:gridSpan w:val="2"/>
            <w:noWrap w:val="0"/>
            <w:vAlign w:val="center"/>
          </w:tcPr>
          <w:p>
            <w:pPr>
              <w:pStyle w:val="15"/>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黑体" w:cs="Times New Roman"/>
                <w:kern w:val="2"/>
                <w:sz w:val="21"/>
                <w:szCs w:val="21"/>
                <w:highlight w:val="none"/>
              </w:rPr>
            </w:pPr>
            <w:r>
              <w:rPr>
                <w:rFonts w:hint="default" w:ascii="Times New Roman" w:hAnsi="Times New Roman" w:eastAsia="黑体" w:cs="Times New Roman"/>
                <w:kern w:val="2"/>
                <w:sz w:val="21"/>
                <w:szCs w:val="21"/>
                <w:highlight w:val="none"/>
              </w:rPr>
              <w:t>施工期</w:t>
            </w:r>
          </w:p>
        </w:tc>
        <w:tc>
          <w:tcPr>
            <w:tcW w:w="2075" w:type="pct"/>
            <w:gridSpan w:val="2"/>
            <w:noWrap w:val="0"/>
            <w:vAlign w:val="center"/>
          </w:tcPr>
          <w:p>
            <w:pPr>
              <w:pStyle w:val="15"/>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黑体" w:cs="Times New Roman"/>
                <w:kern w:val="2"/>
                <w:sz w:val="21"/>
                <w:szCs w:val="21"/>
                <w:highlight w:val="none"/>
              </w:rPr>
            </w:pPr>
            <w:r>
              <w:rPr>
                <w:rFonts w:hint="eastAsia" w:ascii="Times New Roman" w:hAnsi="Times New Roman" w:eastAsia="黑体" w:cs="Times New Roman"/>
                <w:kern w:val="2"/>
                <w:sz w:val="21"/>
                <w:szCs w:val="21"/>
                <w:highlight w:val="none"/>
                <w:lang w:val="en-US" w:eastAsia="zh-CN"/>
              </w:rPr>
              <w:t>勘探</w:t>
            </w:r>
            <w:r>
              <w:rPr>
                <w:rFonts w:hint="default" w:ascii="Times New Roman" w:hAnsi="Times New Roman" w:eastAsia="黑体" w:cs="Times New Roman"/>
                <w:kern w:val="2"/>
                <w:sz w:val="21"/>
                <w:szCs w:val="21"/>
                <w:highlight w:val="none"/>
              </w:rPr>
              <w:t>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868" w:type="pct"/>
            <w:vMerge w:val="continue"/>
            <w:noWrap w:val="0"/>
            <w:vAlign w:val="top"/>
          </w:tcPr>
          <w:p>
            <w:pPr>
              <w:pStyle w:val="15"/>
              <w:keepNext w:val="0"/>
              <w:keepLines w:val="0"/>
              <w:pageBreakBefore w:val="0"/>
              <w:kinsoku/>
              <w:wordWrap/>
              <w:overflowPunct/>
              <w:topLinePunct w:val="0"/>
              <w:autoSpaceDE/>
              <w:autoSpaceDN/>
              <w:bidi w:val="0"/>
              <w:adjustRightInd/>
              <w:snapToGrid/>
              <w:spacing w:before="0" w:beforeAutospacing="0" w:after="0" w:afterAutospacing="0" w:line="300" w:lineRule="exact"/>
              <w:ind w:firstLine="840"/>
              <w:jc w:val="center"/>
              <w:textAlignment w:val="auto"/>
              <w:outlineLvl w:val="0"/>
              <w:rPr>
                <w:rFonts w:hint="default" w:ascii="Times New Roman" w:hAnsi="Times New Roman" w:eastAsia="黑体" w:cs="Times New Roman"/>
                <w:kern w:val="2"/>
                <w:sz w:val="21"/>
                <w:szCs w:val="21"/>
                <w:highlight w:val="none"/>
              </w:rPr>
            </w:pPr>
          </w:p>
        </w:tc>
        <w:tc>
          <w:tcPr>
            <w:tcW w:w="1079" w:type="pct"/>
            <w:noWrap w:val="0"/>
            <w:vAlign w:val="center"/>
          </w:tcPr>
          <w:p>
            <w:pPr>
              <w:pStyle w:val="15"/>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黑体" w:cs="Times New Roman"/>
                <w:kern w:val="2"/>
                <w:sz w:val="21"/>
                <w:szCs w:val="21"/>
                <w:highlight w:val="none"/>
              </w:rPr>
            </w:pPr>
            <w:r>
              <w:rPr>
                <w:rFonts w:hint="default" w:ascii="Times New Roman" w:hAnsi="Times New Roman" w:eastAsia="黑体" w:cs="Times New Roman"/>
                <w:kern w:val="2"/>
                <w:sz w:val="21"/>
                <w:szCs w:val="21"/>
                <w:highlight w:val="none"/>
              </w:rPr>
              <w:t>环境保护措施</w:t>
            </w:r>
          </w:p>
        </w:tc>
        <w:tc>
          <w:tcPr>
            <w:tcW w:w="976" w:type="pct"/>
            <w:noWrap w:val="0"/>
            <w:vAlign w:val="center"/>
          </w:tcPr>
          <w:p>
            <w:pPr>
              <w:pStyle w:val="15"/>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黑体" w:cs="Times New Roman"/>
                <w:kern w:val="2"/>
                <w:sz w:val="21"/>
                <w:szCs w:val="21"/>
                <w:highlight w:val="none"/>
              </w:rPr>
            </w:pPr>
            <w:r>
              <w:rPr>
                <w:rFonts w:hint="default" w:ascii="Times New Roman" w:hAnsi="Times New Roman" w:eastAsia="黑体" w:cs="Times New Roman"/>
                <w:kern w:val="2"/>
                <w:sz w:val="21"/>
                <w:szCs w:val="21"/>
                <w:highlight w:val="none"/>
              </w:rPr>
              <w:t>验收要求</w:t>
            </w:r>
          </w:p>
        </w:tc>
        <w:tc>
          <w:tcPr>
            <w:tcW w:w="1188" w:type="pct"/>
            <w:noWrap w:val="0"/>
            <w:vAlign w:val="center"/>
          </w:tcPr>
          <w:p>
            <w:pPr>
              <w:pStyle w:val="15"/>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黑体" w:cs="Times New Roman"/>
                <w:kern w:val="2"/>
                <w:sz w:val="21"/>
                <w:szCs w:val="21"/>
                <w:highlight w:val="none"/>
              </w:rPr>
            </w:pPr>
            <w:r>
              <w:rPr>
                <w:rFonts w:hint="default" w:ascii="Times New Roman" w:hAnsi="Times New Roman" w:eastAsia="黑体" w:cs="Times New Roman"/>
                <w:kern w:val="2"/>
                <w:sz w:val="21"/>
                <w:szCs w:val="21"/>
                <w:highlight w:val="none"/>
              </w:rPr>
              <w:t>环境保护措施</w:t>
            </w:r>
          </w:p>
        </w:tc>
        <w:tc>
          <w:tcPr>
            <w:tcW w:w="887" w:type="pct"/>
            <w:noWrap w:val="0"/>
            <w:vAlign w:val="center"/>
          </w:tcPr>
          <w:p>
            <w:pPr>
              <w:pStyle w:val="15"/>
              <w:keepNext w:val="0"/>
              <w:keepLines w:val="0"/>
              <w:pageBreakBefore w:val="0"/>
              <w:kinsoku/>
              <w:wordWrap/>
              <w:overflowPunct/>
              <w:topLinePunct w:val="0"/>
              <w:autoSpaceDE/>
              <w:autoSpaceDN/>
              <w:bidi w:val="0"/>
              <w:adjustRightInd/>
              <w:snapToGrid/>
              <w:spacing w:before="0" w:beforeAutospacing="0" w:after="0" w:afterAutospacing="0" w:line="300" w:lineRule="exact"/>
              <w:jc w:val="center"/>
              <w:textAlignment w:val="auto"/>
              <w:outlineLvl w:val="0"/>
              <w:rPr>
                <w:rFonts w:hint="default" w:ascii="Times New Roman" w:hAnsi="Times New Roman" w:eastAsia="黑体" w:cs="Times New Roman"/>
                <w:kern w:val="2"/>
                <w:sz w:val="21"/>
                <w:szCs w:val="21"/>
                <w:highlight w:val="none"/>
              </w:rPr>
            </w:pPr>
            <w:r>
              <w:rPr>
                <w:rFonts w:hint="default" w:ascii="Times New Roman" w:hAnsi="Times New Roman" w:eastAsia="黑体" w:cs="Times New Roman"/>
                <w:kern w:val="2"/>
                <w:sz w:val="21"/>
                <w:szCs w:val="21"/>
                <w:highlight w:val="none"/>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陆生生态</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合理设置临时堆放场，减少临时占地</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减少对植被的破坏</w:t>
            </w:r>
            <w:r>
              <w:rPr>
                <w:rFonts w:hint="default" w:ascii="Times New Roman" w:hAnsi="Times New Roman" w:cs="Times New Roman"/>
                <w:szCs w:val="21"/>
                <w:highlight w:val="none"/>
                <w:lang w:eastAsia="zh-CN"/>
              </w:rPr>
              <w:t>。</w:t>
            </w:r>
            <w:r>
              <w:rPr>
                <w:rFonts w:hint="default" w:ascii="Times New Roman" w:hAnsi="Times New Roman" w:cs="Times New Roman"/>
                <w:szCs w:val="21"/>
                <w:highlight w:val="none"/>
              </w:rPr>
              <w:t>施工结束后土地应及时平整恢复</w:t>
            </w:r>
            <w:r>
              <w:rPr>
                <w:rFonts w:hint="default" w:ascii="Times New Roman" w:hAnsi="Times New Roman" w:cs="Times New Roman"/>
                <w:szCs w:val="21"/>
                <w:highlight w:val="none"/>
                <w:lang w:eastAsia="zh-CN"/>
              </w:rPr>
              <w:t>，尽可能恢复植被原貌</w:t>
            </w: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施工期应尽量减少对地表植被的破坏，避开植被较丰富的区域，避免破坏固沙植被。</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合理设置临时堆放场，减少临时占地。减少对植被的破坏。施工结束后土地应及时平整恢复，定期检查已回填恢复的探槽，尽可能恢复植被原貌</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水生生态</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地表水环境</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生活污水排入</w:t>
            </w:r>
            <w:r>
              <w:rPr>
                <w:rFonts w:hint="eastAsia" w:cs="Times New Roman"/>
                <w:szCs w:val="21"/>
                <w:highlight w:val="none"/>
                <w:lang w:val="en-US" w:eastAsia="zh-CN"/>
              </w:rPr>
              <w:t>一体化污水处理设施</w:t>
            </w:r>
            <w:r>
              <w:rPr>
                <w:rFonts w:hint="eastAsia" w:ascii="Times New Roman" w:hAnsi="Times New Roman" w:cs="Times New Roman"/>
                <w:szCs w:val="21"/>
                <w:highlight w:val="none"/>
                <w:lang w:val="en-US" w:eastAsia="zh-CN"/>
              </w:rPr>
              <w:t>，</w:t>
            </w:r>
            <w:r>
              <w:rPr>
                <w:rFonts w:hint="eastAsia" w:ascii="Times New Roman" w:hAnsi="Times New Roman" w:eastAsia="宋体" w:cs="Times New Roman"/>
                <w:sz w:val="21"/>
                <w:szCs w:val="21"/>
                <w:highlight w:val="none"/>
                <w:lang w:val="en-US" w:eastAsia="zh-CN"/>
              </w:rPr>
              <w:t>处理完成后用于周边</w:t>
            </w:r>
            <w:r>
              <w:rPr>
                <w:rFonts w:hint="eastAsia" w:cs="Times New Roman"/>
                <w:sz w:val="21"/>
                <w:szCs w:val="21"/>
                <w:highlight w:val="none"/>
                <w:lang w:val="en-US" w:eastAsia="zh-CN"/>
              </w:rPr>
              <w:t>绿化</w:t>
            </w:r>
            <w:r>
              <w:rPr>
                <w:rFonts w:hint="eastAsia" w:cs="Times New Roman"/>
                <w:szCs w:val="21"/>
                <w:highlight w:val="none"/>
                <w:lang w:val="en-US" w:eastAsia="zh-CN"/>
              </w:rPr>
              <w:t>。</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eastAsia" w:ascii="Times New Roman" w:hAnsi="Times New Roman" w:cs="Times New Roman"/>
                <w:szCs w:val="21"/>
                <w:highlight w:val="none"/>
                <w:lang w:val="en-US" w:eastAsia="zh-CN"/>
              </w:rPr>
              <w:t>/</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生活污水</w:t>
            </w:r>
            <w:r>
              <w:rPr>
                <w:rFonts w:hint="eastAsia" w:cs="Times New Roman"/>
                <w:szCs w:val="21"/>
                <w:highlight w:val="none"/>
                <w:lang w:val="en-US" w:eastAsia="zh-CN"/>
              </w:rPr>
              <w:t>经一体化污水处理设施处理完成后用于周边绿化</w:t>
            </w:r>
            <w:r>
              <w:rPr>
                <w:rFonts w:hint="eastAsia" w:ascii="Times New Roman" w:hAnsi="Times New Roman" w:cs="Times New Roman"/>
                <w:szCs w:val="21"/>
                <w:highlight w:val="none"/>
                <w:lang w:val="en-US" w:eastAsia="zh-CN"/>
              </w:rPr>
              <w:t>；设备清洗废水经沉淀池沉淀后</w:t>
            </w:r>
            <w:r>
              <w:rPr>
                <w:rFonts w:hint="eastAsia" w:cs="Times New Roman"/>
                <w:szCs w:val="21"/>
                <w:highlight w:val="none"/>
                <w:lang w:val="en-US" w:eastAsia="zh-CN"/>
              </w:rPr>
              <w:t>循环使用；</w:t>
            </w:r>
            <w:r>
              <w:rPr>
                <w:rFonts w:hint="eastAsia" w:ascii="Times New Roman" w:hAnsi="Times New Roman" w:cs="Times New Roman"/>
                <w:szCs w:val="21"/>
                <w:highlight w:val="none"/>
                <w:lang w:val="en-US" w:eastAsia="zh-CN"/>
              </w:rPr>
              <w:t>泥浆调配</w:t>
            </w:r>
            <w:r>
              <w:rPr>
                <w:rFonts w:hint="eastAsia" w:cs="Times New Roman"/>
                <w:szCs w:val="21"/>
                <w:highlight w:val="none"/>
                <w:lang w:val="en-US" w:eastAsia="zh-CN"/>
              </w:rPr>
              <w:t>水随配置泥浆循环使用不外排。</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地下水及土壤环境</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声环境</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eastAsia" w:ascii="Times New Roman" w:hAnsi="Times New Roman" w:cs="Times New Roman"/>
                <w:szCs w:val="21"/>
                <w:highlight w:val="none"/>
                <w:lang w:eastAsia="zh-CN"/>
              </w:rPr>
              <w:t>（</w:t>
            </w:r>
            <w:r>
              <w:rPr>
                <w:rFonts w:hint="default" w:ascii="Times New Roman" w:hAnsi="Times New Roman" w:cs="Times New Roman"/>
                <w:szCs w:val="21"/>
                <w:highlight w:val="none"/>
              </w:rPr>
              <w:t>1</w:t>
            </w:r>
            <w:r>
              <w:rPr>
                <w:rFonts w:hint="eastAsia" w:ascii="Times New Roman" w:hAnsi="Times New Roman" w:cs="Times New Roman"/>
                <w:szCs w:val="21"/>
                <w:highlight w:val="none"/>
                <w:lang w:eastAsia="zh-CN"/>
              </w:rPr>
              <w:t>）</w:t>
            </w:r>
            <w:r>
              <w:rPr>
                <w:rFonts w:hint="default" w:ascii="Times New Roman" w:hAnsi="Times New Roman" w:cs="Times New Roman"/>
                <w:szCs w:val="21"/>
                <w:highlight w:val="none"/>
              </w:rPr>
              <w:t>合理安排施工时间、禁止夜间施工、合理规划施工场地，合理分布施工机械；</w:t>
            </w:r>
          </w:p>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（2）施工单位应采用噪声水平满足国家相应标准的施工机械设备，加强施工机械的维修、管理，保证施工机械处于低噪声、高效率的良好工作状态</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eastAsia" w:ascii="Times New Roman" w:hAnsi="Times New Roman" w:cs="Times New Roman"/>
                <w:szCs w:val="21"/>
                <w:highlight w:val="none"/>
                <w:lang w:val="en-US" w:eastAsia="zh-CN"/>
              </w:rPr>
              <w:t>执行</w:t>
            </w:r>
            <w:r>
              <w:rPr>
                <w:rFonts w:hint="eastAsia" w:cs="Times New Roman"/>
                <w:szCs w:val="21"/>
                <w:highlight w:val="none"/>
                <w:lang w:val="en-US" w:eastAsia="zh-CN"/>
              </w:rPr>
              <w:t>《建筑施工噪声排放标准》（GB12523-2025）</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r>
              <w:rPr>
                <w:rFonts w:hint="default" w:ascii="Times New Roman" w:hAnsi="Times New Roman" w:cs="Times New Roman"/>
                <w:szCs w:val="21"/>
                <w:highlight w:val="none"/>
                <w:lang w:val="en-US" w:eastAsia="zh-CN"/>
              </w:rPr>
              <w:t>1</w:t>
            </w:r>
            <w:r>
              <w:rPr>
                <w:rFonts w:hint="eastAsia" w:ascii="Times New Roman" w:hAnsi="Times New Roman" w:cs="Times New Roman"/>
                <w:szCs w:val="21"/>
                <w:highlight w:val="none"/>
                <w:lang w:val="en-US" w:eastAsia="zh-CN"/>
              </w:rPr>
              <w:t>）合理安排施工时间、禁止夜间施工、合理规划施工场地，合理分布施工机械；（</w:t>
            </w:r>
            <w:r>
              <w:rPr>
                <w:rFonts w:hint="default" w:ascii="Times New Roman" w:hAnsi="Times New Roman" w:cs="Times New Roman"/>
                <w:szCs w:val="21"/>
                <w:highlight w:val="none"/>
                <w:lang w:val="en-US" w:eastAsia="zh-CN"/>
              </w:rPr>
              <w:t>2</w:t>
            </w:r>
            <w:r>
              <w:rPr>
                <w:rFonts w:hint="eastAsia" w:ascii="Times New Roman" w:hAnsi="Times New Roman" w:cs="Times New Roman"/>
                <w:szCs w:val="21"/>
                <w:highlight w:val="none"/>
                <w:lang w:val="en-US" w:eastAsia="zh-CN"/>
              </w:rPr>
              <w:t>）施工单位应采用噪声水平满足国家相应标准的施工机械设备，加强施工机械的维修、管理，保证施工机械处于低噪声、高效率的良好工作状态</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执行</w:t>
            </w:r>
            <w:r>
              <w:rPr>
                <w:rFonts w:hint="eastAsia" w:cs="Times New Roman"/>
                <w:szCs w:val="21"/>
                <w:highlight w:val="none"/>
                <w:lang w:val="en-US" w:eastAsia="zh-CN"/>
              </w:rPr>
              <w:t>《建筑施工噪声排放标准》（GB12523-2025）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振动</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大气环境</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eastAsia="zh-CN"/>
              </w:rPr>
            </w:pPr>
            <w:r>
              <w:rPr>
                <w:rFonts w:hint="eastAsia" w:ascii="Times New Roman" w:hAnsi="Times New Roman" w:cs="Times New Roman"/>
                <w:szCs w:val="21"/>
                <w:highlight w:val="none"/>
                <w:lang w:val="en-US" w:eastAsia="zh-CN"/>
              </w:rPr>
              <w:t>道路</w:t>
            </w:r>
            <w:r>
              <w:rPr>
                <w:rFonts w:hint="default" w:ascii="Times New Roman" w:hAnsi="Times New Roman" w:cs="Times New Roman"/>
                <w:szCs w:val="21"/>
                <w:highlight w:val="none"/>
              </w:rPr>
              <w:t>洒水抑尘</w:t>
            </w:r>
            <w:r>
              <w:rPr>
                <w:rFonts w:hint="eastAsia" w:ascii="Times New Roman" w:hAnsi="Times New Roman" w:cs="Times New Roman"/>
                <w:szCs w:val="21"/>
                <w:highlight w:val="none"/>
                <w:lang w:eastAsia="zh-CN"/>
              </w:rPr>
              <w:t>，</w:t>
            </w:r>
            <w:r>
              <w:rPr>
                <w:rFonts w:hint="default" w:ascii="Times New Roman" w:hAnsi="Times New Roman" w:cs="Times New Roman"/>
                <w:szCs w:val="21"/>
                <w:highlight w:val="none"/>
              </w:rPr>
              <w:t>开挖土</w:t>
            </w:r>
            <w:r>
              <w:rPr>
                <w:rFonts w:hint="eastAsia" w:ascii="Times New Roman" w:hAnsi="Times New Roman" w:cs="Times New Roman"/>
                <w:szCs w:val="21"/>
                <w:highlight w:val="none"/>
                <w:lang w:val="en-US" w:eastAsia="zh-CN"/>
              </w:rPr>
              <w:t>石</w:t>
            </w:r>
            <w:r>
              <w:rPr>
                <w:rFonts w:hint="default" w:ascii="Times New Roman" w:hAnsi="Times New Roman" w:cs="Times New Roman"/>
                <w:szCs w:val="21"/>
                <w:highlight w:val="none"/>
              </w:rPr>
              <w:t>方使用彩条布覆盖</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eastAsia="zh-CN"/>
              </w:rPr>
            </w:pPr>
            <w:r>
              <w:rPr>
                <w:rFonts w:hint="eastAsia" w:ascii="Times New Roman" w:hAnsi="Times New Roman" w:cs="Times New Roman"/>
                <w:szCs w:val="21"/>
                <w:highlight w:val="none"/>
                <w:lang w:eastAsia="zh-CN"/>
              </w:rPr>
              <w:t>满足</w:t>
            </w:r>
            <w:r>
              <w:rPr>
                <w:rFonts w:hint="default" w:ascii="Times New Roman" w:hAnsi="Times New Roman" w:cs="Times New Roman"/>
                <w:szCs w:val="21"/>
                <w:highlight w:val="none"/>
              </w:rPr>
              <w:t>《大气污染物综合排放标准》（GB16297-1996）表2中的无组织排放监控浓度限值</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道路洒水抑尘，开挖土石方使用彩条布覆盖</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粉尘排放满足《大气污染物综合排放标准》（</w:t>
            </w:r>
            <w:r>
              <w:rPr>
                <w:rFonts w:hint="default" w:ascii="Times New Roman" w:hAnsi="Times New Roman" w:cs="Times New Roman"/>
                <w:szCs w:val="21"/>
                <w:highlight w:val="none"/>
                <w:lang w:val="en-US" w:eastAsia="zh-CN"/>
              </w:rPr>
              <w:t>GB16297-1996</w:t>
            </w:r>
            <w:r>
              <w:rPr>
                <w:rFonts w:hint="eastAsia" w:ascii="Times New Roman" w:hAnsi="Times New Roman" w:cs="Times New Roman"/>
                <w:szCs w:val="21"/>
                <w:highlight w:val="none"/>
                <w:lang w:val="en-US" w:eastAsia="zh-CN"/>
              </w:rPr>
              <w:t>）表</w:t>
            </w:r>
            <w:r>
              <w:rPr>
                <w:rFonts w:hint="default" w:ascii="Times New Roman" w:hAnsi="Times New Roman" w:cs="Times New Roman"/>
                <w:szCs w:val="21"/>
                <w:highlight w:val="none"/>
                <w:lang w:val="en-US" w:eastAsia="zh-CN"/>
              </w:rPr>
              <w:t>2</w:t>
            </w:r>
            <w:r>
              <w:rPr>
                <w:rFonts w:hint="eastAsia" w:ascii="Times New Roman" w:hAnsi="Times New Roman" w:cs="Times New Roman"/>
                <w:szCs w:val="21"/>
                <w:highlight w:val="none"/>
                <w:lang w:val="en-US" w:eastAsia="zh-CN"/>
              </w:rPr>
              <w:t>中的无组织排放监控浓度限值</w:t>
            </w:r>
            <w:r>
              <w:rPr>
                <w:rFonts w:hint="eastAsia" w:cs="Times New Roman"/>
                <w:szCs w:val="21"/>
                <w:highlight w:val="none"/>
                <w:lang w:val="en-US" w:eastAsia="zh-CN"/>
              </w:rPr>
              <w:t>，柴油发电机烟气参照执行《非道路移动机械用柴油机排气污染物排放限值及测量方法（中国第三、四阶段）》（GB20891-2014）修改单以及《非道路柴油移动机械污染物排放控制技术要求》（HJ1014-2020）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固体废物</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施工期固体废物来自施工过程中</w:t>
            </w:r>
            <w:r>
              <w:rPr>
                <w:rFonts w:hint="default" w:ascii="Times New Roman" w:hAnsi="Times New Roman" w:cs="Times New Roman"/>
                <w:szCs w:val="21"/>
                <w:highlight w:val="none"/>
                <w:lang w:val="en-US" w:eastAsia="zh-CN"/>
              </w:rPr>
              <w:t>土地平整所开挖</w:t>
            </w:r>
            <w:r>
              <w:rPr>
                <w:rFonts w:hint="default" w:ascii="Times New Roman" w:hAnsi="Times New Roman" w:cs="Times New Roman"/>
                <w:szCs w:val="21"/>
                <w:highlight w:val="none"/>
              </w:rPr>
              <w:t>的</w:t>
            </w:r>
            <w:r>
              <w:rPr>
                <w:rFonts w:hint="default" w:ascii="Times New Roman" w:hAnsi="Times New Roman" w:cs="Times New Roman"/>
                <w:szCs w:val="21"/>
                <w:highlight w:val="none"/>
                <w:lang w:val="en-US" w:eastAsia="zh-CN"/>
              </w:rPr>
              <w:t>土石方，全部堆放在临时堆场内，待项目</w:t>
            </w:r>
            <w:r>
              <w:rPr>
                <w:rFonts w:hint="eastAsia" w:ascii="Times New Roman" w:hAnsi="Times New Roman" w:cs="Times New Roman"/>
                <w:szCs w:val="21"/>
                <w:highlight w:val="none"/>
                <w:lang w:val="en-US" w:eastAsia="zh-CN"/>
              </w:rPr>
              <w:t>施工</w:t>
            </w:r>
            <w:r>
              <w:rPr>
                <w:rFonts w:hint="default" w:ascii="Times New Roman" w:hAnsi="Times New Roman" w:cs="Times New Roman"/>
                <w:szCs w:val="21"/>
                <w:highlight w:val="none"/>
                <w:lang w:val="en-US" w:eastAsia="zh-CN"/>
              </w:rPr>
              <w:t>期结束后，全部回填，恢复原有地貌</w:t>
            </w:r>
            <w:r>
              <w:rPr>
                <w:rFonts w:hint="eastAsia" w:ascii="Times New Roman" w:hAnsi="Times New Roman" w:cs="Times New Roman"/>
                <w:szCs w:val="21"/>
                <w:highlight w:val="none"/>
                <w:lang w:val="en-US" w:eastAsia="zh-CN"/>
              </w:rPr>
              <w:t>；</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eastAsia" w:ascii="Times New Roman" w:hAnsi="Times New Roman" w:cs="Times New Roman"/>
                <w:szCs w:val="21"/>
                <w:highlight w:val="none"/>
                <w:lang w:val="en-US" w:eastAsia="zh-CN"/>
              </w:rPr>
              <w:t>工业固体废物应符合《一般工业固体废物贮存和填埋污染控制标准》（</w:t>
            </w:r>
            <w:r>
              <w:rPr>
                <w:rFonts w:hint="default" w:ascii="Times New Roman" w:hAnsi="Times New Roman" w:cs="Times New Roman"/>
                <w:szCs w:val="21"/>
                <w:highlight w:val="none"/>
                <w:lang w:val="en-US" w:eastAsia="zh-CN"/>
              </w:rPr>
              <w:t>GB18599-2020</w:t>
            </w:r>
            <w:r>
              <w:rPr>
                <w:rFonts w:hint="eastAsia" w:ascii="Times New Roman" w:hAnsi="Times New Roman" w:cs="Times New Roman"/>
                <w:szCs w:val="21"/>
                <w:highlight w:val="none"/>
                <w:lang w:val="en-US" w:eastAsia="zh-CN"/>
              </w:rPr>
              <w:t>）要求</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槽探、钻探开挖产生</w:t>
            </w:r>
            <w:r>
              <w:rPr>
                <w:rFonts w:hint="eastAsia" w:cs="Times New Roman"/>
                <w:szCs w:val="21"/>
                <w:highlight w:val="none"/>
                <w:lang w:val="en-US" w:eastAsia="zh-CN"/>
              </w:rPr>
              <w:t>的</w:t>
            </w:r>
            <w:r>
              <w:rPr>
                <w:rFonts w:hint="eastAsia" w:ascii="Times New Roman" w:hAnsi="Times New Roman" w:cs="Times New Roman"/>
                <w:szCs w:val="21"/>
                <w:highlight w:val="none"/>
                <w:lang w:val="en-US" w:eastAsia="zh-CN"/>
              </w:rPr>
              <w:t>土石方在勘探期结束后全部回填至开挖地，临时占地应及时恢复，与原有地貌和景观协调。施工营地内设置一定数量的垃圾桶，用于临时存放生活垃圾统一收集后交由环卫部门定期处理。钻井</w:t>
            </w:r>
            <w:r>
              <w:rPr>
                <w:rFonts w:hint="eastAsia" w:cs="Times New Roman"/>
                <w:szCs w:val="21"/>
                <w:highlight w:val="none"/>
                <w:lang w:val="en-US" w:eastAsia="zh-CN"/>
              </w:rPr>
              <w:t>岩芯</w:t>
            </w:r>
            <w:r>
              <w:rPr>
                <w:rFonts w:hint="eastAsia" w:ascii="Times New Roman" w:hAnsi="Times New Roman" w:cs="Times New Roman"/>
                <w:szCs w:val="21"/>
                <w:highlight w:val="none"/>
                <w:lang w:val="en-US" w:eastAsia="zh-CN"/>
              </w:rPr>
              <w:t>由地质勘探队统一收集，最终交至单位</w:t>
            </w:r>
            <w:r>
              <w:rPr>
                <w:rFonts w:hint="eastAsia" w:cs="Times New Roman"/>
                <w:szCs w:val="21"/>
                <w:highlight w:val="none"/>
                <w:lang w:val="en-US" w:eastAsia="zh-CN"/>
              </w:rPr>
              <w:t>岩芯</w:t>
            </w:r>
            <w:r>
              <w:rPr>
                <w:rFonts w:hint="eastAsia" w:ascii="Times New Roman" w:hAnsi="Times New Roman" w:cs="Times New Roman"/>
                <w:szCs w:val="21"/>
                <w:highlight w:val="none"/>
                <w:lang w:val="en-US" w:eastAsia="zh-CN"/>
              </w:rPr>
              <w:t>库统一保管，钻井泥浆固化后</w:t>
            </w:r>
            <w:r>
              <w:rPr>
                <w:rFonts w:hint="eastAsia" w:cs="Times New Roman"/>
                <w:szCs w:val="21"/>
                <w:highlight w:val="none"/>
                <w:lang w:val="en-US" w:eastAsia="zh-CN"/>
              </w:rPr>
              <w:t>交</w:t>
            </w:r>
            <w:r>
              <w:rPr>
                <w:rFonts w:hint="eastAsia"/>
                <w:lang w:val="en-US" w:eastAsia="zh-CN"/>
              </w:rPr>
              <w:t>一般固废处置单位统一处理</w:t>
            </w:r>
            <w:r>
              <w:rPr>
                <w:rFonts w:hint="eastAsia" w:cs="Times New Roman"/>
                <w:szCs w:val="21"/>
                <w:highlight w:val="none"/>
                <w:lang w:val="en-US" w:eastAsia="zh-CN"/>
              </w:rPr>
              <w:t>。</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工业固体废物应符合《一般工业固体废物贮存和填埋污染控制标准》（</w:t>
            </w:r>
            <w:r>
              <w:rPr>
                <w:rFonts w:hint="default" w:ascii="Times New Roman" w:hAnsi="Times New Roman" w:cs="Times New Roman"/>
                <w:szCs w:val="21"/>
                <w:highlight w:val="none"/>
                <w:lang w:val="en-US" w:eastAsia="zh-CN"/>
              </w:rPr>
              <w:t>GB18599-2020</w:t>
            </w:r>
            <w:r>
              <w:rPr>
                <w:rFonts w:hint="eastAsia" w:ascii="Times New Roman" w:hAnsi="Times New Roman" w:cs="Times New Roman"/>
                <w:szCs w:val="21"/>
                <w:highlight w:val="none"/>
                <w:lang w:val="en-US" w:eastAsia="zh-CN"/>
              </w:rPr>
              <w:t>）要求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电磁环境</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highlight w:val="none"/>
                <w:lang w:val="en-US" w:eastAsia="zh-CN"/>
              </w:rPr>
            </w:pPr>
            <w:r>
              <w:rPr>
                <w:rFonts w:hint="eastAsia" w:cs="Times New Roman"/>
                <w:szCs w:val="21"/>
                <w:highlight w:val="none"/>
                <w:lang w:val="en-US" w:eastAsia="zh-CN"/>
              </w:rPr>
              <w:t>/</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highlight w:val="none"/>
                <w:lang w:val="en-US" w:eastAsia="zh-CN"/>
              </w:rPr>
            </w:pPr>
            <w:r>
              <w:rPr>
                <w:rFonts w:hint="eastAsia" w:cs="Times New Roman"/>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环境风险</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cs="Times New Roman"/>
                <w:szCs w:val="21"/>
                <w:highlight w:val="none"/>
                <w:lang w:val="en-US" w:eastAsia="zh-CN"/>
              </w:rPr>
              <w:t>/</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eastAsia" w:cs="Times New Roman"/>
                <w:szCs w:val="21"/>
                <w:highlight w:val="none"/>
                <w:lang w:val="en-US" w:eastAsia="zh-CN"/>
              </w:rPr>
              <w:t>/</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color w:val="auto"/>
                <w:highlight w:val="none"/>
                <w:lang w:val="en-US" w:eastAsia="zh-CN"/>
              </w:rPr>
              <w:t>建立健全突发环境事件</w:t>
            </w:r>
            <w:r>
              <w:rPr>
                <w:rFonts w:hint="eastAsia" w:cs="Times New Roman"/>
                <w:color w:val="auto"/>
                <w:highlight w:val="none"/>
                <w:lang w:val="en-US" w:eastAsia="zh-CN"/>
              </w:rPr>
              <w:t>管理制度</w:t>
            </w:r>
            <w:r>
              <w:rPr>
                <w:rFonts w:hint="default" w:ascii="Times New Roman" w:hAnsi="Times New Roman" w:eastAsia="宋体" w:cs="Times New Roman"/>
                <w:color w:val="auto"/>
                <w:highlight w:val="none"/>
                <w:lang w:val="en-US" w:eastAsia="zh-CN"/>
              </w:rPr>
              <w:t>；加强设备保养，保证设备设施的正常运行</w:t>
            </w:r>
            <w:r>
              <w:rPr>
                <w:rFonts w:hint="eastAsia" w:cs="Times New Roman"/>
                <w:szCs w:val="21"/>
                <w:highlight w:val="none"/>
                <w:lang w:val="en-US" w:eastAsia="zh-CN"/>
              </w:rPr>
              <w:t>。</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环境监测</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szCs w:val="21"/>
                <w:highlight w:val="none"/>
                <w:lang w:val="en-US" w:eastAsia="zh-CN"/>
              </w:rPr>
              <w:t>/</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kern w:val="2"/>
                <w:sz w:val="21"/>
                <w:szCs w:val="21"/>
                <w:highlight w:val="none"/>
                <w:lang w:val="en-US" w:eastAsia="zh-CN" w:bidi="ar-SA"/>
              </w:rPr>
            </w:pPr>
            <w:r>
              <w:rPr>
                <w:rFonts w:hint="eastAsia" w:cs="Times New Roman"/>
                <w:szCs w:val="21"/>
                <w:highlight w:val="none"/>
                <w:lang w:val="en-US" w:eastAsia="zh-CN"/>
              </w:rPr>
              <w:t>/</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rPr>
              <w:t>其他</w:t>
            </w:r>
          </w:p>
        </w:tc>
        <w:tc>
          <w:tcPr>
            <w:tcW w:w="1079"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w:t>
            </w:r>
          </w:p>
        </w:tc>
        <w:tc>
          <w:tcPr>
            <w:tcW w:w="976"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w:t>
            </w:r>
          </w:p>
        </w:tc>
        <w:tc>
          <w:tcPr>
            <w:tcW w:w="1188"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highlight w:val="none"/>
                <w:lang w:val="en-US" w:eastAsia="zh-CN"/>
              </w:rPr>
            </w:pPr>
            <w:r>
              <w:rPr>
                <w:rFonts w:hint="eastAsia" w:cs="Times New Roman"/>
                <w:szCs w:val="21"/>
                <w:highlight w:val="none"/>
                <w:lang w:val="en-US" w:eastAsia="zh-CN"/>
              </w:rPr>
              <w:t>/</w:t>
            </w:r>
          </w:p>
        </w:tc>
        <w:tc>
          <w:tcPr>
            <w:tcW w:w="887" w:type="pct"/>
            <w:noWrap w:val="0"/>
            <w:vAlign w:val="center"/>
          </w:tcPr>
          <w:p>
            <w:pPr>
              <w:keepNext w:val="0"/>
              <w:keepLines w:val="0"/>
              <w:pageBreakBefore w:val="0"/>
              <w:kinsoku/>
              <w:wordWrap/>
              <w:overflowPunct/>
              <w:topLinePunct w:val="0"/>
              <w:autoSpaceDE/>
              <w:autoSpaceDN/>
              <w:bidi w:val="0"/>
              <w:adjustRightInd/>
              <w:snapToGrid/>
              <w:spacing w:afterAutospacing="0" w:line="300" w:lineRule="exact"/>
              <w:jc w:val="center"/>
              <w:textAlignment w:val="auto"/>
              <w:rPr>
                <w:rFonts w:hint="eastAsia" w:ascii="Times New Roman" w:hAnsi="Times New Roman" w:eastAsia="宋体" w:cs="Times New Roman"/>
                <w:szCs w:val="21"/>
                <w:highlight w:val="none"/>
                <w:lang w:val="en-US" w:eastAsia="zh-CN"/>
              </w:rPr>
            </w:pPr>
            <w:r>
              <w:rPr>
                <w:rFonts w:hint="eastAsia" w:cs="Times New Roman"/>
                <w:szCs w:val="21"/>
                <w:highlight w:val="none"/>
                <w:lang w:val="en-US" w:eastAsia="zh-CN"/>
              </w:rPr>
              <w:t>/</w:t>
            </w:r>
          </w:p>
        </w:tc>
      </w:tr>
    </w:tbl>
    <w:p>
      <w:pPr>
        <w:pStyle w:val="15"/>
        <w:keepNext w:val="0"/>
        <w:keepLines w:val="0"/>
        <w:pageBreakBefore w:val="0"/>
        <w:kinsoku/>
        <w:wordWrap/>
        <w:overflowPunct/>
        <w:topLinePunct w:val="0"/>
        <w:autoSpaceDE/>
        <w:autoSpaceDN/>
        <w:bidi w:val="0"/>
        <w:adjustRightInd/>
        <w:snapToGrid/>
        <w:spacing w:afterAutospacing="0" w:line="300" w:lineRule="exact"/>
        <w:jc w:val="center"/>
        <w:textAlignment w:val="auto"/>
        <w:outlineLvl w:val="0"/>
        <w:rPr>
          <w:rFonts w:ascii="黑体" w:hAnsi="黑体" w:eastAsia="黑体"/>
          <w:snapToGrid w:val="0"/>
          <w:sz w:val="30"/>
          <w:szCs w:val="30"/>
          <w:highlight w:val="none"/>
        </w:rPr>
      </w:pPr>
    </w:p>
    <w:p>
      <w:pPr>
        <w:pStyle w:val="15"/>
        <w:spacing w:before="0" w:beforeAutospacing="0" w:line="360" w:lineRule="auto"/>
        <w:jc w:val="center"/>
        <w:outlineLvl w:val="0"/>
        <w:rPr>
          <w:rFonts w:hint="eastAsia" w:ascii="黑体" w:hAnsi="黑体" w:eastAsia="黑体"/>
          <w:snapToGrid w:val="0"/>
          <w:sz w:val="30"/>
          <w:szCs w:val="30"/>
          <w:highlight w:val="none"/>
        </w:rPr>
      </w:pPr>
      <w:r>
        <w:rPr>
          <w:rFonts w:ascii="黑体" w:hAnsi="黑体" w:eastAsia="黑体"/>
          <w:snapToGrid w:val="0"/>
          <w:sz w:val="30"/>
          <w:szCs w:val="30"/>
          <w:highlight w:val="none"/>
        </w:rPr>
        <w:br w:type="page"/>
      </w:r>
    </w:p>
    <w:p>
      <w:pPr>
        <w:pStyle w:val="15"/>
        <w:spacing w:before="192" w:beforeLines="80" w:beforeAutospacing="0" w:line="360" w:lineRule="auto"/>
        <w:jc w:val="center"/>
        <w:outlineLvl w:val="0"/>
        <w:rPr>
          <w:rFonts w:ascii="黑体" w:hAnsi="黑体" w:eastAsia="黑体"/>
          <w:snapToGrid w:val="0"/>
          <w:sz w:val="30"/>
          <w:szCs w:val="30"/>
          <w:highlight w:val="none"/>
        </w:rPr>
      </w:pPr>
      <w:r>
        <w:rPr>
          <w:rFonts w:hint="eastAsia" w:ascii="黑体" w:hAnsi="黑体" w:eastAsia="黑体"/>
          <w:snapToGrid w:val="0"/>
          <w:sz w:val="30"/>
          <w:szCs w:val="30"/>
          <w:highlight w:val="none"/>
        </w:rPr>
        <w:t>七、结论</w:t>
      </w:r>
    </w:p>
    <w:tbl>
      <w:tblPr>
        <w:tblStyle w:val="17"/>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349" w:hRule="atLeast"/>
          <w:jc w:val="center"/>
        </w:trPr>
        <w:tc>
          <w:tcPr>
            <w:tcW w:w="9289"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jc w:val="both"/>
              <w:textAlignment w:val="auto"/>
              <w:rPr>
                <w:b/>
                <w:sz w:val="24"/>
                <w:highlight w:val="none"/>
              </w:rPr>
            </w:pPr>
            <w:r>
              <w:rPr>
                <w:sz w:val="24"/>
                <w:highlight w:val="none"/>
              </w:rPr>
              <w:t>综合上述，项目方应严格实施本环评报告提出的各项环保措施和建议，做到污染物达标排放，做好生态环境的保护与恢复。在严格落实本环评提出的各项污染物治理和生态保护措施的前提下，该项目不会对区域环境质量及生态</w:t>
            </w:r>
            <w:r>
              <w:rPr>
                <w:rFonts w:hint="eastAsia"/>
                <w:sz w:val="24"/>
                <w:highlight w:val="none"/>
              </w:rPr>
              <w:t>环境</w:t>
            </w:r>
            <w:r>
              <w:rPr>
                <w:sz w:val="24"/>
                <w:highlight w:val="none"/>
              </w:rPr>
              <w:t>产生大的影响，从环境保护角度分析，本项</w:t>
            </w:r>
            <w:r>
              <w:rPr>
                <w:rFonts w:hint="eastAsia"/>
                <w:sz w:val="24"/>
                <w:highlight w:val="none"/>
                <w:lang w:eastAsia="zh-CN"/>
              </w:rPr>
              <w:t>目环境影响</w:t>
            </w:r>
            <w:r>
              <w:rPr>
                <w:sz w:val="24"/>
                <w:highlight w:val="none"/>
              </w:rPr>
              <w:t>可行。</w:t>
            </w:r>
          </w:p>
          <w:p>
            <w:pPr>
              <w:adjustRightInd w:val="0"/>
              <w:snapToGrid w:val="0"/>
              <w:spacing w:line="360" w:lineRule="auto"/>
              <w:ind w:firstLine="315"/>
              <w:jc w:val="center"/>
              <w:rPr>
                <w:rFonts w:ascii="宋体" w:hAnsi="宋体" w:cs="宋体"/>
                <w:szCs w:val="21"/>
                <w:highlight w:val="none"/>
              </w:rPr>
            </w:pPr>
          </w:p>
        </w:tc>
      </w:tr>
    </w:tbl>
    <w:p>
      <w:pPr>
        <w:spacing w:line="360" w:lineRule="auto"/>
        <w:rPr>
          <w:highlight w:val="none"/>
        </w:rPr>
      </w:pPr>
    </w:p>
    <w:sectPr>
      <w:pgSz w:w="11906" w:h="16838"/>
      <w:pgMar w:top="1440" w:right="1800" w:bottom="1440" w:left="1800" w:header="851" w:footer="107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moder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22</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mIYrDt8BAAC/AwAADgAAAAAA&#10;AAABACAAAAAeAQAAZHJzL2Uyb0RvYy54bWxQSwUGAAAAAAYABgBZAQAAbw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A70C0"/>
    <w:multiLevelType w:val="singleLevel"/>
    <w:tmpl w:val="9FDA70C0"/>
    <w:lvl w:ilvl="0" w:tentative="0">
      <w:start w:val="1"/>
      <w:numFmt w:val="decimal"/>
      <w:suff w:val="nothing"/>
      <w:lvlText w:val="（%1）"/>
      <w:lvlJc w:val="left"/>
    </w:lvl>
  </w:abstractNum>
  <w:abstractNum w:abstractNumId="1">
    <w:nsid w:val="A273C69B"/>
    <w:multiLevelType w:val="singleLevel"/>
    <w:tmpl w:val="A273C69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D7F61"/>
    <w:rsid w:val="018C7332"/>
    <w:rsid w:val="01C33C63"/>
    <w:rsid w:val="021E165F"/>
    <w:rsid w:val="036856D5"/>
    <w:rsid w:val="04412AE3"/>
    <w:rsid w:val="075A50CB"/>
    <w:rsid w:val="0887422F"/>
    <w:rsid w:val="08FA00EF"/>
    <w:rsid w:val="0937562C"/>
    <w:rsid w:val="0B0D10E9"/>
    <w:rsid w:val="0C302C4E"/>
    <w:rsid w:val="0C4A1ADB"/>
    <w:rsid w:val="0DF471F4"/>
    <w:rsid w:val="0FFC1F54"/>
    <w:rsid w:val="10AA7D4E"/>
    <w:rsid w:val="113C397D"/>
    <w:rsid w:val="11BB635B"/>
    <w:rsid w:val="12CB363D"/>
    <w:rsid w:val="12D11E1C"/>
    <w:rsid w:val="14DD349D"/>
    <w:rsid w:val="16821F8D"/>
    <w:rsid w:val="177C41C0"/>
    <w:rsid w:val="19D127F7"/>
    <w:rsid w:val="1A553C19"/>
    <w:rsid w:val="1B186332"/>
    <w:rsid w:val="1B6D1746"/>
    <w:rsid w:val="1BFC64C8"/>
    <w:rsid w:val="1C3D625F"/>
    <w:rsid w:val="1C3E2106"/>
    <w:rsid w:val="1CBE78EF"/>
    <w:rsid w:val="200D4E1D"/>
    <w:rsid w:val="202B6FB8"/>
    <w:rsid w:val="224465A8"/>
    <w:rsid w:val="24EF51AC"/>
    <w:rsid w:val="2536529E"/>
    <w:rsid w:val="28976054"/>
    <w:rsid w:val="28A13B50"/>
    <w:rsid w:val="2AE65C60"/>
    <w:rsid w:val="2AE71F5B"/>
    <w:rsid w:val="2B536537"/>
    <w:rsid w:val="2BB319D7"/>
    <w:rsid w:val="2C723803"/>
    <w:rsid w:val="2DF36570"/>
    <w:rsid w:val="2EBE07DF"/>
    <w:rsid w:val="2F281BD1"/>
    <w:rsid w:val="31A674D7"/>
    <w:rsid w:val="33A95E46"/>
    <w:rsid w:val="33CC0056"/>
    <w:rsid w:val="343639E8"/>
    <w:rsid w:val="344E62C0"/>
    <w:rsid w:val="359027A9"/>
    <w:rsid w:val="35F8585C"/>
    <w:rsid w:val="36B1251A"/>
    <w:rsid w:val="38F7039F"/>
    <w:rsid w:val="39067D13"/>
    <w:rsid w:val="3BA40D5C"/>
    <w:rsid w:val="3D833A74"/>
    <w:rsid w:val="41992B1D"/>
    <w:rsid w:val="41FB499F"/>
    <w:rsid w:val="4340669C"/>
    <w:rsid w:val="43CB723B"/>
    <w:rsid w:val="44422B37"/>
    <w:rsid w:val="44ED7D58"/>
    <w:rsid w:val="44F3562A"/>
    <w:rsid w:val="47854E58"/>
    <w:rsid w:val="47DB18B2"/>
    <w:rsid w:val="47F6354A"/>
    <w:rsid w:val="4AB46493"/>
    <w:rsid w:val="4B5F6CE3"/>
    <w:rsid w:val="4C7B78B7"/>
    <w:rsid w:val="4C7E1155"/>
    <w:rsid w:val="4E930559"/>
    <w:rsid w:val="4ED53F52"/>
    <w:rsid w:val="504514CC"/>
    <w:rsid w:val="50DC644B"/>
    <w:rsid w:val="516C451C"/>
    <w:rsid w:val="51905E38"/>
    <w:rsid w:val="519E6DDF"/>
    <w:rsid w:val="52A54C40"/>
    <w:rsid w:val="53731F1F"/>
    <w:rsid w:val="54211915"/>
    <w:rsid w:val="5A9577EC"/>
    <w:rsid w:val="5CDE5A96"/>
    <w:rsid w:val="5E9D2C0B"/>
    <w:rsid w:val="5F0026CD"/>
    <w:rsid w:val="5F585957"/>
    <w:rsid w:val="60BB42CE"/>
    <w:rsid w:val="615D5AE6"/>
    <w:rsid w:val="628B45B9"/>
    <w:rsid w:val="635A009E"/>
    <w:rsid w:val="63FD00F6"/>
    <w:rsid w:val="63FE028F"/>
    <w:rsid w:val="66872677"/>
    <w:rsid w:val="67BD7F61"/>
    <w:rsid w:val="692D4F55"/>
    <w:rsid w:val="6A422BE5"/>
    <w:rsid w:val="6BB26AD9"/>
    <w:rsid w:val="6BC74AB0"/>
    <w:rsid w:val="6BFB736C"/>
    <w:rsid w:val="6CA42AAE"/>
    <w:rsid w:val="6CAF065E"/>
    <w:rsid w:val="6D1D64D0"/>
    <w:rsid w:val="6E1F35A4"/>
    <w:rsid w:val="6FE973CC"/>
    <w:rsid w:val="70193A97"/>
    <w:rsid w:val="71E80C9B"/>
    <w:rsid w:val="72DA41D5"/>
    <w:rsid w:val="74D343FB"/>
    <w:rsid w:val="75F93477"/>
    <w:rsid w:val="763E380A"/>
    <w:rsid w:val="764C6ACE"/>
    <w:rsid w:val="7711659E"/>
    <w:rsid w:val="77A0546D"/>
    <w:rsid w:val="7807603A"/>
    <w:rsid w:val="79DB277C"/>
    <w:rsid w:val="7A0A0C6C"/>
    <w:rsid w:val="7AB452B0"/>
    <w:rsid w:val="7AE30A7D"/>
    <w:rsid w:val="7C97171F"/>
    <w:rsid w:val="7D3D2A7E"/>
    <w:rsid w:val="7D9D12FC"/>
    <w:rsid w:val="7E321A82"/>
    <w:rsid w:val="7EA654F4"/>
    <w:rsid w:val="7EF75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1"/>
    <w:next w:val="1"/>
    <w:qFormat/>
    <w:uiPriority w:val="0"/>
    <w:pPr>
      <w:keepNext/>
      <w:keepLines/>
      <w:spacing w:before="20" w:beforeLines="0" w:after="20" w:afterLines="0" w:line="560" w:lineRule="exact"/>
      <w:jc w:val="left"/>
      <w:outlineLvl w:val="1"/>
    </w:pPr>
    <w:rPr>
      <w:b/>
      <w:bCs/>
      <w:sz w:val="28"/>
      <w:szCs w:val="28"/>
    </w:rPr>
  </w:style>
  <w:style w:type="paragraph" w:styleId="7">
    <w:name w:val="heading 3"/>
    <w:basedOn w:val="1"/>
    <w:next w:val="1"/>
    <w:qFormat/>
    <w:uiPriority w:val="0"/>
    <w:pPr>
      <w:keepNext/>
      <w:keepLines/>
      <w:spacing w:before="260" w:after="260" w:line="416" w:lineRule="auto"/>
      <w:jc w:val="left"/>
      <w:outlineLvl w:val="2"/>
    </w:pPr>
    <w:rPr>
      <w:b/>
      <w:bCs/>
      <w:sz w:val="30"/>
      <w:szCs w:val="32"/>
    </w:rPr>
  </w:style>
  <w:style w:type="paragraph" w:styleId="4">
    <w:name w:val="heading 4"/>
    <w:basedOn w:val="1"/>
    <w:next w:val="1"/>
    <w:unhideWhenUsed/>
    <w:qFormat/>
    <w:uiPriority w:val="0"/>
    <w:pPr>
      <w:spacing w:line="240" w:lineRule="auto"/>
      <w:ind w:firstLine="0" w:firstLineChars="0"/>
      <w:outlineLvl w:val="3"/>
    </w:pPr>
    <w:rPr>
      <w:rFonts w:ascii="Times New Roman" w:hAnsi="Times New Roman" w:eastAsia="宋体"/>
      <w:bCs/>
      <w:sz w:val="21"/>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next w:val="4"/>
    <w:semiHidden/>
    <w:qFormat/>
    <w:uiPriority w:val="0"/>
    <w:pPr>
      <w:spacing w:after="120"/>
      <w:ind w:left="420" w:leftChars="200"/>
    </w:pPr>
  </w:style>
  <w:style w:type="paragraph" w:styleId="8">
    <w:name w:val="caption"/>
    <w:basedOn w:val="1"/>
    <w:next w:val="1"/>
    <w:qFormat/>
    <w:uiPriority w:val="0"/>
    <w:pPr>
      <w:spacing w:before="152" w:beforeLines="0" w:after="160" w:afterLines="0" w:line="240" w:lineRule="auto"/>
      <w:ind w:firstLine="0" w:firstLineChars="0"/>
      <w:jc w:val="center"/>
    </w:pPr>
    <w:rPr>
      <w:rFonts w:ascii="Times New Roman" w:hAnsi="Times New Roman" w:eastAsia="宋体" w:cs="Arial"/>
      <w:kern w:val="2"/>
      <w:sz w:val="21"/>
      <w:szCs w:val="21"/>
    </w:rPr>
  </w:style>
  <w:style w:type="paragraph" w:styleId="9">
    <w:name w:val="annotation text"/>
    <w:basedOn w:val="1"/>
    <w:qFormat/>
    <w:uiPriority w:val="0"/>
    <w:pPr>
      <w:jc w:val="left"/>
    </w:pPr>
  </w:style>
  <w:style w:type="paragraph" w:styleId="10">
    <w:name w:val="Body Text"/>
    <w:basedOn w:val="1"/>
    <w:qFormat/>
    <w:uiPriority w:val="0"/>
    <w:pPr>
      <w:widowControl/>
      <w:snapToGrid w:val="0"/>
      <w:spacing w:before="60" w:after="160" w:line="259" w:lineRule="auto"/>
      <w:ind w:right="113"/>
    </w:pPr>
    <w:rPr>
      <w:kern w:val="0"/>
      <w:sz w:val="18"/>
      <w:szCs w:val="18"/>
    </w:rPr>
  </w:style>
  <w:style w:type="paragraph" w:styleId="11">
    <w:name w:val="Body Text Indent 2"/>
    <w:basedOn w:val="1"/>
    <w:qFormat/>
    <w:uiPriority w:val="0"/>
    <w:pPr>
      <w:spacing w:after="120" w:afterLines="0" w:line="480" w:lineRule="auto"/>
      <w:ind w:left="420" w:leftChars="200"/>
    </w:pPr>
    <w:rPr>
      <w:szCs w:val="24"/>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List"/>
    <w:basedOn w:val="1"/>
    <w:next w:val="1"/>
    <w:qFormat/>
    <w:uiPriority w:val="0"/>
    <w:pPr>
      <w:spacing w:line="360" w:lineRule="auto"/>
      <w:ind w:left="200" w:hanging="200" w:hangingChars="200"/>
    </w:pPr>
    <w:rPr>
      <w:sz w:val="24"/>
    </w:rPr>
  </w:style>
  <w:style w:type="paragraph" w:styleId="14">
    <w:name w:val="Body Text 2"/>
    <w:basedOn w:val="1"/>
    <w:unhideWhenUsed/>
    <w:qFormat/>
    <w:uiPriority w:val="99"/>
    <w:pPr>
      <w:spacing w:after="120" w:line="480" w:lineRule="auto"/>
    </w:pPr>
  </w:style>
  <w:style w:type="paragraph" w:styleId="15">
    <w:name w:val="Normal (Web)"/>
    <w:basedOn w:val="1"/>
    <w:qFormat/>
    <w:uiPriority w:val="0"/>
    <w:pPr>
      <w:widowControl/>
      <w:spacing w:before="100" w:beforeAutospacing="1" w:after="100" w:afterAutospacing="1"/>
      <w:jc w:val="left"/>
    </w:pPr>
    <w:rPr>
      <w:rFonts w:ascii="宋体" w:hAnsi="宋体"/>
      <w:kern w:val="0"/>
      <w:sz w:val="24"/>
    </w:rPr>
  </w:style>
  <w:style w:type="paragraph" w:styleId="16">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table" w:styleId="18">
    <w:name w:val="Table Grid"/>
    <w:basedOn w:val="1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Emphasis"/>
    <w:basedOn w:val="19"/>
    <w:qFormat/>
    <w:uiPriority w:val="0"/>
    <w:rPr>
      <w:i/>
    </w:rPr>
  </w:style>
  <w:style w:type="paragraph" w:customStyle="1" w:styleId="22">
    <w:name w:val="Default"/>
    <w:basedOn w:val="23"/>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3">
    <w:name w:val="1 表头"/>
    <w:basedOn w:val="1"/>
    <w:qFormat/>
    <w:uiPriority w:val="0"/>
    <w:pPr>
      <w:spacing w:line="240" w:lineRule="auto"/>
      <w:ind w:firstLine="0" w:firstLineChars="0"/>
      <w:jc w:val="center"/>
    </w:pPr>
    <w:rPr>
      <w:b/>
      <w:color w:val="000000"/>
      <w:sz w:val="21"/>
      <w:szCs w:val="21"/>
    </w:rPr>
  </w:style>
  <w:style w:type="paragraph" w:customStyle="1" w:styleId="24">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25">
    <w:name w:val="表内文字"/>
    <w:basedOn w:val="1"/>
    <w:qFormat/>
    <w:uiPriority w:val="0"/>
    <w:pPr>
      <w:adjustRightInd w:val="0"/>
      <w:snapToGrid w:val="0"/>
      <w:spacing w:line="240" w:lineRule="auto"/>
      <w:ind w:firstLine="0" w:firstLineChars="0"/>
      <w:jc w:val="center"/>
    </w:pPr>
    <w:rPr>
      <w:rFonts w:ascii="Times New Roman" w:hAnsi="Times New Roman"/>
      <w:sz w:val="21"/>
      <w:szCs w:val="21"/>
    </w:rPr>
  </w:style>
  <w:style w:type="paragraph" w:customStyle="1" w:styleId="26">
    <w:name w:val="表内居左"/>
    <w:qFormat/>
    <w:uiPriority w:val="0"/>
    <w:pPr>
      <w:adjustRightInd w:val="0"/>
      <w:snapToGrid w:val="0"/>
      <w:jc w:val="both"/>
    </w:pPr>
    <w:rPr>
      <w:rFonts w:hAnsi="Times New Roman" w:cs="Times New Roman" w:asciiTheme="minorEastAsia" w:eastAsiaTheme="minorEastAsia"/>
      <w:sz w:val="21"/>
      <w:lang w:val="en-US" w:eastAsia="zh-CN" w:bidi="ar-SA"/>
    </w:rPr>
  </w:style>
  <w:style w:type="paragraph" w:customStyle="1" w:styleId="27">
    <w:name w:val="表格"/>
    <w:basedOn w:val="1"/>
    <w:next w:val="1"/>
    <w:qFormat/>
    <w:uiPriority w:val="0"/>
    <w:pPr>
      <w:adjustRightInd w:val="0"/>
      <w:snapToGrid w:val="0"/>
      <w:spacing w:beforeLines="10" w:afterLines="10" w:line="259" w:lineRule="auto"/>
      <w:jc w:val="center"/>
    </w:pPr>
    <w:rPr>
      <w:rFonts w:ascii="宋体"/>
      <w:kern w:val="0"/>
      <w:sz w:val="20"/>
      <w:szCs w:val="21"/>
    </w:rPr>
  </w:style>
  <w:style w:type="paragraph" w:customStyle="1" w:styleId="28">
    <w:name w:val="正文+宋体"/>
    <w:basedOn w:val="1"/>
    <w:qFormat/>
    <w:uiPriority w:val="0"/>
    <w:pPr>
      <w:spacing w:line="360" w:lineRule="auto"/>
      <w:ind w:firstLine="480" w:firstLineChars="200"/>
    </w:pPr>
    <w:rPr>
      <w:rFonts w:ascii="宋体" w:hAnsi="宋体" w:eastAsia="宋体"/>
      <w:snapToGrid w:val="0"/>
      <w:kern w:val="24"/>
      <w:sz w:val="24"/>
    </w:rPr>
  </w:style>
  <w:style w:type="paragraph" w:customStyle="1" w:styleId="29">
    <w:name w:val="表文煤矿排版"/>
    <w:basedOn w:val="1"/>
    <w:next w:val="1"/>
    <w:qFormat/>
    <w:uiPriority w:val="0"/>
    <w:pPr>
      <w:adjustRightInd w:val="0"/>
      <w:snapToGrid w:val="0"/>
      <w:spacing w:line="240" w:lineRule="auto"/>
      <w:ind w:firstLine="0" w:firstLineChars="0"/>
      <w:jc w:val="center"/>
    </w:pPr>
    <w:rPr>
      <w:rFonts w:ascii="Times New Roman" w:hAnsi="Times New Roman" w:eastAsia="宋体" w:cs="Times New Roman"/>
      <w:sz w:val="22"/>
      <w:szCs w:val="22"/>
    </w:rPr>
  </w:style>
  <w:style w:type="character" w:customStyle="1" w:styleId="30">
    <w:name w:val="font222"/>
    <w:basedOn w:val="19"/>
    <w:qFormat/>
    <w:uiPriority w:val="0"/>
    <w:rPr>
      <w:rFonts w:hint="default" w:ascii="Times New Roman" w:hAnsi="Times New Roman" w:cs="Times New Roman"/>
      <w:color w:val="000000"/>
      <w:sz w:val="18"/>
      <w:szCs w:val="18"/>
      <w:u w:val="none"/>
      <w:vertAlign w:val="subscript"/>
    </w:rPr>
  </w:style>
  <w:style w:type="paragraph" w:customStyle="1" w:styleId="31">
    <w:name w:val="1正文段落"/>
    <w:basedOn w:val="1"/>
    <w:qFormat/>
    <w:uiPriority w:val="0"/>
    <w:pPr>
      <w:spacing w:line="360" w:lineRule="auto"/>
      <w:ind w:firstLine="480" w:firstLineChars="200"/>
      <w:jc w:val="left"/>
    </w:pPr>
    <w:rPr>
      <w:snapToGrid w:val="0"/>
      <w:kern w:val="0"/>
      <w:sz w:val="24"/>
    </w:rPr>
  </w:style>
  <w:style w:type="paragraph" w:customStyle="1" w:styleId="32">
    <w:name w:val="表字1"/>
    <w:basedOn w:val="1"/>
    <w:qFormat/>
    <w:uiPriority w:val="0"/>
    <w:pPr>
      <w:adjustRightInd w:val="0"/>
      <w:snapToGrid w:val="0"/>
      <w:spacing w:line="200" w:lineRule="atLeast"/>
      <w:ind w:left="872"/>
      <w:jc w:val="center"/>
    </w:pPr>
    <w:rPr>
      <w:snapToGrid w:val="0"/>
      <w:kern w:val="0"/>
      <w:szCs w:val="21"/>
    </w:rPr>
  </w:style>
  <w:style w:type="paragraph" w:customStyle="1" w:styleId="33">
    <w:name w:val="正文1"/>
    <w:basedOn w:val="1"/>
    <w:next w:val="1"/>
    <w:qFormat/>
    <w:uiPriority w:val="0"/>
    <w:pPr>
      <w:adjustRightInd w:val="0"/>
      <w:snapToGrid w:val="0"/>
      <w:spacing w:line="500" w:lineRule="atLeast"/>
      <w:ind w:firstLine="567"/>
    </w:pPr>
    <w:rPr>
      <w:sz w:val="28"/>
    </w:rPr>
  </w:style>
  <w:style w:type="paragraph" w:customStyle="1" w:styleId="34">
    <w:name w:val="表头"/>
    <w:basedOn w:val="35"/>
    <w:next w:val="10"/>
    <w:qFormat/>
    <w:uiPriority w:val="0"/>
    <w:rPr>
      <w:rFonts w:ascii="Times New Roman" w:hAnsi="Times New Roman" w:eastAsia="黑体" w:cs="Times New Roman"/>
      <w:sz w:val="24"/>
    </w:rPr>
  </w:style>
  <w:style w:type="paragraph" w:customStyle="1" w:styleId="35">
    <w:name w:val="报告表格"/>
    <w:basedOn w:val="1"/>
    <w:qFormat/>
    <w:uiPriority w:val="0"/>
    <w:pPr>
      <w:autoSpaceDE w:val="0"/>
      <w:autoSpaceDN w:val="0"/>
      <w:adjustRightInd w:val="0"/>
      <w:spacing w:line="240" w:lineRule="auto"/>
      <w:ind w:firstLine="0" w:firstLineChars="0"/>
      <w:jc w:val="center"/>
      <w:textAlignment w:val="baseline"/>
    </w:pPr>
    <w:rPr>
      <w:kern w:val="0"/>
      <w:sz w:val="21"/>
      <w:szCs w:val="20"/>
    </w:rPr>
  </w:style>
  <w:style w:type="paragraph" w:customStyle="1" w:styleId="36">
    <w:name w:val="Table Paragraph"/>
    <w:basedOn w:val="1"/>
    <w:qFormat/>
    <w:uiPriority w:val="1"/>
    <w:pPr>
      <w:autoSpaceDE w:val="0"/>
      <w:autoSpaceDN w:val="0"/>
      <w:jc w:val="center"/>
    </w:pPr>
    <w:rPr>
      <w:rFonts w:ascii="宋体" w:hAnsi="宋体" w:cs="宋体"/>
      <w:kern w:val="0"/>
      <w:sz w:val="22"/>
      <w:szCs w:val="22"/>
      <w:lang w:eastAsia="en-US"/>
    </w:rPr>
  </w:style>
  <w:style w:type="paragraph" w:customStyle="1" w:styleId="37">
    <w:name w:val="样式 样式 (中文) 楷体_GB2312 四号 行距: 固定值 26 磅 +"/>
    <w:basedOn w:val="1"/>
    <w:qFormat/>
    <w:uiPriority w:val="0"/>
    <w:pPr>
      <w:spacing w:line="360" w:lineRule="auto"/>
      <w:ind w:firstLine="480" w:firstLineChars="200"/>
    </w:pPr>
    <w:rPr>
      <w:kern w:val="0"/>
      <w:sz w:val="24"/>
      <w:szCs w:val="20"/>
    </w:rPr>
  </w:style>
  <w:style w:type="paragraph" w:customStyle="1" w:styleId="38">
    <w:name w:val="正文 小四 行距: 1.5 倍行距"/>
    <w:basedOn w:val="1"/>
    <w:qFormat/>
    <w:uiPriority w:val="0"/>
    <w:pPr>
      <w:spacing w:line="360" w:lineRule="auto"/>
      <w:ind w:firstLine="480" w:firstLineChars="200"/>
    </w:pPr>
    <w:rPr>
      <w:rFonts w:ascii="宋体" w:hAnsi="宋体"/>
      <w:sz w:val="24"/>
      <w:szCs w:val="20"/>
    </w:rPr>
  </w:style>
  <w:style w:type="paragraph" w:customStyle="1" w:styleId="39">
    <w:name w:val="_Style 4"/>
    <w:basedOn w:val="1"/>
    <w:qFormat/>
    <w:uiPriority w:val="34"/>
    <w:pPr>
      <w:ind w:firstLine="420" w:firstLineChars="200"/>
    </w:pPr>
    <w:rPr>
      <w:rFonts w:ascii="Calibri" w:hAnsi="Calibri"/>
      <w:szCs w:val="22"/>
    </w:rPr>
  </w:style>
  <w:style w:type="paragraph" w:customStyle="1" w:styleId="40">
    <w:name w:val="文本"/>
    <w:basedOn w:val="1"/>
    <w:qFormat/>
    <w:uiPriority w:val="0"/>
    <w:pPr>
      <w:adjustRightInd w:val="0"/>
      <w:snapToGrid w:val="0"/>
      <w:spacing w:line="360" w:lineRule="auto"/>
      <w:ind w:firstLine="480" w:firstLineChars="200"/>
      <w:jc w:val="left"/>
    </w:pPr>
    <w:rPr>
      <w:kern w:val="0"/>
      <w:sz w:val="24"/>
    </w:rPr>
  </w:style>
  <w:style w:type="paragraph" w:customStyle="1" w:styleId="41">
    <w:name w:val="表标头jophy"/>
    <w:qFormat/>
    <w:uiPriority w:val="0"/>
    <w:pPr>
      <w:adjustRightInd w:val="0"/>
      <w:snapToGrid w:val="0"/>
      <w:jc w:val="center"/>
    </w:pPr>
    <w:rPr>
      <w:rFonts w:ascii="Times New Roman" w:hAnsi="Times New Roman" w:eastAsia="Times New Roman" w:cs="Times New Roman"/>
      <w:b/>
      <w:bCs/>
      <w:kern w:val="2"/>
      <w:sz w:val="24"/>
      <w:szCs w:val="28"/>
      <w:lang w:val="en-US" w:eastAsia="zh-CN" w:bidi="ar-SA"/>
    </w:rPr>
  </w:style>
  <w:style w:type="paragraph" w:customStyle="1" w:styleId="42">
    <w:name w:val="表格头jophy"/>
    <w:basedOn w:val="1"/>
    <w:qFormat/>
    <w:uiPriority w:val="0"/>
    <w:pPr>
      <w:adjustRightInd w:val="0"/>
      <w:snapToGrid w:val="0"/>
      <w:jc w:val="center"/>
      <w:textAlignment w:val="baseline"/>
    </w:pPr>
    <w:rPr>
      <w:b/>
      <w:bCs/>
      <w:spacing w:val="-10"/>
      <w:kern w:val="0"/>
      <w:szCs w:val="28"/>
    </w:rPr>
  </w:style>
  <w:style w:type="paragraph" w:customStyle="1" w:styleId="43">
    <w:name w:val="表格内容jophy"/>
    <w:basedOn w:val="1"/>
    <w:qFormat/>
    <w:uiPriority w:val="0"/>
    <w:pPr>
      <w:adjustRightInd w:val="0"/>
      <w:snapToGrid w:val="0"/>
      <w:jc w:val="center"/>
    </w:pPr>
    <w:rPr>
      <w:szCs w:val="18"/>
    </w:rPr>
  </w:style>
  <w:style w:type="table" w:customStyle="1" w:styleId="44">
    <w:name w:val="TableGrid"/>
    <w:basedOn w:val="17"/>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45">
    <w:name w:val="表格内文字啊啊啊啊"/>
    <w:basedOn w:val="1"/>
    <w:qFormat/>
    <w:uiPriority w:val="0"/>
    <w:pPr>
      <w:widowControl/>
      <w:wordWrap w:val="0"/>
      <w:jc w:val="center"/>
    </w:pPr>
    <w:rPr>
      <w:rFonts w:hint="eastAsia" w:ascii="Times New Roman" w:hAnsi="Times New Roman" w:eastAsia="宋体" w:cs="宋体"/>
      <w:color w:val="000000"/>
      <w:kern w:val="0"/>
      <w:szCs w:val="21"/>
    </w:rPr>
  </w:style>
  <w:style w:type="paragraph" w:customStyle="1" w:styleId="46">
    <w:name w:val="表头啊啊啊啊啊"/>
    <w:basedOn w:val="1"/>
    <w:qFormat/>
    <w:uiPriority w:val="0"/>
    <w:pPr>
      <w:jc w:val="center"/>
    </w:pPr>
    <w:rPr>
      <w:rFonts w:ascii="Times New Roman" w:hAnsi="Times New Roman" w:eastAsia="宋体" w:cs="Times New Roman"/>
      <w:b/>
      <w:bCs/>
      <w:szCs w:val="21"/>
    </w:rPr>
  </w:style>
  <w:style w:type="paragraph" w:customStyle="1" w:styleId="47">
    <w:name w:val="表格里面啊啊啊啊"/>
    <w:basedOn w:val="1"/>
    <w:qFormat/>
    <w:uiPriority w:val="0"/>
    <w:pPr>
      <w:jc w:val="center"/>
    </w:pPr>
    <w:rPr>
      <w:rFonts w:ascii="Times New Roman" w:hAnsi="Times New Roman" w:eastAsia="宋体" w:cs="Times New Roman"/>
      <w:szCs w:val="21"/>
    </w:rPr>
  </w:style>
  <w:style w:type="character" w:customStyle="1" w:styleId="48">
    <w:name w:val="font21"/>
    <w:basedOn w:val="19"/>
    <w:qFormat/>
    <w:uiPriority w:val="0"/>
    <w:rPr>
      <w:rFonts w:hint="default" w:ascii="Times New Roman" w:hAnsi="Times New Roman" w:cs="Times New Roman"/>
      <w:color w:val="000000"/>
      <w:sz w:val="21"/>
      <w:szCs w:val="21"/>
      <w:u w:val="none"/>
    </w:rPr>
  </w:style>
  <w:style w:type="character" w:customStyle="1" w:styleId="49">
    <w:name w:val="font11"/>
    <w:basedOn w:val="19"/>
    <w:qFormat/>
    <w:uiPriority w:val="0"/>
    <w:rPr>
      <w:rFonts w:hint="eastAsia" w:ascii="仿宋" w:hAnsi="仿宋" w:eastAsia="仿宋" w:cs="仿宋"/>
      <w:color w:val="000000"/>
      <w:sz w:val="21"/>
      <w:szCs w:val="21"/>
      <w:u w:val="none"/>
    </w:rPr>
  </w:style>
  <w:style w:type="character" w:customStyle="1" w:styleId="50">
    <w:name w:val="font31"/>
    <w:basedOn w:val="19"/>
    <w:qFormat/>
    <w:uiPriority w:val="0"/>
    <w:rPr>
      <w:rFonts w:hint="eastAsia" w:ascii="宋体" w:hAnsi="宋体" w:eastAsia="宋体" w:cs="宋体"/>
      <w:color w:val="000000"/>
      <w:sz w:val="21"/>
      <w:szCs w:val="21"/>
      <w:u w:val="none"/>
    </w:rPr>
  </w:style>
  <w:style w:type="paragraph" w:customStyle="1" w:styleId="51">
    <w:name w:val="小标题啊啊啊啊啊"/>
    <w:basedOn w:val="1"/>
    <w:qFormat/>
    <w:uiPriority w:val="0"/>
    <w:pPr>
      <w:adjustRightInd w:val="0"/>
      <w:snapToGrid w:val="0"/>
      <w:spacing w:line="520" w:lineRule="exact"/>
      <w:jc w:val="left"/>
    </w:pPr>
    <w:rPr>
      <w:rFonts w:ascii="Times New Roman" w:hAnsi="Times New Roman" w:eastAsia="宋体" w:cs="宋体"/>
      <w:b/>
      <w:kern w:val="0"/>
      <w:sz w:val="24"/>
    </w:rPr>
  </w:style>
  <w:style w:type="paragraph" w:customStyle="1" w:styleId="52">
    <w:name w:val="正文格式啊啊啊啊"/>
    <w:basedOn w:val="1"/>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paragraph" w:customStyle="1" w:styleId="53">
    <w:name w:val="表头啊啊啊啊"/>
    <w:basedOn w:val="1"/>
    <w:qFormat/>
    <w:uiPriority w:val="0"/>
    <w:pPr>
      <w:adjustRightInd w:val="0"/>
      <w:snapToGrid w:val="0"/>
      <w:jc w:val="center"/>
    </w:pPr>
    <w:rPr>
      <w:rFonts w:hint="eastAsia" w:ascii="Times New Roman" w:hAnsi="Times New Roman" w:cs="宋体"/>
      <w:b/>
      <w:szCs w:val="21"/>
    </w:rPr>
  </w:style>
  <w:style w:type="paragraph" w:customStyle="1" w:styleId="54">
    <w:name w:val="常用正文"/>
    <w:basedOn w:val="1"/>
    <w:qFormat/>
    <w:uiPriority w:val="0"/>
    <w:pPr>
      <w:widowControl/>
      <w:wordWrap w:val="0"/>
      <w:topLinePunct/>
      <w:adjustRightInd w:val="0"/>
      <w:snapToGrid w:val="0"/>
      <w:spacing w:line="360" w:lineRule="auto"/>
      <w:ind w:right="0" w:firstLine="720" w:firstLineChars="200"/>
    </w:pPr>
    <w:rPr>
      <w:szCs w:val="20"/>
    </w:rPr>
  </w:style>
  <w:style w:type="paragraph" w:customStyle="1" w:styleId="55">
    <w:name w:val="表、图名"/>
    <w:basedOn w:val="1"/>
    <w:qFormat/>
    <w:uiPriority w:val="0"/>
    <w:pPr>
      <w:widowControl/>
      <w:spacing w:line="520" w:lineRule="exact"/>
      <w:jc w:val="center"/>
    </w:pPr>
    <w:rPr>
      <w:b/>
    </w:rPr>
  </w:style>
  <w:style w:type="paragraph" w:customStyle="1" w:styleId="56">
    <w:name w:val="正文小四缩"/>
    <w:basedOn w:val="1"/>
    <w:qFormat/>
    <w:uiPriority w:val="0"/>
    <w:pPr>
      <w:adjustRightInd w:val="0"/>
      <w:spacing w:before="120" w:line="460" w:lineRule="atLeast"/>
      <w:ind w:firstLine="510"/>
      <w:textAlignment w:val="baseline"/>
    </w:pPr>
    <w:rPr>
      <w:rFonts w:ascii="仿宋_GB2312"/>
      <w:bCs/>
      <w:spacing w:val="0"/>
      <w:kern w:val="0"/>
      <w:sz w:val="28"/>
      <w:szCs w:val="20"/>
    </w:rPr>
  </w:style>
  <w:style w:type="paragraph" w:customStyle="1" w:styleId="57">
    <w:name w:val="A正文啊啊啊啊啊"/>
    <w:basedOn w:val="1"/>
    <w:qFormat/>
    <w:uiPriority w:val="0"/>
    <w:pPr>
      <w:wordWrap w:val="0"/>
      <w:spacing w:line="520" w:lineRule="exact"/>
      <w:ind w:firstLine="720" w:firstLineChars="200"/>
    </w:pPr>
    <w:rPr>
      <w:rFonts w:ascii="Times New Roman" w:hAnsi="Times New Roman" w:eastAsia="宋体" w:cs="宋体"/>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28" textRotate="1"/>
  </customShpExts>
  <extobjs>
    <extobj name="ECB019B1-382A-4266-B25C-5B523AA43C14-1">
      <extobjdata type="ECB019B1-382A-4266-B25C-5B523AA43C14" data="ewoJIkZpbGVJZCIgOiAiNDUwNjIxNDUxNDg1IiwKCSJHcm91cElkIiA6ICIxMDQzNTE2OTM4IiwKCSJJbWFnZSIgOiAiaVZCT1J3MEtHZ29BQUFBTlNVaEVVZ0FBQkFJQUFBRUZDQVlBQUFCNUhVV3FBQUFBQVhOU1IwSUFyczRjNlFBQUlBQkpSRUZVZUp6czNYbDRFK1hhQnZEN21hUnRhR2twaUxJVlFRVEZDbTBteFlYTmhVOFJGMVJjRUFTVlRRUVVBVUZRUVZCRVJYRURFWTRlUEJVVVJGVGNPTEs0SUNJZ1lwTlFsb3BVQVZrc2U0RkNseVR6Zm44MHllbVN0S1d0dERUMzc3cTRiTjdaM3FtZFp5YlB2QXRB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cUJUL0I5M3Z2UmtFTThoUUFBQUFBRWxGVGtTdVFtQ0MiLAoJIlRoZW1lIiA6ICIiLAoJIlR5cGUiIDogImZsb3ciLAoJIlVzZXJJZCIgOiAiOTc1MTc2MjY0IiwKCSJWZXJzaW9uIiA6ICI5Igp9Cg=="/>
    </extobj>
  </extobjs>
</s:customData>
</file>

<file path=customXml/item2.xml><?xml version="1.0" encoding="utf-8"?>
<contractReview xmlns="http://schemas.wps.cn/vas-ai-hub/contract-review">
  <reviewItems>
    <reviewItem>
      <errorID>cbfb1940-bd7c-4549-b8b2-32f7e241586f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47072391</paraID>
      <start>27</start>
      <end>28</end>
      <status>unmodified</status>
      <modifiedWord/>
      <trackRevisions>false</trackRevisions>
    </reviewItem>
    <reviewItem>
      <errorID>ac78ecb9-5176-475b-b445-79970c6b1975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671C5155</paraID>
      <start>30</start>
      <end>31</end>
      <status>unmodified</status>
      <modifiedWord/>
      <trackRevisions>false</trackRevisions>
    </reviewItem>
    <reviewItem>
      <errorID>f50941c2-b55e-4166-92e5-5df0ef961640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1792278C</paraID>
      <start>28</start>
      <end>29</end>
      <status>unmodified</status>
      <modifiedWord/>
      <trackRevisions>false</trackRevisions>
    </reviewItem>
    <reviewItem>
      <errorID>f5eff896-021d-4b5a-821b-bfb2e35f4190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4AC4DB52</paraID>
      <start>35</start>
      <end>36</end>
      <status>unmodified</status>
      <modifiedWord/>
      <trackRevisions>false</trackRevisions>
    </reviewItem>
    <reviewItem>
      <errorID>2e17d392-dcd1-4c6e-bfbe-e47809716d21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F123417</paraID>
      <start>34</start>
      <end>35</end>
      <status>unmodified</status>
      <modifiedWord/>
      <trackRevisions>false</trackRevisions>
    </reviewItem>
    <reviewItem>
      <errorID>cf3bf0f5-7822-4037-8085-46f405315d16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1CD56C2A</paraID>
      <start>31</start>
      <end>32</end>
      <status>unmodified</status>
      <modifiedWord/>
      <trackRevisions>false</trackRevisions>
    </reviewItem>
    <reviewItem>
      <errorID>c6f4d940-2ba2-4b84-a31e-fc06dafda95f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6823425</paraID>
      <start>32</start>
      <end>33</end>
      <status>unmodified</status>
      <modifiedWord/>
      <trackRevisions>false</trackRevisions>
    </reviewItem>
    <reviewItem>
      <errorID>121d2f04-05cf-4d84-8b91-8dc4b19b7f6a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2794847D</paraID>
      <start>65</start>
      <end>66</end>
      <status>unmodified</status>
      <modifiedWord/>
      <trackRevisions>false</trackRevisions>
    </reviewItem>
    <reviewItem>
      <errorID>59f4ff6a-4fa7-41d3-8ac9-4620172ae562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3442AD99</paraID>
      <start>48</start>
      <end>49</end>
      <status>unmodified</status>
      <modifiedWord/>
      <trackRevisions>false</trackRevisions>
    </reviewItem>
    <reviewItem>
      <errorID>295b707c-2d3c-4037-9c03-8927d052540c</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6D013131</paraID>
      <start>214</start>
      <end>223</end>
      <status>unmodified</status>
      <modifiedWord/>
      <trackRevisions>false</trackRevisions>
    </reviewItem>
    <reviewItem>
      <errorID>c153e80f-706f-45fd-b0c8-bdf6716ffcae</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76929201</paraID>
      <start>72</start>
      <end>81</end>
      <status>unmodified</status>
      <modifiedWord/>
      <trackRevisions>false</trackRevisions>
    </reviewItem>
    <reviewItem>
      <errorID>f77e3761-e530-43fb-8535-5f88fa2ebe30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626BC035</paraID>
      <start>33</start>
      <end>34</end>
      <status>unmodified</status>
      <modifiedWord/>
      <trackRevisions>false</trackRevisions>
    </reviewItem>
    <reviewItem>
      <errorID>5a28a089-4555-4265-9e38-34427fc97935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62FF6F24</paraID>
      <start>31</start>
      <end>32</end>
      <status>unmodified</status>
      <modifiedWord/>
      <trackRevisions>false</trackRevisions>
    </reviewItem>
    <reviewItem>
      <errorID>ef7078ec-e911-4581-b759-b200ee692126</errorID>
      <errorWord>新疆自治区</errorWord>
      <group>L1_Other</group>
      <groupName>其他问题</groupName>
      <ability>L2_UserTypo</ability>
      <abilityName>自定义错误</abilityName>
      <candidateList>
        <item>新疆维吾尔自治区</item>
      </candidateList>
      <explain>来自自定义错词库。</explain>
      <paraID>62FF6F24</paraID>
      <start>44</start>
      <end>49</end>
      <status>unmodified</status>
      <modifiedWord/>
      <trackRevisions>false</trackRevisions>
    </reviewItem>
    <reviewItem>
      <errorID>fdb19d68-ce6c-4f46-b541-d538472f2a38</errorID>
      <errorWord>须</errorWord>
      <group>L1_Word</group>
      <groupName>字词问题</groupName>
      <ability>L2_Typo</ability>
      <abilityName>字词错误</abilityName>
      <candidateList>
        <item>需</item>
      </candidateList>
      <explain>存在发音相同字词的误用。</explain>
      <paraID>5555D941</paraID>
      <start>7</start>
      <end>8</end>
      <status>unmodified</status>
      <modifiedWord/>
      <trackRevisions>false</trackRevisions>
    </reviewItem>
    <reviewItem>
      <errorID>8c9cb358-ea16-40dc-bcf6-47f93f239301</errorID>
      <errorWord>，</errorWord>
      <group>L1_Word</group>
      <groupName>字词问题</groupName>
      <ability>L2_Typo</ability>
      <abilityName>字词错误</abilityName>
      <candidateList>
        <item>，在</item>
      </candidateList>
      <explain/>
      <paraID>4DF8280C</paraID>
      <start>42</start>
      <end>43</end>
      <status>unmodified</status>
      <modifiedWord/>
      <trackRevisions>false</trackRevisions>
    </reviewItem>
    <reviewItem>
      <errorID>ecea77b5-dd29-46b1-8be2-bf42847217d0</errorID>
      <errorWord>期</errorWord>
      <group>L1_Word</group>
      <groupName>字词问题</groupName>
      <ability>L2_Typo</ability>
      <abilityName>字词错误</abilityName>
      <candidateList>
        <item>期间</item>
      </candidateList>
      <explain>〈名〉某个时期里面：农忙～｜春节～｜抗战～。</explain>
      <paraID>3D48715C</paraID>
      <start>18</start>
      <end>19</end>
      <status>unmodified</status>
      <modifiedWord/>
      <trackRevisions>false</trackRevisions>
    </reviewItem>
    <reviewItem>
      <errorID>abf656c1-92c5-4c1b-8788-53c846bb1953</errorID>
      <errorWord>或组份</errorWord>
      <group>L1_Word</group>
      <groupName>字词问题</groupName>
      <ability>L2_Variant</ability>
      <abilityName>异形词</abilityName>
      <candidateList>
        <item>或组分</item>
      </candidateList>
      <explain>词汇[或组份]的规范词形写作[或组分]。</explain>
      <paraID>25CB070F</paraID>
      <start>102</start>
      <end>105</end>
      <status>unmodified</status>
      <modifiedWord/>
      <trackRevisions>false</trackRevisions>
    </reviewItem>
    <reviewItem>
      <errorID>84bfa1cd-6e7d-46ac-8b1b-5deab120ab06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6A0E997A</paraID>
      <start>31</start>
      <end>32</end>
      <status>unmodified</status>
      <modifiedWord/>
      <trackRevisions>false</trackRevisions>
    </reviewItem>
    <reviewItem>
      <errorID>318f120e-cab6-4bfc-a90a-2d35a318564b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461AAB5D</paraID>
      <start>95</start>
      <end>96</end>
      <status>unmodified</status>
      <modifiedWord/>
      <trackRevisions>false</trackRevisions>
    </reviewItem>
    <reviewItem>
      <errorID>94855913-af9a-48f3-a0bd-d24ba8e8f67d</errorID>
      <errorWord>2-3个</errorWord>
      <group>L1_Punc</group>
      <groupName>标点问题</groupName>
      <ability>L2_Punc_CN</ability>
      <abilityName>标点符号问题</abilityName>
      <candidateList>
        <item>2～3个</item>
      </candidateList>
      <explain/>
      <paraID>588235B7</paraID>
      <start>64</start>
      <end>68</end>
      <status>unmodified</status>
      <modifiedWord/>
      <trackRevisions>false</trackRevisions>
    </reviewItem>
    <reviewItem>
      <errorID>ef6cd804-8854-4979-a4da-a4999513d864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588235B7</paraID>
      <start>76</start>
      <end>77</end>
      <status>unmodified</status>
      <modifiedWord/>
      <trackRevisions>false</trackRevisions>
    </reviewItem>
    <reviewItem>
      <errorID>64e2d2ca-f8ec-4694-8dde-5e4b8b5a85bd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77344B94</paraID>
      <start>69</start>
      <end>70</end>
      <status>unmodified</status>
      <modifiedWord/>
      <trackRevisions>false</trackRevisions>
    </reviewItem>
    <reviewItem>
      <errorID>b488d689-dcb1-41d6-ba1c-f4bba3219034</errorID>
      <errorWord>不可</errorWord>
      <group>L1_Word</group>
      <groupName>字词问题</groupName>
      <ability>L2_Typo</ability>
      <abilityName>字词错误</abilityName>
      <candidateList>
        <item>不</item>
      </candidateList>
      <explain/>
      <paraID>77344B94</paraID>
      <start>77</start>
      <end>79</end>
      <status>unmodified</status>
      <modifiedWord/>
      <trackRevisions>false</trackRevisions>
    </reviewItem>
    <reviewItem>
      <errorID>e85d8b03-1bf0-4973-9fd4-cac7947db05f</errorID>
      <errorWord>其它</errorWord>
      <group>L1_Word</group>
      <groupName>字词问题</groupName>
      <ability>L2_Alias</ability>
      <abilityName>也作/曾用词</abilityName>
      <candidateList>
        <item>其他</item>
      </candidateList>
      <explain>词汇[其它]为不规范表述或旧称，其规范书面表述为[其他]。</explain>
      <paraID>238CF56A</paraID>
      <start>33</start>
      <end>35</end>
      <status>unmodified</status>
      <modifiedWord/>
      <trackRevisions>false</trackRevisions>
    </reviewItem>
    <reviewItem>
      <errorID>f7501f31-9636-41e0-bff8-c5876a6b9efc</errorID>
      <errorWord>将直接影响到</errorWord>
      <group>L1_Word</group>
      <groupName>字词问题</groupName>
      <ability>L2_Typo</ability>
      <abilityName>字词错误</abilityName>
      <candidateList>
        <item>将直接影响</item>
      </candidateList>
      <explain/>
      <paraID>5AB5DF35</paraID>
      <start>64</start>
      <end>70</end>
      <status>unmodified</status>
      <modifiedWord/>
      <trackRevisions>false</trackRevisions>
    </reviewItem>
    <reviewItem>
      <errorID>dab63ae8-58d6-402e-b7b1-b2cd2a8b89bd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789751E1</paraID>
      <start>9</start>
      <end>10</end>
      <status>unmodified</status>
      <modifiedWord/>
      <trackRevisions>false</trackRevisions>
    </reviewItem>
    <reviewItem>
      <errorID>0fb390fc-770f-46ef-b4dd-a4f8ad8bca34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B71DBA8</paraID>
      <start>7</start>
      <end>8</end>
      <status>unmodified</status>
      <modifiedWord/>
      <trackRevisions>false</trackRevisions>
    </reviewItem>
    <reviewItem>
      <errorID>59d4881b-d518-460b-89aa-1af94fc5ea6d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29AC13E3</paraID>
      <start>8</start>
      <end>9</end>
      <status>unmodified</status>
      <modifiedWord/>
      <trackRevisions>false</trackRevisions>
    </reviewItem>
    <reviewItem>
      <errorID>e63835c3-a1fa-4557-8fc9-0ab194f9a763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72CD1CE9</paraID>
      <start>7</start>
      <end>8</end>
      <status>unmodified</status>
      <modifiedWord/>
      <trackRevisions>false</trackRevisions>
    </reviewItem>
    <reviewItem>
      <errorID>4f3b3d10-5a53-41a8-b4c4-a0e42f5ed365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2606E3E4</paraID>
      <start>7</start>
      <end>8</end>
      <status>unmodified</status>
      <modifiedWord/>
      <trackRevisions>false</trackRevisions>
    </reviewItem>
    <reviewItem>
      <errorID>a7cd517b-f376-4e6d-ba22-999786d0e40d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4E26C13B</paraID>
      <start>8</start>
      <end>9</end>
      <status>unmodified</status>
      <modifiedWord/>
      <trackRevisions>false</trackRevisions>
    </reviewItem>
    <reviewItem>
      <errorID>c8085f53-99ef-4bd4-8575-757bc0c4d228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167F6FFA</paraID>
      <start>7</start>
      <end>8</end>
      <status>unmodified</status>
      <modifiedWord/>
      <trackRevisions>false</trackRevisions>
    </reviewItem>
    <reviewItem>
      <errorID>22e7a4f2-b9d1-40dd-b37e-f00680e9bd86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44BF343</paraID>
      <start>8</start>
      <end>9</end>
      <status>unmodified</status>
      <modifiedWord/>
      <trackRevisions>false</trackRevisions>
    </reviewItem>
    <reviewItem>
      <errorID>ae850ec4-48b0-4241-9cc6-80d0ff63888e</errorID>
      <errorWord>结</errorWord>
      <group>L1_Word</group>
      <groupName>字词问题</groupName>
      <ability>L2_Typo</ability>
      <abilityName>字词错误</abilityName>
      <candidateList>
        <item>结和</item>
      </candidateList>
      <explain/>
      <paraID>192D6B62</paraID>
      <start>57</start>
      <end>58</end>
      <status>unmodified</status>
      <modifiedWord/>
      <trackRevisions>false</trackRevisions>
    </reviewItem>
    <reviewItem>
      <errorID>3e93762c-bb80-46c0-8141-d29afbc9de9d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5EFC7167</paraID>
      <start>7</start>
      <end>8</end>
      <status>unmodified</status>
      <modifiedWord/>
      <trackRevisions>false</trackRevisions>
    </reviewItem>
    <reviewItem>
      <errorID>bc1e843e-4558-4ccf-a927-f09376a8ce8e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7EC7BDA4</paraID>
      <start>8</start>
      <end>9</end>
      <status>unmodified</status>
      <modifiedWord/>
      <trackRevisions>false</trackRevisions>
    </reviewItem>
    <reviewItem>
      <errorID>845137c2-40d0-42a4-ba06-3912d40dfb19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39158DA7</paraID>
      <start>7</start>
      <end>8</end>
      <status>unmodified</status>
      <modifiedWord/>
      <trackRevisions>false</trackRevisions>
    </reviewItem>
    <reviewItem>
      <errorID>6386ae33-e383-4570-b867-83f645cbf9a1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598CC94</paraID>
      <start>7</start>
      <end>8</end>
      <status>unmodified</status>
      <modifiedWord/>
      <trackRevisions>false</trackRevisions>
    </reviewItem>
    <reviewItem>
      <errorID>e6af28d4-13ab-4eb0-a2b8-5ee381abac87</errorID>
      <errorWord>(</errorWord>
      <group>L1_Format</group>
      <groupName>格式问题</groupName>
      <ability>L2_HalfPunc_CN</ability>
      <abilityName>全半角问题</abilityName>
      <candidateList>
        <item>（</item>
      </candidateList>
      <explain>文本全半角错误。</explain>
      <paraID>15CFC7BB</paraID>
      <start>38</start>
      <end>39</end>
      <status>unmodified</status>
      <modifiedWord/>
      <trackRevisions>false</trackRevisions>
    </reviewItem>
    <reviewItem>
      <errorID>eb79e379-1d87-4cd1-8db1-b40d09b2c8c5</errorID>
      <errorWord>平均和</errorWord>
      <group>L1_Word</group>
      <groupName>字词问题</groupName>
      <ability>L2_Typo</ability>
      <abilityName>字词错误</abilityName>
      <candidateList>
        <item>平均</item>
      </candidateList>
      <explain/>
      <paraID>693356B3</paraID>
      <start>21</start>
      <end>24</end>
      <status>unmodified</status>
      <modifiedWord/>
      <trackRevisions>false</trackRevisions>
    </reviewItem>
    <reviewItem>
      <errorID>6278547b-617e-41b8-904b-4b41cd6ede41</errorID>
      <errorWord>～</errorWord>
      <group>L1_Format</group>
      <groupName>格式问题</groupName>
      <ability>L2_HalfPunc_CN</ability>
      <abilityName>全半角问题</abilityName>
      <candidateList>
        <item>~</item>
      </candidateList>
      <explain>文本全半角错误。</explain>
      <paraID>2A64DC4F</paraID>
      <start>1</start>
      <end>2</end>
      <status>unmodified</status>
      <modifiedWord/>
      <trackRevisions>false</trackRevisions>
    </reviewItem>
    <reviewItem>
      <errorID>d49dd993-a0c1-4c21-a93d-966bc1ff2069</errorID>
      <errorWord>法律、法规</errorWord>
      <group>L1_Word</group>
      <groupName>字词问题</groupName>
      <ability>L2_Typo</ability>
      <abilityName>字词错误</abilityName>
      <candidateList>
        <item>法律法规</item>
      </candidateList>
      <explain/>
      <paraID>4C1D4FFE</paraID>
      <start>216</start>
      <end>221</end>
      <status>unmodified</status>
      <modifiedWord/>
      <trackRevisions>false</trackRevisions>
    </reviewItem>
    <reviewItem>
      <errorID>b7112f4d-41fa-4254-aae3-3e9f3f8410e0</errorID>
      <errorWord>~</errorWord>
      <group>L1_Format</group>
      <groupName>格式问题</groupName>
      <ability>L2_HalfPunc_CN</ability>
      <abilityName>全半角问题</abilityName>
      <candidateList>
        <item>～</item>
      </candidateList>
      <explain>文本全半角错误。</explain>
      <paraID>637DA6DD</paraID>
      <start>135</start>
      <end>136</end>
      <status>unmodified</status>
      <modifiedWord/>
      <trackRevisions>false</trackRevisions>
    </reviewItem>
    <reviewItem>
      <errorID>e30c7578-e45d-45ae-bc42-50fbda4c46f0</errorID>
      <errorWord>工地</errorWord>
      <group>L1_Word</group>
      <groupName>字词问题</groupName>
      <ability>L2_Typo</ability>
      <abilityName>字词错误</abilityName>
      <candidateList>
        <item>场地</item>
      </candidateList>
      <explain>存在字形相近字词的误用。</explain>
      <paraID> C42277C</paraID>
      <start>5</start>
      <end>7</end>
      <status>unmodified</status>
      <modifiedWord/>
      <trackRevisions>false</trackRevisions>
    </reviewItem>
    <reviewItem>
      <errorID>86775cb9-d5ca-409b-b04e-39cb08d1e716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4DA1A3C</paraID>
      <start>115</start>
      <end>116</end>
      <status>unmodified</status>
      <modifiedWord/>
      <trackRevisions>false</trackRevisions>
    </reviewItem>
    <reviewItem>
      <errorID>17efcfb0-48d3-4b90-8df0-ce9f1ae7cd59</errorID>
      <errorWord>期</errorWord>
      <group>L1_Word</group>
      <groupName>字词问题</groupName>
      <ability>L2_Typo</ability>
      <abilityName>字词错误</abilityName>
      <candidateList>
        <item>期间</item>
      </candidateList>
      <explain>〈名〉某个时期里面：农忙～｜春节～｜抗战～。</explain>
      <paraID> F7137F6</paraID>
      <start>2</start>
      <end>3</end>
      <status>unmodified</status>
      <modifiedWord/>
      <trackRevisions>false</trackRevisions>
    </reviewItem>
    <reviewItem>
      <errorID>0d072478-2c1e-4065-ad49-f61f2a050603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30ED7884</paraID>
      <start>107</start>
      <end>108</end>
      <status>unmodified</status>
      <modifiedWord/>
      <trackRevisions>false</trackRevisions>
    </reviewItem>
    <reviewItem>
      <errorID>56b50d13-5474-493d-a660-3e7fa5a487bc</errorID>
      <errorWord>，在</errorWord>
      <group>L1_Word</group>
      <groupName>字词问题</groupName>
      <ability>L2_Typo</ability>
      <abilityName>字词错误</abilityName>
      <candidateList>
        <item>，</item>
      </candidateList>
      <explain/>
      <paraID>1F4890FF</paraID>
      <start>50</start>
      <end>52</end>
      <status>unmodified</status>
      <modifiedWord/>
      <trackRevisions>false</trackRevisions>
    </reviewItem>
    <reviewItem>
      <errorID>c851c002-d4b4-4a2a-bfd3-d244bf2f5435</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D618406</paraID>
      <start>125</start>
      <end>128</end>
      <status>unmodified</status>
      <modifiedWord/>
      <trackRevisions>false</trackRevisions>
    </reviewItem>
    <reviewItem>
      <errorID>8351b67f-a54c-441b-8dcc-d55f1c3d55d1</errorID>
      <errorWord>*</errorWord>
      <group>L1_Punc</group>
      <groupName>标点问题</groupName>
      <ability>L2_Punc_CN</ability>
      <abilityName>标点符号问题</abilityName>
      <candidateList/>
      <explain/>
      <paraID>69CACCFB</paraID>
      <start>0</start>
      <end>1</end>
      <status>unmodified</status>
      <modifiedWord/>
      <trackRevisions>false</trackRevisions>
    </reviewItem>
    <reviewItem>
      <errorID>6e073f81-4f6a-4872-b694-96b5fe91cee5</errorID>
      <errorWord>槽探</errorWord>
      <group>L1_Word</group>
      <groupName>字词问题</groupName>
      <ability>L2_Typo</ability>
      <abilityName>字词错误</abilityName>
      <candidateList>
        <item>探槽</item>
      </candidateList>
      <explain/>
      <paraID>  51C5BC</paraID>
      <start>28</start>
      <end>30</end>
      <status>unmodified</status>
      <modifiedWord/>
      <trackRevisions>false</trackRevisions>
    </reviewItem>
    <reviewItem>
      <errorID>1fca72ae-eb95-4a3a-aa95-823a21b69a03</errorID>
      <errorWord>制定出</errorWord>
      <group>L1_Word</group>
      <groupName>字词问题</groupName>
      <ability>L2_Typo</ability>
      <abilityName>字词错误</abilityName>
      <candidateList>
        <item>制定</item>
      </candidateList>
      <explain>〈动〉定出（法律、规程、政策等）：～宪法｜～学会章程。</explain>
      <paraID>5D2C2A14</paraID>
      <start>17</start>
      <end>20</end>
      <status>unmodified</status>
      <modifiedWord/>
      <trackRevisions>false</trackRevisions>
    </reviewItem>
    <reviewItem>
      <errorID>270e2a2f-b819-4718-b6c5-5dceaac644d4</errorID>
      <errorWord>提高</errorWord>
      <group>L1_Grammar</group>
      <groupName>语法问题</groupName>
      <ability>L2_Grammar</ability>
      <abilityName>语法错误</abilityName>
      <candidateList>
        <item>增强</item>
      </candidateList>
      <explain>“提高～意识”搭配不当，建议修改为“增强～意识”。</explain>
      <paraID>64FEAADA</paraID>
      <start>12</start>
      <end>14</end>
      <status>unmodified</status>
      <modifiedWord/>
      <trackRevisions>false</trackRevisions>
    </reviewItem>
    <reviewItem>
      <errorID>30aaea1b-3e09-46cd-84de-6c58e1dabb17</errorID>
      <errorWord>生态环境的保护</errorWord>
      <group>L1_Political</group>
      <groupName>政治性问题</groupName>
      <ability>L2_Keyword</ability>
      <abilityName>固定表述</abilityName>
      <candidateList>
        <item>生态环境保护</item>
      </candidateList>
      <explain>词汇“生态环境保护”在特定场景下为固定表述形式，请确认此处的“生态环境的保护”是否存在不当。</explain>
      <paraID>47363037</paraID>
      <start>43</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0a557b-903f-4957-a3ea-11c4e65d34bc}">
  <ds:schemaRefs/>
</ds:datastoreItem>
</file>

<file path=docProps/app.xml><?xml version="1.0" encoding="utf-8"?>
<Properties xmlns="http://schemas.openxmlformats.org/officeDocument/2006/extended-properties" xmlns:vt="http://schemas.openxmlformats.org/officeDocument/2006/docPropsVTypes">
  <Template>Normal.dotm</Template>
  <Pages>61</Pages>
  <Words>9332</Words>
  <Characters>9776</Characters>
  <Lines>0</Lines>
  <Paragraphs>0</Paragraphs>
  <TotalTime>43</TotalTime>
  <ScaleCrop>false</ScaleCrop>
  <LinksUpToDate>false</LinksUpToDate>
  <CharactersWithSpaces>9810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2025-03-19T02:24:00Z</dcterms:created>
  <dc:creator>了了</dc:creator>
  <cp:lastModifiedBy>Administrator</cp:lastModifiedBy>
  <cp:lastPrinted>2025-11-10T04:35:00Z</cp:lastPrinted>
  <dcterms:modified xsi:type="dcterms:W3CDTF">2026-07-10T11:07:21Z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76FC1C320FE24BB6A8AFA5BA8E77F595_13</vt:lpwstr>
  </property>
  <property fmtid="{D5CDD505-2E9C-101B-9397-08002B2CF9AE}" pid="4" name="KSOTemplateDocerSaveRecord">
    <vt:lpwstr>eyJoZGlkIjoiNWQ3Y2NkZDczNWM0MGQ5NzI2OWM0NjY0NzcwZTdkMDQiLCJ1c2VySWQiOiI5NzUxNzYyNjQifQ==</vt:lpwstr>
  </property>
</Properties>
</file>