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firstLine="144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 xml:space="preserve"> </w:t>
      </w:r>
    </w:p>
    <w:p>
      <w:pPr>
        <w:adjustRightInd w:val="0"/>
        <w:snapToGrid w:val="0"/>
        <w:spacing w:line="240" w:lineRule="auto"/>
        <w:ind w:firstLine="0" w:firstLineChars="0"/>
        <w:jc w:val="center"/>
        <w:outlineLvl w:val="0"/>
        <w:rPr>
          <w:rFonts w:ascii="宋体" w:hAnsi="宋体"/>
          <w:bCs/>
          <w:color w:val="auto"/>
          <w:sz w:val="72"/>
          <w:szCs w:val="72"/>
        </w:rPr>
      </w:pPr>
      <w:r>
        <w:rPr>
          <w:rFonts w:hint="eastAsia" w:ascii="宋体" w:hAnsi="宋体"/>
          <w:bCs/>
          <w:color w:val="auto"/>
          <w:sz w:val="72"/>
          <w:szCs w:val="72"/>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宋体" w:hAnsi="宋体" w:eastAsia="宋体"/>
          <w:bCs/>
          <w:color w:val="auto"/>
          <w:sz w:val="48"/>
          <w:szCs w:val="48"/>
          <w:lang w:eastAsia="zh-CN"/>
        </w:rPr>
      </w:pPr>
      <w:r>
        <w:rPr>
          <w:rFonts w:hint="eastAsia" w:ascii="宋体" w:hAnsi="宋体"/>
          <w:bCs/>
          <w:color w:val="auto"/>
          <w:sz w:val="48"/>
          <w:szCs w:val="48"/>
          <w:lang w:eastAsia="zh-CN"/>
        </w:rPr>
        <w:t>（</w:t>
      </w:r>
      <w:r>
        <w:rPr>
          <w:rFonts w:hint="eastAsia" w:ascii="宋体" w:hAnsi="宋体"/>
          <w:bCs/>
          <w:color w:val="auto"/>
          <w:sz w:val="48"/>
          <w:szCs w:val="48"/>
        </w:rPr>
        <w:t>生态影响类</w:t>
      </w:r>
      <w:r>
        <w:rPr>
          <w:rFonts w:hint="eastAsia" w:ascii="宋体" w:hAnsi="宋体"/>
          <w:bCs/>
          <w:color w:val="auto"/>
          <w:sz w:val="48"/>
          <w:szCs w:val="48"/>
          <w:lang w:eastAsia="zh-CN"/>
        </w:rPr>
        <w:t>）</w:t>
      </w:r>
    </w:p>
    <w:p>
      <w:pPr>
        <w:adjustRightInd w:val="0"/>
        <w:snapToGrid w:val="0"/>
        <w:spacing w:line="288" w:lineRule="auto"/>
        <w:ind w:firstLine="720"/>
        <w:rPr>
          <w:rFonts w:ascii="宋体" w:hAnsi="宋体"/>
          <w:color w:val="auto"/>
          <w:sz w:val="36"/>
          <w:szCs w:val="36"/>
        </w:rPr>
      </w:pPr>
    </w:p>
    <w:p>
      <w:pPr>
        <w:adjustRightInd w:val="0"/>
        <w:snapToGrid w:val="0"/>
        <w:spacing w:line="288" w:lineRule="auto"/>
        <w:ind w:firstLine="720"/>
        <w:rPr>
          <w:rFonts w:ascii="宋体" w:hAnsi="宋体"/>
          <w:color w:val="auto"/>
          <w:sz w:val="36"/>
          <w:szCs w:val="36"/>
        </w:rPr>
      </w:pPr>
    </w:p>
    <w:p>
      <w:pPr>
        <w:pStyle w:val="2"/>
        <w:rPr>
          <w:rFonts w:ascii="宋体" w:hAnsi="宋体"/>
          <w:color w:val="auto"/>
          <w:sz w:val="36"/>
          <w:szCs w:val="36"/>
        </w:rPr>
      </w:pPr>
    </w:p>
    <w:p>
      <w:pPr>
        <w:pStyle w:val="5"/>
        <w:rPr>
          <w:rFonts w:ascii="宋体" w:hAnsi="宋体"/>
          <w:color w:val="auto"/>
          <w:sz w:val="36"/>
          <w:szCs w:val="36"/>
        </w:rPr>
      </w:pPr>
    </w:p>
    <w:p>
      <w:pPr>
        <w:pStyle w:val="2"/>
        <w:rPr>
          <w:rFonts w:ascii="宋体" w:hAnsi="宋体"/>
          <w:color w:val="auto"/>
          <w:sz w:val="36"/>
          <w:szCs w:val="36"/>
        </w:rPr>
      </w:pPr>
    </w:p>
    <w:p>
      <w:pPr>
        <w:pStyle w:val="5"/>
        <w:rPr>
          <w:rFonts w:ascii="宋体" w:hAnsi="宋体"/>
          <w:color w:val="auto"/>
          <w:sz w:val="36"/>
          <w:szCs w:val="36"/>
        </w:rPr>
      </w:pPr>
    </w:p>
    <w:p>
      <w:pPr>
        <w:adjustRightInd w:val="0"/>
        <w:snapToGrid w:val="0"/>
        <w:ind w:firstLine="0" w:firstLineChars="0"/>
        <w:rPr>
          <w:rFonts w:ascii="宋体" w:hAnsi="宋体"/>
          <w:color w:val="auto"/>
          <w:sz w:val="36"/>
          <w:szCs w:val="36"/>
          <w:u w:val="single"/>
        </w:rPr>
      </w:pPr>
      <w:r>
        <w:rPr>
          <w:rFonts w:hint="eastAsia" w:ascii="宋体" w:hAnsi="宋体"/>
          <w:color w:val="auto"/>
          <w:sz w:val="36"/>
          <w:szCs w:val="36"/>
        </w:rPr>
        <w:t>项目名称：</w:t>
      </w:r>
      <w:r>
        <w:rPr>
          <w:rFonts w:hint="eastAsia" w:ascii="宋体" w:hAnsi="宋体" w:eastAsia="宋体" w:cs="Times New Roman"/>
          <w:color w:val="auto"/>
          <w:spacing w:val="-11"/>
          <w:sz w:val="36"/>
          <w:szCs w:val="36"/>
          <w:u w:val="single"/>
          <w:lang w:val="en-US" w:eastAsia="zh-CN"/>
        </w:rPr>
        <w:t xml:space="preserve">  新疆和静县巴格亚马特铜金矿勘探      </w:t>
      </w:r>
    </w:p>
    <w:p>
      <w:pPr>
        <w:keepNext w:val="0"/>
        <w:keepLines w:val="0"/>
        <w:pageBreakBefore w:val="0"/>
        <w:widowControl w:val="0"/>
        <w:kinsoku/>
        <w:wordWrap/>
        <w:overflowPunct/>
        <w:topLinePunct w:val="0"/>
        <w:autoSpaceDE/>
        <w:autoSpaceDN/>
        <w:bidi w:val="0"/>
        <w:adjustRightInd w:val="0"/>
        <w:snapToGrid w:val="0"/>
        <w:ind w:left="3240" w:hanging="3240" w:hangingChars="900"/>
        <w:textAlignment w:val="auto"/>
        <w:rPr>
          <w:rFonts w:ascii="宋体" w:hAnsi="宋体"/>
          <w:color w:val="auto"/>
          <w:sz w:val="36"/>
          <w:szCs w:val="36"/>
          <w:u w:val="thick"/>
        </w:rPr>
      </w:pPr>
      <w:r>
        <w:rPr>
          <w:rFonts w:hint="eastAsia" w:ascii="宋体" w:hAnsi="宋体"/>
          <w:color w:val="auto"/>
          <w:sz w:val="36"/>
          <w:szCs w:val="36"/>
        </w:rPr>
        <w:t>建设单位</w:t>
      </w:r>
      <w:r>
        <w:rPr>
          <w:rFonts w:hint="eastAsia" w:ascii="宋体" w:hAnsi="宋体"/>
          <w:color w:val="auto"/>
          <w:sz w:val="36"/>
          <w:szCs w:val="36"/>
          <w:lang w:eastAsia="zh-CN"/>
        </w:rPr>
        <w:t>（</w:t>
      </w:r>
      <w:r>
        <w:rPr>
          <w:rFonts w:hint="eastAsia" w:ascii="宋体" w:hAnsi="宋体"/>
          <w:color w:val="auto"/>
          <w:sz w:val="36"/>
          <w:szCs w:val="36"/>
        </w:rPr>
        <w:t>盖章</w:t>
      </w:r>
      <w:r>
        <w:rPr>
          <w:rFonts w:hint="eastAsia" w:ascii="宋体" w:hAnsi="宋体"/>
          <w:color w:val="auto"/>
          <w:sz w:val="36"/>
          <w:szCs w:val="36"/>
          <w:lang w:eastAsia="zh-CN"/>
        </w:rPr>
        <w:t>）</w:t>
      </w:r>
      <w:r>
        <w:rPr>
          <w:rFonts w:hint="eastAsia" w:ascii="宋体" w:hAnsi="宋体"/>
          <w:color w:val="auto"/>
          <w:sz w:val="36"/>
          <w:szCs w:val="36"/>
        </w:rPr>
        <w:t>：</w:t>
      </w:r>
      <w:r>
        <w:rPr>
          <w:rFonts w:hint="eastAsia" w:ascii="宋体" w:hAnsi="宋体"/>
          <w:color w:val="auto"/>
          <w:sz w:val="36"/>
          <w:szCs w:val="36"/>
          <w:u w:val="single"/>
          <w:lang w:val="en-US" w:eastAsia="zh-CN"/>
        </w:rPr>
        <w:t xml:space="preserve">  新疆五彩矿业有限责任公司</w:t>
      </w:r>
      <w:r>
        <w:rPr>
          <w:rFonts w:ascii="宋体" w:hAnsi="宋体"/>
          <w:color w:val="auto"/>
          <w:sz w:val="36"/>
          <w:szCs w:val="36"/>
          <w:u w:val="single"/>
        </w:rPr>
        <w:t xml:space="preserve"> </w:t>
      </w:r>
      <w:r>
        <w:rPr>
          <w:rFonts w:hint="eastAsia" w:ascii="宋体" w:hAnsi="宋体"/>
          <w:color w:val="auto"/>
          <w:sz w:val="36"/>
          <w:szCs w:val="36"/>
          <w:u w:val="single"/>
          <w:lang w:val="en-US" w:eastAsia="zh-CN"/>
        </w:rPr>
        <w:t xml:space="preserve">   </w:t>
      </w:r>
    </w:p>
    <w:p>
      <w:pPr>
        <w:adjustRightInd w:val="0"/>
        <w:snapToGrid w:val="0"/>
        <w:ind w:firstLine="0" w:firstLineChars="0"/>
        <w:rPr>
          <w:rFonts w:hint="default" w:ascii="宋体" w:hAnsi="宋体" w:eastAsia="宋体"/>
          <w:color w:val="auto"/>
          <w:sz w:val="36"/>
          <w:szCs w:val="36"/>
          <w:u w:val="single"/>
          <w:lang w:val="en-US" w:eastAsia="zh-CN"/>
        </w:rPr>
      </w:pPr>
      <w:r>
        <w:rPr>
          <w:rFonts w:hint="eastAsia" w:ascii="宋体" w:hAnsi="宋体"/>
          <w:color w:val="auto"/>
          <w:sz w:val="36"/>
          <w:szCs w:val="36"/>
        </w:rPr>
        <w:t>编制日期：</w:t>
      </w:r>
      <w:r>
        <w:rPr>
          <w:rFonts w:hint="eastAsia" w:ascii="宋体" w:hAnsi="宋体"/>
          <w:color w:val="auto"/>
          <w:sz w:val="36"/>
          <w:szCs w:val="36"/>
          <w:u w:val="single"/>
          <w:lang w:val="en-US" w:eastAsia="zh-CN"/>
        </w:rPr>
        <w:t xml:space="preserve">         </w:t>
      </w:r>
      <w:r>
        <w:rPr>
          <w:rFonts w:hint="default" w:ascii="Times New Roman" w:hAnsi="Times New Roman" w:eastAsia="宋体" w:cs="Times New Roman"/>
          <w:color w:val="auto"/>
          <w:sz w:val="36"/>
          <w:szCs w:val="36"/>
          <w:u w:val="single"/>
          <w:lang w:val="en-US" w:eastAsia="zh-CN"/>
        </w:rPr>
        <w:t xml:space="preserve"> 202</w:t>
      </w:r>
      <w:r>
        <w:rPr>
          <w:rFonts w:hint="eastAsia" w:ascii="Times New Roman" w:hAnsi="Times New Roman" w:eastAsia="宋体" w:cs="Times New Roman"/>
          <w:color w:val="auto"/>
          <w:sz w:val="36"/>
          <w:szCs w:val="36"/>
          <w:u w:val="single"/>
          <w:lang w:val="en-US" w:eastAsia="zh-CN"/>
        </w:rPr>
        <w:t>6</w:t>
      </w:r>
      <w:r>
        <w:rPr>
          <w:rFonts w:hint="default" w:ascii="Times New Roman" w:hAnsi="Times New Roman" w:eastAsia="宋体" w:cs="Times New Roman"/>
          <w:color w:val="auto"/>
          <w:sz w:val="36"/>
          <w:szCs w:val="36"/>
          <w:u w:val="single"/>
          <w:lang w:val="en-US" w:eastAsia="zh-CN"/>
        </w:rPr>
        <w:t>年</w:t>
      </w:r>
      <w:r>
        <w:rPr>
          <w:rFonts w:hint="eastAsia" w:cs="Times New Roman"/>
          <w:color w:val="auto"/>
          <w:sz w:val="36"/>
          <w:szCs w:val="36"/>
          <w:u w:val="single"/>
          <w:lang w:val="en-US" w:eastAsia="zh-CN"/>
        </w:rPr>
        <w:t>7</w:t>
      </w:r>
      <w:r>
        <w:rPr>
          <w:rFonts w:hint="default" w:ascii="Times New Roman" w:hAnsi="Times New Roman" w:eastAsia="宋体" w:cs="Times New Roman"/>
          <w:color w:val="auto"/>
          <w:sz w:val="36"/>
          <w:szCs w:val="36"/>
          <w:u w:val="single"/>
          <w:lang w:val="en-US" w:eastAsia="zh-CN"/>
        </w:rPr>
        <w:t>月</w:t>
      </w:r>
      <w:r>
        <w:rPr>
          <w:rFonts w:hint="default" w:ascii="Times New Roman" w:hAnsi="Times New Roman" w:eastAsia="宋体" w:cs="Times New Roman"/>
          <w:color w:val="auto"/>
          <w:sz w:val="36"/>
          <w:szCs w:val="36"/>
          <w:u w:val="single"/>
        </w:rPr>
        <w:t xml:space="preserve"> </w:t>
      </w:r>
      <w:r>
        <w:rPr>
          <w:rFonts w:hint="default" w:ascii="Times New Roman" w:hAnsi="Times New Roman" w:cs="Times New Roman"/>
          <w:color w:val="auto"/>
          <w:sz w:val="36"/>
          <w:szCs w:val="36"/>
          <w:u w:val="single"/>
        </w:rPr>
        <w:t xml:space="preserve">  </w:t>
      </w:r>
      <w:r>
        <w:rPr>
          <w:rFonts w:hint="eastAsia" w:ascii="宋体" w:hAnsi="宋体"/>
          <w:color w:val="auto"/>
          <w:sz w:val="36"/>
          <w:szCs w:val="36"/>
          <w:u w:val="single"/>
        </w:rPr>
        <w:t xml:space="preserve"> </w:t>
      </w:r>
      <w:r>
        <w:rPr>
          <w:rFonts w:ascii="宋体" w:hAnsi="宋体"/>
          <w:color w:val="auto"/>
          <w:sz w:val="36"/>
          <w:szCs w:val="36"/>
          <w:u w:val="single"/>
        </w:rPr>
        <w:t xml:space="preserve">            </w:t>
      </w:r>
    </w:p>
    <w:p>
      <w:pPr>
        <w:adjustRightInd w:val="0"/>
        <w:snapToGrid w:val="0"/>
        <w:spacing w:line="288" w:lineRule="auto"/>
        <w:ind w:firstLine="720"/>
        <w:rPr>
          <w:rFonts w:ascii="仿宋_GB2312" w:eastAsia="仿宋_GB2312"/>
          <w:color w:val="auto"/>
          <w:sz w:val="36"/>
          <w:szCs w:val="36"/>
          <w:u w:val="single"/>
        </w:rPr>
      </w:pPr>
    </w:p>
    <w:p>
      <w:pPr>
        <w:adjustRightInd w:val="0"/>
        <w:snapToGrid w:val="0"/>
        <w:spacing w:line="288" w:lineRule="auto"/>
        <w:ind w:firstLine="720"/>
        <w:rPr>
          <w:rFonts w:ascii="仿宋_GB2312" w:eastAsia="仿宋_GB2312"/>
          <w:color w:val="auto"/>
          <w:sz w:val="36"/>
          <w:szCs w:val="36"/>
        </w:rPr>
      </w:pPr>
    </w:p>
    <w:p>
      <w:pPr>
        <w:adjustRightInd w:val="0"/>
        <w:snapToGrid w:val="0"/>
        <w:spacing w:line="288" w:lineRule="auto"/>
        <w:ind w:firstLine="720"/>
        <w:rPr>
          <w:rFonts w:hint="eastAsia" w:ascii="仿宋_GB2312" w:eastAsia="仿宋_GB2312"/>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楷体_GB2312" w:eastAsia="楷体_GB2312"/>
          <w:color w:val="auto"/>
          <w:sz w:val="36"/>
          <w:szCs w:val="36"/>
        </w:rPr>
      </w:pPr>
      <w:r>
        <w:rPr>
          <w:rFonts w:hint="eastAsia" w:ascii="楷体_GB2312" w:eastAsia="楷体_GB2312"/>
          <w:color w:val="auto"/>
          <w:sz w:val="36"/>
          <w:szCs w:val="36"/>
        </w:rPr>
        <w:t>中华人民共和国生态环境部制</w:t>
      </w:r>
    </w:p>
    <w:p>
      <w:pPr>
        <w:adjustRightInd w:val="0"/>
        <w:snapToGrid w:val="0"/>
        <w:spacing w:line="288" w:lineRule="auto"/>
        <w:ind w:firstLine="720"/>
        <w:rPr>
          <w:rFonts w:ascii="仿宋_GB2312" w:eastAsia="仿宋_GB2312"/>
          <w:color w:val="auto"/>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1077" w:gutter="0"/>
          <w:pgBorders>
            <w:top w:val="none" w:sz="0" w:space="0"/>
            <w:left w:val="none" w:sz="0" w:space="0"/>
            <w:bottom w:val="none" w:sz="0" w:space="0"/>
            <w:right w:val="none" w:sz="0" w:space="0"/>
          </w:pgBorders>
          <w:pgNumType w:start="3"/>
          <w:cols w:space="720" w:num="1"/>
          <w:rtlGutter w:val="0"/>
          <w:docGrid w:linePitch="312" w:charSpace="0"/>
        </w:sectPr>
      </w:pPr>
    </w:p>
    <w:p>
      <w:pPr>
        <w:pStyle w:val="7"/>
        <w:rPr>
          <w:rFonts w:hint="eastAsia"/>
          <w:snapToGrid w:val="0"/>
          <w:color w:val="auto"/>
        </w:rPr>
      </w:pPr>
      <w:r>
        <w:rPr>
          <w:rFonts w:hint="eastAsia"/>
          <w:snapToGrid w:val="0"/>
          <w:color w:val="auto"/>
        </w:rPr>
        <w:t>一、建设项目基本情况</w:t>
      </w:r>
    </w:p>
    <w:tbl>
      <w:tblPr>
        <w:tblStyle w:val="28"/>
        <w:tblW w:w="91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24"/>
        <w:gridCol w:w="1839"/>
        <w:gridCol w:w="1756"/>
        <w:gridCol w:w="2212"/>
        <w:gridCol w:w="28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建设项目名称</w:t>
            </w:r>
          </w:p>
        </w:tc>
        <w:tc>
          <w:tcPr>
            <w:tcW w:w="6852" w:type="dxa"/>
            <w:gridSpan w:val="3"/>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新疆和静县巴格亚马特铜金矿勘探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项目代码</w:t>
            </w:r>
          </w:p>
        </w:tc>
        <w:tc>
          <w:tcPr>
            <w:tcW w:w="6852" w:type="dxa"/>
            <w:gridSpan w:val="3"/>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建设单位联系人</w:t>
            </w:r>
          </w:p>
        </w:tc>
        <w:tc>
          <w:tcPr>
            <w:tcW w:w="1756" w:type="dxa"/>
            <w:noWrap w:val="0"/>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sz w:val="24"/>
                <w:szCs w:val="28"/>
                <w:lang w:val="en-US" w:eastAsia="zh-CN"/>
              </w:rPr>
            </w:pPr>
          </w:p>
        </w:tc>
        <w:tc>
          <w:tcPr>
            <w:tcW w:w="2212" w:type="dxa"/>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sz w:val="24"/>
                <w:szCs w:val="28"/>
              </w:rPr>
            </w:pPr>
          </w:p>
        </w:tc>
        <w:tc>
          <w:tcPr>
            <w:tcW w:w="2884"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建设地点</w:t>
            </w:r>
          </w:p>
        </w:tc>
        <w:tc>
          <w:tcPr>
            <w:tcW w:w="6852" w:type="dxa"/>
            <w:gridSpan w:val="3"/>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地理坐标</w:t>
            </w:r>
          </w:p>
        </w:tc>
        <w:tc>
          <w:tcPr>
            <w:tcW w:w="6852" w:type="dxa"/>
            <w:gridSpan w:val="3"/>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color w:val="auto"/>
              </w:rPr>
              <w:t>行业类别</w:t>
            </w:r>
          </w:p>
        </w:tc>
        <w:tc>
          <w:tcPr>
            <w:tcW w:w="1756"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cs="Times New Roman"/>
                <w:bCs/>
                <w:color w:val="auto"/>
              </w:rPr>
              <w:t>四十六-</w:t>
            </w:r>
            <w:r>
              <w:rPr>
                <w:rFonts w:hint="default" w:ascii="Times New Roman" w:hAnsi="Times New Roman" w:cs="Times New Roman"/>
                <w:bCs/>
                <w:color w:val="auto"/>
              </w:rPr>
              <w:t>99、</w:t>
            </w:r>
            <w:r>
              <w:rPr>
                <w:rFonts w:hint="eastAsia" w:ascii="Times New Roman" w:hAnsi="Times New Roman" w:cs="Times New Roman"/>
                <w:bCs/>
                <w:color w:val="auto"/>
              </w:rPr>
              <w:t>陆地矿产资源地质</w:t>
            </w:r>
            <w:r>
              <w:rPr>
                <w:rFonts w:hint="eastAsia" w:ascii="Times New Roman" w:hAnsi="Times New Roman" w:cs="Times New Roman"/>
                <w:bCs/>
                <w:color w:val="auto"/>
                <w:lang w:eastAsia="zh-CN"/>
              </w:rPr>
              <w:t>勘查</w:t>
            </w:r>
          </w:p>
        </w:tc>
        <w:tc>
          <w:tcPr>
            <w:tcW w:w="2212"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用地（用海）面积（m</w:t>
            </w:r>
            <w:r>
              <w:rPr>
                <w:rFonts w:hint="eastAsia" w:ascii="Times New Roman" w:hAnsi="Times New Roman" w:eastAsia="宋体" w:cs="Times New Roman"/>
                <w:color w:val="auto"/>
                <w:kern w:val="2"/>
                <w:sz w:val="24"/>
                <w:szCs w:val="24"/>
                <w:vertAlign w:val="superscript"/>
                <w:lang w:val="en-US" w:eastAsia="zh-CN" w:bidi="ar-SA"/>
              </w:rPr>
              <w:t>2</w:t>
            </w:r>
            <w:r>
              <w:rPr>
                <w:rFonts w:hint="eastAsia" w:ascii="Times New Roman" w:hAnsi="Times New Roman" w:eastAsia="宋体" w:cs="Times New Roman"/>
                <w:color w:val="auto"/>
                <w:kern w:val="2"/>
                <w:sz w:val="24"/>
                <w:szCs w:val="24"/>
                <w:lang w:val="en-US" w:eastAsia="zh-CN" w:bidi="ar-SA"/>
              </w:rPr>
              <w:t>）/长度（km）</w:t>
            </w:r>
          </w:p>
        </w:tc>
        <w:tc>
          <w:tcPr>
            <w:tcW w:w="2884"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勘查面积：</w:t>
            </w:r>
            <w:r>
              <w:rPr>
                <w:rFonts w:hint="eastAsia" w:cs="Times New Roman"/>
                <w:color w:val="auto"/>
                <w:lang w:val="en-US" w:eastAsia="zh-CN"/>
              </w:rPr>
              <w:t>1176</w:t>
            </w:r>
            <w:r>
              <w:rPr>
                <w:rFonts w:hint="eastAsia" w:ascii="Times New Roman" w:hAnsi="Times New Roman" w:cs="Times New Roman"/>
                <w:color w:val="auto"/>
                <w:lang w:val="en-US" w:eastAsia="zh-CN"/>
              </w:rPr>
              <w:t>0000</w:t>
            </w:r>
          </w:p>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bookmarkStart w:id="5" w:name="_GoBack"/>
            <w:bookmarkEnd w:id="5"/>
            <w:r>
              <w:rPr>
                <w:rFonts w:hint="default" w:ascii="Times New Roman" w:hAnsi="Times New Roman" w:cs="Times New Roman"/>
                <w:color w:val="auto"/>
                <w:highlight w:val="none"/>
                <w:lang w:val="en-US" w:eastAsia="zh-CN"/>
              </w:rPr>
              <w:t>临时用地：</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建设性质</w:t>
            </w:r>
          </w:p>
        </w:tc>
        <w:tc>
          <w:tcPr>
            <w:tcW w:w="1756" w:type="dxa"/>
            <w:noWrap w:val="0"/>
            <w:vAlign w:val="center"/>
          </w:tcPr>
          <w:p>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lang w:eastAsia="zh-CN"/>
              </w:rPr>
            </w:pPr>
            <w:r>
              <w:rPr>
                <w:rFonts w:hint="default" w:ascii="Times New Roman" w:hAnsi="Times New Roman" w:cs="Times New Roman"/>
                <w:color w:val="auto"/>
              </w:rPr>
              <w:sym w:font="Wingdings 2" w:char="0052"/>
            </w:r>
            <w:r>
              <w:rPr>
                <w:rFonts w:hint="default" w:ascii="Times New Roman" w:hAnsi="Times New Roman" w:cs="Times New Roman"/>
                <w:color w:val="auto"/>
              </w:rPr>
              <w:t>新建</w:t>
            </w:r>
            <w:r>
              <w:rPr>
                <w:rFonts w:hint="eastAsia" w:ascii="Times New Roman" w:hAnsi="Times New Roman" w:cs="Times New Roman"/>
                <w:color w:val="auto"/>
                <w:lang w:eastAsia="zh-CN"/>
              </w:rPr>
              <w:t>（</w:t>
            </w:r>
            <w:r>
              <w:rPr>
                <w:rFonts w:hint="default" w:ascii="Times New Roman" w:hAnsi="Times New Roman" w:cs="Times New Roman"/>
                <w:color w:val="auto"/>
              </w:rPr>
              <w:t>迁建</w:t>
            </w:r>
            <w:r>
              <w:rPr>
                <w:rFonts w:hint="eastAsia" w:ascii="Times New Roman" w:hAnsi="Times New Roman" w:cs="Times New Roman"/>
                <w:color w:val="auto"/>
                <w:lang w:eastAsia="zh-CN"/>
              </w:rPr>
              <w:t>）</w:t>
            </w:r>
          </w:p>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改建</w:t>
            </w:r>
          </w:p>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扩建</w:t>
            </w:r>
          </w:p>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技术改造</w:t>
            </w:r>
          </w:p>
        </w:tc>
        <w:tc>
          <w:tcPr>
            <w:tcW w:w="2212"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申报情形</w:t>
            </w:r>
          </w:p>
        </w:tc>
        <w:tc>
          <w:tcPr>
            <w:tcW w:w="2884" w:type="dxa"/>
            <w:noWrap w:val="0"/>
            <w:vAlign w:val="center"/>
          </w:tcPr>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 xml:space="preserve">首次申报项目             </w:t>
            </w:r>
          </w:p>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不予批准后再次申报项目</w:t>
            </w:r>
          </w:p>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 xml:space="preserve">超五年重新审核项目     </w:t>
            </w:r>
          </w:p>
          <w:p>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00A3"/>
            </w:r>
            <w:r>
              <w:rPr>
                <w:rFonts w:hint="default" w:ascii="Times New Roman" w:hAnsi="Times New Roman" w:cs="Times New Roman"/>
                <w:color w:val="auto"/>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w:t>
            </w:r>
            <w:r>
              <w:rPr>
                <w:rFonts w:hint="eastAsia" w:ascii="Times New Roman" w:hAnsi="Times New Roman" w:cs="Times New Roman"/>
                <w:color w:val="auto"/>
                <w:lang w:eastAsia="zh-CN"/>
              </w:rPr>
              <w:t>（</w:t>
            </w:r>
            <w:r>
              <w:rPr>
                <w:rFonts w:hint="default" w:ascii="Times New Roman" w:hAnsi="Times New Roman" w:cs="Times New Roman"/>
                <w:color w:val="auto"/>
              </w:rPr>
              <w:t>核准/</w:t>
            </w:r>
          </w:p>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备案</w:t>
            </w:r>
            <w:r>
              <w:rPr>
                <w:rFonts w:hint="eastAsia" w:ascii="Times New Roman" w:hAnsi="Times New Roman" w:cs="Times New Roman"/>
                <w:color w:val="auto"/>
                <w:lang w:eastAsia="zh-CN"/>
              </w:rPr>
              <w:t>）</w:t>
            </w:r>
            <w:r>
              <w:rPr>
                <w:rFonts w:hint="default" w:ascii="Times New Roman" w:hAnsi="Times New Roman" w:cs="Times New Roman"/>
                <w:color w:val="auto"/>
              </w:rPr>
              <w:t>部门</w:t>
            </w:r>
            <w:r>
              <w:rPr>
                <w:rFonts w:hint="eastAsia" w:ascii="Times New Roman" w:hAnsi="Times New Roman" w:cs="Times New Roman"/>
                <w:color w:val="auto"/>
                <w:lang w:eastAsia="zh-CN"/>
              </w:rPr>
              <w:t>（</w:t>
            </w:r>
            <w:r>
              <w:rPr>
                <w:rFonts w:hint="default" w:ascii="Times New Roman" w:hAnsi="Times New Roman" w:cs="Times New Roman"/>
                <w:color w:val="auto"/>
              </w:rPr>
              <w:t>选填</w:t>
            </w:r>
            <w:r>
              <w:rPr>
                <w:rFonts w:hint="eastAsia" w:ascii="Times New Roman" w:hAnsi="Times New Roman" w:cs="Times New Roman"/>
                <w:color w:val="auto"/>
                <w:lang w:eastAsia="zh-CN"/>
              </w:rPr>
              <w:t>）</w:t>
            </w:r>
          </w:p>
        </w:tc>
        <w:tc>
          <w:tcPr>
            <w:tcW w:w="1756"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eastAsia" w:ascii="Times New Roman" w:hAnsi="Times New Roman" w:cs="Times New Roman"/>
                <w:color w:val="auto"/>
              </w:rPr>
              <w:t>/</w:t>
            </w:r>
          </w:p>
        </w:tc>
        <w:tc>
          <w:tcPr>
            <w:tcW w:w="2212"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w:t>
            </w:r>
            <w:r>
              <w:rPr>
                <w:rFonts w:hint="eastAsia" w:ascii="Times New Roman" w:hAnsi="Times New Roman" w:cs="Times New Roman"/>
                <w:color w:val="auto"/>
                <w:lang w:eastAsia="zh-CN"/>
              </w:rPr>
              <w:t>（</w:t>
            </w:r>
            <w:r>
              <w:rPr>
                <w:rFonts w:hint="default" w:ascii="Times New Roman" w:hAnsi="Times New Roman" w:cs="Times New Roman"/>
                <w:color w:val="auto"/>
              </w:rPr>
              <w:t>核准/</w:t>
            </w:r>
          </w:p>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备案</w:t>
            </w:r>
            <w:r>
              <w:rPr>
                <w:rFonts w:hint="eastAsia" w:ascii="Times New Roman" w:hAnsi="Times New Roman" w:cs="Times New Roman"/>
                <w:color w:val="auto"/>
                <w:lang w:eastAsia="zh-CN"/>
              </w:rPr>
              <w:t>）</w:t>
            </w:r>
            <w:r>
              <w:rPr>
                <w:rFonts w:hint="default" w:ascii="Times New Roman" w:hAnsi="Times New Roman" w:cs="Times New Roman"/>
                <w:color w:val="auto"/>
              </w:rPr>
              <w:t>文号</w:t>
            </w:r>
            <w:r>
              <w:rPr>
                <w:rFonts w:hint="eastAsia" w:ascii="Times New Roman" w:hAnsi="Times New Roman" w:cs="Times New Roman"/>
                <w:color w:val="auto"/>
                <w:lang w:eastAsia="zh-CN"/>
              </w:rPr>
              <w:t>（</w:t>
            </w:r>
            <w:r>
              <w:rPr>
                <w:rFonts w:hint="default" w:ascii="Times New Roman" w:hAnsi="Times New Roman" w:cs="Times New Roman"/>
                <w:color w:val="auto"/>
              </w:rPr>
              <w:t>选填</w:t>
            </w:r>
            <w:r>
              <w:rPr>
                <w:rFonts w:hint="eastAsia" w:ascii="Times New Roman" w:hAnsi="Times New Roman" w:cs="Times New Roman"/>
                <w:color w:val="auto"/>
                <w:lang w:eastAsia="zh-CN"/>
              </w:rPr>
              <w:t>）</w:t>
            </w:r>
          </w:p>
        </w:tc>
        <w:tc>
          <w:tcPr>
            <w:tcW w:w="2884"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rPr>
            </w:pPr>
            <w:r>
              <w:rPr>
                <w:rFonts w:hint="default" w:ascii="Times New Roman" w:hAnsi="Times New Roman" w:cs="Times New Roman"/>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总投资</w:t>
            </w:r>
            <w:r>
              <w:rPr>
                <w:rFonts w:hint="eastAsia" w:ascii="Times New Roman" w:hAnsi="Times New Roman" w:cs="Times New Roman"/>
                <w:color w:val="auto"/>
                <w:lang w:eastAsia="zh-CN"/>
              </w:rPr>
              <w:t>（</w:t>
            </w:r>
            <w:r>
              <w:rPr>
                <w:rFonts w:hint="default" w:ascii="Times New Roman" w:hAnsi="Times New Roman" w:cs="Times New Roman"/>
                <w:color w:val="auto"/>
              </w:rPr>
              <w:t>万元</w:t>
            </w:r>
            <w:r>
              <w:rPr>
                <w:rFonts w:hint="eastAsia" w:ascii="Times New Roman" w:hAnsi="Times New Roman" w:cs="Times New Roman"/>
                <w:color w:val="auto"/>
                <w:lang w:eastAsia="zh-CN"/>
              </w:rPr>
              <w:t>）</w:t>
            </w:r>
          </w:p>
        </w:tc>
        <w:tc>
          <w:tcPr>
            <w:tcW w:w="1756"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78.93</w:t>
            </w:r>
          </w:p>
        </w:tc>
        <w:tc>
          <w:tcPr>
            <w:tcW w:w="2212"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环保投资</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万元</w:t>
            </w:r>
            <w:r>
              <w:rPr>
                <w:rFonts w:hint="eastAsia" w:ascii="Times New Roman" w:hAnsi="Times New Roman" w:cs="Times New Roman"/>
                <w:color w:val="auto"/>
                <w:highlight w:val="none"/>
                <w:lang w:eastAsia="zh-CN"/>
              </w:rPr>
              <w:t>）</w:t>
            </w:r>
          </w:p>
        </w:tc>
        <w:tc>
          <w:tcPr>
            <w:tcW w:w="2884"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环保投资占比</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p>
        </w:tc>
        <w:tc>
          <w:tcPr>
            <w:tcW w:w="1756"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16.47</w:t>
            </w:r>
          </w:p>
        </w:tc>
        <w:tc>
          <w:tcPr>
            <w:tcW w:w="2212"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施工工期</w:t>
            </w:r>
          </w:p>
        </w:tc>
        <w:tc>
          <w:tcPr>
            <w:tcW w:w="2884"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11</w:t>
            </w:r>
            <w:r>
              <w:rPr>
                <w:rFonts w:hint="eastAsia" w:ascii="Times New Roman" w:hAnsi="Times New Roman" w:cs="Times New Roman"/>
                <w:color w:val="auto"/>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是否开工建设</w:t>
            </w:r>
          </w:p>
        </w:tc>
        <w:tc>
          <w:tcPr>
            <w:tcW w:w="6852" w:type="dxa"/>
            <w:gridSpan w:val="3"/>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否</w:t>
            </w:r>
          </w:p>
          <w:p>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是：</w:t>
            </w:r>
            <w:r>
              <w:rPr>
                <w:rFonts w:hint="default" w:ascii="Times New Roman" w:hAnsi="Times New Roman" w:cs="Times New Roman"/>
                <w:color w:val="auto"/>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24" w:type="dxa"/>
            <w:noWrap w:val="0"/>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专项评价设置情况</w:t>
            </w:r>
          </w:p>
        </w:tc>
        <w:tc>
          <w:tcPr>
            <w:tcW w:w="8691" w:type="dxa"/>
            <w:gridSpan w:val="4"/>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cs="Times New Roman"/>
                <w:color w:val="auto"/>
              </w:rPr>
            </w:pPr>
            <w:r>
              <w:rPr>
                <w:rFonts w:hint="eastAsia" w:ascii="宋体" w:hAnsi="宋体" w:eastAsia="宋体" w:cs="宋体"/>
                <w:color w:val="auto"/>
                <w:kern w:val="0"/>
                <w:sz w:val="24"/>
                <w:szCs w:val="24"/>
                <w:lang w:val="en-US" w:eastAsia="zh-CN" w:bidi="ar"/>
              </w:rPr>
              <w:t>根据《建设项目环境影响报告表编制技术指南（生态影响类）（试行）》的专项评价设置原则表：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专项评价设置原则表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800"/>
              <w:gridCol w:w="1593"/>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专项评价的类别</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涉及项目类别</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项目情况</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是否做专项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地表水</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水力发电：引水式发电、涉及调峰发电的项目；</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人工湖、人工湿地：全部；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水库：全部；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引水工程：全部（配套的管线工程等除外）；</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防洪除涝工程：包含水库的项目；</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河湖整治：涉及清淤且底泥存在重金属污染的项目</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本项目为陆地矿产资源地质勘查，不涉及地表水专项类别</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地下水</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陆地石油和天然气开采：全部；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地下水（含矿泉水）开采：全部；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水利、水电、交通等：含穿越可溶岩地层隧道的项目</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本项目为陆地矿产资源地质勘查，不涉及地下水专项类别</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1"/>
                      <w:szCs w:val="21"/>
                    </w:rPr>
                  </w:pPr>
                  <w:r>
                    <w:rPr>
                      <w:rFonts w:hint="eastAsia" w:ascii="宋体" w:hAnsi="宋体" w:cs="宋体"/>
                      <w:b w:val="0"/>
                      <w:bCs w:val="0"/>
                      <w:color w:val="auto"/>
                      <w:kern w:val="0"/>
                      <w:sz w:val="21"/>
                      <w:szCs w:val="21"/>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生态</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涉及环境敏感区（不包括饮用水水源保护区，以居住、医疗卫生、文化教育、科研、行政办公为主要功能的区域，以及文物保护单位）的项目</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本项目为陆地矿产资源地质勘查，周围不涉及</w:t>
                  </w:r>
                  <w:r>
                    <w:rPr>
                      <w:rFonts w:hint="eastAsia" w:ascii="宋体" w:hAnsi="宋体" w:eastAsia="宋体" w:cs="宋体"/>
                      <w:b w:val="0"/>
                      <w:bCs w:val="0"/>
                      <w:color w:val="auto"/>
                      <w:kern w:val="0"/>
                      <w:sz w:val="21"/>
                      <w:szCs w:val="21"/>
                      <w:vertAlign w:val="baseline"/>
                      <w:lang w:val="en-US" w:eastAsia="zh-CN"/>
                    </w:rPr>
                    <w:t>环境敏感区</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大气</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油气、液体化工码头：全部；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干散货（含煤炭、矿石）、件杂、多用途、通用码头：涉及粉尘、挥发性有机物排放的项目</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本项目为陆地矿产资源地质勘查，不涉及地表水专项类别</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噪声</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公路、铁路、机场等交通运输业涉及环境敏感区（以居住、医疗卫生、文化教育、科研、行政办公为主要功能的区域）的项目；城市道路（不含维护，不含支路、人行天桥、人行地道）：全部</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w:t>
                  </w:r>
                  <w:r>
                    <w:rPr>
                      <w:rFonts w:hint="eastAsia" w:ascii="宋体" w:hAnsi="宋体" w:eastAsia="宋体" w:cs="宋体"/>
                      <w:color w:val="auto"/>
                      <w:sz w:val="21"/>
                      <w:szCs w:val="21"/>
                      <w:lang w:val="en-US" w:eastAsia="zh-CN"/>
                    </w:rPr>
                    <w:t>噪声</w:t>
                  </w:r>
                  <w:r>
                    <w:rPr>
                      <w:rFonts w:hint="eastAsia" w:ascii="宋体" w:hAnsi="宋体" w:cs="宋体"/>
                      <w:b w:val="0"/>
                      <w:bCs w:val="0"/>
                      <w:color w:val="auto"/>
                      <w:kern w:val="0"/>
                      <w:sz w:val="21"/>
                      <w:szCs w:val="21"/>
                      <w:vertAlign w:val="baseline"/>
                      <w:lang w:val="en-US" w:eastAsia="zh-CN"/>
                    </w:rPr>
                    <w:t>专项类别</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1"/>
                      <w:szCs w:val="21"/>
                    </w:rPr>
                  </w:pPr>
                  <w:r>
                    <w:rPr>
                      <w:rFonts w:hint="eastAsia" w:ascii="宋体" w:hAnsi="宋体" w:cs="宋体"/>
                      <w:b w:val="0"/>
                      <w:bCs w:val="0"/>
                      <w:color w:val="auto"/>
                      <w:kern w:val="0"/>
                      <w:sz w:val="21"/>
                      <w:szCs w:val="21"/>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环境风险</w:t>
                  </w:r>
                </w:p>
              </w:tc>
              <w:tc>
                <w:tcPr>
                  <w:tcW w:w="4800"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石油和天然气开采：全部；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油气、液体化工码头：全部；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原油、成品油、天然气管线（不含城镇天然气管线、企业厂区内管线），危险化学品输送管线（不含企业厂区内管线）：全部</w:t>
                  </w:r>
                </w:p>
              </w:tc>
              <w:tc>
                <w:tcPr>
                  <w:tcW w:w="1593"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color w:val="auto"/>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w:t>
                  </w:r>
                  <w:r>
                    <w:rPr>
                      <w:rFonts w:hint="eastAsia" w:ascii="宋体" w:hAnsi="宋体" w:eastAsia="宋体" w:cs="宋体"/>
                      <w:color w:val="auto"/>
                      <w:sz w:val="21"/>
                      <w:szCs w:val="21"/>
                    </w:rPr>
                    <w:t>环境风险</w:t>
                  </w:r>
                  <w:r>
                    <w:rPr>
                      <w:rFonts w:hint="eastAsia" w:ascii="宋体" w:hAnsi="宋体" w:cs="宋体"/>
                      <w:b w:val="0"/>
                      <w:bCs w:val="0"/>
                      <w:color w:val="auto"/>
                      <w:kern w:val="0"/>
                      <w:sz w:val="21"/>
                      <w:szCs w:val="21"/>
                      <w:vertAlign w:val="baseline"/>
                      <w:lang w:val="en-US" w:eastAsia="zh-CN"/>
                    </w:rPr>
                    <w:t>专项类别</w:t>
                  </w:r>
                </w:p>
              </w:tc>
              <w:tc>
                <w:tcPr>
                  <w:tcW w:w="852" w:type="dxa"/>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1"/>
                      <w:szCs w:val="21"/>
                    </w:rPr>
                  </w:pPr>
                  <w:r>
                    <w:rPr>
                      <w:rFonts w:hint="eastAsia" w:ascii="宋体" w:hAnsi="宋体" w:cs="宋体"/>
                      <w:b w:val="0"/>
                      <w:bCs w:val="0"/>
                      <w:color w:val="auto"/>
                      <w:kern w:val="0"/>
                      <w:sz w:val="21"/>
                      <w:szCs w:val="21"/>
                      <w:vertAlign w:val="baseline"/>
                      <w:lang w:val="en-US" w:eastAsia="zh-CN"/>
                    </w:rPr>
                    <w:t>否</w:t>
                  </w:r>
                </w:p>
              </w:tc>
            </w:tr>
          </w:tbl>
          <w:p>
            <w:pPr>
              <w:keepNext w:val="0"/>
              <w:keepLines w:val="0"/>
              <w:suppressLineNumbers w:val="0"/>
              <w:autoSpaceDE w:val="0"/>
              <w:autoSpaceDN w:val="0"/>
              <w:adjustRightInd w:val="0"/>
              <w:snapToGrid w:val="0"/>
              <w:spacing w:before="0" w:beforeAutospacing="0" w:after="0" w:afterAutospacing="0"/>
              <w:ind w:left="0" w:right="0" w:firstLine="480"/>
              <w:jc w:val="both"/>
              <w:rPr>
                <w:rFonts w:hint="default" w:ascii="Times New Roman" w:hAnsi="Times New Roman" w:cs="Times New Roman"/>
                <w:color w:val="auto"/>
                <w:kern w:val="0"/>
              </w:rPr>
            </w:pPr>
            <w:r>
              <w:rPr>
                <w:rFonts w:hint="default" w:ascii="Times New Roman" w:hAnsi="Times New Roman" w:eastAsia="宋体" w:cs="Times New Roman"/>
                <w:color w:val="auto"/>
                <w:kern w:val="0"/>
                <w:sz w:val="24"/>
                <w:szCs w:val="24"/>
                <w:lang w:val="en-US" w:eastAsia="zh-CN" w:bidi="ar"/>
              </w:rPr>
              <w:t>根据上表分析，本项目为</w:t>
            </w:r>
            <w:r>
              <w:rPr>
                <w:rFonts w:hint="eastAsia" w:ascii="Times New Roman" w:hAnsi="Times New Roman" w:eastAsia="宋体" w:cs="Times New Roman"/>
                <w:color w:val="auto"/>
                <w:kern w:val="0"/>
                <w:sz w:val="24"/>
                <w:szCs w:val="24"/>
                <w:lang w:val="en-US" w:eastAsia="zh-CN" w:bidi="ar"/>
              </w:rPr>
              <w:t>“四十六、专业技术服务业-99、陆地矿产资源地质勘查”</w:t>
            </w:r>
            <w:r>
              <w:rPr>
                <w:rFonts w:hint="default" w:ascii="Times New Roman" w:hAnsi="Times New Roman" w:eastAsia="宋体" w:cs="Times New Roman"/>
                <w:color w:val="auto"/>
                <w:kern w:val="0"/>
                <w:sz w:val="24"/>
                <w:szCs w:val="24"/>
                <w:lang w:val="en-US" w:eastAsia="zh-CN" w:bidi="ar"/>
              </w:rPr>
              <w:t>，无需开展专项评价工作。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4" w:type="dxa"/>
            <w:noWrap w:val="0"/>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rPr>
              <w:t>规划情况</w:t>
            </w:r>
          </w:p>
        </w:tc>
        <w:tc>
          <w:tcPr>
            <w:tcW w:w="8691" w:type="dxa"/>
            <w:gridSpan w:val="4"/>
            <w:noWrap w:val="0"/>
            <w:vAlign w:val="center"/>
          </w:tcPr>
          <w:p>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firstLine="0" w:firstLineChars="0"/>
              <w:jc w:val="both"/>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rPr>
              <w:t>《新疆维吾尔自治区矿产资源总体规划</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2021-2025</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审批机关：自然资源部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lang w:val="en-US" w:eastAsia="zh-CN"/>
              </w:rPr>
              <w:t>审批文件名称及文号：</w:t>
            </w:r>
            <w:r>
              <w:rPr>
                <w:rFonts w:hint="eastAsia" w:ascii="Times New Roman" w:hAnsi="Times New Roman" w:cs="Times New Roman"/>
                <w:color w:val="auto"/>
                <w:lang w:val="en-US" w:eastAsia="zh-CN"/>
              </w:rPr>
              <w:t>《关于&lt;新疆维吾尔自治区矿产资源总体规划（2021-2025年）&gt;的审查意见》（</w:t>
            </w:r>
            <w:r>
              <w:rPr>
                <w:rFonts w:hint="default" w:ascii="Times New Roman" w:hAnsi="Times New Roman" w:eastAsia="宋体" w:cs="Times New Roman"/>
                <w:color w:val="auto"/>
                <w:lang w:val="en-US" w:eastAsia="zh-CN"/>
              </w:rPr>
              <w:t>自然资源函〔2022〕1092号</w:t>
            </w:r>
            <w:r>
              <w:rPr>
                <w:rFonts w:hint="eastAsia" w:ascii="Times New Roman" w:hAnsi="Times New Roman" w:eastAsia="宋体" w:cs="Times New Roman"/>
                <w:color w:val="auto"/>
                <w:lang w:val="en-US" w:eastAsia="zh-CN"/>
              </w:rPr>
              <w:t>）</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sz w:val="24"/>
                <w:szCs w:val="24"/>
                <w:lang w:val="en-US" w:eastAsia="zh-CN"/>
              </w:rPr>
              <w:t>《巴音郭楞蒙古自治州矿产资源总体规划</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2021-2025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r>
              <w:rPr>
                <w:rFonts w:hint="eastAsia" w:ascii="Times New Roman" w:hAnsi="Times New Roman" w:cs="Times New Roman"/>
                <w:color w:val="auto"/>
                <w:lang w:val="en-US" w:eastAsia="zh-CN"/>
              </w:rPr>
              <w:t>巴州人民政府2022年12月发布</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审批机关：/</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审批文件名称及文号：/</w:t>
            </w:r>
          </w:p>
          <w:p>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firstLine="0" w:firstLineChars="0"/>
              <w:jc w:val="both"/>
              <w:rPr>
                <w:rFonts w:hint="eastAsia" w:ascii="Times New Roman" w:hAnsi="Times New Roman" w:cs="Times New Roman"/>
                <w:color w:val="auto"/>
                <w:lang w:val="en-US" w:eastAsia="zh-CN"/>
              </w:rPr>
            </w:pPr>
            <w:r>
              <w:rPr>
                <w:rFonts w:hint="eastAsia" w:ascii="Times New Roman" w:hAnsi="Times New Roman" w:cs="Times New Roman"/>
                <w:color w:val="auto"/>
                <w:kern w:val="2"/>
                <w:sz w:val="24"/>
                <w:szCs w:val="24"/>
                <w:lang w:val="en-US" w:eastAsia="zh-CN" w:bidi="ar-SA"/>
              </w:rPr>
              <w:t>（3）</w:t>
            </w:r>
            <w:r>
              <w:rPr>
                <w:rFonts w:hint="default" w:ascii="Times New Roman" w:hAnsi="Times New Roman" w:eastAsia="宋体" w:cs="Times New Roman"/>
                <w:color w:val="auto"/>
                <w:sz w:val="24"/>
                <w:szCs w:val="24"/>
              </w:rPr>
              <w:t>《新疆维吾尔自治区</w:t>
            </w:r>
            <w:r>
              <w:rPr>
                <w:rFonts w:hint="eastAsia" w:ascii="Times New Roman" w:hAnsi="Times New Roman" w:eastAsia="宋体" w:cs="Times New Roman"/>
                <w:color w:val="auto"/>
                <w:sz w:val="24"/>
                <w:szCs w:val="24"/>
                <w:lang w:val="en-US" w:eastAsia="zh-CN"/>
              </w:rPr>
              <w:t>和静</w:t>
            </w:r>
            <w:r>
              <w:rPr>
                <w:rFonts w:hint="default" w:ascii="Times New Roman" w:hAnsi="Times New Roman" w:eastAsia="宋体" w:cs="Times New Roman"/>
                <w:color w:val="auto"/>
                <w:sz w:val="24"/>
                <w:szCs w:val="24"/>
                <w:lang w:val="en-US" w:eastAsia="zh-CN"/>
              </w:rPr>
              <w:t>县</w:t>
            </w:r>
            <w:r>
              <w:rPr>
                <w:rFonts w:hint="default" w:ascii="Times New Roman" w:hAnsi="Times New Roman" w:eastAsia="宋体" w:cs="Times New Roman"/>
                <w:color w:val="auto"/>
                <w:sz w:val="24"/>
                <w:szCs w:val="24"/>
              </w:rPr>
              <w:t>矿产资源总体规划</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2021-2025</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lang w:val="en-US" w:eastAsia="zh-CN"/>
              </w:rPr>
              <w:t>和静县人民政府2023年3月发布</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审批机关：/</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审批文件名称及文号：/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24" w:type="dxa"/>
            <w:noWrap w:val="0"/>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规划环境影响</w:t>
            </w:r>
          </w:p>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rPr>
              <w:t>评价情况</w:t>
            </w:r>
          </w:p>
        </w:tc>
        <w:tc>
          <w:tcPr>
            <w:tcW w:w="8691" w:type="dxa"/>
            <w:gridSpan w:val="4"/>
            <w:noWrap w:val="0"/>
            <w:vAlign w:val="center"/>
          </w:tcPr>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（1）规划名称：</w:t>
            </w:r>
            <w:r>
              <w:rPr>
                <w:rFonts w:hint="default" w:ascii="Times New Roman" w:hAnsi="Times New Roman" w:cs="Times New Roman"/>
                <w:color w:val="auto"/>
                <w:kern w:val="0"/>
                <w:lang w:val="en-US" w:eastAsia="zh-CN"/>
              </w:rPr>
              <w:t>《新疆维吾尔自治区矿产资源总体规划</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2021-2025年</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环境影响报告书》</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审批机关：中华人民共和国生态环境部</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审批文件名称及文号：</w:t>
            </w:r>
            <w:r>
              <w:rPr>
                <w:rFonts w:hint="default" w:ascii="Times New Roman" w:hAnsi="Times New Roman" w:cs="Times New Roman"/>
                <w:color w:val="auto"/>
                <w:kern w:val="0"/>
                <w:lang w:val="en-US" w:eastAsia="zh-CN"/>
              </w:rPr>
              <w:t>《关于</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新疆维吾尔自治区矿产资源总体规划</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2021-2025年</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环境影响报告书</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的审查意见》</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环审</w:t>
            </w:r>
            <w:r>
              <w:rPr>
                <w:rFonts w:hint="default" w:ascii="Times New Roman" w:hAnsi="Times New Roman" w:eastAsia="宋体" w:cs="Times New Roman"/>
                <w:color w:val="auto"/>
                <w:lang w:val="en-US" w:eastAsia="zh-CN"/>
              </w:rPr>
              <w:t>〔2022〕</w:t>
            </w:r>
            <w:r>
              <w:rPr>
                <w:rFonts w:hint="default" w:ascii="Times New Roman" w:hAnsi="Times New Roman" w:cs="Times New Roman"/>
                <w:color w:val="auto"/>
                <w:kern w:val="0"/>
                <w:lang w:val="en-US" w:eastAsia="zh-CN"/>
              </w:rPr>
              <w:t>124号</w:t>
            </w:r>
            <w:r>
              <w:rPr>
                <w:rFonts w:hint="eastAsia" w:ascii="Times New Roman" w:hAnsi="Times New Roman" w:cs="Times New Roman"/>
                <w:color w:val="auto"/>
                <w:kern w:val="0"/>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4" w:type="dxa"/>
            <w:noWrap w:val="0"/>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规划及规划环境</w:t>
            </w:r>
          </w:p>
          <w:p>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影响评价符合性分析</w:t>
            </w:r>
          </w:p>
        </w:tc>
        <w:tc>
          <w:tcPr>
            <w:tcW w:w="8691" w:type="dxa"/>
            <w:gridSpan w:val="4"/>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kern w:val="0"/>
              </w:rPr>
            </w:pPr>
            <w:r>
              <w:rPr>
                <w:rFonts w:hint="eastAsia" w:ascii="Times New Roman" w:hAnsi="Times New Roman" w:cs="Times New Roman"/>
                <w:b/>
                <w:bCs/>
                <w:color w:val="auto"/>
                <w:lang w:val="en-US" w:eastAsia="zh-CN"/>
              </w:rPr>
              <w:t>1.《新疆维吾尔自治区矿产资源总体规划（2021-2025）》符合性分析</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kern w:val="0"/>
                <w:lang w:eastAsia="zh-CN"/>
              </w:rPr>
            </w:pPr>
            <w:r>
              <w:rPr>
                <w:rFonts w:hint="eastAsia" w:ascii="Times New Roman" w:hAnsi="Times New Roman" w:cs="Times New Roman"/>
                <w:color w:val="auto"/>
                <w:lang w:val="en-US" w:eastAsia="zh-CN"/>
              </w:rPr>
              <w:t>根据</w:t>
            </w:r>
            <w:r>
              <w:rPr>
                <w:rFonts w:hint="default" w:ascii="Times New Roman" w:hAnsi="Times New Roman" w:cs="Times New Roman"/>
                <w:color w:val="auto"/>
              </w:rPr>
              <w:t>《新疆维吾尔自治区矿产资源总体规划（2021</w:t>
            </w:r>
            <w:r>
              <w:rPr>
                <w:rFonts w:hint="eastAsia" w:ascii="Times New Roman" w:hAnsi="Times New Roman" w:cs="Times New Roman"/>
                <w:color w:val="auto"/>
                <w:lang w:val="en-US" w:eastAsia="zh-CN"/>
              </w:rPr>
              <w:t>-</w:t>
            </w:r>
            <w:r>
              <w:rPr>
                <w:rFonts w:hint="default" w:ascii="Times New Roman" w:hAnsi="Times New Roman" w:cs="Times New Roman"/>
                <w:color w:val="auto"/>
              </w:rPr>
              <w:t>2025</w:t>
            </w:r>
            <w:r>
              <w:rPr>
                <w:rFonts w:hint="eastAsia" w:ascii="Times New Roman" w:hAnsi="Times New Roman" w:cs="Times New Roman"/>
                <w:color w:val="auto"/>
                <w:lang w:val="en-US" w:eastAsia="zh-CN"/>
              </w:rPr>
              <w:t>年</w:t>
            </w:r>
            <w:r>
              <w:rPr>
                <w:rFonts w:hint="default" w:ascii="Times New Roman" w:hAnsi="Times New Roman" w:cs="Times New Roman"/>
                <w:color w:val="auto"/>
              </w:rPr>
              <w:t>）》</w:t>
            </w:r>
            <w:r>
              <w:rPr>
                <w:rFonts w:hint="eastAsia" w:ascii="Times New Roman" w:hAnsi="Times New Roman" w:cs="Times New Roman"/>
                <w:color w:val="auto"/>
                <w:lang w:val="en-US" w:eastAsia="zh-CN"/>
              </w:rPr>
              <w:t>中三、规划目标。</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一</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总体目标。</w:t>
            </w:r>
            <w:r>
              <w:rPr>
                <w:rFonts w:hint="eastAsia" w:ascii="Times New Roman" w:hAnsi="Times New Roman" w:cs="Times New Roman"/>
                <w:color w:val="auto"/>
                <w:kern w:val="0"/>
              </w:rPr>
              <w:t>到2025年，矿产资源勘查开发科技创新能力不断增强，矿产资源勘查开发与保护格局更加优化，支撑保障国家</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三基地一通道</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和能源资源接替基地建设更加有力。矿业发展质量显著提升，矿业权市场更加健全、更加活跃，矿山生态环境质量持续提升，矿山安全根基稳固，初步形成资源、经济、环境、社会效益协调统一的矿业高质量发展新格局。</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二</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规划目标。</w:t>
            </w:r>
            <w:r>
              <w:rPr>
                <w:rFonts w:hint="eastAsia" w:ascii="Times New Roman" w:hAnsi="Times New Roman" w:cs="Times New Roman"/>
                <w:color w:val="auto"/>
                <w:kern w:val="0"/>
              </w:rPr>
              <w:t>战略性矿产资源保障能力显著提高。开展新一轮战略性矿产找矿行动，重要成矿区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带</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内矿产资源调查评价工作持续推进，形成一批战略性矿产和优势矿产勘查开发后备区和战略接续区。新发现和评价矿产地100-150处，其中大中型矿产地20-30处。铁、锰、铜、钴、金、锂、铍、萤石、硅质原料等矿产勘查实现新突破</w:t>
            </w:r>
            <w:r>
              <w:rPr>
                <w:rFonts w:hint="eastAsia" w:ascii="Times New Roman" w:hAnsi="Times New Roman" w:cs="Times New Roman"/>
                <w:color w:val="auto"/>
                <w:kern w:val="0"/>
                <w:lang w:eastAsia="zh-CN"/>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val="en-US" w:eastAsia="zh-CN"/>
              </w:rPr>
            </w:pPr>
            <w:r>
              <w:rPr>
                <w:rFonts w:hint="eastAsia" w:ascii="Times New Roman" w:hAnsi="Times New Roman" w:cs="Times New Roman"/>
                <w:color w:val="auto"/>
                <w:lang w:val="en-US" w:eastAsia="zh-CN"/>
              </w:rPr>
              <w:t>四、总体布局。（一）勘查开发保护区域布局。</w:t>
            </w:r>
            <w:r>
              <w:rPr>
                <w:rFonts w:hint="eastAsia" w:ascii="Times New Roman" w:hAnsi="Times New Roman" w:eastAsia="宋体" w:cs="Times New Roman"/>
                <w:color w:val="auto"/>
                <w:kern w:val="0"/>
                <w:lang w:val="en-US" w:eastAsia="zh-CN"/>
              </w:rPr>
              <w:t>依据矿产资源分布特点及勘查开发利用现状，按照“深化北疆东疆，加快南疆勘查开发”的总体思路，划分</w:t>
            </w:r>
            <w:r>
              <w:rPr>
                <w:rFonts w:hint="eastAsia" w:cs="Times New Roman"/>
                <w:color w:val="auto"/>
                <w:kern w:val="0"/>
                <w:lang w:val="en-US" w:eastAsia="zh-CN"/>
              </w:rPr>
              <w:t>环准噶尔</w:t>
            </w:r>
            <w:r>
              <w:rPr>
                <w:rFonts w:hint="eastAsia" w:ascii="Times New Roman" w:hAnsi="Times New Roman" w:eastAsia="宋体" w:cs="Times New Roman"/>
                <w:color w:val="auto"/>
                <w:kern w:val="0"/>
                <w:lang w:val="en-US" w:eastAsia="zh-CN"/>
              </w:rPr>
              <w:t>、环塔里木、阿尔泰、东准</w:t>
            </w:r>
            <w:r>
              <w:rPr>
                <w:rFonts w:hint="eastAsia" w:cs="Times New Roman"/>
                <w:color w:val="auto"/>
                <w:kern w:val="0"/>
                <w:lang w:val="en-US" w:eastAsia="zh-CN"/>
              </w:rPr>
              <w:t>噶</w:t>
            </w:r>
            <w:r>
              <w:rPr>
                <w:rFonts w:hint="eastAsia" w:ascii="Times New Roman" w:hAnsi="Times New Roman" w:eastAsia="宋体" w:cs="Times New Roman"/>
                <w:color w:val="auto"/>
                <w:kern w:val="0"/>
                <w:lang w:val="en-US" w:eastAsia="zh-CN"/>
              </w:rPr>
              <w:t>尔、西准</w:t>
            </w:r>
            <w:r>
              <w:rPr>
                <w:rFonts w:hint="eastAsia" w:cs="Times New Roman"/>
                <w:color w:val="auto"/>
                <w:kern w:val="0"/>
                <w:lang w:val="en-US" w:eastAsia="zh-CN"/>
              </w:rPr>
              <w:t>噶</w:t>
            </w:r>
            <w:r>
              <w:rPr>
                <w:rFonts w:hint="eastAsia" w:ascii="Times New Roman" w:hAnsi="Times New Roman" w:eastAsia="宋体" w:cs="Times New Roman"/>
                <w:color w:val="auto"/>
                <w:kern w:val="0"/>
                <w:lang w:val="en-US" w:eastAsia="zh-CN"/>
              </w:rPr>
              <w:t>尔、东天山、西天山、西南天山、西昆仑、东昆仑-阿尔金等“两环八带十个勘查开发区”。</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西天山能源矿产、黑色及贵金属勘查开发区。以煤炭、铁、金等</w:t>
            </w:r>
            <w:r>
              <w:rPr>
                <w:rFonts w:hint="eastAsia" w:cs="Times New Roman"/>
                <w:color w:val="auto"/>
                <w:kern w:val="0"/>
                <w:lang w:val="en-US" w:eastAsia="zh-CN"/>
              </w:rPr>
              <w:t>矿产资源</w:t>
            </w:r>
            <w:r>
              <w:rPr>
                <w:rFonts w:hint="eastAsia" w:ascii="Times New Roman" w:hAnsi="Times New Roman" w:eastAsia="宋体" w:cs="Times New Roman"/>
                <w:color w:val="auto"/>
                <w:kern w:val="0"/>
                <w:lang w:val="en-US" w:eastAsia="zh-CN"/>
              </w:rPr>
              <w:t>勘查开发为主，重点加强阿吾拉勒铁矿带敦德、备战等矿山建设及1000米以浅深边部富铁矿勘查，新增铁资源量1亿吨，为八钢及新源、和静钢铁产业提供资源保障。加强阿希金矿外围找矿，增加资源储量；加快卡特巴阿苏金矿开发建设，尽快形成产能。兼顾饰面石材、高品质石灰岩、石英岩等非金属矿产，延长产业链。加快和静县、伊宁市绿色矿业发展示范区建设，促进矿业绿色转型升级，发挥大企业龙头骨干作用，辐射带动当地钢铁、黄金、煤炭等产业发展。开展温泉—乌苏一带水热型地热资源调查评价，助力当地生态农业、文化旅游产业发展。</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highlight w:val="none"/>
              </w:rPr>
              <w:t>本项目为铜金矿地质</w:t>
            </w:r>
            <w:r>
              <w:rPr>
                <w:rFonts w:hint="eastAsia"/>
                <w:color w:val="auto"/>
                <w:lang w:val="en-US" w:eastAsia="zh-CN"/>
              </w:rPr>
              <w:t>勘查</w:t>
            </w:r>
            <w:r>
              <w:rPr>
                <w:rFonts w:hint="eastAsia" w:ascii="Times New Roman" w:hAnsi="Times New Roman" w:cs="Times New Roman"/>
                <w:color w:val="auto"/>
                <w:kern w:val="0"/>
                <w:highlight w:val="none"/>
                <w:lang w:val="en-US" w:eastAsia="zh-CN"/>
              </w:rPr>
              <w:t>项目</w:t>
            </w:r>
            <w:r>
              <w:rPr>
                <w:rFonts w:hint="eastAsia" w:ascii="Times New Roman" w:hAnsi="Times New Roman" w:cs="Times New Roman"/>
                <w:color w:val="auto"/>
                <w:kern w:val="0"/>
                <w:highlight w:val="none"/>
              </w:rPr>
              <w:t>，</w:t>
            </w:r>
            <w:r>
              <w:rPr>
                <w:rFonts w:hint="eastAsia" w:ascii="Times New Roman" w:hAnsi="Times New Roman" w:cs="Times New Roman"/>
                <w:color w:val="auto"/>
                <w:kern w:val="0"/>
              </w:rPr>
              <w:t>属于</w:t>
            </w:r>
            <w:r>
              <w:rPr>
                <w:rFonts w:hint="eastAsia" w:ascii="Times New Roman" w:hAnsi="Times New Roman" w:eastAsia="宋体" w:cs="Times New Roman"/>
                <w:color w:val="auto"/>
                <w:kern w:val="0"/>
                <w:lang w:val="en-US" w:eastAsia="zh-CN"/>
              </w:rPr>
              <w:t>“两环八带十个勘查开发区”</w:t>
            </w:r>
            <w:r>
              <w:rPr>
                <w:rFonts w:hint="eastAsia" w:ascii="Times New Roman" w:hAnsi="Times New Roman" w:cs="Times New Roman"/>
                <w:color w:val="auto"/>
                <w:kern w:val="0"/>
              </w:rPr>
              <w:t>中西天山能源矿产、黑色及贵金属勘查开发区，为矿产资源的开发与利用</w:t>
            </w:r>
            <w:r>
              <w:rPr>
                <w:rFonts w:hint="eastAsia" w:ascii="Times New Roman" w:hAnsi="Times New Roman" w:cs="Times New Roman"/>
                <w:color w:val="auto"/>
                <w:kern w:val="0"/>
                <w:lang w:val="en-US" w:eastAsia="zh-CN"/>
              </w:rPr>
              <w:t>奠定</w:t>
            </w:r>
            <w:r>
              <w:rPr>
                <w:rFonts w:hint="eastAsia" w:ascii="Times New Roman" w:hAnsi="Times New Roman" w:cs="Times New Roman"/>
                <w:color w:val="auto"/>
                <w:kern w:val="0"/>
              </w:rPr>
              <w:t>基础，符合《新疆维吾尔自治区矿产资源总体规划</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2021-2025</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》总体目标和总体布局等相关要求</w:t>
            </w:r>
            <w:r>
              <w:rPr>
                <w:rFonts w:hint="eastAsia" w:ascii="Times New Roman" w:hAnsi="Times New Roman" w:cs="Times New Roman"/>
                <w:color w:val="auto"/>
                <w:kern w:val="0"/>
                <w:lang w:eastAsia="zh-CN"/>
              </w:rPr>
              <w:t>。</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jc w:val="both"/>
              <w:textAlignment w:val="auto"/>
              <w:outlineLvl w:val="9"/>
              <w:rPr>
                <w:rFonts w:hint="eastAsia" w:ascii="Times New Roman" w:hAnsi="Times New Roman" w:cs="Times New Roman"/>
                <w:b/>
                <w:bCs/>
                <w:color w:val="auto"/>
                <w:kern w:val="0"/>
                <w:sz w:val="24"/>
                <w:szCs w:val="24"/>
                <w:lang w:val="en-US" w:eastAsia="zh-CN" w:bidi="ar-SA"/>
              </w:rPr>
            </w:pPr>
            <w:r>
              <w:rPr>
                <w:rFonts w:hint="eastAsia" w:ascii="Times New Roman" w:hAnsi="Times New Roman" w:cs="Times New Roman"/>
                <w:b/>
                <w:bCs/>
                <w:color w:val="auto"/>
                <w:kern w:val="0"/>
                <w:sz w:val="24"/>
                <w:szCs w:val="24"/>
                <w:lang w:val="en-US" w:eastAsia="zh-CN" w:bidi="ar-SA"/>
              </w:rPr>
              <w:t>2.与《新疆维吾尔自治区矿产资源总体规划（2021-2025）环境影响报告书》及审查意见（环审〔2022〕124号）的符合性分析。</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eastAsia="宋体"/>
                <w:color w:val="auto"/>
                <w:kern w:val="0"/>
                <w:lang w:val="en-US" w:eastAsia="zh-CN"/>
              </w:rPr>
            </w:pPr>
            <w:r>
              <w:rPr>
                <w:rFonts w:hint="eastAsia" w:eastAsia="宋体"/>
                <w:color w:val="auto"/>
                <w:kern w:val="0"/>
                <w:lang w:val="en-US" w:eastAsia="zh-CN"/>
              </w:rPr>
              <w:t>依据矿产资源分布特点及勘查开发利用现状，按照“深化北疆东疆，加快南疆勘查开发”的总体思路，划分</w:t>
            </w:r>
            <w:r>
              <w:rPr>
                <w:rFonts w:hint="eastAsia"/>
                <w:color w:val="auto"/>
                <w:kern w:val="0"/>
                <w:lang w:val="en-US" w:eastAsia="zh-CN"/>
              </w:rPr>
              <w:t>环准噶尔</w:t>
            </w:r>
            <w:r>
              <w:rPr>
                <w:rFonts w:hint="eastAsia" w:eastAsia="宋体"/>
                <w:color w:val="auto"/>
                <w:kern w:val="0"/>
                <w:lang w:val="en-US" w:eastAsia="zh-CN"/>
              </w:rPr>
              <w:t>、环塔里木、阿尔泰、东准</w:t>
            </w:r>
            <w:r>
              <w:rPr>
                <w:rFonts w:hint="eastAsia" w:cs="Times New Roman"/>
                <w:color w:val="auto"/>
                <w:kern w:val="0"/>
                <w:lang w:val="en-US" w:eastAsia="zh-CN"/>
              </w:rPr>
              <w:t>噶</w:t>
            </w:r>
            <w:r>
              <w:rPr>
                <w:rFonts w:hint="eastAsia" w:eastAsia="宋体"/>
                <w:color w:val="auto"/>
                <w:kern w:val="0"/>
                <w:lang w:val="en-US" w:eastAsia="zh-CN"/>
              </w:rPr>
              <w:t>尔、西准</w:t>
            </w:r>
            <w:r>
              <w:rPr>
                <w:rFonts w:hint="eastAsia" w:cs="Times New Roman"/>
                <w:color w:val="auto"/>
                <w:kern w:val="0"/>
                <w:lang w:val="en-US" w:eastAsia="zh-CN"/>
              </w:rPr>
              <w:t>噶</w:t>
            </w:r>
            <w:r>
              <w:rPr>
                <w:rFonts w:hint="eastAsia" w:eastAsia="宋体"/>
                <w:color w:val="auto"/>
                <w:kern w:val="0"/>
                <w:lang w:val="en-US" w:eastAsia="zh-CN"/>
              </w:rPr>
              <w:t>尔、东天山、西天山、西南天山、西昆仑、东昆仑-阿尔金等“两环八带十个勘查开发区”。</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eastAsia="宋体"/>
                <w:color w:val="auto"/>
                <w:kern w:val="0"/>
                <w:lang w:val="en-US" w:eastAsia="zh-CN"/>
              </w:rPr>
              <w:t>西天山能源矿产、黑色及贵金属勘查开发区。以煤炭、铁、金等矿</w:t>
            </w:r>
            <w:r>
              <w:rPr>
                <w:rFonts w:hint="eastAsia"/>
                <w:color w:val="auto"/>
                <w:kern w:val="0"/>
                <w:lang w:val="en-US" w:eastAsia="zh-CN"/>
              </w:rPr>
              <w:t>产</w:t>
            </w:r>
            <w:r>
              <w:rPr>
                <w:rFonts w:hint="eastAsia" w:eastAsia="宋体"/>
                <w:color w:val="auto"/>
                <w:kern w:val="0"/>
                <w:lang w:val="en-US" w:eastAsia="zh-CN"/>
              </w:rPr>
              <w:t>资源勘查开发为主，重点加强阿吾拉勒铁矿带敦德、备战等矿山建设及1000米以浅深边部富铁矿勘查，新增铁资源量1亿吨，为八钢及新源、和静钢铁产业提供资源保障。加强阿希金矿外围找矿，增加资源储量；加快卡特巴阿苏金矿开发建设，尽快形成产能。兼顾饰面石材、高品质石灰岩、石英岩等非金属矿产，延长产业链。加快和静县、伊宁市绿色矿业发展示范区建设，促进矿业绿色转型升级，发挥大企业龙头骨干作用，辐射带动当地钢铁、黄金、煤炭等产业发展。开展温泉—乌苏一带水热型地热资源调查评价，助力当地生态农业、文化旅游产业发展。</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重点勘查开采矿种：石油、天然气、页岩气、煤层气、煤、地热等能源矿产，铁、锰、铜、镍、钴、铅锌、锂、铍、金等金属矿产以及钾盐、萤石、硅质原料等非金属矿产。</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限制勘查矿种：石棉、砂金等矿产。</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限制开采矿种：硫铁矿、石棉、砂金、砖瓦用粘土等矿产，严格控制钨、稀土等特定保护性开采矿产。</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禁止勘查开采矿种：可耕地砖瓦用粘土、灰分大于40%或含硫大于3%的煤以及砂铁、汞等矿产。</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rPr>
              <w:t>本项目为铜金矿地质</w:t>
            </w:r>
            <w:r>
              <w:rPr>
                <w:rFonts w:hint="eastAsia"/>
                <w:color w:val="auto"/>
                <w:lang w:val="en-US" w:eastAsia="zh-CN"/>
              </w:rPr>
              <w:t>勘查</w:t>
            </w:r>
            <w:r>
              <w:rPr>
                <w:rFonts w:hint="eastAsia" w:ascii="Times New Roman" w:hAnsi="Times New Roman" w:cs="Times New Roman"/>
                <w:color w:val="auto"/>
                <w:kern w:val="0"/>
              </w:rPr>
              <w:t>项目，</w:t>
            </w:r>
            <w:r>
              <w:rPr>
                <w:rFonts w:hint="eastAsia" w:cs="Times New Roman"/>
                <w:color w:val="auto"/>
                <w:kern w:val="0"/>
                <w:lang w:val="en-US" w:eastAsia="zh-CN"/>
              </w:rPr>
              <w:t>为</w:t>
            </w:r>
            <w:r>
              <w:rPr>
                <w:rFonts w:hint="eastAsia" w:ascii="Times New Roman" w:hAnsi="Times New Roman" w:cs="Times New Roman"/>
                <w:color w:val="auto"/>
                <w:kern w:val="0"/>
                <w:sz w:val="24"/>
                <w:szCs w:val="24"/>
                <w:lang w:val="en-US" w:eastAsia="zh-CN" w:bidi="ar-SA"/>
              </w:rPr>
              <w:t>重点勘查开采矿种</w:t>
            </w:r>
            <w:r>
              <w:rPr>
                <w:rFonts w:hint="eastAsia" w:cs="Times New Roman"/>
                <w:color w:val="auto"/>
                <w:kern w:val="0"/>
                <w:lang w:val="en-US" w:eastAsia="zh-CN"/>
              </w:rPr>
              <w:t>，</w:t>
            </w:r>
            <w:r>
              <w:rPr>
                <w:rFonts w:hint="eastAsia" w:ascii="Times New Roman" w:hAnsi="Times New Roman" w:cs="Times New Roman"/>
                <w:color w:val="auto"/>
                <w:kern w:val="0"/>
              </w:rPr>
              <w:t>属于“两环八带十个勘查开发区”中西天山能源矿产、黑色及贵金属勘查开发区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为矿产资源的开发与利用</w:t>
            </w:r>
            <w:r>
              <w:rPr>
                <w:rFonts w:hint="eastAsia" w:ascii="Times New Roman" w:hAnsi="Times New Roman" w:cs="Times New Roman"/>
                <w:color w:val="auto"/>
                <w:kern w:val="0"/>
                <w:lang w:val="en-US" w:eastAsia="zh-CN"/>
              </w:rPr>
              <w:t>奠定</w:t>
            </w:r>
            <w:r>
              <w:rPr>
                <w:rFonts w:hint="eastAsia" w:ascii="Times New Roman" w:hAnsi="Times New Roman" w:cs="Times New Roman"/>
                <w:color w:val="auto"/>
                <w:kern w:val="0"/>
              </w:rPr>
              <w:t>基础</w:t>
            </w:r>
            <w:r>
              <w:rPr>
                <w:rFonts w:hint="eastAsia" w:ascii="Times New Roman" w:hAnsi="Times New Roman" w:cs="Times New Roman"/>
                <w:color w:val="auto"/>
                <w:kern w:val="0"/>
                <w:lang w:eastAsia="zh-CN"/>
              </w:rPr>
              <w:t>；</w:t>
            </w:r>
            <w:r>
              <w:rPr>
                <w:rFonts w:hint="eastAsia" w:ascii="Times New Roman" w:hAnsi="Times New Roman" w:eastAsia="宋体" w:cs="Times New Roman"/>
                <w:color w:val="auto"/>
                <w:lang w:val="en-US" w:eastAsia="zh-CN"/>
              </w:rPr>
              <w:t>采用1:25000土壤地球化学测量，</w:t>
            </w:r>
            <w:r>
              <w:rPr>
                <w:rFonts w:hint="eastAsia" w:cs="Times New Roman"/>
                <w:color w:val="auto"/>
                <w:lang w:val="en-US" w:eastAsia="zh-CN"/>
              </w:rPr>
              <w:t>1</w:t>
            </w:r>
            <w:r>
              <w:rPr>
                <w:rFonts w:hint="eastAsia" w:ascii="Times New Roman" w:hAnsi="Times New Roman" w:eastAsia="宋体" w:cs="Times New Roman"/>
                <w:color w:val="auto"/>
                <w:lang w:val="en-US" w:eastAsia="zh-CN"/>
              </w:rPr>
              <w:t>:10000地质修测，</w:t>
            </w:r>
            <w:r>
              <w:rPr>
                <w:rFonts w:hint="eastAsia" w:cs="Times New Roman"/>
                <w:color w:val="auto"/>
                <w:lang w:val="en-US" w:eastAsia="zh-CN"/>
              </w:rPr>
              <w:t>1</w:t>
            </w:r>
            <w:r>
              <w:rPr>
                <w:rFonts w:hint="eastAsia" w:ascii="Times New Roman" w:hAnsi="Times New Roman" w:eastAsia="宋体" w:cs="Times New Roman"/>
                <w:color w:val="auto"/>
                <w:lang w:val="en-US" w:eastAsia="zh-CN"/>
              </w:rPr>
              <w:t>:5000土壤地球化学剖面测量，土壤化探样，基本化学分析样，内检样，光、薄片等综合勘查技术方法</w:t>
            </w:r>
            <w:r>
              <w:rPr>
                <w:rFonts w:hint="eastAsia" w:ascii="Times New Roman" w:hAnsi="Times New Roman" w:cs="Times New Roman"/>
                <w:color w:val="auto"/>
                <w:kern w:val="0"/>
                <w:lang w:val="en-US" w:eastAsia="zh-CN"/>
              </w:rPr>
              <w:t>，严格控制施工作业范围，因此符合总体规划环评报告书及审查意见中相关要求。</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jc w:val="both"/>
              <w:textAlignment w:val="auto"/>
              <w:outlineLvl w:val="9"/>
              <w:rPr>
                <w:rFonts w:hint="eastAsia" w:ascii="Times New Roman" w:hAnsi="Times New Roman" w:cs="Times New Roman"/>
                <w:b/>
                <w:bCs/>
                <w:color w:val="auto"/>
                <w:kern w:val="0"/>
                <w:lang w:val="en-US" w:eastAsia="zh-CN"/>
              </w:rPr>
            </w:pPr>
            <w:r>
              <w:rPr>
                <w:rFonts w:hint="eastAsia" w:ascii="Times New Roman" w:hAnsi="Times New Roman" w:cs="Times New Roman"/>
                <w:b/>
                <w:bCs/>
                <w:color w:val="auto"/>
                <w:kern w:val="0"/>
                <w:sz w:val="24"/>
                <w:szCs w:val="24"/>
                <w:lang w:val="en-US" w:eastAsia="zh-CN" w:bidi="ar-SA"/>
              </w:rPr>
              <w:t>3.</w:t>
            </w:r>
            <w:r>
              <w:rPr>
                <w:rFonts w:hint="eastAsia" w:ascii="Times New Roman" w:hAnsi="Times New Roman" w:cs="Times New Roman"/>
                <w:b/>
                <w:bCs/>
                <w:color w:val="auto"/>
                <w:kern w:val="0"/>
                <w:lang w:val="en-US" w:eastAsia="zh-CN"/>
              </w:rPr>
              <w:t>《巴音郭楞蒙古自治州矿产资源总体规划2021-2025》符合性分析</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lang w:val="en-US" w:eastAsia="zh-CN"/>
              </w:rPr>
              <w:t>规划要求，矿产资源调查评价与勘查。</w:t>
            </w:r>
            <w:r>
              <w:rPr>
                <w:rFonts w:hint="eastAsia" w:ascii="Times New Roman" w:hAnsi="Times New Roman" w:cs="Times New Roman"/>
                <w:color w:val="auto"/>
                <w:kern w:val="0"/>
                <w:lang w:val="en-US" w:eastAsia="zh-CN"/>
              </w:rPr>
              <w:t>落实自治区规划，推进新一轮战略性矿产找矿行动，加强重要成矿区（带）内矿产资源调查评价工作，形成一批战略性矿产和优势矿产勘查开发后备区和战略接续区。新发现矿产地10-15处，大中型矿产地2-4处。煤、铁、铜、镍、金、钨锡、锂、铍、萤石、硅质原料、石灰岩（大理岩）、饰面石材等矿产勘查实现新突破，探矿权总数控制在800个以内。</w:t>
            </w:r>
          </w:p>
          <w:p>
            <w:pPr>
              <w:pStyle w:val="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矿产资源勘查开采调控方向。落实自治区规划，结合巴州实际，合理确定重点、限制、禁止勘查开采矿种。重点、限制、禁止勘查矿种：</w:t>
            </w:r>
          </w:p>
          <w:p>
            <w:pPr>
              <w:pStyle w:val="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重点勘查矿种：页岩气、煤、煤层气、地热等能源矿产，铁、铜、铅锌、镍、锡、金、银、锂、铍、铌、钽等金属矿产，钾盐、萤石、硅质原料、菱镁矿等非金属矿产。</w:t>
            </w:r>
          </w:p>
          <w:p>
            <w:pPr>
              <w:pStyle w:val="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限制勘查矿种：钨、稀土等国家规定实行保护性开采的特定矿种，高硫煤、石煤、硫铁矿、石棉等矿产，总量限制的非市场紧缺矿种等。</w:t>
            </w:r>
          </w:p>
          <w:p>
            <w:pPr>
              <w:pStyle w:val="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禁止勘查矿种：灰分大于40%或含硫大于3%的煤以及可耕地砖瓦用粘土、砂金、砂铁、汞等，放射性矿产等涉及国家战略利益的矿种。</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lang w:val="en-US" w:eastAsia="zh-CN"/>
              </w:rPr>
              <w:t>对重点勘查矿种，加强财政资金投入，实施找矿突破战略，实现新一轮找矿突破，优先投放探矿权，同时严格规范探矿权人准入条件，坚持绿色勘查，保护生态环境。对限制勘查矿种，原则上不新设探矿权，确因经济发展和供需要求需要投放探矿权，除严格规范探矿权人准入条件外，要进行资源环境承载力论证，保护生态环境。禁止设置砂金探矿权。</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本项目为</w:t>
            </w:r>
            <w:r>
              <w:rPr>
                <w:rFonts w:hint="eastAsia" w:ascii="Times New Roman" w:hAnsi="Times New Roman" w:cs="Times New Roman"/>
                <w:color w:val="auto"/>
                <w:kern w:val="0"/>
              </w:rPr>
              <w:t>铜金矿</w:t>
            </w:r>
            <w:r>
              <w:rPr>
                <w:rFonts w:hint="eastAsia" w:ascii="Times New Roman" w:hAnsi="Times New Roman" w:cs="Times New Roman"/>
                <w:color w:val="auto"/>
                <w:kern w:val="0"/>
                <w:lang w:val="en-US" w:eastAsia="zh-CN"/>
              </w:rPr>
              <w:t>地质</w:t>
            </w:r>
            <w:r>
              <w:rPr>
                <w:rFonts w:hint="eastAsia"/>
                <w:color w:val="auto"/>
                <w:lang w:val="en-US" w:eastAsia="zh-CN"/>
              </w:rPr>
              <w:t>勘查</w:t>
            </w:r>
            <w:r>
              <w:rPr>
                <w:rFonts w:hint="eastAsia" w:ascii="Times New Roman" w:hAnsi="Times New Roman" w:cs="Times New Roman"/>
                <w:color w:val="auto"/>
                <w:kern w:val="0"/>
                <w:lang w:val="en-US" w:eastAsia="zh-CN"/>
              </w:rPr>
              <w:t>项目，</w:t>
            </w:r>
            <w:r>
              <w:rPr>
                <w:rFonts w:hint="eastAsia" w:cs="Times New Roman"/>
                <w:color w:val="auto"/>
                <w:kern w:val="0"/>
                <w:lang w:val="en-US" w:eastAsia="zh-CN"/>
              </w:rPr>
              <w:t>属于重点勘查矿种，</w:t>
            </w:r>
            <w:r>
              <w:rPr>
                <w:rFonts w:hint="eastAsia" w:ascii="Times New Roman" w:hAnsi="Times New Roman" w:cs="Times New Roman"/>
                <w:color w:val="auto"/>
                <w:kern w:val="0"/>
                <w:lang w:val="en-US" w:eastAsia="zh-CN"/>
              </w:rPr>
              <w:t>符合上述《规划》的发展要求。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Fonts w:hint="default" w:ascii="Times New Roman" w:hAnsi="Times New Roman" w:eastAsia="宋体" w:cs="Times New Roman"/>
                <w:b/>
                <w:bCs/>
                <w:color w:val="auto"/>
                <w:kern w:val="2"/>
                <w:sz w:val="24"/>
                <w:szCs w:val="24"/>
              </w:rPr>
            </w:pPr>
            <w:r>
              <w:rPr>
                <w:rFonts w:hint="eastAsia" w:ascii="Times New Roman" w:hAnsi="Times New Roman" w:cs="Times New Roman"/>
                <w:b/>
                <w:bCs/>
                <w:color w:val="auto"/>
                <w:kern w:val="0"/>
                <w:lang w:val="en-US" w:eastAsia="zh-CN"/>
              </w:rPr>
              <w:t>4.</w:t>
            </w:r>
            <w:r>
              <w:rPr>
                <w:rFonts w:hint="eastAsia" w:ascii="宋体" w:hAnsi="宋体" w:eastAsia="宋体" w:cs="宋体"/>
                <w:b/>
                <w:bCs/>
                <w:color w:val="auto"/>
                <w:kern w:val="2"/>
                <w:sz w:val="24"/>
                <w:szCs w:val="24"/>
                <w:lang w:val="en-US" w:eastAsia="zh-CN" w:bidi="ar"/>
              </w:rPr>
              <w:t>与《新疆维吾尔自治区和静县矿产资源总体规划（</w:t>
            </w:r>
            <w:r>
              <w:rPr>
                <w:rFonts w:hint="default" w:ascii="Times New Roman" w:hAnsi="Times New Roman" w:eastAsia="宋体" w:cs="Times New Roman"/>
                <w:b/>
                <w:bCs/>
                <w:color w:val="auto"/>
                <w:kern w:val="2"/>
                <w:sz w:val="24"/>
                <w:szCs w:val="24"/>
                <w:lang w:val="en-US" w:eastAsia="zh-CN" w:bidi="ar"/>
              </w:rPr>
              <w:t>2021</w:t>
            </w:r>
            <w:r>
              <w:rPr>
                <w:rFonts w:hint="eastAsia"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2025</w:t>
            </w:r>
            <w:r>
              <w:rPr>
                <w:rFonts w:hint="eastAsia" w:ascii="宋体" w:hAnsi="宋体" w:eastAsia="宋体" w:cs="宋体"/>
                <w:b/>
                <w:bCs/>
                <w:color w:val="auto"/>
                <w:kern w:val="2"/>
                <w:sz w:val="24"/>
                <w:szCs w:val="24"/>
                <w:lang w:val="en-US" w:eastAsia="zh-CN" w:bidi="ar"/>
              </w:rPr>
              <w:t>年）》相符性分析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Style w:val="38"/>
                <w:rFonts w:hint="eastAsia"/>
                <w:color w:val="auto"/>
                <w:lang w:val="en-US" w:eastAsia="zh-CN"/>
              </w:rPr>
            </w:pPr>
            <w:r>
              <w:rPr>
                <w:rFonts w:hint="eastAsia" w:ascii="宋体" w:hAnsi="宋体" w:eastAsia="宋体" w:cs="宋体"/>
                <w:color w:val="auto"/>
                <w:kern w:val="2"/>
                <w:sz w:val="24"/>
                <w:szCs w:val="24"/>
                <w:lang w:val="en-US" w:eastAsia="zh-CN" w:bidi="ar"/>
              </w:rPr>
              <w:t>根据《新疆维吾尔自治区和静县矿产资源总体规划（</w:t>
            </w:r>
            <w:r>
              <w:rPr>
                <w:rFonts w:hint="default" w:ascii="Times New Roman" w:hAnsi="Times New Roman" w:eastAsia="宋体" w:cs="Times New Roman"/>
                <w:color w:val="auto"/>
                <w:kern w:val="2"/>
                <w:sz w:val="24"/>
                <w:szCs w:val="24"/>
                <w:lang w:val="en-US" w:eastAsia="zh-CN" w:bidi="ar"/>
              </w:rPr>
              <w:t>2021</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2025</w:t>
            </w:r>
            <w:r>
              <w:rPr>
                <w:rFonts w:hint="eastAsia" w:ascii="宋体" w:hAnsi="宋体" w:eastAsia="宋体" w:cs="宋体"/>
                <w:color w:val="auto"/>
                <w:kern w:val="2"/>
                <w:sz w:val="24"/>
                <w:szCs w:val="24"/>
                <w:lang w:val="en-US" w:eastAsia="zh-CN" w:bidi="ar"/>
              </w:rPr>
              <w:t>年）》中矿产资源勘查开采调控方向，</w:t>
            </w:r>
            <w:r>
              <w:rPr>
                <w:rStyle w:val="38"/>
                <w:rFonts w:hint="eastAsia"/>
                <w:color w:val="auto"/>
                <w:lang w:val="en-US" w:eastAsia="zh-CN"/>
              </w:rPr>
              <w:t>落实国家能源资源安全战略，结合和静县实际，合理确定重点、限制、禁止勘查开采矿种。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Times New Roman" w:hAnsi="Times New Roman" w:cs="Times New Roman"/>
                <w:color w:val="auto"/>
              </w:rPr>
            </w:pPr>
            <w:r>
              <w:rPr>
                <w:rFonts w:hint="eastAsia" w:ascii="Times New Roman" w:hAnsi="Times New Roman" w:cs="Times New Roman"/>
                <w:color w:val="auto"/>
              </w:rPr>
              <w:t>重点勘查矿种：页岩气、煤、煤层气、地热等能源矿产，铁、铜、铅锌、镍、锡、金、银、锂、铍、铌、钽等金属矿产，萤石、硅质原料、菱镁矿等非金属矿产。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auto"/>
                <w:kern w:val="2"/>
                <w:sz w:val="24"/>
                <w:szCs w:val="24"/>
                <w:lang w:val="en-US" w:eastAsia="zh-CN" w:bidi="ar"/>
              </w:rPr>
            </w:pPr>
            <w:r>
              <w:rPr>
                <w:rFonts w:hint="default" w:ascii="Times New Roman" w:hAnsi="Times New Roman" w:cs="Times New Roman"/>
                <w:color w:val="auto"/>
              </w:rPr>
              <w:t>限制</w:t>
            </w:r>
            <w:r>
              <w:rPr>
                <w:rFonts w:hint="eastAsia" w:ascii="Times New Roman" w:hAnsi="Times New Roman" w:cs="Times New Roman"/>
                <w:color w:val="auto"/>
                <w:lang w:val="en-US" w:eastAsia="zh-CN"/>
              </w:rPr>
              <w:t>或</w:t>
            </w:r>
            <w:r>
              <w:rPr>
                <w:rFonts w:hint="default" w:ascii="Times New Roman" w:hAnsi="Times New Roman" w:cs="Times New Roman"/>
                <w:color w:val="auto"/>
              </w:rPr>
              <w:t>禁止勘查矿种</w:t>
            </w:r>
            <w:r>
              <w:rPr>
                <w:rFonts w:hint="eastAsia" w:ascii="Times New Roman" w:hAnsi="Times New Roman" w:cs="Times New Roman"/>
                <w:color w:val="auto"/>
              </w:rPr>
              <w:t>：原则上不存在限制</w:t>
            </w:r>
            <w:r>
              <w:rPr>
                <w:rFonts w:hint="eastAsia" w:ascii="Times New Roman" w:hAnsi="Times New Roman" w:cs="Times New Roman"/>
                <w:color w:val="auto"/>
                <w:lang w:val="en-US" w:eastAsia="zh-CN"/>
              </w:rPr>
              <w:t>或</w:t>
            </w:r>
            <w:r>
              <w:rPr>
                <w:rFonts w:hint="eastAsia" w:ascii="Times New Roman" w:hAnsi="Times New Roman" w:cs="Times New Roman"/>
                <w:color w:val="auto"/>
              </w:rPr>
              <w:t>禁止勘查矿种，仅针对目前无法开采，或开采成本较高、效益低下的矿种，相应降低勘查程度或暂缓勘查，将有限的勘查资金投入到急需的矿种勘查工作中去。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本项目为</w:t>
            </w:r>
            <w:r>
              <w:rPr>
                <w:rFonts w:hint="eastAsia" w:ascii="Times New Roman" w:hAnsi="Times New Roman" w:cs="Times New Roman"/>
                <w:color w:val="auto"/>
                <w:kern w:val="0"/>
              </w:rPr>
              <w:t>铜金矿</w:t>
            </w:r>
            <w:r>
              <w:rPr>
                <w:rFonts w:hint="eastAsia" w:ascii="Times New Roman" w:hAnsi="Times New Roman" w:cs="Times New Roman"/>
                <w:color w:val="auto"/>
                <w:kern w:val="0"/>
                <w:lang w:val="en-US" w:eastAsia="zh-CN"/>
              </w:rPr>
              <w:t>地质</w:t>
            </w:r>
            <w:r>
              <w:rPr>
                <w:rFonts w:hint="eastAsia"/>
                <w:color w:val="auto"/>
                <w:lang w:val="en-US" w:eastAsia="zh-CN"/>
              </w:rPr>
              <w:t>勘查</w:t>
            </w:r>
            <w:r>
              <w:rPr>
                <w:rFonts w:hint="eastAsia" w:ascii="Times New Roman" w:hAnsi="Times New Roman" w:cs="Times New Roman"/>
                <w:color w:val="auto"/>
                <w:kern w:val="0"/>
                <w:lang w:val="en-US" w:eastAsia="zh-CN"/>
              </w:rPr>
              <w:t>项目</w:t>
            </w:r>
            <w:r>
              <w:rPr>
                <w:rFonts w:hint="eastAsia" w:ascii="宋体" w:hAnsi="宋体" w:eastAsia="宋体" w:cs="宋体"/>
                <w:color w:val="auto"/>
                <w:kern w:val="2"/>
                <w:sz w:val="24"/>
                <w:szCs w:val="24"/>
                <w:lang w:val="en-US" w:eastAsia="zh-CN" w:bidi="ar"/>
              </w:rPr>
              <w:t>，</w:t>
            </w:r>
            <w:r>
              <w:rPr>
                <w:rFonts w:hint="eastAsia" w:cs="Times New Roman"/>
                <w:color w:val="auto"/>
                <w:kern w:val="0"/>
                <w:lang w:val="en-US" w:eastAsia="zh-CN"/>
              </w:rPr>
              <w:t>属于重点勘查矿种，</w:t>
            </w:r>
            <w:r>
              <w:rPr>
                <w:rFonts w:hint="eastAsia" w:ascii="宋体" w:hAnsi="宋体" w:eastAsia="宋体" w:cs="宋体"/>
                <w:color w:val="auto"/>
                <w:kern w:val="2"/>
                <w:sz w:val="24"/>
                <w:szCs w:val="24"/>
                <w:lang w:val="en-US" w:eastAsia="zh-CN" w:bidi="ar"/>
              </w:rPr>
              <w:t>故符合《新疆维吾尔自治区和静县矿产资源总体规划（</w:t>
            </w:r>
            <w:r>
              <w:rPr>
                <w:rFonts w:hint="default" w:ascii="Times New Roman" w:hAnsi="Times New Roman" w:eastAsia="宋体" w:cs="Times New Roman"/>
                <w:color w:val="auto"/>
                <w:kern w:val="2"/>
                <w:sz w:val="24"/>
                <w:szCs w:val="24"/>
                <w:lang w:val="en-US" w:eastAsia="zh-CN" w:bidi="ar"/>
              </w:rPr>
              <w:t>2021</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2025</w:t>
            </w:r>
            <w:r>
              <w:rPr>
                <w:rFonts w:hint="eastAsia" w:ascii="宋体" w:hAnsi="宋体" w:eastAsia="宋体" w:cs="宋体"/>
                <w:color w:val="auto"/>
                <w:kern w:val="2"/>
                <w:sz w:val="24"/>
                <w:szCs w:val="24"/>
                <w:lang w:val="en-US" w:eastAsia="zh-CN" w:bidi="ar"/>
              </w:rPr>
              <w:t>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4" w:type="dxa"/>
            <w:noWrap w:val="0"/>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eastAsia" w:ascii="宋体" w:hAnsi="宋体" w:cs="宋体"/>
                <w:color w:val="auto"/>
                <w:kern w:val="0"/>
                <w:szCs w:val="21"/>
              </w:rPr>
              <w:t>其他符合性分析</w:t>
            </w:r>
          </w:p>
        </w:tc>
        <w:tc>
          <w:tcPr>
            <w:tcW w:w="8691" w:type="dxa"/>
            <w:gridSpan w:val="4"/>
            <w:noWrap w:val="0"/>
            <w:vAlign w:val="top"/>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eastAsia="zh-CN"/>
              </w:rPr>
              <w:t>1.</w:t>
            </w:r>
            <w:r>
              <w:rPr>
                <w:rFonts w:hint="default"/>
                <w:color w:val="auto"/>
              </w:rPr>
              <w:t>产业政策符合性</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firstLine="480" w:firstLineChars="200"/>
              <w:jc w:val="both"/>
              <w:outlineLvl w:val="9"/>
              <w:rPr>
                <w:rFonts w:hint="default" w:ascii="Times New Roman" w:hAnsi="Times New Roman" w:cs="Times New Roman"/>
                <w:color w:val="auto"/>
              </w:rPr>
            </w:pPr>
            <w:r>
              <w:rPr>
                <w:rFonts w:hint="default" w:ascii="Times New Roman" w:hAnsi="Times New Roman" w:cs="Times New Roman"/>
                <w:snapToGrid w:val="0"/>
                <w:color w:val="auto"/>
              </w:rPr>
              <w:t>根据</w:t>
            </w:r>
            <w:r>
              <w:rPr>
                <w:rFonts w:hint="default" w:ascii="宋体" w:hAnsi="宋体" w:cs="Times New Roman"/>
                <w:color w:val="auto"/>
                <w:szCs w:val="22"/>
              </w:rPr>
              <w:t>《产业结构调整指导目录</w:t>
            </w:r>
            <w:r>
              <w:rPr>
                <w:rFonts w:hint="eastAsia" w:ascii="宋体" w:hAnsi="宋体" w:cs="Times New Roman"/>
                <w:color w:val="auto"/>
                <w:szCs w:val="22"/>
                <w:lang w:eastAsia="zh-CN"/>
              </w:rPr>
              <w:t>（</w:t>
            </w:r>
            <w:r>
              <w:rPr>
                <w:rFonts w:hint="default" w:ascii="Times New Roman" w:hAnsi="Times New Roman" w:cs="Times New Roman"/>
                <w:color w:val="auto"/>
              </w:rPr>
              <w:t>20</w:t>
            </w:r>
            <w:r>
              <w:rPr>
                <w:rFonts w:hint="eastAsia" w:ascii="Times New Roman" w:hAnsi="Times New Roman" w:cs="Times New Roman"/>
                <w:color w:val="auto"/>
                <w:lang w:val="en-US" w:eastAsia="zh-CN"/>
              </w:rPr>
              <w:t>24</w:t>
            </w:r>
            <w:r>
              <w:rPr>
                <w:rFonts w:hint="default" w:ascii="Times New Roman" w:hAnsi="Times New Roman" w:cs="Times New Roman"/>
                <w:color w:val="auto"/>
              </w:rPr>
              <w:t>年</w:t>
            </w:r>
            <w:r>
              <w:rPr>
                <w:rFonts w:hint="default" w:ascii="宋体" w:hAnsi="宋体" w:cs="Times New Roman"/>
                <w:color w:val="auto"/>
                <w:szCs w:val="22"/>
              </w:rPr>
              <w:t>本</w:t>
            </w:r>
            <w:r>
              <w:rPr>
                <w:rFonts w:hint="eastAsia" w:ascii="宋体" w:hAnsi="宋体" w:cs="Times New Roman"/>
                <w:color w:val="auto"/>
                <w:szCs w:val="22"/>
                <w:lang w:eastAsia="zh-CN"/>
              </w:rPr>
              <w:t>）</w:t>
            </w:r>
            <w:r>
              <w:rPr>
                <w:rFonts w:hint="default" w:ascii="宋体" w:hAnsi="宋体" w:cs="Times New Roman"/>
                <w:color w:val="auto"/>
                <w:szCs w:val="22"/>
              </w:rPr>
              <w:t>》</w:t>
            </w:r>
            <w:r>
              <w:rPr>
                <w:rFonts w:hint="default" w:ascii="Times New Roman" w:hAnsi="Times New Roman" w:cs="Times New Roman"/>
                <w:snapToGrid w:val="0"/>
                <w:color w:val="auto"/>
              </w:rPr>
              <w:t>，</w:t>
            </w:r>
            <w:r>
              <w:rPr>
                <w:rFonts w:hint="eastAsia" w:ascii="Times New Roman" w:hAnsi="Times New Roman" w:cs="Times New Roman"/>
                <w:snapToGrid w:val="0"/>
                <w:color w:val="auto"/>
              </w:rPr>
              <w:t>本项目为固体矿产地质</w:t>
            </w:r>
            <w:r>
              <w:rPr>
                <w:rFonts w:hint="eastAsia"/>
                <w:color w:val="auto"/>
                <w:lang w:val="en-US" w:eastAsia="zh-CN"/>
              </w:rPr>
              <w:t>勘查</w:t>
            </w:r>
            <w:r>
              <w:rPr>
                <w:rFonts w:hint="eastAsia" w:ascii="Times New Roman" w:hAnsi="Times New Roman" w:cs="Times New Roman"/>
                <w:snapToGrid w:val="0"/>
                <w:color w:val="auto"/>
              </w:rPr>
              <w:t>，不属于鼓励类、限制类、淘汰类项目，为允许类。新疆五彩矿业有限责任公司</w:t>
            </w:r>
            <w:r>
              <w:rPr>
                <w:rFonts w:hint="eastAsia" w:ascii="Times New Roman" w:hAnsi="Times New Roman" w:cs="Times New Roman"/>
                <w:color w:val="auto"/>
              </w:rPr>
              <w:t>于</w:t>
            </w:r>
            <w:r>
              <w:rPr>
                <w:rFonts w:hint="eastAsia" w:ascii="Times New Roman" w:hAnsi="Times New Roman" w:cs="Times New Roman"/>
                <w:color w:val="auto"/>
                <w:highlight w:val="none"/>
              </w:rPr>
              <w:t>20</w:t>
            </w:r>
            <w:r>
              <w:rPr>
                <w:rFonts w:hint="eastAsia" w:ascii="Times New Roman" w:hAnsi="Times New Roman" w:cs="Times New Roman"/>
                <w:color w:val="auto"/>
                <w:highlight w:val="none"/>
                <w:lang w:val="en-US" w:eastAsia="zh-CN"/>
              </w:rPr>
              <w:t>21</w:t>
            </w:r>
            <w:r>
              <w:rPr>
                <w:rFonts w:hint="eastAsia" w:ascii="Times New Roman" w:hAnsi="Times New Roman" w:cs="Times New Roman"/>
                <w:color w:val="auto"/>
                <w:highlight w:val="none"/>
              </w:rPr>
              <w:t>年</w:t>
            </w:r>
            <w:r>
              <w:rPr>
                <w:rFonts w:hint="eastAsia" w:cs="Times New Roman"/>
                <w:color w:val="auto"/>
                <w:highlight w:val="none"/>
                <w:lang w:val="en-US" w:eastAsia="zh-CN"/>
              </w:rPr>
              <w:t>8</w:t>
            </w:r>
            <w:r>
              <w:rPr>
                <w:rFonts w:hint="eastAsia" w:ascii="Times New Roman" w:hAnsi="Times New Roman" w:cs="Times New Roman"/>
                <w:color w:val="auto"/>
                <w:highlight w:val="none"/>
              </w:rPr>
              <w:t>月</w:t>
            </w:r>
            <w:r>
              <w:rPr>
                <w:rFonts w:hint="eastAsia" w:cs="Times New Roman"/>
                <w:color w:val="auto"/>
                <w:highlight w:val="none"/>
                <w:lang w:val="en-US" w:eastAsia="zh-CN"/>
              </w:rPr>
              <w:t>23</w:t>
            </w:r>
            <w:r>
              <w:rPr>
                <w:rFonts w:hint="eastAsia" w:ascii="Times New Roman" w:hAnsi="Times New Roman" w:cs="Times New Roman"/>
                <w:color w:val="auto"/>
                <w:highlight w:val="none"/>
              </w:rPr>
              <w:t>日</w:t>
            </w:r>
            <w:r>
              <w:rPr>
                <w:rFonts w:hint="eastAsia" w:ascii="Times New Roman" w:hAnsi="Times New Roman" w:cs="Times New Roman"/>
                <w:color w:val="auto"/>
              </w:rPr>
              <w:t>取得“新疆和静县巴格亚马特铜金矿勘探”探矿权证，勘查矿种为铜金矿，勘查许可证号：</w:t>
            </w:r>
            <w:r>
              <w:rPr>
                <w:rFonts w:hint="eastAsia" w:ascii="Times New Roman" w:hAnsi="Times New Roman" w:cs="Times New Roman"/>
                <w:color w:val="auto"/>
                <w:kern w:val="0"/>
                <w:lang w:val="en-US" w:eastAsia="zh-CN"/>
              </w:rPr>
              <w:t>T6500002008023010006450</w:t>
            </w:r>
            <w:r>
              <w:rPr>
                <w:rFonts w:hint="eastAsia" w:ascii="Times New Roman" w:hAnsi="Times New Roman" w:cs="Times New Roman"/>
                <w:color w:val="auto"/>
              </w:rPr>
              <w:t>，图幅号：K45E010001</w:t>
            </w:r>
            <w:r>
              <w:rPr>
                <w:rFonts w:hint="eastAsia" w:cs="Times New Roman"/>
                <w:color w:val="auto"/>
                <w:lang w:eastAsia="zh-CN"/>
              </w:rPr>
              <w:t>，</w:t>
            </w:r>
            <w:r>
              <w:rPr>
                <w:rFonts w:hint="eastAsia" w:ascii="Times New Roman" w:hAnsi="Times New Roman" w:cs="Times New Roman"/>
                <w:color w:val="auto"/>
              </w:rPr>
              <w:t>K45E010002，</w:t>
            </w:r>
            <w:r>
              <w:rPr>
                <w:rFonts w:hint="eastAsia" w:ascii="Times New Roman" w:hAnsi="Times New Roman" w:cs="Times New Roman"/>
                <w:color w:val="auto"/>
                <w:highlight w:val="none"/>
              </w:rPr>
              <w:t>有效期限2</w:t>
            </w:r>
            <w:r>
              <w:rPr>
                <w:rFonts w:hint="default" w:ascii="Times New Roman" w:hAnsi="Times New Roman" w:cs="Times New Roman"/>
                <w:color w:val="auto"/>
                <w:highlight w:val="none"/>
              </w:rPr>
              <w:t>02</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年</w:t>
            </w:r>
            <w:r>
              <w:rPr>
                <w:rFonts w:hint="eastAsia" w:cs="Times New Roman"/>
                <w:color w:val="auto"/>
                <w:highlight w:val="none"/>
                <w:lang w:val="en-US" w:eastAsia="zh-CN"/>
              </w:rPr>
              <w:t>8</w:t>
            </w:r>
            <w:r>
              <w:rPr>
                <w:rFonts w:hint="eastAsia" w:ascii="Times New Roman" w:hAnsi="Times New Roman" w:cs="Times New Roman"/>
                <w:color w:val="auto"/>
                <w:highlight w:val="none"/>
              </w:rPr>
              <w:t>月</w:t>
            </w:r>
            <w:r>
              <w:rPr>
                <w:rFonts w:hint="eastAsia" w:cs="Times New Roman"/>
                <w:color w:val="auto"/>
                <w:highlight w:val="none"/>
                <w:lang w:val="en-US" w:eastAsia="zh-CN"/>
              </w:rPr>
              <w:t>23</w:t>
            </w:r>
            <w:r>
              <w:rPr>
                <w:rFonts w:hint="eastAsia" w:ascii="Times New Roman" w:hAnsi="Times New Roman" w:cs="Times New Roman"/>
                <w:color w:val="auto"/>
                <w:highlight w:val="none"/>
              </w:rPr>
              <w:t>日至</w:t>
            </w:r>
            <w:r>
              <w:rPr>
                <w:rFonts w:hint="eastAsia" w:ascii="Times New Roman" w:hAnsi="Times New Roman" w:cs="Times New Roman"/>
                <w:color w:val="auto"/>
                <w:highlight w:val="none"/>
                <w:lang w:val="en-US" w:eastAsia="zh-CN"/>
              </w:rPr>
              <w:t>2026</w:t>
            </w:r>
            <w:r>
              <w:rPr>
                <w:rFonts w:hint="eastAsia" w:ascii="Times New Roman" w:hAnsi="Times New Roman" w:cs="Times New Roman"/>
                <w:color w:val="auto"/>
                <w:highlight w:val="none"/>
              </w:rPr>
              <w:t>年</w:t>
            </w:r>
            <w:r>
              <w:rPr>
                <w:rFonts w:hint="eastAsia" w:cs="Times New Roman"/>
                <w:color w:val="auto"/>
                <w:highlight w:val="none"/>
                <w:lang w:val="en-US" w:eastAsia="zh-CN"/>
              </w:rPr>
              <w:t>8</w:t>
            </w:r>
            <w:r>
              <w:rPr>
                <w:rFonts w:hint="eastAsia" w:ascii="Times New Roman" w:hAnsi="Times New Roman" w:cs="Times New Roman"/>
                <w:color w:val="auto"/>
                <w:highlight w:val="none"/>
              </w:rPr>
              <w:t>月</w:t>
            </w:r>
            <w:r>
              <w:rPr>
                <w:rFonts w:hint="eastAsia" w:cs="Times New Roman"/>
                <w:color w:val="auto"/>
                <w:highlight w:val="none"/>
                <w:lang w:val="en-US" w:eastAsia="zh-CN"/>
              </w:rPr>
              <w:t>23</w:t>
            </w:r>
            <w:r>
              <w:rPr>
                <w:rFonts w:hint="eastAsia" w:ascii="Times New Roman" w:hAnsi="Times New Roman" w:cs="Times New Roman"/>
                <w:color w:val="auto"/>
                <w:highlight w:val="none"/>
              </w:rPr>
              <w:t>日</w:t>
            </w:r>
            <w:r>
              <w:rPr>
                <w:rFonts w:hint="eastAsia" w:ascii="Times New Roman" w:hAnsi="Times New Roman" w:cs="Times New Roman"/>
                <w:color w:val="auto"/>
              </w:rPr>
              <w:t>，勘查面积为</w:t>
            </w:r>
            <w:r>
              <w:rPr>
                <w:rFonts w:hint="eastAsia" w:cs="Times New Roman"/>
                <w:color w:val="auto"/>
                <w:lang w:val="en-US" w:eastAsia="zh-CN"/>
              </w:rPr>
              <w:t>1176</w:t>
            </w:r>
            <w:r>
              <w:rPr>
                <w:rFonts w:hint="eastAsia" w:ascii="Times New Roman" w:hAnsi="Times New Roman" w:cs="Times New Roman"/>
                <w:color w:val="auto"/>
                <w:lang w:val="en-US" w:eastAsia="zh-CN"/>
              </w:rPr>
              <w:t>0000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eastAsia" w:ascii="Times New Roman" w:hAnsi="Times New Roman" w:cs="Times New Roman"/>
                <w:color w:val="auto"/>
              </w:rPr>
              <w:t>。</w:t>
            </w:r>
            <w:r>
              <w:rPr>
                <w:rFonts w:hint="default" w:ascii="Times New Roman" w:hAnsi="Times New Roman" w:cs="Times New Roman"/>
                <w:snapToGrid w:val="0"/>
                <w:color w:val="auto"/>
              </w:rPr>
              <w:t>因此其建设符合国家</w:t>
            </w:r>
            <w:r>
              <w:rPr>
                <w:rFonts w:hint="eastAsia" w:cs="Times New Roman"/>
                <w:snapToGrid w:val="0"/>
                <w:color w:val="auto"/>
                <w:lang w:val="en-US" w:eastAsia="zh-CN"/>
              </w:rPr>
              <w:t>和地方的</w:t>
            </w:r>
            <w:r>
              <w:rPr>
                <w:rFonts w:hint="default" w:ascii="Times New Roman" w:hAnsi="Times New Roman" w:cs="Times New Roman"/>
                <w:snapToGrid w:val="0"/>
                <w:color w:val="auto"/>
              </w:rPr>
              <w:t>产业政策要求。</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2.</w:t>
            </w:r>
            <w:r>
              <w:rPr>
                <w:rFonts w:hint="eastAsia"/>
                <w:color w:val="auto"/>
              </w:rPr>
              <w:t>生态环境分区管控</w:t>
            </w:r>
            <w:r>
              <w:rPr>
                <w:rFonts w:hint="default"/>
                <w:color w:val="auto"/>
              </w:rPr>
              <w:t>符合性</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2.1</w:t>
            </w:r>
            <w:r>
              <w:rPr>
                <w:rFonts w:hint="eastAsia"/>
                <w:color w:val="auto"/>
              </w:rPr>
              <w:t>与自治区生态环境分区管控符合性分析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根据关于印发《新疆维吾尔自治区生态环境分区管控动态更新成果》的通知</w:t>
            </w:r>
            <w:r>
              <w:rPr>
                <w:rFonts w:hint="eastAsia" w:ascii="Times New Roman" w:hAnsi="Times New Roman" w:cs="Times New Roman"/>
                <w:color w:val="auto"/>
                <w:lang w:eastAsia="zh-CN"/>
              </w:rPr>
              <w:t>（</w:t>
            </w:r>
            <w:r>
              <w:rPr>
                <w:rFonts w:hint="eastAsia" w:ascii="Times New Roman" w:hAnsi="Times New Roman" w:cs="Times New Roman"/>
                <w:color w:val="auto"/>
              </w:rPr>
              <w:t>新环环评发〔2024〕157号</w:t>
            </w:r>
            <w:r>
              <w:rPr>
                <w:rFonts w:hint="eastAsia" w:ascii="Times New Roman" w:hAnsi="Times New Roman" w:cs="Times New Roman"/>
                <w:color w:val="auto"/>
                <w:lang w:eastAsia="zh-CN"/>
              </w:rPr>
              <w:t>）</w:t>
            </w:r>
            <w:r>
              <w:rPr>
                <w:rFonts w:hint="eastAsia" w:ascii="Times New Roman" w:hAnsi="Times New Roman" w:cs="Times New Roman"/>
                <w:color w:val="auto"/>
              </w:rPr>
              <w:t>、《新疆维吾尔自治区七大片区</w:t>
            </w:r>
            <w:r>
              <w:rPr>
                <w:rFonts w:hint="eastAsia" w:ascii="Times New Roman" w:hAnsi="Times New Roman" w:cs="Times New Roman"/>
                <w:color w:val="auto"/>
                <w:lang w:eastAsia="zh-CN"/>
              </w:rPr>
              <w:t>“</w:t>
            </w:r>
            <w:r>
              <w:rPr>
                <w:rFonts w:hint="eastAsia" w:ascii="Times New Roman" w:hAnsi="Times New Roman" w:cs="Times New Roman"/>
                <w:color w:val="auto"/>
              </w:rPr>
              <w:t>三线一单</w:t>
            </w:r>
            <w:r>
              <w:rPr>
                <w:rFonts w:hint="eastAsia" w:ascii="Times New Roman" w:hAnsi="Times New Roman" w:cs="Times New Roman"/>
                <w:color w:val="auto"/>
                <w:lang w:eastAsia="zh-CN"/>
              </w:rPr>
              <w:t>”</w:t>
            </w:r>
            <w:r>
              <w:rPr>
                <w:rFonts w:hint="eastAsia" w:ascii="Times New Roman" w:hAnsi="Times New Roman" w:cs="Times New Roman"/>
                <w:color w:val="auto"/>
              </w:rPr>
              <w:t>生态环境分区管控要求》</w:t>
            </w:r>
            <w:r>
              <w:rPr>
                <w:rFonts w:hint="eastAsia" w:ascii="Times New Roman" w:hAnsi="Times New Roman" w:cs="Times New Roman"/>
                <w:color w:val="auto"/>
                <w:lang w:eastAsia="zh-CN"/>
              </w:rPr>
              <w:t>（</w:t>
            </w:r>
            <w:r>
              <w:rPr>
                <w:rFonts w:hint="eastAsia" w:ascii="Times New Roman" w:hAnsi="Times New Roman" w:cs="Times New Roman"/>
                <w:color w:val="auto"/>
              </w:rPr>
              <w:t>2021年版</w:t>
            </w:r>
            <w:r>
              <w:rPr>
                <w:rFonts w:hint="eastAsia" w:ascii="Times New Roman" w:hAnsi="Times New Roman" w:cs="Times New Roman"/>
                <w:color w:val="auto"/>
                <w:lang w:eastAsia="zh-CN"/>
              </w:rPr>
              <w:t>）（新环环评发〔2021〕162号），</w:t>
            </w:r>
            <w:r>
              <w:rPr>
                <w:rFonts w:hint="eastAsia" w:ascii="Times New Roman" w:hAnsi="Times New Roman" w:cs="Times New Roman"/>
                <w:color w:val="auto"/>
                <w:lang w:val="en-US" w:eastAsia="zh-CN"/>
              </w:rPr>
              <w:t>其</w:t>
            </w:r>
            <w:r>
              <w:rPr>
                <w:rFonts w:hint="eastAsia" w:ascii="Times New Roman" w:hAnsi="Times New Roman" w:cs="Times New Roman"/>
                <w:color w:val="auto"/>
              </w:rPr>
              <w:t>符合性分析见表1-</w:t>
            </w:r>
            <w:r>
              <w:rPr>
                <w:rFonts w:hint="eastAsia" w:ascii="Times New Roman" w:hAnsi="Times New Roman" w:cs="Times New Roman"/>
                <w:color w:val="auto"/>
                <w:lang w:val="en-US" w:eastAsia="zh-CN"/>
              </w:rPr>
              <w:t>1、1-2</w:t>
            </w:r>
            <w:r>
              <w:rPr>
                <w:rFonts w:hint="eastAsia" w:ascii="Times New Roman" w:hAnsi="Times New Roman" w:cs="Times New Roman"/>
                <w:color w:val="auto"/>
              </w:rPr>
              <w:t>。</w:t>
            </w:r>
          </w:p>
          <w:p>
            <w:pPr>
              <w:pStyle w:val="66"/>
              <w:keepNext w:val="0"/>
              <w:keepLines w:val="0"/>
              <w:suppressLineNumbers w:val="0"/>
              <w:spacing w:before="156" w:beforeAutospacing="0" w:after="0" w:afterAutospacing="0"/>
              <w:ind w:left="0" w:right="0"/>
              <w:rPr>
                <w:rFonts w:hint="default" w:cs="Times New Roman"/>
                <w:color w:val="auto"/>
              </w:rPr>
            </w:pPr>
            <w:r>
              <w:rPr>
                <w:rFonts w:hint="eastAsia" w:cs="Times New Roman"/>
                <w:color w:val="auto"/>
              </w:rPr>
              <w:t>表</w:t>
            </w:r>
            <w:r>
              <w:rPr>
                <w:rFonts w:hint="default" w:cs="Times New Roman"/>
                <w:color w:val="auto"/>
              </w:rPr>
              <w:t>1-</w:t>
            </w:r>
            <w:r>
              <w:rPr>
                <w:rFonts w:hint="eastAsia" w:cs="Times New Roman"/>
                <w:color w:val="auto"/>
                <w:lang w:val="en-US" w:eastAsia="zh-CN"/>
              </w:rPr>
              <w:t xml:space="preserve">1 </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与新疆维吾尔自治区生态环境分区管控总体要求符合性分析</w:t>
            </w:r>
          </w:p>
          <w:tbl>
            <w:tblPr>
              <w:tblStyle w:val="29"/>
              <w:tblW w:w="4997"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7"/>
              <w:gridCol w:w="748"/>
              <w:gridCol w:w="4174"/>
              <w:gridCol w:w="2598"/>
              <w:gridCol w:w="383"/>
              <w:tblGridChange w:id="0">
                <w:tblGrid>
                  <w:gridCol w:w="323"/>
                  <w:gridCol w:w="224"/>
                  <w:gridCol w:w="218"/>
                  <w:gridCol w:w="530"/>
                  <w:gridCol w:w="1939"/>
                  <w:gridCol w:w="1537"/>
                  <w:gridCol w:w="226"/>
                  <w:gridCol w:w="472"/>
                  <w:gridCol w:w="2598"/>
                  <w:gridCol w:w="383"/>
                </w:tblGrid>
              </w:tblGridChange>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766" w:type="pct"/>
                  <w:gridSpan w:val="2"/>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bCs/>
                      <w:color w:val="auto"/>
                      <w:spacing w:val="-1"/>
                      <w:sz w:val="21"/>
                      <w:szCs w:val="21"/>
                    </w:rPr>
                    <w:t>管控维度</w:t>
                  </w:r>
                </w:p>
              </w:tc>
              <w:tc>
                <w:tcPr>
                  <w:tcW w:w="2469"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bCs/>
                      <w:color w:val="auto"/>
                      <w:spacing w:val="-6"/>
                      <w:sz w:val="21"/>
                      <w:szCs w:val="21"/>
                    </w:rPr>
                    <w:t>管控要求</w:t>
                  </w:r>
                </w:p>
              </w:tc>
              <w:tc>
                <w:tcPr>
                  <w:tcW w:w="1537"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b/>
                      <w:bCs/>
                      <w:color w:val="auto"/>
                      <w:spacing w:val="-6"/>
                      <w:sz w:val="21"/>
                      <w:szCs w:val="21"/>
                    </w:rPr>
                    <w:t>本项目</w:t>
                  </w:r>
                </w:p>
              </w:tc>
              <w:tc>
                <w:tcPr>
                  <w:tcW w:w="226"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b/>
                      <w:bCs/>
                      <w:color w:val="auto"/>
                      <w:spacing w:val="-6"/>
                      <w:sz w:val="21"/>
                      <w:szCs w:val="21"/>
                    </w:rPr>
                    <w:t>符合性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323" w:type="pct"/>
                  <w:vMerge w:val="restar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A1空间布局约束</w:t>
                  </w:r>
                </w:p>
              </w:tc>
              <w:tc>
                <w:tcPr>
                  <w:tcW w:w="442" w:type="pct"/>
                  <w:vMerge w:val="restar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A1.1禁止开发建设的活动</w:t>
                  </w:r>
                </w:p>
              </w:tc>
              <w:tc>
                <w:tcPr>
                  <w:tcW w:w="2469"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〔A1.1-1〕禁止新建、扩建《产业结构调整指导目录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2024年本</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》中淘汰类项目。禁止引入《市场准入负面清单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年版</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》禁止准入类事项。</w:t>
                  </w:r>
                </w:p>
              </w:tc>
              <w:tc>
                <w:tcPr>
                  <w:tcW w:w="1537"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本项目为固体矿产地质勘查，属于允许类</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不属于</w:t>
                  </w:r>
                  <w:r>
                    <w:rPr>
                      <w:rFonts w:hint="default" w:ascii="Times New Roman" w:hAnsi="Times New Roman" w:cs="Times New Roman"/>
                      <w:color w:val="auto"/>
                      <w:sz w:val="21"/>
                      <w:szCs w:val="21"/>
                    </w:rPr>
                    <w:t>《市场准入负面清单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年版</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中</w:t>
                  </w:r>
                  <w:r>
                    <w:rPr>
                      <w:rFonts w:hint="default" w:ascii="Times New Roman" w:hAnsi="Times New Roman" w:cs="Times New Roman"/>
                      <w:color w:val="auto"/>
                      <w:sz w:val="21"/>
                      <w:szCs w:val="21"/>
                    </w:rPr>
                    <w:t>禁止准入类事项</w:t>
                  </w:r>
                </w:p>
              </w:tc>
              <w:tc>
                <w:tcPr>
                  <w:tcW w:w="226"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〔A1.1-3〕禁止在饮用水水源保护区、风景名胜区、自然保护区的核心区和缓冲区、城镇居民区、文化教育科学研究区等人口集中区域以及法律法规规定的其他禁止养殖区域建设畜禽养殖场、养殖小区。</w:t>
                  </w:r>
                </w:p>
              </w:tc>
              <w:tc>
                <w:tcPr>
                  <w:tcW w:w="1537"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本项目位于新疆维吾尔自治区巴音郭楞蒙古自治州和静县西北277°方向，直线距离约170km，项目周围无饮用水水源地保护区</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自然保护区、风景名胜区、森林公园、重要湿地及人群密集区等生态敏感区域</w:t>
                  </w:r>
                </w:p>
              </w:tc>
              <w:tc>
                <w:tcPr>
                  <w:tcW w:w="226"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58" w:hRule="atLeast"/>
              </w:trPr>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〔A1.1-4〕禁止在水源涵养区、地下水源、饮用水源、自然保护区、风景名胜区、森林公园、重要湿地及人群密集区等生态敏感区域内进行煤炭、石油、天然气开发。</w:t>
                  </w:r>
                </w:p>
              </w:tc>
              <w:tc>
                <w:tcPr>
                  <w:tcW w:w="1537"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26"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62" w:hRule="atLeast"/>
              </w:trPr>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restar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A1.2限制开发建设的活动</w:t>
                  </w:r>
                </w:p>
              </w:tc>
              <w:tc>
                <w:tcPr>
                  <w:tcW w:w="2469"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2"/>
                      <w:sz w:val="21"/>
                      <w:szCs w:val="21"/>
                      <w:lang w:eastAsia="zh-CN"/>
                    </w:rPr>
                  </w:pPr>
                  <w:r>
                    <w:rPr>
                      <w:rFonts w:hint="default" w:ascii="Times New Roman" w:hAnsi="Times New Roman" w:cs="Times New Roman"/>
                      <w:color w:val="auto"/>
                      <w:spacing w:val="-1"/>
                      <w:sz w:val="21"/>
                      <w:szCs w:val="21"/>
                      <w:lang w:eastAsia="zh-CN"/>
                    </w:rPr>
                    <w:t>〔A1.2-1〕严格控制缺水地区、水污染严重区域和敏</w:t>
                  </w:r>
                  <w:r>
                    <w:rPr>
                      <w:rFonts w:hint="default" w:ascii="Times New Roman" w:hAnsi="Times New Roman" w:cs="Times New Roman"/>
                      <w:color w:val="auto"/>
                      <w:spacing w:val="-2"/>
                      <w:sz w:val="21"/>
                      <w:szCs w:val="21"/>
                      <w:lang w:eastAsia="zh-CN"/>
                    </w:rPr>
                    <w:t>感区域高耗水、</w:t>
                  </w:r>
                  <w:r>
                    <w:rPr>
                      <w:rFonts w:hint="default" w:ascii="Times New Roman" w:hAnsi="Times New Roman" w:cs="Times New Roman"/>
                      <w:color w:val="auto"/>
                      <w:spacing w:val="-3"/>
                      <w:sz w:val="21"/>
                      <w:szCs w:val="21"/>
                      <w:lang w:eastAsia="zh-CN"/>
                    </w:rPr>
                    <w:t>高污染行业发展</w:t>
                  </w:r>
                </w:p>
              </w:tc>
              <w:tc>
                <w:tcPr>
                  <w:tcW w:w="1537"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本项目为固体矿产地质勘查，</w:t>
                  </w:r>
                  <w:r>
                    <w:rPr>
                      <w:rFonts w:hint="default" w:ascii="Times New Roman" w:hAnsi="Times New Roman" w:cs="Times New Roman"/>
                      <w:color w:val="auto"/>
                      <w:spacing w:val="-1"/>
                      <w:sz w:val="21"/>
                      <w:szCs w:val="21"/>
                      <w:lang w:eastAsia="zh-CN"/>
                    </w:rPr>
                    <w:t>不属于</w:t>
                  </w:r>
                  <w:r>
                    <w:rPr>
                      <w:rFonts w:hint="eastAsia" w:ascii="Times New Roman" w:hAnsi="Times New Roman" w:cs="Times New Roman"/>
                      <w:color w:val="auto"/>
                      <w:spacing w:val="-1"/>
                      <w:sz w:val="21"/>
                      <w:szCs w:val="21"/>
                      <w:lang w:eastAsia="zh-CN"/>
                    </w:rPr>
                    <w:t>“</w:t>
                  </w:r>
                  <w:r>
                    <w:rPr>
                      <w:rFonts w:hint="default" w:ascii="Times New Roman" w:hAnsi="Times New Roman" w:cs="Times New Roman"/>
                      <w:color w:val="auto"/>
                      <w:spacing w:val="-1"/>
                      <w:sz w:val="21"/>
                      <w:szCs w:val="21"/>
                      <w:lang w:eastAsia="zh-CN"/>
                    </w:rPr>
                    <w:t>三高</w:t>
                  </w:r>
                  <w:r>
                    <w:rPr>
                      <w:rFonts w:hint="eastAsia" w:ascii="Times New Roman" w:hAnsi="Times New Roman" w:cs="Times New Roman"/>
                      <w:color w:val="auto"/>
                      <w:spacing w:val="-1"/>
                      <w:sz w:val="21"/>
                      <w:szCs w:val="21"/>
                      <w:lang w:eastAsia="zh-CN"/>
                    </w:rPr>
                    <w:t>”</w:t>
                  </w:r>
                  <w:r>
                    <w:rPr>
                      <w:rFonts w:hint="default" w:ascii="Times New Roman" w:hAnsi="Times New Roman" w:cs="Times New Roman"/>
                      <w:color w:val="auto"/>
                      <w:spacing w:val="-1"/>
                      <w:sz w:val="21"/>
                      <w:szCs w:val="21"/>
                      <w:lang w:eastAsia="zh-CN"/>
                    </w:rPr>
                    <w:t>行业</w:t>
                  </w:r>
                </w:p>
              </w:tc>
              <w:tc>
                <w:tcPr>
                  <w:tcW w:w="226"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pacing w:val="5"/>
                      <w:sz w:val="21"/>
                      <w:szCs w:val="21"/>
                      <w:lang w:eastAsia="zh-CN"/>
                    </w:rPr>
                    <w:t>〔A1.2-2〕建设项目用地原则上不得</w:t>
                  </w:r>
                  <w:r>
                    <w:rPr>
                      <w:rFonts w:hint="default" w:ascii="Times New Roman" w:hAnsi="Times New Roman" w:cs="Times New Roman"/>
                      <w:color w:val="auto"/>
                      <w:spacing w:val="4"/>
                      <w:sz w:val="21"/>
                      <w:szCs w:val="21"/>
                      <w:lang w:eastAsia="zh-CN"/>
                    </w:rPr>
                    <w:t>占用永久基本农田，确需占用</w:t>
                  </w:r>
                  <w:r>
                    <w:rPr>
                      <w:rFonts w:hint="default" w:ascii="Times New Roman" w:hAnsi="Times New Roman" w:cs="Times New Roman"/>
                      <w:color w:val="auto"/>
                      <w:sz w:val="21"/>
                      <w:szCs w:val="21"/>
                      <w:lang w:eastAsia="zh-CN"/>
                    </w:rPr>
                    <w:t>永久基本农田的建设项目须符合《中华人民共和国基本农田保护条</w:t>
                  </w:r>
                  <w:r>
                    <w:rPr>
                      <w:rFonts w:hint="default" w:ascii="Times New Roman" w:hAnsi="Times New Roman" w:cs="Times New Roman"/>
                      <w:color w:val="auto"/>
                      <w:spacing w:val="4"/>
                      <w:sz w:val="21"/>
                      <w:szCs w:val="21"/>
                      <w:lang w:eastAsia="zh-CN"/>
                    </w:rPr>
                    <w:t>例》中相关要求，占用耕地、林地或草地的建设项目须按照国家、</w:t>
                  </w:r>
                  <w:r>
                    <w:rPr>
                      <w:rFonts w:hint="default" w:ascii="Times New Roman" w:hAnsi="Times New Roman" w:cs="Times New Roman"/>
                      <w:color w:val="auto"/>
                      <w:spacing w:val="-1"/>
                      <w:sz w:val="21"/>
                      <w:szCs w:val="21"/>
                      <w:lang w:eastAsia="zh-CN"/>
                    </w:rPr>
                    <w:t>自治区相关补偿要求进行补偿。</w:t>
                  </w:r>
                </w:p>
              </w:tc>
              <w:tc>
                <w:tcPr>
                  <w:tcW w:w="1537"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5"/>
                      <w:sz w:val="21"/>
                      <w:szCs w:val="21"/>
                      <w:lang w:val="en-US" w:eastAsia="zh-CN"/>
                    </w:rPr>
                  </w:pPr>
                  <w:r>
                    <w:rPr>
                      <w:rFonts w:hint="default" w:ascii="Times New Roman" w:hAnsi="Times New Roman" w:cs="Times New Roman"/>
                      <w:color w:val="auto"/>
                      <w:spacing w:val="5"/>
                      <w:sz w:val="21"/>
                      <w:szCs w:val="21"/>
                      <w:highlight w:val="none"/>
                      <w:lang w:eastAsia="zh-CN"/>
                    </w:rPr>
                    <w:t>本项目占地类型</w:t>
                  </w:r>
                  <w:r>
                    <w:rPr>
                      <w:rFonts w:hint="eastAsia" w:ascii="Times New Roman" w:hAnsi="Times New Roman" w:cs="Times New Roman"/>
                      <w:color w:val="auto"/>
                      <w:spacing w:val="5"/>
                      <w:sz w:val="21"/>
                      <w:szCs w:val="21"/>
                      <w:highlight w:val="none"/>
                      <w:lang w:val="en-US" w:eastAsia="zh-CN"/>
                    </w:rPr>
                    <w:t>为其他草地，</w:t>
                  </w:r>
                  <w:r>
                    <w:rPr>
                      <w:rFonts w:hint="default" w:ascii="Times New Roman" w:hAnsi="Times New Roman" w:cs="Times New Roman"/>
                      <w:color w:val="auto"/>
                      <w:spacing w:val="5"/>
                      <w:sz w:val="21"/>
                      <w:szCs w:val="21"/>
                      <w:highlight w:val="none"/>
                      <w:lang w:eastAsia="zh-CN"/>
                    </w:rPr>
                    <w:t>属</w:t>
                  </w:r>
                  <w:r>
                    <w:rPr>
                      <w:rFonts w:hint="default" w:ascii="Times New Roman" w:hAnsi="Times New Roman" w:cs="Times New Roman"/>
                      <w:color w:val="auto"/>
                      <w:spacing w:val="5"/>
                      <w:sz w:val="21"/>
                      <w:szCs w:val="21"/>
                      <w:lang w:eastAsia="zh-CN"/>
                    </w:rPr>
                    <w:t>于临时用地</w:t>
                  </w:r>
                  <w:r>
                    <w:rPr>
                      <w:rFonts w:hint="eastAsia" w:ascii="Times New Roman" w:hAnsi="Times New Roman" w:cs="Times New Roman"/>
                      <w:color w:val="auto"/>
                      <w:spacing w:val="5"/>
                      <w:sz w:val="21"/>
                      <w:szCs w:val="21"/>
                      <w:lang w:eastAsia="zh-CN"/>
                    </w:rPr>
                    <w:t>，</w:t>
                  </w:r>
                  <w:r>
                    <w:rPr>
                      <w:rFonts w:hint="default" w:ascii="Times New Roman" w:hAnsi="Times New Roman" w:cs="Times New Roman"/>
                      <w:color w:val="auto"/>
                      <w:spacing w:val="5"/>
                      <w:sz w:val="21"/>
                      <w:szCs w:val="21"/>
                      <w:lang w:eastAsia="zh-CN"/>
                    </w:rPr>
                    <w:t>不</w:t>
                  </w:r>
                  <w:r>
                    <w:rPr>
                      <w:rFonts w:hint="default" w:ascii="Times New Roman" w:hAnsi="Times New Roman" w:cs="Times New Roman"/>
                      <w:color w:val="auto"/>
                      <w:spacing w:val="4"/>
                      <w:sz w:val="21"/>
                      <w:szCs w:val="21"/>
                      <w:lang w:eastAsia="zh-CN"/>
                    </w:rPr>
                    <w:t>占用永久基本农田</w:t>
                  </w:r>
                </w:p>
              </w:tc>
              <w:tc>
                <w:tcPr>
                  <w:tcW w:w="226"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5"/>
                      <w:sz w:val="21"/>
                      <w:szCs w:val="21"/>
                      <w:lang w:eastAsia="zh-CN"/>
                    </w:rPr>
                  </w:pPr>
                  <w:r>
                    <w:rPr>
                      <w:rFonts w:hint="default"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restar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1"/>
                      <w:sz w:val="21"/>
                      <w:szCs w:val="21"/>
                    </w:rPr>
                    <w:t>A1.3不</w:t>
                  </w:r>
                  <w:r>
                    <w:rPr>
                      <w:rFonts w:hint="default" w:ascii="Times New Roman" w:hAnsi="Times New Roman" w:cs="Times New Roman"/>
                      <w:color w:val="auto"/>
                      <w:spacing w:val="4"/>
                      <w:sz w:val="21"/>
                      <w:szCs w:val="21"/>
                    </w:rPr>
                    <w:t>符合空</w:t>
                  </w:r>
                  <w:r>
                    <w:rPr>
                      <w:rFonts w:hint="default" w:ascii="Times New Roman" w:hAnsi="Times New Roman" w:cs="Times New Roman"/>
                      <w:color w:val="auto"/>
                      <w:spacing w:val="7"/>
                      <w:sz w:val="21"/>
                      <w:szCs w:val="21"/>
                    </w:rPr>
                    <w:t>间布局</w:t>
                  </w:r>
                  <w:r>
                    <w:rPr>
                      <w:rFonts w:hint="default" w:ascii="Times New Roman" w:hAnsi="Times New Roman" w:cs="Times New Roman"/>
                      <w:color w:val="auto"/>
                      <w:spacing w:val="-4"/>
                      <w:sz w:val="21"/>
                      <w:szCs w:val="21"/>
                    </w:rPr>
                    <w:t>要求活动的退</w:t>
                  </w:r>
                  <w:r>
                    <w:rPr>
                      <w:rFonts w:hint="default" w:ascii="Times New Roman" w:hAnsi="Times New Roman" w:cs="Times New Roman"/>
                      <w:color w:val="auto"/>
                      <w:spacing w:val="3"/>
                      <w:sz w:val="21"/>
                      <w:szCs w:val="21"/>
                    </w:rPr>
                    <w:t>出要求</w:t>
                  </w:r>
                </w:p>
              </w:tc>
              <w:tc>
                <w:tcPr>
                  <w:tcW w:w="2469"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1"/>
                      <w:sz w:val="21"/>
                      <w:szCs w:val="21"/>
                      <w:lang w:eastAsia="zh-CN"/>
                    </w:rPr>
                    <w:t>〔A1.3-1〕任何单位和个人不得在水源涵养区、饮用水水源保护区</w:t>
                  </w:r>
                  <w:r>
                    <w:rPr>
                      <w:rFonts w:hint="default" w:ascii="Times New Roman" w:hAnsi="Times New Roman" w:cs="Times New Roman"/>
                      <w:color w:val="auto"/>
                      <w:spacing w:val="-3"/>
                      <w:sz w:val="21"/>
                      <w:szCs w:val="21"/>
                      <w:lang w:eastAsia="zh-CN"/>
                    </w:rPr>
                    <w:t>内和河流、湖泊、水库周围建设重化工、涉重</w:t>
                  </w:r>
                  <w:r>
                    <w:rPr>
                      <w:rFonts w:hint="default" w:ascii="Times New Roman" w:hAnsi="Times New Roman" w:cs="Times New Roman"/>
                      <w:color w:val="auto"/>
                      <w:spacing w:val="-4"/>
                      <w:sz w:val="21"/>
                      <w:szCs w:val="21"/>
                      <w:lang w:eastAsia="zh-CN"/>
                    </w:rPr>
                    <w:t>金属等工业污染项目；</w:t>
                  </w:r>
                  <w:r>
                    <w:rPr>
                      <w:rFonts w:hint="default" w:ascii="Times New Roman" w:hAnsi="Times New Roman" w:cs="Times New Roman"/>
                      <w:color w:val="auto"/>
                      <w:spacing w:val="-3"/>
                      <w:sz w:val="21"/>
                      <w:szCs w:val="21"/>
                      <w:lang w:eastAsia="zh-CN"/>
                    </w:rPr>
                    <w:t>对已建成的工业污染项目，当地人民政府应当组织</w:t>
                  </w:r>
                  <w:r>
                    <w:rPr>
                      <w:rFonts w:hint="default" w:ascii="Times New Roman" w:hAnsi="Times New Roman" w:cs="Times New Roman"/>
                      <w:color w:val="auto"/>
                      <w:spacing w:val="-4"/>
                      <w:sz w:val="21"/>
                      <w:szCs w:val="21"/>
                      <w:lang w:eastAsia="zh-CN"/>
                    </w:rPr>
                    <w:t>限期搬迁。</w:t>
                  </w:r>
                </w:p>
              </w:tc>
              <w:tc>
                <w:tcPr>
                  <w:tcW w:w="1537"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本项目位于新疆维吾尔自治区巴音郭楞蒙古自治州和静县西北277°方向，直线距离约170km，不在</w:t>
                  </w:r>
                  <w:r>
                    <w:rPr>
                      <w:rFonts w:hint="default" w:ascii="Times New Roman" w:hAnsi="Times New Roman" w:cs="Times New Roman"/>
                      <w:color w:val="auto"/>
                      <w:spacing w:val="1"/>
                      <w:sz w:val="21"/>
                      <w:szCs w:val="21"/>
                      <w:lang w:eastAsia="zh-CN"/>
                    </w:rPr>
                    <w:t>水源涵养区、饮用水水源保护区</w:t>
                  </w:r>
                  <w:r>
                    <w:rPr>
                      <w:rFonts w:hint="default" w:ascii="Times New Roman" w:hAnsi="Times New Roman" w:cs="Times New Roman"/>
                      <w:color w:val="auto"/>
                      <w:spacing w:val="-3"/>
                      <w:sz w:val="21"/>
                      <w:szCs w:val="21"/>
                      <w:lang w:eastAsia="zh-CN"/>
                    </w:rPr>
                    <w:t>内</w:t>
                  </w:r>
                </w:p>
              </w:tc>
              <w:tc>
                <w:tcPr>
                  <w:tcW w:w="226"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Change w:id="1" w:author="哦" w:date="2026-03-29T11:22: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90" w:hRule="atLeast"/>
                <w:trPrChange w:id="1" w:author="哦" w:date="2026-03-29T11:22:00Z">
                  <w:trPr>
                    <w:gridAfter w:val="3"/>
                    <w:wAfter w:w="3453" w:type="dxa"/>
                  </w:trPr>
                </w:trPrChange>
              </w:trPr>
              <w:tc>
                <w:tcPr>
                  <w:tcW w:w="323" w:type="pct"/>
                  <w:vMerge w:val="continue"/>
                  <w:tcBorders>
                    <w:tl2br w:val="nil"/>
                    <w:tr2bl w:val="nil"/>
                  </w:tcBorders>
                  <w:noWrap w:val="0"/>
                  <w:vAlign w:val="center"/>
                  <w:tcPrChange w:id="2" w:author="哦" w:date="2026-03-29T11:22:00Z">
                    <w:tcPr>
                      <w:tcW w:w="323" w:type="pct"/>
                      <w:vMerge w:val="continue"/>
                      <w:tcBorders>
                        <w:tl2br w:val="nil"/>
                        <w:tr2bl w:val="nil"/>
                      </w:tcBorders>
                      <w:noWrap w:val="0"/>
                      <w:vAlign w:val="center"/>
                    </w:tcPr>
                  </w:tcPrChange>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Change w:id="3" w:author="哦" w:date="2026-03-29T11:22:00Z">
                    <w:tcPr>
                      <w:tcW w:w="442" w:type="pct"/>
                      <w:gridSpan w:val="2"/>
                      <w:vMerge w:val="continue"/>
                      <w:tcBorders>
                        <w:tl2br w:val="nil"/>
                        <w:tr2bl w:val="nil"/>
                      </w:tcBorders>
                      <w:noWrap w:val="0"/>
                      <w:vAlign w:val="center"/>
                    </w:tcPr>
                  </w:tcPrChange>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Change w:id="4" w:author="哦" w:date="2026-03-29T11:22:00Z">
                    <w:tcPr>
                      <w:tcW w:w="2469" w:type="pct"/>
                      <w:gridSpan w:val="2"/>
                      <w:tcBorders>
                        <w:tl2br w:val="nil"/>
                        <w:tr2bl w:val="nil"/>
                      </w:tcBorders>
                      <w:noWrap w:val="0"/>
                      <w:vAlign w:val="center"/>
                    </w:tcPr>
                  </w:tcPrChange>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4"/>
                      <w:sz w:val="21"/>
                      <w:szCs w:val="21"/>
                      <w:lang w:eastAsia="zh-CN"/>
                    </w:rPr>
                    <w:t>〔A1.3-2〕对不符合国家产业政策、严重污染水环境的生产项目全</w:t>
                  </w:r>
                  <w:r>
                    <w:rPr>
                      <w:rFonts w:hint="default" w:ascii="Times New Roman" w:hAnsi="Times New Roman" w:cs="Times New Roman"/>
                      <w:color w:val="auto"/>
                      <w:spacing w:val="-1"/>
                      <w:sz w:val="21"/>
                      <w:szCs w:val="21"/>
                      <w:lang w:eastAsia="zh-CN"/>
                    </w:rPr>
                    <w:t>部予以取缔。</w:t>
                  </w:r>
                </w:p>
              </w:tc>
              <w:tc>
                <w:tcPr>
                  <w:tcW w:w="1537" w:type="pct"/>
                  <w:tcBorders>
                    <w:tl2br w:val="nil"/>
                    <w:tr2bl w:val="nil"/>
                  </w:tcBorders>
                  <w:noWrap w:val="0"/>
                  <w:vAlign w:val="center"/>
                  <w:tcPrChange w:id="5" w:author="哦" w:date="2026-03-29T11:22:00Z">
                    <w:tcPr>
                      <w:tcW w:w="1537" w:type="pct"/>
                      <w:tcBorders>
                        <w:tl2br w:val="nil"/>
                        <w:tr2bl w:val="nil"/>
                      </w:tcBorders>
                      <w:noWrap w:val="0"/>
                      <w:vAlign w:val="center"/>
                    </w:tcPr>
                  </w:tcPrChange>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z w:val="21"/>
                      <w:szCs w:val="21"/>
                      <w:lang w:eastAsia="zh-CN"/>
                    </w:rPr>
                    <w:t>本项目为固体矿产地质勘查</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无生产废水</w:t>
                  </w:r>
                  <w:r>
                    <w:rPr>
                      <w:rFonts w:hint="eastAsia" w:ascii="Times New Roman" w:hAnsi="Times New Roman" w:eastAsia="宋体" w:cs="Times New Roman"/>
                      <w:color w:val="auto"/>
                      <w:sz w:val="21"/>
                      <w:szCs w:val="21"/>
                      <w:lang w:eastAsia="zh-CN"/>
                    </w:rPr>
                    <w:t>，生活污水进入一体化处理设施，处理后用于草地灌溉，</w:t>
                  </w:r>
                  <w:r>
                    <w:rPr>
                      <w:rFonts w:hint="eastAsia" w:ascii="Times New Roman" w:hAnsi="Times New Roman" w:cs="Times New Roman"/>
                      <w:color w:val="auto"/>
                      <w:sz w:val="21"/>
                      <w:szCs w:val="21"/>
                      <w:lang w:eastAsia="zh-CN"/>
                    </w:rPr>
                    <w:t>符合国家产业政策</w:t>
                  </w:r>
                </w:p>
              </w:tc>
              <w:tc>
                <w:tcPr>
                  <w:tcW w:w="226" w:type="pct"/>
                  <w:tcBorders>
                    <w:tl2br w:val="nil"/>
                    <w:tr2bl w:val="nil"/>
                  </w:tcBorders>
                  <w:noWrap w:val="0"/>
                  <w:vAlign w:val="center"/>
                  <w:tcPrChange w:id="6" w:author="哦" w:date="2026-03-29T11:22:00Z">
                    <w:tcPr>
                      <w:tcW w:w="226" w:type="pct"/>
                      <w:tcBorders>
                        <w:tl2br w:val="nil"/>
                        <w:tr2bl w:val="nil"/>
                      </w:tcBorders>
                      <w:noWrap w:val="0"/>
                      <w:vAlign w:val="center"/>
                    </w:tcPr>
                  </w:tcPrChange>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4"/>
                      <w:sz w:val="21"/>
                      <w:szCs w:val="21"/>
                      <w:lang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A1.4其它布局要求</w:t>
                  </w:r>
                </w:p>
              </w:tc>
              <w:tc>
                <w:tcPr>
                  <w:tcW w:w="2469"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1"/>
                      <w:sz w:val="21"/>
                      <w:szCs w:val="21"/>
                      <w:lang w:eastAsia="zh-CN"/>
                    </w:rPr>
                    <w:t>〔A1.4-1〕一切开发建设活动应符合</w:t>
                  </w:r>
                  <w:r>
                    <w:rPr>
                      <w:rFonts w:hint="default" w:ascii="Times New Roman" w:hAnsi="Times New Roman" w:cs="Times New Roman"/>
                      <w:color w:val="auto"/>
                      <w:sz w:val="21"/>
                      <w:szCs w:val="21"/>
                      <w:lang w:eastAsia="zh-CN"/>
                    </w:rPr>
                    <w:t>国家、自治区主体功能区规划、</w:t>
                  </w:r>
                  <w:r>
                    <w:rPr>
                      <w:rFonts w:hint="default" w:ascii="Times New Roman" w:hAnsi="Times New Roman" w:cs="Times New Roman"/>
                      <w:color w:val="auto"/>
                      <w:spacing w:val="1"/>
                      <w:sz w:val="21"/>
                      <w:szCs w:val="21"/>
                      <w:lang w:eastAsia="zh-CN"/>
                    </w:rPr>
                    <w:t>自治区和各地颁布实施的生态环境功能区划、国民经</w:t>
                  </w:r>
                  <w:r>
                    <w:rPr>
                      <w:rFonts w:hint="default" w:ascii="Times New Roman" w:hAnsi="Times New Roman" w:cs="Times New Roman"/>
                      <w:color w:val="auto"/>
                      <w:sz w:val="21"/>
                      <w:szCs w:val="21"/>
                      <w:lang w:eastAsia="zh-CN"/>
                    </w:rPr>
                    <w:t>济发展规划、</w:t>
                  </w:r>
                  <w:r>
                    <w:rPr>
                      <w:rFonts w:hint="default" w:ascii="Times New Roman" w:hAnsi="Times New Roman" w:cs="Times New Roman"/>
                      <w:color w:val="auto"/>
                      <w:spacing w:val="-3"/>
                      <w:sz w:val="21"/>
                      <w:szCs w:val="21"/>
                      <w:lang w:eastAsia="zh-CN"/>
                    </w:rPr>
                    <w:t>产业发展规划、国土空间规划等相关规划及重点生态功能区负面清</w:t>
                  </w:r>
                  <w:r>
                    <w:rPr>
                      <w:rFonts w:hint="default" w:ascii="Times New Roman" w:hAnsi="Times New Roman" w:cs="Times New Roman"/>
                      <w:color w:val="auto"/>
                      <w:spacing w:val="-4"/>
                      <w:sz w:val="21"/>
                      <w:szCs w:val="21"/>
                      <w:lang w:eastAsia="zh-CN"/>
                    </w:rPr>
                    <w:t>单要求，符合区域或产业规划环评要求。</w:t>
                  </w:r>
                </w:p>
              </w:tc>
              <w:tc>
                <w:tcPr>
                  <w:tcW w:w="1537"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本项目为固体矿产地质勘查，属于允许类项目，符合《新疆维吾尔自治区矿产资源总体规划（2021-2025）》和《巴音郭楞蒙古自治州矿产资源总体规划（2021-2025）》的相关规划</w:t>
                  </w:r>
                </w:p>
              </w:tc>
              <w:tc>
                <w:tcPr>
                  <w:tcW w:w="226"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eastAsia" w:ascii="Times New Roman" w:hAnsi="Times New Roman" w:cs="Times New Roman"/>
                      <w:color w:val="auto"/>
                      <w:spacing w:val="1"/>
                      <w:sz w:val="21"/>
                      <w:szCs w:val="21"/>
                      <w:lang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323"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A2污染物排放管控</w:t>
                  </w:r>
                </w:p>
              </w:tc>
              <w:tc>
                <w:tcPr>
                  <w:tcW w:w="442" w:type="pc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r>
                    <w:rPr>
                      <w:rFonts w:hint="default" w:ascii="Times New Roman" w:hAnsi="Times New Roman" w:cs="Times New Roman"/>
                      <w:snapToGrid/>
                      <w:color w:val="auto"/>
                      <w:kern w:val="2"/>
                      <w:sz w:val="21"/>
                      <w:szCs w:val="21"/>
                      <w:lang w:eastAsia="zh-CN"/>
                    </w:rPr>
                    <w:t>A2.1污染物削减/替代要求</w:t>
                  </w:r>
                </w:p>
              </w:tc>
              <w:tc>
                <w:tcPr>
                  <w:tcW w:w="2469"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〔A2.1-1〕新、改、扩建重点行业建设项目应符合</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三线一单</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、产业政策、区域环评、规划环评和行业环境准入管控要求。重点区域的新、改、扩建重点行业建设项目应遵循重点重金属污染物排放</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减量替代</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原则。</w:t>
                  </w:r>
                </w:p>
              </w:tc>
              <w:tc>
                <w:tcPr>
                  <w:tcW w:w="1537"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z w:val="21"/>
                      <w:szCs w:val="21"/>
                      <w:lang w:eastAsia="zh-CN"/>
                    </w:rPr>
                    <w:t>本项目为固体矿产地质勘查</w:t>
                  </w:r>
                  <w:r>
                    <w:rPr>
                      <w:rFonts w:hint="eastAsia" w:ascii="Times New Roman" w:hAnsi="Times New Roman" w:cs="Times New Roman"/>
                      <w:color w:val="auto"/>
                      <w:sz w:val="21"/>
                      <w:szCs w:val="21"/>
                      <w:lang w:eastAsia="zh-CN"/>
                    </w:rPr>
                    <w:t>，项目位于新疆维吾尔自治区巴音郭楞蒙古自治州和静县西北277°方向，直线距离约170km</w:t>
                  </w:r>
                  <w:r>
                    <w:rPr>
                      <w:rFonts w:hint="eastAsia" w:ascii="Times New Roman" w:hAnsi="Times New Roman" w:eastAsia="宋体" w:cs="Times New Roman"/>
                      <w:color w:val="auto"/>
                      <w:sz w:val="21"/>
                      <w:szCs w:val="21"/>
                      <w:lang w:eastAsia="zh-CN"/>
                    </w:rPr>
                    <w:t>，不属于重点行业，</w:t>
                  </w:r>
                  <w:r>
                    <w:rPr>
                      <w:rFonts w:hint="eastAsia" w:ascii="Times New Roman" w:hAnsi="Times New Roman" w:cs="Times New Roman"/>
                      <w:color w:val="auto"/>
                      <w:sz w:val="21"/>
                      <w:szCs w:val="21"/>
                      <w:lang w:eastAsia="zh-CN"/>
                    </w:rPr>
                    <w:t>不在</w:t>
                  </w:r>
                  <w:r>
                    <w:rPr>
                      <w:rFonts w:hint="default" w:ascii="Times New Roman" w:hAnsi="Times New Roman" w:cs="Times New Roman"/>
                      <w:color w:val="auto"/>
                      <w:spacing w:val="4"/>
                      <w:sz w:val="21"/>
                      <w:szCs w:val="21"/>
                      <w:lang w:eastAsia="zh-CN"/>
                    </w:rPr>
                    <w:t>重点区域</w:t>
                  </w:r>
                </w:p>
              </w:tc>
              <w:tc>
                <w:tcPr>
                  <w:tcW w:w="226"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1"/>
                      <w:sz w:val="21"/>
                      <w:szCs w:val="21"/>
                      <w:lang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restar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A3环境风险防控</w:t>
                  </w:r>
                </w:p>
              </w:tc>
              <w:tc>
                <w:tcPr>
                  <w:tcW w:w="442" w:type="pct"/>
                  <w:vMerge w:val="restart"/>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r>
                    <w:rPr>
                      <w:rFonts w:hint="default" w:ascii="Times New Roman" w:hAnsi="Times New Roman" w:cs="Times New Roman"/>
                      <w:snapToGrid/>
                      <w:color w:val="auto"/>
                      <w:kern w:val="2"/>
                      <w:sz w:val="21"/>
                      <w:szCs w:val="21"/>
                      <w:lang w:eastAsia="zh-CN"/>
                    </w:rPr>
                    <w:t>A3.1人居环境要求</w:t>
                  </w:r>
                </w:p>
              </w:tc>
              <w:tc>
                <w:tcPr>
                  <w:tcW w:w="2469"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〔A3.1-1〕建立和完善重污染天气兵地联合应急预案、预报预警应急机制和会商联动机制。</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乌一昌一石</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区域内可能影响相邻行政区域大气环境的项目，兵地间、城市间必须相互征求意见。</w:t>
                  </w:r>
                </w:p>
              </w:tc>
              <w:tc>
                <w:tcPr>
                  <w:tcW w:w="1537" w:type="pct"/>
                  <w:vMerge w:val="restar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4"/>
                      <w:sz w:val="21"/>
                      <w:szCs w:val="21"/>
                      <w:lang w:eastAsia="zh-CN"/>
                    </w:rPr>
                    <w:t>本</w:t>
                  </w:r>
                  <w:r>
                    <w:rPr>
                      <w:rFonts w:hint="eastAsia" w:ascii="Times New Roman" w:hAnsi="Times New Roman" w:cs="Times New Roman"/>
                      <w:color w:val="auto"/>
                      <w:spacing w:val="4"/>
                      <w:sz w:val="21"/>
                      <w:szCs w:val="21"/>
                      <w:lang w:val="en-US" w:eastAsia="zh-CN"/>
                    </w:rPr>
                    <w:t>项目扬尘采取洒水降尘措施后能减少粉尘的排放</w:t>
                  </w:r>
                  <w:r>
                    <w:rPr>
                      <w:rFonts w:hint="eastAsia" w:ascii="Times New Roman" w:hAnsi="Times New Roman" w:cs="Times New Roman"/>
                      <w:color w:val="auto"/>
                      <w:spacing w:val="4"/>
                      <w:sz w:val="21"/>
                      <w:szCs w:val="21"/>
                      <w:lang w:eastAsia="zh-CN"/>
                    </w:rPr>
                    <w:t>。</w:t>
                  </w:r>
                </w:p>
              </w:tc>
              <w:tc>
                <w:tcPr>
                  <w:tcW w:w="226" w:type="pct"/>
                  <w:vMerge w:val="restar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1"/>
                      <w:sz w:val="21"/>
                      <w:szCs w:val="21"/>
                      <w:lang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p>
              </w:tc>
              <w:tc>
                <w:tcPr>
                  <w:tcW w:w="2469"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〔A3.1-3〕强化重污染天气监测预报预警能力，建立和完善重污染天气兵地联合应急预案、预警应急机制和会商联动机制，加强轻、中度污染天气管控。</w:t>
                  </w:r>
                </w:p>
              </w:tc>
              <w:tc>
                <w:tcPr>
                  <w:tcW w:w="1537" w:type="pct"/>
                  <w:vMerge w:val="continue"/>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p>
              </w:tc>
              <w:tc>
                <w:tcPr>
                  <w:tcW w:w="226" w:type="pct"/>
                  <w:vMerge w:val="continue"/>
                  <w:tcBorders>
                    <w:tl2br w:val="nil"/>
                    <w:tr2bl w:val="nil"/>
                  </w:tcBorders>
                  <w:noWrap w:val="0"/>
                  <w:vAlign w:val="center"/>
                </w:tcPr>
                <w:p>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tcBorders>
                    <w:tl2br w:val="nil"/>
                    <w:tr2bl w:val="nil"/>
                  </w:tcBorders>
                  <w:noWrap w:val="0"/>
                  <w:vAlign w:val="center"/>
                </w:tcPr>
                <w:p>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A4资源利用要求</w:t>
                  </w:r>
                </w:p>
              </w:tc>
              <w:tc>
                <w:tcPr>
                  <w:tcW w:w="442"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color w:val="auto"/>
                      <w:spacing w:val="4"/>
                      <w:sz w:val="21"/>
                      <w:szCs w:val="21"/>
                      <w:lang w:eastAsia="zh-CN"/>
                    </w:rPr>
                    <w:t>A4.1水资源</w:t>
                  </w:r>
                </w:p>
              </w:tc>
              <w:tc>
                <w:tcPr>
                  <w:tcW w:w="2469"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〔A4.1-2</w:t>
                  </w:r>
                  <w:r>
                    <w:rPr>
                      <w:rFonts w:hint="default" w:ascii="Times New Roman" w:hAnsi="Times New Roman" w:cs="Times New Roman"/>
                      <w:color w:val="auto"/>
                      <w:spacing w:val="4"/>
                      <w:sz w:val="21"/>
                      <w:szCs w:val="21"/>
                      <w:lang w:eastAsia="zh-CN"/>
                    </w:rPr>
                    <w:t>〕</w:t>
                  </w:r>
                  <w:r>
                    <w:rPr>
                      <w:rFonts w:hint="default" w:ascii="Times New Roman" w:hAnsi="Times New Roman" w:cs="Times New Roman"/>
                      <w:snapToGrid w:val="0"/>
                      <w:color w:val="auto"/>
                      <w:spacing w:val="4"/>
                      <w:kern w:val="0"/>
                      <w:sz w:val="21"/>
                      <w:szCs w:val="21"/>
                      <w:lang w:val="en-US" w:eastAsia="zh-CN" w:bidi="ar-SA"/>
                    </w:rPr>
                    <w:t>加大城镇污水再生利用工程建设力度，推进区域再生水循环利用，到2025年，城市生活污水再生利用率力争达到60%。</w:t>
                  </w:r>
                </w:p>
                <w:p>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〔A4.1-3</w:t>
                  </w:r>
                  <w:r>
                    <w:rPr>
                      <w:rFonts w:hint="default" w:ascii="Times New Roman" w:hAnsi="Times New Roman" w:cs="Times New Roman"/>
                      <w:color w:val="auto"/>
                      <w:spacing w:val="4"/>
                      <w:sz w:val="21"/>
                      <w:szCs w:val="21"/>
                      <w:lang w:eastAsia="zh-CN"/>
                    </w:rPr>
                    <w:t>〕</w:t>
                  </w:r>
                  <w:r>
                    <w:rPr>
                      <w:rFonts w:hint="default" w:ascii="Times New Roman" w:hAnsi="Times New Roman" w:cs="Times New Roman"/>
                      <w:snapToGrid w:val="0"/>
                      <w:color w:val="auto"/>
                      <w:spacing w:val="4"/>
                      <w:kern w:val="0"/>
                      <w:sz w:val="21"/>
                      <w:szCs w:val="21"/>
                      <w:lang w:val="en-US" w:eastAsia="zh-CN" w:bidi="ar-SA"/>
                    </w:rPr>
                    <w:t>加强农村水利基础设施建设，推进农村供水保障工程，农村自来水普及率、集中供水率分别达到99.3%、99.7%。</w:t>
                  </w:r>
                </w:p>
              </w:tc>
              <w:tc>
                <w:tcPr>
                  <w:tcW w:w="1537"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本项目生活污水进入一体化处理设施，处理后用于草地灌溉。无生产废水产生</w:t>
                  </w:r>
                </w:p>
              </w:tc>
              <w:tc>
                <w:tcPr>
                  <w:tcW w:w="226" w:type="pct"/>
                  <w:tcBorders>
                    <w:tl2br w:val="nil"/>
                    <w:tr2bl w:val="nil"/>
                  </w:tcBorders>
                  <w:noWrap w:val="0"/>
                  <w:vAlign w:val="center"/>
                </w:tcPr>
                <w:p>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eastAsia" w:ascii="Times New Roman" w:hAnsi="Times New Roman" w:cs="Times New Roman"/>
                      <w:color w:val="auto"/>
                      <w:spacing w:val="1"/>
                      <w:sz w:val="21"/>
                      <w:szCs w:val="21"/>
                      <w:lang w:eastAsia="zh-CN"/>
                    </w:rPr>
                    <w:t>符合</w:t>
                  </w:r>
                </w:p>
              </w:tc>
            </w:tr>
          </w:tbl>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1-2</w:t>
            </w:r>
            <w:r>
              <w:rPr>
                <w:rFonts w:hint="default" w:cs="Times New Roman"/>
                <w:color w:val="auto"/>
              </w:rPr>
              <w:t xml:space="preserve">   </w:t>
            </w:r>
            <w:r>
              <w:rPr>
                <w:rFonts w:hint="eastAsia" w:cs="Times New Roman"/>
                <w:color w:val="auto"/>
              </w:rPr>
              <w:t>本项目与天山南坡片区总体管控要求符合性分析一览表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567"/>
              <w:gridCol w:w="2010"/>
              <w:gridCol w:w="7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64" w:type="pct"/>
                  <w:vMerge w:val="restar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天山南坡片区总体管控要求</w:t>
                  </w:r>
                </w:p>
              </w:tc>
              <w:tc>
                <w:tcPr>
                  <w:tcW w:w="2700"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管控要求</w:t>
                  </w:r>
                </w:p>
              </w:tc>
              <w:tc>
                <w:tcPr>
                  <w:tcW w:w="1189"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本项目</w:t>
                  </w:r>
                </w:p>
              </w:tc>
              <w:tc>
                <w:tcPr>
                  <w:tcW w:w="447"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符合性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189"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本项目不在托木尔峰和天山南坡中段冰雪水源及生物多样性保护生态功能区</w:t>
                  </w:r>
                </w:p>
              </w:tc>
              <w:tc>
                <w:tcPr>
                  <w:tcW w:w="447"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snapToGrid w:val="0"/>
                      <w:color w:val="auto"/>
                      <w:kern w:val="0"/>
                      <w:sz w:val="21"/>
                      <w:szCs w:val="21"/>
                    </w:rPr>
                    <w:t>重点做好塔里木盆地北缘荒漠化防治。加强荒漠植被及河岸荒漠林保护，规范油气勘探开发作业，建立油田和公路扰动区域工程与生物相结合的防风固沙体系，逐步形成生态屏障</w:t>
                  </w:r>
                </w:p>
              </w:tc>
              <w:tc>
                <w:tcPr>
                  <w:tcW w:w="1189"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snapToGrid w:val="0"/>
                      <w:color w:val="auto"/>
                      <w:kern w:val="0"/>
                      <w:sz w:val="21"/>
                      <w:szCs w:val="21"/>
                    </w:rPr>
                    <w:t>本项目不涉及油气勘探开发</w:t>
                  </w:r>
                </w:p>
              </w:tc>
              <w:tc>
                <w:tcPr>
                  <w:tcW w:w="447"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推进塔里木河流域用水结构调整，维护塔里木河、博斯腾湖基本生态用水</w:t>
                  </w:r>
                </w:p>
              </w:tc>
              <w:tc>
                <w:tcPr>
                  <w:tcW w:w="1189"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本项目不涉及塔里木河、博斯腾湖生态用水</w:t>
                  </w:r>
                </w:p>
              </w:tc>
              <w:tc>
                <w:tcPr>
                  <w:tcW w:w="447"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加强塔里木河流域水环境风险管控。加大博斯腾湖污染源头达标排放治理和监督力度，实施博斯腾湖综合治理</w:t>
                  </w:r>
                </w:p>
              </w:tc>
              <w:tc>
                <w:tcPr>
                  <w:tcW w:w="1189"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w:t>
                  </w:r>
                </w:p>
              </w:tc>
              <w:tc>
                <w:tcPr>
                  <w:tcW w:w="447"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加强油</w:t>
                  </w:r>
                  <w:r>
                    <w:rPr>
                      <w:rFonts w:hint="eastAsia" w:ascii="宋体" w:hAnsi="宋体" w:cs="Times New Roman"/>
                      <w:snapToGrid w:val="0"/>
                      <w:color w:val="auto"/>
                      <w:kern w:val="0"/>
                      <w:sz w:val="21"/>
                      <w:szCs w:val="21"/>
                      <w:lang w:eastAsia="zh-CN"/>
                    </w:rPr>
                    <w:t>（</w:t>
                  </w:r>
                  <w:r>
                    <w:rPr>
                      <w:rFonts w:hint="eastAsia" w:ascii="宋体" w:hAnsi="宋体" w:cs="Times New Roman"/>
                      <w:snapToGrid w:val="0"/>
                      <w:color w:val="auto"/>
                      <w:kern w:val="0"/>
                      <w:sz w:val="21"/>
                      <w:szCs w:val="21"/>
                    </w:rPr>
                    <w:t>气</w:t>
                  </w:r>
                  <w:r>
                    <w:rPr>
                      <w:rFonts w:hint="eastAsia" w:ascii="宋体" w:hAnsi="宋体" w:cs="Times New Roman"/>
                      <w:snapToGrid w:val="0"/>
                      <w:color w:val="auto"/>
                      <w:kern w:val="0"/>
                      <w:sz w:val="21"/>
                      <w:szCs w:val="21"/>
                      <w:lang w:eastAsia="zh-CN"/>
                    </w:rPr>
                    <w:t>）</w:t>
                  </w:r>
                  <w:r>
                    <w:rPr>
                      <w:rFonts w:hint="eastAsia" w:ascii="宋体" w:hAnsi="宋体" w:cs="Times New Roman"/>
                      <w:snapToGrid w:val="0"/>
                      <w:color w:val="auto"/>
                      <w:kern w:val="0"/>
                      <w:sz w:val="21"/>
                      <w:szCs w:val="21"/>
                    </w:rPr>
                    <w:t>资源开发区土壤环境污染综合整治。强化涉重金属行业污染防控与工业废物处理处置</w:t>
                  </w:r>
                </w:p>
              </w:tc>
              <w:tc>
                <w:tcPr>
                  <w:tcW w:w="1189"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本项目不涉及油气开发，不涉及重金属排放</w:t>
                  </w:r>
                </w:p>
              </w:tc>
              <w:tc>
                <w:tcPr>
                  <w:tcW w:w="447"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bl>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2</w:t>
            </w:r>
            <w:r>
              <w:rPr>
                <w:rFonts w:hint="default"/>
                <w:color w:val="auto"/>
              </w:rPr>
              <w:t>.2</w:t>
            </w:r>
            <w:r>
              <w:rPr>
                <w:rFonts w:hint="eastAsia"/>
                <w:color w:val="auto"/>
              </w:rPr>
              <w:t>与巴州生态环境分区管控符合性分析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color w:val="auto"/>
              </w:rPr>
              <w:t>根据《</w:t>
            </w:r>
            <w:r>
              <w:rPr>
                <w:rFonts w:hint="eastAsia" w:ascii="Times New Roman" w:hAnsi="Times New Roman" w:cs="Times New Roman"/>
                <w:color w:val="auto"/>
              </w:rPr>
              <w:t>关于印发巴音郭楞蒙古自治州</w:t>
            </w:r>
            <w:r>
              <w:rPr>
                <w:rFonts w:hint="eastAsia" w:ascii="Times New Roman" w:hAnsi="Times New Roman" w:cs="Times New Roman"/>
                <w:color w:val="auto"/>
                <w:lang w:eastAsia="zh-CN"/>
              </w:rPr>
              <w:t>“</w:t>
            </w:r>
            <w:r>
              <w:rPr>
                <w:rFonts w:hint="eastAsia" w:ascii="Times New Roman" w:hAnsi="Times New Roman" w:cs="Times New Roman"/>
                <w:color w:val="auto"/>
              </w:rPr>
              <w:t>三线一单</w:t>
            </w:r>
            <w:r>
              <w:rPr>
                <w:rFonts w:hint="eastAsia" w:ascii="Times New Roman" w:hAnsi="Times New Roman" w:cs="Times New Roman"/>
                <w:color w:val="auto"/>
                <w:lang w:eastAsia="zh-CN"/>
              </w:rPr>
              <w:t>”</w:t>
            </w:r>
            <w:r>
              <w:rPr>
                <w:rFonts w:hint="eastAsia" w:ascii="Times New Roman" w:hAnsi="Times New Roman" w:cs="Times New Roman"/>
                <w:color w:val="auto"/>
              </w:rPr>
              <w:t>生态环境分区管控动态更新成果</w:t>
            </w:r>
            <w:r>
              <w:rPr>
                <w:rFonts w:hint="eastAsia" w:ascii="Times New Roman" w:hAnsi="Times New Roman" w:cs="Times New Roman"/>
                <w:color w:val="auto"/>
                <w:lang w:eastAsia="zh-CN"/>
              </w:rPr>
              <w:t>（</w:t>
            </w:r>
            <w:r>
              <w:rPr>
                <w:rFonts w:hint="eastAsia" w:ascii="Times New Roman" w:hAnsi="Times New Roman" w:cs="Times New Roman"/>
                <w:color w:val="auto"/>
              </w:rPr>
              <w:t>2023年</w:t>
            </w:r>
            <w:r>
              <w:rPr>
                <w:rFonts w:hint="eastAsia" w:ascii="Times New Roman" w:hAnsi="Times New Roman" w:cs="Times New Roman"/>
                <w:color w:val="auto"/>
                <w:lang w:eastAsia="zh-CN"/>
              </w:rPr>
              <w:t>）</w:t>
            </w:r>
            <w:r>
              <w:rPr>
                <w:rFonts w:hint="eastAsia" w:ascii="Times New Roman" w:hAnsi="Times New Roman" w:cs="Times New Roman"/>
                <w:color w:val="auto"/>
              </w:rPr>
              <w:t>的通知</w:t>
            </w:r>
            <w:r>
              <w:rPr>
                <w:rFonts w:hint="default" w:ascii="Times New Roman" w:hAnsi="Times New Roman" w:cs="Times New Roman"/>
                <w:bCs/>
                <w:color w:val="auto"/>
              </w:rPr>
              <w:t>》</w:t>
            </w:r>
            <w:r>
              <w:rPr>
                <w:rFonts w:hint="eastAsia" w:ascii="Times New Roman" w:hAnsi="Times New Roman" w:cs="Times New Roman"/>
                <w:color w:val="auto"/>
                <w:lang w:eastAsia="zh-CN"/>
              </w:rPr>
              <w:t>（</w:t>
            </w:r>
            <w:r>
              <w:rPr>
                <w:rFonts w:hint="eastAsia" w:ascii="Times New Roman" w:hAnsi="Times New Roman" w:cs="Times New Roman"/>
                <w:color w:val="auto"/>
              </w:rPr>
              <w:t>巴政办发</w:t>
            </w:r>
            <w:r>
              <w:rPr>
                <w:rFonts w:hint="eastAsia" w:ascii="宋体" w:hAnsi="宋体" w:eastAsia="宋体" w:cs="宋体"/>
                <w:color w:val="auto"/>
              </w:rPr>
              <w:t>〔</w:t>
            </w:r>
            <w:r>
              <w:rPr>
                <w:rFonts w:hint="default" w:ascii="Times New Roman" w:hAnsi="Times New Roman" w:cs="Times New Roman"/>
                <w:color w:val="auto"/>
              </w:rPr>
              <w:t>202</w:t>
            </w:r>
            <w:r>
              <w:rPr>
                <w:rFonts w:hint="eastAsia" w:ascii="Times New Roman" w:hAnsi="Times New Roman" w:cs="Times New Roman"/>
                <w:color w:val="auto"/>
                <w:lang w:val="en-US" w:eastAsia="zh-CN"/>
              </w:rPr>
              <w:t>4</w:t>
            </w:r>
            <w:r>
              <w:rPr>
                <w:rFonts w:hint="eastAsia" w:ascii="宋体" w:hAnsi="宋体" w:eastAsia="宋体" w:cs="宋体"/>
                <w:color w:val="auto"/>
                <w:lang w:val="en-US" w:eastAsia="zh-CN"/>
              </w:rPr>
              <w:t>〕</w:t>
            </w:r>
            <w:r>
              <w:rPr>
                <w:rFonts w:hint="default" w:ascii="Times New Roman" w:hAnsi="Times New Roman" w:cs="Times New Roman"/>
                <w:color w:val="auto"/>
              </w:rPr>
              <w:t>32号</w:t>
            </w:r>
            <w:r>
              <w:rPr>
                <w:rFonts w:hint="eastAsia" w:ascii="Times New Roman" w:hAnsi="Times New Roman" w:cs="Times New Roman"/>
                <w:color w:val="auto"/>
                <w:lang w:eastAsia="zh-CN"/>
              </w:rPr>
              <w:t>）</w:t>
            </w:r>
            <w:r>
              <w:rPr>
                <w:rFonts w:hint="eastAsia" w:ascii="Times New Roman" w:hAnsi="Times New Roman" w:cs="Times New Roman"/>
                <w:color w:val="auto"/>
              </w:rPr>
              <w:t>分析本项目与生态环境分区管控</w:t>
            </w:r>
            <w:r>
              <w:rPr>
                <w:rFonts w:hint="eastAsia" w:ascii="Times New Roman" w:hAnsi="Times New Roman" w:cs="Times New Roman"/>
                <w:bCs/>
                <w:color w:val="auto"/>
              </w:rPr>
              <w:t>符合性分析见表</w:t>
            </w:r>
            <w:r>
              <w:rPr>
                <w:rFonts w:hint="eastAsia" w:ascii="Times New Roman" w:hAnsi="Times New Roman" w:cs="Times New Roman"/>
                <w:bCs/>
                <w:color w:val="auto"/>
                <w:lang w:val="en-US" w:eastAsia="zh-CN"/>
              </w:rPr>
              <w:t>1-3</w:t>
            </w:r>
            <w:r>
              <w:rPr>
                <w:rFonts w:hint="eastAsia" w:ascii="Times New Roman" w:hAnsi="Times New Roman" w:cs="Times New Roman"/>
                <w:bCs/>
                <w:color w:val="auto"/>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00" w:lineRule="exact"/>
              <w:ind w:left="0" w:right="0" w:firstLine="422" w:firstLineChars="200"/>
              <w:jc w:val="center"/>
              <w:textAlignment w:val="baseline"/>
              <w:outlineLvl w:val="9"/>
              <w:rPr>
                <w:rFonts w:hint="default" w:cs="Times New Roman"/>
                <w:color w:val="auto"/>
              </w:rPr>
            </w:pPr>
            <w:r>
              <w:rPr>
                <w:rFonts w:hint="default" w:cs="Times New Roman"/>
                <w:color w:val="auto"/>
              </w:rPr>
              <w:t>表</w:t>
            </w:r>
            <w:r>
              <w:rPr>
                <w:rFonts w:hint="eastAsia" w:cs="Times New Roman"/>
                <w:color w:val="auto"/>
                <w:lang w:val="en-US" w:eastAsia="zh-CN"/>
              </w:rPr>
              <w:t>1-3</w:t>
            </w:r>
            <w:r>
              <w:rPr>
                <w:rFonts w:hint="default" w:cs="Times New Roman"/>
                <w:color w:val="auto"/>
              </w:rPr>
              <w:t xml:space="preserve">   </w:t>
            </w:r>
            <w:r>
              <w:rPr>
                <w:rFonts w:hint="eastAsia" w:cs="Times New Roman"/>
                <w:color w:val="auto"/>
              </w:rPr>
              <w:t>巴州生态环境分区管控</w:t>
            </w:r>
            <w:r>
              <w:rPr>
                <w:rFonts w:hint="default" w:cs="Times New Roman"/>
                <w:color w:val="auto"/>
              </w:rPr>
              <w:t>符合性分析一览表</w:t>
            </w:r>
          </w:p>
          <w:tbl>
            <w:tblPr>
              <w:tblStyle w:val="28"/>
              <w:tblW w:w="85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
              <w:gridCol w:w="561"/>
              <w:gridCol w:w="822"/>
              <w:gridCol w:w="2"/>
              <w:gridCol w:w="2"/>
              <w:gridCol w:w="3743"/>
              <w:gridCol w:w="2"/>
              <w:gridCol w:w="4"/>
              <w:gridCol w:w="2755"/>
              <w:gridCol w:w="2"/>
              <w:gridCol w:w="4"/>
              <w:gridCol w:w="603"/>
              <w:gridCol w:w="3"/>
              <w:gridCol w:w="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14" w:type="pct"/>
                  <w:gridSpan w:val="5"/>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名称</w:t>
                  </w:r>
                </w:p>
              </w:tc>
              <w:tc>
                <w:tcPr>
                  <w:tcW w:w="2196"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总体管控要求</w:t>
                  </w:r>
                </w:p>
              </w:tc>
              <w:tc>
                <w:tcPr>
                  <w:tcW w:w="1617"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符合性分析</w:t>
                  </w:r>
                </w:p>
              </w:tc>
              <w:tc>
                <w:tcPr>
                  <w:tcW w:w="370"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生态保护红线</w:t>
                  </w:r>
                </w:p>
              </w:tc>
              <w:tc>
                <w:tcPr>
                  <w:tcW w:w="2196"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按照</w:t>
                  </w:r>
                  <w:r>
                    <w:rPr>
                      <w:rFonts w:hint="eastAsia" w:ascii="Times New Roman" w:hAnsi="Times New Roman" w:cs="Times New Roman"/>
                      <w:color w:val="auto"/>
                      <w:lang w:eastAsia="zh-CN"/>
                    </w:rPr>
                    <w:t>“</w:t>
                  </w:r>
                  <w:r>
                    <w:rPr>
                      <w:rFonts w:hint="eastAsia" w:ascii="Times New Roman" w:hAnsi="Times New Roman" w:cs="Times New Roman"/>
                      <w:color w:val="auto"/>
                    </w:rPr>
                    <w:t>生态功能不降低、面积不减少性质不改变</w:t>
                  </w:r>
                  <w:r>
                    <w:rPr>
                      <w:rFonts w:hint="eastAsia" w:ascii="Times New Roman" w:hAnsi="Times New Roman" w:cs="Times New Roman"/>
                      <w:color w:val="auto"/>
                      <w:lang w:eastAsia="zh-CN"/>
                    </w:rPr>
                    <w:t>”</w:t>
                  </w:r>
                  <w:r>
                    <w:rPr>
                      <w:rFonts w:hint="eastAsia" w:ascii="Times New Roman" w:hAnsi="Times New Roman" w:cs="Times New Roman"/>
                      <w:color w:val="auto"/>
                    </w:rPr>
                    <w:t>的基本要求，对划定的生态保护红线实施严格管控保障和维护国家生态安全的底线和生命线。</w:t>
                  </w:r>
                </w:p>
              </w:tc>
              <w:tc>
                <w:tcPr>
                  <w:tcW w:w="1617"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本项目选址位于</w:t>
                  </w:r>
                  <w:r>
                    <w:rPr>
                      <w:rFonts w:hint="eastAsia" w:ascii="Times New Roman" w:hAnsi="Times New Roman" w:cs="Times New Roman"/>
                      <w:color w:val="auto"/>
                    </w:rPr>
                    <w:t>新疆维吾尔自治区巴音郭楞蒙古自治州和静县西北277°方向，直线距离约170km</w:t>
                  </w:r>
                  <w:r>
                    <w:rPr>
                      <w:rFonts w:hint="default" w:ascii="Times New Roman" w:hAnsi="Times New Roman" w:cs="Times New Roman"/>
                      <w:color w:val="auto"/>
                    </w:rPr>
                    <w:t>。</w:t>
                  </w:r>
                  <w:r>
                    <w:rPr>
                      <w:rFonts w:hint="eastAsia" w:ascii="Times New Roman" w:hAnsi="Times New Roman" w:cs="Times New Roman"/>
                      <w:color w:val="auto"/>
                      <w:lang w:val="en-US" w:eastAsia="zh-CN"/>
                    </w:rPr>
                    <w:t>位于</w:t>
                  </w:r>
                  <w:r>
                    <w:rPr>
                      <w:rFonts w:hint="eastAsia" w:ascii="Times New Roman" w:hAnsi="Times New Roman" w:cs="Times New Roman"/>
                      <w:color w:val="auto"/>
                    </w:rPr>
                    <w:t>和静县一般管控单元</w:t>
                  </w:r>
                  <w:r>
                    <w:rPr>
                      <w:rFonts w:hint="eastAsia" w:ascii="Times New Roman" w:hAnsi="Times New Roman" w:cs="Times New Roman"/>
                      <w:color w:val="auto"/>
                      <w:lang w:eastAsia="zh-CN"/>
                    </w:rPr>
                    <w:t>（</w:t>
                  </w:r>
                  <w:r>
                    <w:rPr>
                      <w:rFonts w:hint="eastAsia" w:ascii="Times New Roman" w:hAnsi="Times New Roman" w:cs="Times New Roman"/>
                      <w:color w:val="auto"/>
                    </w:rPr>
                    <w:t>ZH65282730001</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和静县大气弱扩散区（ZH65282720002）</w:t>
                  </w:r>
                  <w:r>
                    <w:rPr>
                      <w:rFonts w:hint="default" w:ascii="Times New Roman" w:hAnsi="Times New Roman" w:cs="Times New Roman"/>
                      <w:color w:val="auto"/>
                    </w:rPr>
                    <w:t>，项目不涉及生态保护红线区域，不会影响所在区域内生态服务功能。</w:t>
                  </w:r>
                </w:p>
              </w:tc>
              <w:tc>
                <w:tcPr>
                  <w:tcW w:w="370"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环境质量底线</w:t>
                  </w:r>
                </w:p>
              </w:tc>
              <w:tc>
                <w:tcPr>
                  <w:tcW w:w="2196"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全州水环境质量持续改善，开都河、塔里</w:t>
                  </w:r>
                  <w:r>
                    <w:rPr>
                      <w:rFonts w:hint="eastAsia" w:ascii="Times New Roman" w:hAnsi="Times New Roman" w:cs="Times New Roman"/>
                      <w:color w:val="auto"/>
                      <w:lang w:val="en-US" w:eastAsia="zh-CN"/>
                    </w:rPr>
                    <w:t>木</w:t>
                  </w:r>
                  <w:r>
                    <w:rPr>
                      <w:rFonts w:hint="eastAsia" w:ascii="Times New Roman" w:hAnsi="Times New Roman" w:cs="Times New Roman"/>
                      <w:color w:val="auto"/>
                    </w:rPr>
                    <w:t>河、迪那河、车尔臣河、黄水沟5条河流13个监测断面稳定达到II类水</w:t>
                  </w:r>
                  <w:r>
                    <w:rPr>
                      <w:rFonts w:hint="eastAsia" w:ascii="Times New Roman" w:hAnsi="Times New Roman" w:cs="Times New Roman"/>
                      <w:color w:val="auto"/>
                      <w:lang w:eastAsia="zh-CN"/>
                    </w:rPr>
                    <w:t>（</w:t>
                  </w:r>
                  <w:r>
                    <w:rPr>
                      <w:rFonts w:hint="eastAsia" w:ascii="Times New Roman" w:hAnsi="Times New Roman" w:cs="Times New Roman"/>
                      <w:color w:val="auto"/>
                    </w:rPr>
                    <w:t>塔里木河氟化物不参与考核，其他指标均为</w:t>
                  </w:r>
                  <w:r>
                    <w:rPr>
                      <w:rFonts w:hint="eastAsia" w:ascii="Times New Roman" w:hAnsi="Times New Roman" w:cs="Times New Roman"/>
                      <w:color w:val="auto"/>
                      <w:lang w:eastAsia="zh-CN"/>
                    </w:rPr>
                    <w:t>Ⅱ类）</w:t>
                  </w:r>
                  <w:r>
                    <w:rPr>
                      <w:rFonts w:hint="eastAsia" w:ascii="Times New Roman" w:hAnsi="Times New Roman" w:cs="Times New Roman"/>
                      <w:color w:val="auto"/>
                    </w:rPr>
                    <w:t>，孔雀河4个监测断面达到</w:t>
                  </w:r>
                  <w:r>
                    <w:rPr>
                      <w:rFonts w:hint="eastAsia" w:ascii="Times New Roman" w:hAnsi="Times New Roman" w:cs="Times New Roman"/>
                      <w:color w:val="auto"/>
                      <w:lang w:eastAsia="zh-CN"/>
                    </w:rPr>
                    <w:t>Ⅲ</w:t>
                  </w:r>
                  <w:r>
                    <w:rPr>
                      <w:rFonts w:hint="eastAsia" w:ascii="Times New Roman" w:hAnsi="Times New Roman" w:cs="Times New Roman"/>
                      <w:color w:val="auto"/>
                    </w:rPr>
                    <w:t>类水，博斯腾湖17个重点点位中1、7、14监测点均值</w:t>
                  </w:r>
                  <w:r>
                    <w:rPr>
                      <w:rFonts w:hint="eastAsia" w:ascii="Times New Roman" w:hAnsi="Times New Roman" w:cs="Times New Roman"/>
                      <w:color w:val="auto"/>
                      <w:lang w:eastAsia="zh-CN"/>
                    </w:rPr>
                    <w:t>Ⅲ</w:t>
                  </w:r>
                  <w:r>
                    <w:rPr>
                      <w:rFonts w:hint="eastAsia" w:ascii="Times New Roman" w:hAnsi="Times New Roman" w:cs="Times New Roman"/>
                      <w:color w:val="auto"/>
                    </w:rPr>
                    <w:t>类，其余监测点均值Ⅳ类；受污染地表水体得到有效治理，饮用水安全保障水平持续提升，地下水超采得到严格控制，地下水水质保持稳定。全州环境空气质量有所提升，SO</w:t>
                  </w:r>
                  <w:r>
                    <w:rPr>
                      <w:rFonts w:hint="eastAsia" w:ascii="Times New Roman" w:hAnsi="Times New Roman" w:cs="Times New Roman"/>
                      <w:color w:val="auto"/>
                      <w:vertAlign w:val="subscript"/>
                    </w:rPr>
                    <w:t>2</w:t>
                  </w:r>
                  <w:r>
                    <w:rPr>
                      <w:rFonts w:hint="eastAsia" w:ascii="Times New Roman" w:hAnsi="Times New Roman" w:cs="Times New Roman"/>
                      <w:color w:val="auto"/>
                    </w:rPr>
                    <w:t>、NO</w:t>
                  </w:r>
                  <w:r>
                    <w:rPr>
                      <w:rFonts w:hint="eastAsia" w:ascii="Times New Roman" w:hAnsi="Times New Roman" w:cs="Times New Roman"/>
                      <w:color w:val="auto"/>
                      <w:vertAlign w:val="subscript"/>
                    </w:rPr>
                    <w:t>2</w:t>
                  </w:r>
                  <w:r>
                    <w:rPr>
                      <w:rFonts w:hint="eastAsia" w:ascii="Times New Roman" w:hAnsi="Times New Roman" w:cs="Times New Roman"/>
                      <w:color w:val="auto"/>
                    </w:rPr>
                    <w:t>浓度长期维持在较低水平，达到环境空气质量一级标准；逐步减少颗粒物排放，PM</w:t>
                  </w:r>
                  <w:r>
                    <w:rPr>
                      <w:rFonts w:hint="eastAsia" w:ascii="Times New Roman" w:hAnsi="Times New Roman" w:cs="Times New Roman"/>
                      <w:color w:val="auto"/>
                      <w:vertAlign w:val="subscript"/>
                    </w:rPr>
                    <w:t>10</w:t>
                  </w:r>
                  <w:r>
                    <w:rPr>
                      <w:rFonts w:hint="eastAsia" w:ascii="Times New Roman" w:hAnsi="Times New Roman" w:cs="Times New Roman"/>
                      <w:color w:val="auto"/>
                    </w:rPr>
                    <w:t>、PM</w:t>
                  </w:r>
                  <w:r>
                    <w:rPr>
                      <w:rFonts w:hint="eastAsia" w:ascii="Times New Roman" w:hAnsi="Times New Roman" w:cs="Times New Roman"/>
                      <w:color w:val="auto"/>
                      <w:vertAlign w:val="subscript"/>
                    </w:rPr>
                    <w:t>2.5</w:t>
                  </w:r>
                  <w:r>
                    <w:rPr>
                      <w:rFonts w:hint="eastAsia" w:ascii="Times New Roman" w:hAnsi="Times New Roman" w:cs="Times New Roman"/>
                      <w:color w:val="auto"/>
                    </w:rPr>
                    <w:t>平均浓度分别低于81</w:t>
                  </w:r>
                  <w:r>
                    <w:rPr>
                      <w:rFonts w:hint="default" w:ascii="Times New Roman" w:hAnsi="Times New Roman" w:cs="Times New Roman"/>
                      <w:color w:val="auto"/>
                    </w:rPr>
                    <w:t>μ</w:t>
                  </w:r>
                  <w:r>
                    <w:rPr>
                      <w:rFonts w:hint="eastAsia" w:ascii="Times New Roman" w:hAnsi="Times New Roman" w:cs="Times New Roman"/>
                      <w:color w:val="auto"/>
                    </w:rPr>
                    <w:t>g/m</w:t>
                  </w:r>
                  <w:r>
                    <w:rPr>
                      <w:rFonts w:hint="eastAsia" w:ascii="Times New Roman" w:hAnsi="Times New Roman" w:cs="Times New Roman"/>
                      <w:color w:val="auto"/>
                      <w:vertAlign w:val="superscript"/>
                    </w:rPr>
                    <w:t>3</w:t>
                  </w:r>
                  <w:r>
                    <w:rPr>
                      <w:rFonts w:hint="eastAsia" w:ascii="Times New Roman" w:hAnsi="Times New Roman" w:cs="Times New Roman"/>
                      <w:color w:val="auto"/>
                    </w:rPr>
                    <w:t>、31.5</w:t>
                  </w:r>
                  <w:r>
                    <w:rPr>
                      <w:rFonts w:hint="default" w:ascii="Times New Roman" w:hAnsi="Times New Roman" w:cs="Times New Roman"/>
                      <w:color w:val="auto"/>
                    </w:rPr>
                    <w:t>μ</w:t>
                  </w:r>
                  <w:r>
                    <w:rPr>
                      <w:rFonts w:hint="eastAsia" w:ascii="Times New Roman" w:hAnsi="Times New Roman" w:cs="Times New Roman"/>
                      <w:color w:val="auto"/>
                    </w:rPr>
                    <w:t>g/m</w:t>
                  </w:r>
                  <w:r>
                    <w:rPr>
                      <w:rFonts w:hint="eastAsia" w:ascii="Times New Roman" w:hAnsi="Times New Roman" w:cs="Times New Roman"/>
                      <w:color w:val="auto"/>
                      <w:vertAlign w:val="superscript"/>
                    </w:rPr>
                    <w:t>3</w:t>
                  </w:r>
                  <w:r>
                    <w:rPr>
                      <w:rFonts w:hint="eastAsia" w:ascii="Times New Roman" w:hAnsi="Times New Roman" w:cs="Times New Roman"/>
                      <w:color w:val="auto"/>
                      <w:lang w:eastAsia="zh-CN"/>
                    </w:rPr>
                    <w:t>（</w:t>
                  </w:r>
                  <w:r>
                    <w:rPr>
                      <w:rFonts w:hint="eastAsia" w:ascii="Times New Roman" w:hAnsi="Times New Roman" w:cs="Times New Roman"/>
                      <w:color w:val="auto"/>
                    </w:rPr>
                    <w:t>库尔勒市，扣除沙尘天气影响</w:t>
                  </w:r>
                  <w:r>
                    <w:rPr>
                      <w:rFonts w:hint="eastAsia" w:ascii="Times New Roman" w:hAnsi="Times New Roman" w:cs="Times New Roman"/>
                      <w:color w:val="auto"/>
                      <w:lang w:eastAsia="zh-CN"/>
                    </w:rPr>
                    <w:t>）</w:t>
                  </w:r>
                  <w:r>
                    <w:rPr>
                      <w:rFonts w:hint="eastAsia" w:ascii="Times New Roman" w:hAnsi="Times New Roman" w:cs="Times New Roman"/>
                      <w:color w:val="auto"/>
                    </w:rPr>
                    <w:t>，空气优良天数比例大于75.2%</w:t>
                  </w:r>
                  <w:r>
                    <w:rPr>
                      <w:rFonts w:hint="eastAsia" w:ascii="Times New Roman" w:hAnsi="Times New Roman" w:cs="Times New Roman"/>
                      <w:color w:val="auto"/>
                      <w:lang w:eastAsia="zh-CN"/>
                    </w:rPr>
                    <w:t>（</w:t>
                  </w:r>
                  <w:r>
                    <w:rPr>
                      <w:rFonts w:hint="eastAsia" w:ascii="Times New Roman" w:hAnsi="Times New Roman" w:cs="Times New Roman"/>
                      <w:color w:val="auto"/>
                    </w:rPr>
                    <w:t>库尔勒市</w:t>
                  </w:r>
                  <w:r>
                    <w:rPr>
                      <w:rFonts w:hint="eastAsia" w:ascii="Times New Roman" w:hAnsi="Times New Roman" w:cs="Times New Roman"/>
                      <w:color w:val="auto"/>
                      <w:lang w:eastAsia="zh-CN"/>
                    </w:rPr>
                    <w:t>）</w:t>
                  </w:r>
                  <w:r>
                    <w:rPr>
                      <w:rFonts w:hint="eastAsia" w:ascii="Times New Roman" w:hAnsi="Times New Roman" w:cs="Times New Roman"/>
                      <w:color w:val="auto"/>
                    </w:rPr>
                    <w:t>，重污染天数持续减少，沙尘影响严重地区做好防风固沙、生态环境保护修复等工作；全州土壤环境质量保持稳定，受污染耕地安全利用率达到98%以上，污染地块安全利用率不低于93%，土壤环境风险得到进一步管控。</w:t>
                  </w:r>
                </w:p>
              </w:tc>
              <w:tc>
                <w:tcPr>
                  <w:tcW w:w="1617"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项目区属于环境空气质量不达标区，地表水、声环境质量良好；对于环境空气质量不达标区域需提交《大气环境不达标区域削减方案》，根据生态环境部办公厅出具的《关于将巴音郭楞蒙古自治州 吐鲁番市 哈密市纳入</w:t>
                  </w:r>
                  <w:r>
                    <w:rPr>
                      <w:rFonts w:hint="eastAsia" w:ascii="Times New Roman" w:hAnsi="Times New Roman" w:cs="Times New Roman"/>
                      <w:color w:val="auto"/>
                      <w:lang w:eastAsia="zh-CN"/>
                    </w:rPr>
                    <w:t>〈</w:t>
                  </w:r>
                  <w:r>
                    <w:rPr>
                      <w:rFonts w:hint="default" w:ascii="Times New Roman" w:hAnsi="Times New Roman" w:cs="Times New Roman"/>
                      <w:color w:val="auto"/>
                    </w:rPr>
                    <w:t>环境影响评价技术导则大气环境</w:t>
                  </w:r>
                  <w:r>
                    <w:rPr>
                      <w:rFonts w:hint="eastAsia" w:ascii="Times New Roman" w:hAnsi="Times New Roman" w:cs="Times New Roman"/>
                      <w:color w:val="auto"/>
                      <w:lang w:eastAsia="zh-CN"/>
                    </w:rPr>
                    <w:t>（</w:t>
                  </w:r>
                  <w:r>
                    <w:rPr>
                      <w:rFonts w:hint="default" w:ascii="Times New Roman" w:hAnsi="Times New Roman" w:cs="Times New Roman"/>
                      <w:color w:val="auto"/>
                    </w:rPr>
                    <w:t>HJ2.2-2018</w:t>
                  </w:r>
                  <w:r>
                    <w:rPr>
                      <w:rFonts w:hint="eastAsia" w:ascii="Times New Roman" w:hAnsi="Times New Roman" w:cs="Times New Roman"/>
                      <w:color w:val="auto"/>
                      <w:lang w:eastAsia="zh-CN"/>
                    </w:rPr>
                    <w:t>）〉</w:t>
                  </w:r>
                  <w:r>
                    <w:rPr>
                      <w:rFonts w:hint="default" w:ascii="Times New Roman" w:hAnsi="Times New Roman" w:cs="Times New Roman"/>
                      <w:color w:val="auto"/>
                    </w:rPr>
                    <w:t>差别化政策范围的复函》</w:t>
                  </w:r>
                  <w:r>
                    <w:rPr>
                      <w:rFonts w:hint="eastAsia" w:ascii="Times New Roman" w:hAnsi="Times New Roman" w:cs="Times New Roman"/>
                      <w:color w:val="auto"/>
                      <w:lang w:eastAsia="zh-CN"/>
                    </w:rPr>
                    <w:t>（</w:t>
                  </w:r>
                  <w:r>
                    <w:rPr>
                      <w:rFonts w:hint="default" w:ascii="Times New Roman" w:hAnsi="Times New Roman" w:cs="Times New Roman"/>
                      <w:color w:val="auto"/>
                    </w:rPr>
                    <w:t>环办环评函</w:t>
                  </w:r>
                  <w:r>
                    <w:rPr>
                      <w:rFonts w:hint="eastAsia" w:ascii="宋体" w:hAnsi="宋体" w:eastAsia="宋体" w:cs="宋体"/>
                      <w:color w:val="auto"/>
                    </w:rPr>
                    <w:t>〔</w:t>
                  </w:r>
                  <w:r>
                    <w:rPr>
                      <w:rFonts w:hint="default" w:ascii="Times New Roman" w:hAnsi="Times New Roman" w:cs="Times New Roman"/>
                      <w:color w:val="auto"/>
                    </w:rPr>
                    <w:t>2020</w:t>
                  </w:r>
                  <w:r>
                    <w:rPr>
                      <w:rFonts w:hint="eastAsia" w:ascii="宋体" w:hAnsi="宋体" w:eastAsia="宋体" w:cs="宋体"/>
                      <w:color w:val="auto"/>
                    </w:rPr>
                    <w:t>〕</w:t>
                  </w:r>
                  <w:r>
                    <w:rPr>
                      <w:rFonts w:hint="default" w:ascii="Times New Roman" w:hAnsi="Times New Roman" w:cs="Times New Roman"/>
                      <w:color w:val="auto"/>
                    </w:rPr>
                    <w:t>341号</w:t>
                  </w:r>
                  <w:r>
                    <w:rPr>
                      <w:rFonts w:hint="eastAsia" w:ascii="Times New Roman" w:hAnsi="Times New Roman" w:cs="Times New Roman"/>
                      <w:color w:val="auto"/>
                      <w:lang w:eastAsia="zh-CN"/>
                    </w:rPr>
                    <w:t>）</w:t>
                  </w:r>
                  <w:r>
                    <w:rPr>
                      <w:rFonts w:hint="default" w:ascii="Times New Roman" w:hAnsi="Times New Roman" w:cs="Times New Roman"/>
                      <w:color w:val="auto"/>
                    </w:rPr>
                    <w:t>，同意对巴音郭楞蒙古自治州实施环境影响评价差别化政策，新建项目可不提供颗粒物区域削减方案。</w:t>
                  </w:r>
                </w:p>
              </w:tc>
              <w:tc>
                <w:tcPr>
                  <w:tcW w:w="370"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814" w:type="pct"/>
                  <w:gridSpan w:val="5"/>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资源利用上线</w:t>
                  </w:r>
                </w:p>
              </w:tc>
              <w:tc>
                <w:tcPr>
                  <w:tcW w:w="2196"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强化节约集约利用，持续提升资源能源利用效率，水资源、土地资源、能源消耗等达到国家、自治区下达的总量和强度控制目标。加快低碳发展，提升碳汇能力，做好碳达峰和碳中和工作。</w:t>
                  </w:r>
                </w:p>
              </w:tc>
              <w:tc>
                <w:tcPr>
                  <w:tcW w:w="1617"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本项目为固体矿产地质</w:t>
                  </w:r>
                  <w:r>
                    <w:rPr>
                      <w:rFonts w:hint="eastAsia"/>
                      <w:color w:val="auto"/>
                      <w:lang w:val="en-US" w:eastAsia="zh-CN"/>
                    </w:rPr>
                    <w:t>勘查</w:t>
                  </w:r>
                  <w:r>
                    <w:rPr>
                      <w:rFonts w:hint="eastAsia" w:ascii="Times New Roman" w:hAnsi="Times New Roman" w:cs="Times New Roman"/>
                      <w:color w:val="auto"/>
                    </w:rPr>
                    <w:t>，消耗水资源、土地资源、能源很小，且</w:t>
                  </w:r>
                  <w:r>
                    <w:rPr>
                      <w:rFonts w:hint="eastAsia" w:cs="Times New Roman"/>
                      <w:color w:val="auto"/>
                      <w:lang w:val="en-US" w:eastAsia="zh-CN"/>
                    </w:rPr>
                    <w:t>勘查</w:t>
                  </w:r>
                  <w:r>
                    <w:rPr>
                      <w:rFonts w:hint="eastAsia" w:ascii="Times New Roman" w:hAnsi="Times New Roman" w:cs="Times New Roman"/>
                      <w:color w:val="auto"/>
                    </w:rPr>
                    <w:t>期较短。</w:t>
                  </w:r>
                  <w:r>
                    <w:rPr>
                      <w:rFonts w:hint="default" w:ascii="Times New Roman" w:hAnsi="Times New Roman" w:cs="Times New Roman"/>
                      <w:color w:val="auto"/>
                    </w:rPr>
                    <w:t>项目不属于</w:t>
                  </w:r>
                  <w:r>
                    <w:rPr>
                      <w:rFonts w:hint="eastAsia" w:ascii="Times New Roman" w:hAnsi="Times New Roman" w:cs="Times New Roman"/>
                      <w:color w:val="auto"/>
                      <w:lang w:eastAsia="zh-CN"/>
                    </w:rPr>
                    <w:t>“</w:t>
                  </w:r>
                  <w:r>
                    <w:rPr>
                      <w:rFonts w:hint="default" w:ascii="Times New Roman" w:hAnsi="Times New Roman" w:cs="Times New Roman"/>
                      <w:color w:val="auto"/>
                    </w:rPr>
                    <w:t>三高</w:t>
                  </w:r>
                  <w:r>
                    <w:rPr>
                      <w:rFonts w:hint="eastAsia" w:ascii="Times New Roman" w:hAnsi="Times New Roman" w:cs="Times New Roman"/>
                      <w:color w:val="auto"/>
                      <w:lang w:eastAsia="zh-CN"/>
                    </w:rPr>
                    <w:t>”</w:t>
                  </w:r>
                  <w:r>
                    <w:rPr>
                      <w:rFonts w:hint="default" w:ascii="Times New Roman" w:hAnsi="Times New Roman" w:cs="Times New Roman"/>
                      <w:color w:val="auto"/>
                    </w:rPr>
                    <w:t>项目，不触及资源利用上线。</w:t>
                  </w:r>
                </w:p>
              </w:tc>
              <w:tc>
                <w:tcPr>
                  <w:tcW w:w="370" w:type="pct"/>
                  <w:gridSpan w:val="3"/>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1"/>
                <w:wBefore w:w="1" w:type="pct"/>
                <w:wAfter w:w="11" w:type="pct"/>
                <w:jc w:val="center"/>
              </w:trPr>
              <w:tc>
                <w:tcPr>
                  <w:tcW w:w="812"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管控类型</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管控要求</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本项目</w:t>
                  </w:r>
                </w:p>
              </w:tc>
              <w:tc>
                <w:tcPr>
                  <w:tcW w:w="35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符合性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restar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lang w:val="en-US" w:eastAsia="zh-CN"/>
                    </w:rPr>
                    <w:t>和静</w:t>
                  </w:r>
                  <w:r>
                    <w:rPr>
                      <w:rFonts w:hint="eastAsia" w:ascii="Times New Roman" w:hAnsi="Times New Roman" w:cs="Times New Roman"/>
                      <w:color w:val="auto"/>
                    </w:rPr>
                    <w:t>县一般管控单元ZH65282730001</w:t>
                  </w: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空间布局约束</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2.严格控制林地、草地、园地农药使用量，禁止使用高毒、高残留农药。</w:t>
                  </w:r>
                </w:p>
                <w:p>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5.严控土壤重金属污染，加强油（气）田开发土壤污染防治，以历史遗留工业企业污染场地为重点，开展土壤污染风险管控与修复工程。</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本项目为固体矿产地质</w:t>
                  </w:r>
                  <w:r>
                    <w:rPr>
                      <w:rFonts w:hint="eastAsia"/>
                      <w:color w:val="auto"/>
                      <w:lang w:val="en-US" w:eastAsia="zh-CN"/>
                    </w:rPr>
                    <w:t>勘查</w:t>
                  </w:r>
                  <w:r>
                    <w:rPr>
                      <w:rFonts w:hint="eastAsia" w:ascii="Times New Roman" w:hAnsi="Times New Roman" w:cs="Times New Roman"/>
                      <w:color w:val="auto"/>
                    </w:rPr>
                    <w:t>，</w:t>
                  </w:r>
                  <w:r>
                    <w:rPr>
                      <w:rFonts w:hint="eastAsia" w:ascii="Times New Roman" w:hAnsi="Times New Roman" w:cs="Times New Roman"/>
                      <w:color w:val="auto"/>
                      <w:lang w:val="en-US" w:eastAsia="zh-CN"/>
                    </w:rPr>
                    <w:t>不</w:t>
                  </w:r>
                  <w:r>
                    <w:rPr>
                      <w:rFonts w:hint="eastAsia" w:ascii="Times New Roman" w:hAnsi="Times New Roman" w:cs="Times New Roman"/>
                      <w:color w:val="auto"/>
                    </w:rPr>
                    <w:t>使用高毒、高残留农药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工程仅涉及普通地质勘查，不会对土壤造成污染</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trHeight w:val="90" w:hRule="atLeast"/>
                <w:jc w:val="center"/>
              </w:trPr>
              <w:tc>
                <w:tcPr>
                  <w:tcW w:w="329" w:type="pct"/>
                  <w:vMerge w:val="continue"/>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污染物排放管控</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1.加强对矿山、油田等矿产资源开采影响区域内未利用地的环境监管，发现土壤污染问题的，要坚决查处，并及时督促有关单位采取有效防治措施消除或减轻污染。</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lang w:val="en-US"/>
                    </w:rPr>
                  </w:pPr>
                  <w:r>
                    <w:rPr>
                      <w:rFonts w:hint="eastAsia" w:ascii="Times New Roman" w:hAnsi="Times New Roman" w:cs="Times New Roman"/>
                      <w:color w:val="auto"/>
                    </w:rPr>
                    <w:t>本项目</w:t>
                  </w:r>
                  <w:r>
                    <w:rPr>
                      <w:rFonts w:hint="eastAsia" w:ascii="Times New Roman" w:hAnsi="Times New Roman" w:cs="Times New Roman"/>
                      <w:color w:val="auto"/>
                      <w:lang w:val="en-US" w:eastAsia="zh-CN"/>
                    </w:rPr>
                    <w:t>大气污染物为</w:t>
                  </w:r>
                  <w:r>
                    <w:rPr>
                      <w:rFonts w:hint="eastAsia" w:cs="Times New Roman"/>
                      <w:color w:val="auto"/>
                      <w:lang w:val="en-US" w:eastAsia="zh-CN"/>
                    </w:rPr>
                    <w:t>车辆行驶</w:t>
                  </w:r>
                  <w:r>
                    <w:rPr>
                      <w:rFonts w:hint="eastAsia" w:ascii="Times New Roman" w:hAnsi="Times New Roman" w:cs="Times New Roman"/>
                      <w:color w:val="auto"/>
                      <w:lang w:val="en-US" w:eastAsia="zh-CN"/>
                    </w:rPr>
                    <w:t>产生的少量粉尘，经洒水降尘后对周边环境影响较小；项目</w:t>
                  </w:r>
                  <w:r>
                    <w:rPr>
                      <w:rFonts w:hint="eastAsia"/>
                      <w:color w:val="auto"/>
                      <w:lang w:val="en-US" w:eastAsia="zh-CN"/>
                    </w:rPr>
                    <w:t>勘查</w:t>
                  </w:r>
                  <w:r>
                    <w:rPr>
                      <w:rFonts w:hint="eastAsia" w:ascii="Times New Roman" w:hAnsi="Times New Roman" w:cs="Times New Roman"/>
                      <w:color w:val="auto"/>
                      <w:lang w:val="en-US" w:eastAsia="zh-CN"/>
                    </w:rPr>
                    <w:t>产生的污染物较少，对周边环境影响较小</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环境风险防控</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1.推广渠道防渗、管道输水、喷灌、微灌等节水灌溉技术，完善灌溉用水计量设施。推进规模化高效节水灌溉，推广农作物节水抗旱技术。建立灌区墒情测报网络，提高农业用水效率，降低农业用水比重。</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rPr>
                    <w:t>本项目</w:t>
                  </w:r>
                  <w:r>
                    <w:rPr>
                      <w:rFonts w:hint="default" w:ascii="Times New Roman" w:hAnsi="Times New Roman" w:cs="Times New Roman"/>
                      <w:color w:val="auto"/>
                      <w:lang w:val="en-US" w:eastAsia="zh-CN"/>
                    </w:rPr>
                    <w:t>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r>
                    <w:rPr>
                      <w:rFonts w:hint="eastAsia" w:ascii="Times New Roman" w:hAnsi="Times New Roman" w:cs="Times New Roman"/>
                      <w:color w:val="auto"/>
                    </w:rPr>
                    <w:t>。</w:t>
                  </w:r>
                  <w:r>
                    <w:rPr>
                      <w:rFonts w:hint="eastAsia" w:ascii="Times New Roman" w:hAnsi="Times New Roman" w:cs="Times New Roman"/>
                      <w:color w:val="auto"/>
                      <w:lang w:val="en-US" w:eastAsia="zh-CN"/>
                    </w:rPr>
                    <w:t>无生产废水产生</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资源利用效率</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2.严格控制林地、草地、园地农药使用量，禁止使用高毒、高残留农药。</w:t>
                  </w:r>
                </w:p>
                <w:p>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4.严控土壤重金属污染，加强油（气）田开发土壤污染防治，以历史遗留工业企业污染场地为重点，开展土壤污染风险管控与修复工程。</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本项目为固体矿产地质</w:t>
                  </w:r>
                  <w:r>
                    <w:rPr>
                      <w:rFonts w:hint="eastAsia"/>
                      <w:color w:val="auto"/>
                      <w:lang w:val="en-US" w:eastAsia="zh-CN"/>
                    </w:rPr>
                    <w:t>勘查</w:t>
                  </w:r>
                  <w:r>
                    <w:rPr>
                      <w:rFonts w:hint="eastAsia" w:ascii="Times New Roman" w:hAnsi="Times New Roman" w:cs="Times New Roman"/>
                      <w:color w:val="auto"/>
                    </w:rPr>
                    <w:t>，</w:t>
                  </w:r>
                  <w:r>
                    <w:rPr>
                      <w:rFonts w:hint="eastAsia" w:ascii="Times New Roman" w:hAnsi="Times New Roman" w:cs="Times New Roman"/>
                      <w:color w:val="auto"/>
                      <w:lang w:val="en-US" w:eastAsia="zh-CN"/>
                    </w:rPr>
                    <w:t>不</w:t>
                  </w:r>
                  <w:r>
                    <w:rPr>
                      <w:rFonts w:hint="eastAsia" w:ascii="Times New Roman" w:hAnsi="Times New Roman" w:cs="Times New Roman"/>
                      <w:color w:val="auto"/>
                    </w:rPr>
                    <w:t>使用高毒、高残留农药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工程仅涉及普通地质勘查，不会对土壤造成污染</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restar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lang w:val="en-US" w:eastAsia="zh-CN"/>
                    </w:rPr>
                    <w:t>和静县大气弱扩散区ZH65282720002</w:t>
                  </w: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空间布局</w:t>
                  </w:r>
                </w:p>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约束</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严格建设项目节能环保准入，涉及大气污染物排放的，执行国家大气污染物排放限值，待地方大气污染物排放标准出台后一并执行。</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本项目大气污染物为</w:t>
                  </w:r>
                  <w:r>
                    <w:rPr>
                      <w:rFonts w:hint="eastAsia" w:cs="Times New Roman"/>
                      <w:color w:val="auto"/>
                      <w:lang w:val="en-US" w:eastAsia="zh-CN"/>
                    </w:rPr>
                    <w:t>车辆行驶</w:t>
                  </w:r>
                  <w:r>
                    <w:rPr>
                      <w:rFonts w:hint="eastAsia" w:ascii="Times New Roman" w:hAnsi="Times New Roman" w:cs="Times New Roman"/>
                      <w:color w:val="auto"/>
                      <w:lang w:val="en-US" w:eastAsia="zh-CN"/>
                    </w:rPr>
                    <w:t>产生的少量粉尘，经洒水降尘后对周边环境影响较小，严格执行《大气污染物综合排放标准》（GB16297-1996）</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污染物排</w:t>
                  </w:r>
                </w:p>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放管控</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执行环境空气质量二级标准。</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本项目环境空气质量执行</w:t>
                  </w:r>
                  <w:r>
                    <w:rPr>
                      <w:rFonts w:hint="eastAsia" w:ascii="Times New Roman" w:hAnsi="Times New Roman" w:cs="Times New Roman"/>
                      <w:color w:val="auto"/>
                    </w:rPr>
                    <w:t>环境空气质量二级标准</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环境风险</w:t>
                  </w:r>
                </w:p>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防控</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1.生态环境主管部门应当会同气象部门建立重污染天气监测预警、会商和信息通报等机制，进行大气环境质量预报。</w:t>
                  </w:r>
                </w:p>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2.政府应当根据重污染天气的预警等级，及时启动重污染天气应急预案，并采取与预警等级对应的响应措施，相关单位和个人应当配合。</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本项目在重污染的天气下应当及时停工，防止造成污染扩大</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资源利用</w:t>
                  </w:r>
                </w:p>
                <w:p>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效率</w:t>
                  </w:r>
                </w:p>
              </w:tc>
              <w:tc>
                <w:tcPr>
                  <w:tcW w:w="2196"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在集中供热未覆盖的区域，鼓励使用清洁能源替代，推广使用高效节能环保型锅炉。</w:t>
                  </w:r>
                </w:p>
              </w:tc>
              <w:tc>
                <w:tcPr>
                  <w:tcW w:w="1618" w:type="pct"/>
                  <w:gridSpan w:val="3"/>
                  <w:tcBorders>
                    <w:tl2br w:val="nil"/>
                    <w:tr2bl w:val="nil"/>
                  </w:tcBorders>
                  <w:noWrap w:val="0"/>
                  <w:vAlign w:val="center"/>
                </w:tcPr>
                <w:p>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本项目无需供热，不使用锅炉</w:t>
                  </w:r>
                </w:p>
              </w:tc>
              <w:tc>
                <w:tcPr>
                  <w:tcW w:w="357" w:type="pct"/>
                  <w:gridSpan w:val="3"/>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bl>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2</w:t>
            </w:r>
            <w:r>
              <w:rPr>
                <w:rFonts w:hint="eastAsia"/>
                <w:color w:val="auto"/>
              </w:rPr>
              <w:t>.</w:t>
            </w:r>
            <w:r>
              <w:rPr>
                <w:rFonts w:hint="eastAsia"/>
                <w:color w:val="auto"/>
                <w:lang w:val="en-US" w:eastAsia="zh-CN"/>
              </w:rPr>
              <w:t>3</w:t>
            </w:r>
            <w:r>
              <w:rPr>
                <w:rFonts w:hint="eastAsia"/>
                <w:color w:val="auto"/>
              </w:rPr>
              <w:t>与环境管理政策分析的符合性分析</w:t>
            </w:r>
          </w:p>
          <w:p>
            <w:pPr>
              <w:pStyle w:val="66"/>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表</w:t>
            </w:r>
            <w:r>
              <w:rPr>
                <w:rFonts w:hint="eastAsia" w:cs="Times New Roman"/>
                <w:color w:val="auto"/>
                <w:lang w:val="en-US" w:eastAsia="zh-CN"/>
              </w:rPr>
              <w:t>1-4</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环境管理政策符合性分析</w:t>
            </w:r>
          </w:p>
          <w:tbl>
            <w:tblPr>
              <w:tblStyle w:val="2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3167"/>
              <w:gridCol w:w="2297"/>
              <w:gridCol w:w="9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规划</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规划要求</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本项目情况</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《新疆维吾尔自治区国民经济和社会发展第十五个五年规划纲要》（2026年1月31日新疆维吾尔自治区第十四届人民代表大会第四次会议通过）</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按照“深化北疆东疆，加快南疆勘查”的总体思路，开展重点成矿区带地质调查和矿产勘查，做好矿产资源开发利用储备。贯彻新发展理念，建设绿色矿山，实现可持续发展。</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eastAsia="宋体" w:cs="Times New Roman"/>
                      <w:color w:val="auto"/>
                      <w:sz w:val="21"/>
                      <w:szCs w:val="22"/>
                      <w:lang w:eastAsia="zh-CN"/>
                    </w:rPr>
                    <w:t>本项目为固体矿产地质勘查，</w:t>
                  </w:r>
                  <w:r>
                    <w:rPr>
                      <w:rFonts w:hint="eastAsia" w:ascii="Times New Roman" w:hAnsi="Times New Roman" w:eastAsia="宋体" w:cs="Times New Roman"/>
                      <w:color w:val="auto"/>
                      <w:sz w:val="21"/>
                      <w:szCs w:val="22"/>
                      <w:lang w:val="en-US" w:eastAsia="zh-CN"/>
                    </w:rPr>
                    <w:t>推动</w:t>
                  </w:r>
                  <w:r>
                    <w:rPr>
                      <w:rFonts w:hint="eastAsia" w:ascii="Times New Roman" w:hAnsi="Times New Roman" w:cs="Times New Roman"/>
                      <w:color w:val="auto"/>
                      <w:sz w:val="21"/>
                      <w:szCs w:val="22"/>
                    </w:rPr>
                    <w:t>矿产资源开发利用</w:t>
                  </w:r>
                  <w:r>
                    <w:rPr>
                      <w:rFonts w:hint="eastAsia" w:ascii="Times New Roman" w:hAnsi="Times New Roman" w:cs="Times New Roman"/>
                      <w:color w:val="auto"/>
                      <w:sz w:val="21"/>
                      <w:szCs w:val="22"/>
                      <w:lang w:eastAsia="zh-CN"/>
                    </w:rPr>
                    <w:t>，</w:t>
                  </w:r>
                  <w:r>
                    <w:rPr>
                      <w:rFonts w:hint="eastAsia" w:ascii="Times New Roman" w:hAnsi="Times New Roman" w:eastAsia="宋体" w:cs="Times New Roman"/>
                      <w:color w:val="auto"/>
                      <w:sz w:val="21"/>
                      <w:szCs w:val="22"/>
                      <w:lang w:eastAsia="zh-CN"/>
                    </w:rPr>
                    <w:t>在严格落实各项污染防治措施的前提下，项目建设对环境影响较小</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巴音郭楞蒙古自治州国民经济和社会发展第十四个五年规划和二〇三五年远景目标纲要</w:t>
                  </w:r>
                  <w:r>
                    <w:rPr>
                      <w:rFonts w:hint="eastAsia" w:ascii="Times New Roman" w:hAnsi="Times New Roman" w:cs="Times New Roman"/>
                      <w:color w:val="auto"/>
                      <w:sz w:val="21"/>
                      <w:szCs w:val="22"/>
                      <w:lang w:eastAsia="zh-CN"/>
                    </w:rPr>
                    <w:t>》（2021年2月</w:t>
                  </w:r>
                  <w:r>
                    <w:rPr>
                      <w:rFonts w:hint="eastAsia" w:ascii="Times New Roman" w:hAnsi="Times New Roman" w:cs="Times New Roman"/>
                      <w:color w:val="auto"/>
                      <w:sz w:val="21"/>
                      <w:szCs w:val="22"/>
                      <w:lang w:val="en-US" w:eastAsia="zh-CN"/>
                    </w:rPr>
                    <w:t>22</w:t>
                  </w:r>
                  <w:r>
                    <w:rPr>
                      <w:rFonts w:hint="eastAsia" w:ascii="Times New Roman" w:hAnsi="Times New Roman" w:cs="Times New Roman"/>
                      <w:color w:val="auto"/>
                      <w:sz w:val="21"/>
                      <w:szCs w:val="22"/>
                      <w:lang w:eastAsia="zh-CN"/>
                    </w:rPr>
                    <w:t>日）</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加强矿产资源循环利用，大力推进绿色矿山和绿色矿区发展示范区建设</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推动绿色矿山建设，加大矿山开采修复治理，实现“边开采、边治理”加强防风固沙绿化工程建设，加强扬尘、露天矿山综合治理</w:t>
                  </w:r>
                  <w:r>
                    <w:rPr>
                      <w:rFonts w:hint="eastAsia" w:ascii="Times New Roman" w:hAnsi="Times New Roman" w:cs="Times New Roman"/>
                      <w:color w:val="auto"/>
                      <w:sz w:val="21"/>
                      <w:szCs w:val="22"/>
                      <w:lang w:eastAsia="zh-CN"/>
                    </w:rPr>
                    <w:t>。</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eastAsia="宋体" w:cs="Times New Roman"/>
                      <w:color w:val="auto"/>
                      <w:sz w:val="21"/>
                      <w:szCs w:val="22"/>
                      <w:lang w:eastAsia="zh-CN"/>
                    </w:rPr>
                    <w:t>本项目为固体矿产地质勘查，</w:t>
                  </w:r>
                  <w:r>
                    <w:rPr>
                      <w:rFonts w:hint="eastAsia" w:ascii="Times New Roman" w:hAnsi="Times New Roman" w:eastAsia="宋体" w:cs="Times New Roman"/>
                      <w:color w:val="auto"/>
                      <w:sz w:val="21"/>
                      <w:szCs w:val="22"/>
                      <w:lang w:val="en-US" w:eastAsia="zh-CN"/>
                    </w:rPr>
                    <w:t>推动</w:t>
                  </w:r>
                  <w:r>
                    <w:rPr>
                      <w:rFonts w:hint="eastAsia" w:ascii="Times New Roman" w:hAnsi="Times New Roman" w:cs="Times New Roman"/>
                      <w:color w:val="auto"/>
                      <w:sz w:val="21"/>
                      <w:szCs w:val="22"/>
                    </w:rPr>
                    <w:t>矿产资源开发利用</w:t>
                  </w:r>
                  <w:r>
                    <w:rPr>
                      <w:rFonts w:hint="eastAsia" w:ascii="Times New Roman" w:hAnsi="Times New Roman" w:cs="Times New Roman"/>
                      <w:color w:val="auto"/>
                      <w:sz w:val="21"/>
                      <w:szCs w:val="22"/>
                      <w:lang w:eastAsia="zh-CN"/>
                    </w:rPr>
                    <w:t>，采取洒水降尘措施后能减少粉尘的排放；生活污水进入一体化处理设施，处理后用于草地灌溉；</w:t>
                  </w:r>
                  <w:r>
                    <w:rPr>
                      <w:rFonts w:hint="eastAsia" w:ascii="Times New Roman" w:hAnsi="Times New Roman" w:cs="Times New Roman"/>
                      <w:color w:val="auto"/>
                      <w:sz w:val="21"/>
                      <w:szCs w:val="22"/>
                      <w:lang w:val="en-US" w:eastAsia="zh-CN"/>
                    </w:rPr>
                    <w:t>无生产废水产生</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采取措施后</w:t>
                  </w:r>
                  <w:r>
                    <w:rPr>
                      <w:rFonts w:hint="eastAsia" w:ascii="Times New Roman" w:hAnsi="Times New Roman" w:eastAsia="宋体" w:cs="Times New Roman"/>
                      <w:color w:val="auto"/>
                      <w:sz w:val="21"/>
                      <w:szCs w:val="22"/>
                      <w:lang w:eastAsia="zh-CN"/>
                    </w:rPr>
                    <w:t>项目建设对环境影响较小</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highlight w:val="none"/>
                      <w:lang w:eastAsia="zh-CN"/>
                    </w:rPr>
                  </w:pPr>
                  <w:r>
                    <w:rPr>
                      <w:rFonts w:hint="eastAsia" w:ascii="Times New Roman" w:hAnsi="Times New Roman" w:cs="Times New Roman"/>
                      <w:color w:val="auto"/>
                      <w:sz w:val="21"/>
                      <w:szCs w:val="22"/>
                      <w:highlight w:val="none"/>
                      <w:lang w:val="en-US" w:eastAsia="zh-CN"/>
                    </w:rPr>
                    <w:t>《和静</w:t>
                  </w:r>
                  <w:r>
                    <w:rPr>
                      <w:rFonts w:hint="eastAsia" w:ascii="Times New Roman" w:hAnsi="Times New Roman" w:cs="Times New Roman"/>
                      <w:color w:val="auto"/>
                      <w:sz w:val="21"/>
                      <w:szCs w:val="22"/>
                      <w:highlight w:val="none"/>
                    </w:rPr>
                    <w:t>县国民经济和社会发展第十四个五年规划和</w:t>
                  </w:r>
                  <w:r>
                    <w:rPr>
                      <w:rFonts w:hint="default" w:ascii="Times New Roman" w:hAnsi="Times New Roman" w:cs="Times New Roman"/>
                      <w:color w:val="auto"/>
                      <w:sz w:val="21"/>
                      <w:szCs w:val="22"/>
                      <w:highlight w:val="none"/>
                    </w:rPr>
                    <w:t>2035</w:t>
                  </w:r>
                  <w:r>
                    <w:rPr>
                      <w:rFonts w:hint="eastAsia" w:ascii="Times New Roman" w:hAnsi="Times New Roman" w:cs="Times New Roman"/>
                      <w:color w:val="auto"/>
                      <w:sz w:val="21"/>
                      <w:szCs w:val="22"/>
                      <w:highlight w:val="none"/>
                    </w:rPr>
                    <w:t>年远景目标</w:t>
                  </w:r>
                  <w:r>
                    <w:rPr>
                      <w:rFonts w:hint="eastAsia" w:ascii="Times New Roman" w:hAnsi="Times New Roman" w:cs="Times New Roman"/>
                      <w:color w:val="auto"/>
                      <w:sz w:val="21"/>
                      <w:szCs w:val="22"/>
                      <w:highlight w:val="none"/>
                      <w:lang w:eastAsia="zh-CN"/>
                    </w:rPr>
                    <w:t>》</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highlight w:val="none"/>
                    </w:rPr>
                  </w:pPr>
                  <w:r>
                    <w:rPr>
                      <w:rFonts w:hint="eastAsia" w:ascii="Times New Roman" w:hAnsi="Times New Roman" w:cs="Times New Roman"/>
                      <w:color w:val="auto"/>
                      <w:sz w:val="21"/>
                      <w:szCs w:val="22"/>
                      <w:highlight w:val="none"/>
                    </w:rPr>
                    <w:t>加大优势矿产资源勘探开发力度。充分发挥矿产资源富集优势，提升优势矿产资源绿色勘探开发水平，加大整装勘查力度，继续加快西天山阿吾拉勒国家级整装勘查区、艾尔宾山北缘铜铅锌多金属勘查区的勘探开发步伐，以铁、菱镁、铅、锌、金等有色金属和石灰岩等非金属为重点，全力推进矿山二期项目，启动察汗乌苏铁矿建设，加快哈勒哈特菱镁矿开发综合应用项目建设，积极引进先进生产技术，不断延伸矿产资源深加工产品附加值，力争“十四五”末形成千万吨铁精粉产能，建成全国重要、新疆最大的铁精粉生产基地。积极推进绿色矿山建设，促进矿产资源高效利用，提高矿产资源开采回采率、选矿回收率和综合利用率。</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highlight w:val="none"/>
                      <w:lang w:eastAsia="zh-CN"/>
                    </w:rPr>
                  </w:pPr>
                  <w:r>
                    <w:rPr>
                      <w:rFonts w:hint="eastAsia" w:ascii="Times New Roman" w:hAnsi="Times New Roman" w:eastAsia="宋体" w:cs="Times New Roman"/>
                      <w:color w:val="auto"/>
                      <w:sz w:val="21"/>
                      <w:szCs w:val="22"/>
                      <w:highlight w:val="none"/>
                      <w:lang w:eastAsia="zh-CN"/>
                    </w:rPr>
                    <w:t>本项目主要为固体矿产地质勘查</w:t>
                  </w:r>
                  <w:r>
                    <w:rPr>
                      <w:rFonts w:hint="eastAsia" w:ascii="Times New Roman" w:hAnsi="Times New Roman" w:eastAsia="宋体" w:cs="Times New Roman"/>
                      <w:color w:val="auto"/>
                      <w:sz w:val="21"/>
                      <w:szCs w:val="22"/>
                      <w:highlight w:val="none"/>
                      <w:lang w:val="en-US" w:eastAsia="zh-CN"/>
                    </w:rPr>
                    <w:t>中的铜金矿地质勘查</w:t>
                  </w:r>
                  <w:r>
                    <w:rPr>
                      <w:rFonts w:hint="eastAsia" w:ascii="Times New Roman" w:hAnsi="Times New Roman" w:eastAsia="宋体" w:cs="Times New Roman"/>
                      <w:color w:val="auto"/>
                      <w:sz w:val="21"/>
                      <w:szCs w:val="22"/>
                      <w:highlight w:val="none"/>
                      <w:lang w:eastAsia="zh-CN"/>
                    </w:rPr>
                    <w:t>，位于规划的“两环八带十个勘查开发区”中西天山能源矿产、黑色及贵金属勘查开发区，属于重点勘查矿种，促进矿产资源高效利用</w:t>
                  </w:r>
                  <w:r>
                    <w:rPr>
                      <w:rFonts w:hint="eastAsia" w:ascii="Times New Roman" w:hAnsi="Times New Roman" w:eastAsia="宋体" w:cs="Times New Roman"/>
                      <w:color w:val="auto"/>
                      <w:sz w:val="21"/>
                      <w:szCs w:val="22"/>
                      <w:highlight w:val="none"/>
                      <w:lang w:val="en-US" w:eastAsia="zh-CN"/>
                    </w:rPr>
                    <w:t>发展</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highlight w:val="none"/>
                    </w:rPr>
                  </w:pPr>
                  <w:r>
                    <w:rPr>
                      <w:rFonts w:hint="eastAsia" w:ascii="Times New Roman" w:hAnsi="Times New Roman" w:cs="Times New Roman"/>
                      <w:color w:val="auto"/>
                      <w:sz w:val="21"/>
                      <w:szCs w:val="22"/>
                      <w:highlight w:val="none"/>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新疆生态环境保护</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十四五</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规划</w:t>
                  </w:r>
                  <w:r>
                    <w:rPr>
                      <w:rFonts w:hint="eastAsia" w:ascii="Times New Roman" w:hAnsi="Times New Roman" w:cs="Times New Roman"/>
                      <w:color w:val="auto"/>
                      <w:sz w:val="21"/>
                      <w:szCs w:val="22"/>
                      <w:lang w:eastAsia="zh-CN"/>
                    </w:rPr>
                    <w:t>》（2021年12月24日）</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坚持高质量发展与严格环境准入标准相结合，坚持淘汰落后与鼓励先进相结合，支持产业发展向产业链中下游、价值链中高端迈进，坚持推进产业结构优化调整。全力推动节能环保产业发展，引导产业向绿色生产、清洁生产、循环生产转变，加快推进产业转型升级</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本项目主要为固体矿产地质勘查，在严格落实各项污染防治措施的前提下，项目建设对环境影响较小</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lang w:eastAsia="zh-CN"/>
                    </w:rPr>
                  </w:pPr>
                  <w:r>
                    <w:rPr>
                      <w:rFonts w:hint="eastAsia" w:ascii="Times New Roman" w:hAnsi="Times New Roman" w:cs="Times New Roman"/>
                      <w:color w:val="auto"/>
                      <w:sz w:val="21"/>
                      <w:szCs w:val="22"/>
                      <w:lang w:eastAsia="zh-CN"/>
                    </w:rPr>
                    <w:t>《巴音郭楞蒙古自治州生态环境“十四五”规划》（2025</w:t>
                  </w:r>
                  <w:r>
                    <w:rPr>
                      <w:rFonts w:hint="eastAsia" w:ascii="Times New Roman" w:hAnsi="Times New Roman" w:cs="Times New Roman"/>
                      <w:color w:val="auto"/>
                      <w:sz w:val="21"/>
                      <w:szCs w:val="22"/>
                      <w:lang w:val="en-US" w:eastAsia="zh-CN"/>
                    </w:rPr>
                    <w:t>年</w:t>
                  </w:r>
                  <w:r>
                    <w:rPr>
                      <w:rFonts w:hint="eastAsia" w:ascii="Times New Roman" w:hAnsi="Times New Roman" w:cs="Times New Roman"/>
                      <w:color w:val="auto"/>
                      <w:sz w:val="21"/>
                      <w:szCs w:val="22"/>
                      <w:lang w:eastAsia="zh-CN"/>
                    </w:rPr>
                    <w:t>4</w:t>
                  </w:r>
                  <w:r>
                    <w:rPr>
                      <w:rFonts w:hint="eastAsia" w:ascii="Times New Roman" w:hAnsi="Times New Roman" w:cs="Times New Roman"/>
                      <w:color w:val="auto"/>
                      <w:sz w:val="21"/>
                      <w:szCs w:val="22"/>
                      <w:lang w:val="en-US" w:eastAsia="zh-CN"/>
                    </w:rPr>
                    <w:t>月</w:t>
                  </w:r>
                  <w:r>
                    <w:rPr>
                      <w:rFonts w:hint="eastAsia" w:ascii="Times New Roman" w:hAnsi="Times New Roman" w:cs="Times New Roman"/>
                      <w:color w:val="auto"/>
                      <w:sz w:val="21"/>
                      <w:szCs w:val="22"/>
                      <w:lang w:eastAsia="zh-CN"/>
                    </w:rPr>
                    <w:t>18</w:t>
                  </w:r>
                  <w:r>
                    <w:rPr>
                      <w:rFonts w:hint="eastAsia" w:ascii="Times New Roman" w:hAnsi="Times New Roman" w:cs="Times New Roman"/>
                      <w:color w:val="auto"/>
                      <w:sz w:val="21"/>
                      <w:szCs w:val="22"/>
                      <w:lang w:val="en-US" w:eastAsia="zh-CN"/>
                    </w:rPr>
                    <w:t>日</w:t>
                  </w:r>
                  <w:r>
                    <w:rPr>
                      <w:rFonts w:hint="eastAsia" w:ascii="Times New Roman" w:hAnsi="Times New Roman" w:cs="Times New Roman"/>
                      <w:color w:val="auto"/>
                      <w:sz w:val="21"/>
                      <w:szCs w:val="22"/>
                      <w:lang w:eastAsia="zh-CN"/>
                    </w:rPr>
                    <w:t>）</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坚持绿水青山就是金山银山、冰天雪地也是金山银山的理念，坚持山水林田湖草沙系统治理，坚持人与自然和谐共生，协同推进经济高质量发展和生态环境高水平保护，突出精准治污、科学治污、依法治污，深入打好污染防治攻坚战，落实减污降碳总要求，着力推进碳达峰行动，加快推动绿色低碳发展，加强生物多样性保护，推进生态环境治理体系和治理能力现代化</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本项目为铜金矿地质勘查，工作体量较小，在严格落实各项污染防治措施的前提下，项目建设对环境影响较小</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新疆维吾尔自治区环境保护条例</w:t>
                  </w:r>
                  <w:r>
                    <w:rPr>
                      <w:rFonts w:hint="eastAsia" w:ascii="Times New Roman" w:hAnsi="Times New Roman" w:cs="Times New Roman"/>
                      <w:color w:val="auto"/>
                      <w:sz w:val="21"/>
                      <w:szCs w:val="22"/>
                      <w:lang w:eastAsia="zh-CN"/>
                    </w:rPr>
                    <w:t>》（2018年9月21日）</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shd w:val="clear" w:color="auto" w:fill="FFFFFF"/>
                    </w:rPr>
                    <w:t>第四十七条矿产资源勘探、开发单位，应当对矿产资源勘探、开发产生的尾矿、煤矸石、粉煤灰、冶炼渣以及脱硫、脱硝、除尘等产生的固体废物的堆存场所进行整治，完善防扬散、防流失、防渗漏等设施</w:t>
                  </w:r>
                  <w:r>
                    <w:rPr>
                      <w:rFonts w:hint="eastAsia" w:ascii="Times New Roman" w:hAnsi="Times New Roman" w:cs="Times New Roman"/>
                      <w:color w:val="auto"/>
                      <w:sz w:val="21"/>
                      <w:szCs w:val="22"/>
                      <w:shd w:val="clear" w:color="auto" w:fill="FFFFFF"/>
                      <w:lang w:eastAsia="zh-CN"/>
                    </w:rPr>
                    <w:t>；</w:t>
                  </w:r>
                  <w:r>
                    <w:rPr>
                      <w:rFonts w:hint="eastAsia" w:ascii="Times New Roman" w:hAnsi="Times New Roman" w:cs="Times New Roman"/>
                      <w:color w:val="auto"/>
                      <w:sz w:val="21"/>
                      <w:szCs w:val="22"/>
                      <w:shd w:val="clear" w:color="auto" w:fill="FFFFFF"/>
                    </w:rPr>
                    <w:t>造成环境污染的，应当采取有效措施进行生态修复</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本项目为铜金矿地质勘查</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在项目勘察过程中不产生</w:t>
                  </w:r>
                  <w:r>
                    <w:rPr>
                      <w:rFonts w:hint="eastAsia" w:ascii="Times New Roman" w:hAnsi="Times New Roman" w:cs="Times New Roman"/>
                      <w:color w:val="auto"/>
                      <w:sz w:val="21"/>
                      <w:szCs w:val="22"/>
                      <w:shd w:val="clear" w:color="auto" w:fill="FFFFFF"/>
                    </w:rPr>
                    <w:t>尾矿、煤矸石、粉煤灰、冶炼渣以及脱硫、脱硝、除尘等产生的固体废物</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lang w:eastAsia="zh-CN"/>
                    </w:rPr>
                  </w:pPr>
                  <w:r>
                    <w:rPr>
                      <w:rFonts w:hint="eastAsia" w:ascii="Times New Roman" w:hAnsi="Times New Roman" w:cs="Times New Roman"/>
                      <w:color w:val="auto"/>
                      <w:sz w:val="21"/>
                      <w:szCs w:val="22"/>
                      <w:lang w:eastAsia="zh-CN"/>
                    </w:rPr>
                    <w:t>《新疆维吾尔自治区大气污染防治条例》（2019年1月1日起施行）</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shd w:val="clear" w:color="auto" w:fill="FFFFFF"/>
                    </w:rPr>
                  </w:pPr>
                  <w:r>
                    <w:rPr>
                      <w:rFonts w:hint="eastAsia" w:ascii="Times New Roman" w:hAnsi="Times New Roman" w:cs="Times New Roman"/>
                      <w:color w:val="auto"/>
                      <w:sz w:val="21"/>
                      <w:szCs w:val="22"/>
                      <w:shd w:val="clear" w:color="auto" w:fill="FFFFFF"/>
                    </w:rPr>
                    <w:t>各级人民政府应当加强对建设施工、矿产资源开采、物料运输的扬尘和沙尘污染的治理，保持道路清洁、控制料堆和渣土堆放，科学合理扩大绿地、水面、湿地、地面铺装和防风固沙绿化面积，防治扬尘污染</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rPr>
                    <w:t>本项目为固体矿产地质勘查，勘查</w:t>
                  </w:r>
                  <w:r>
                    <w:rPr>
                      <w:rFonts w:hint="eastAsia" w:ascii="Times New Roman" w:hAnsi="Times New Roman" w:cs="Times New Roman"/>
                      <w:color w:val="auto"/>
                      <w:sz w:val="21"/>
                      <w:szCs w:val="22"/>
                      <w:lang w:val="en-US" w:eastAsia="zh-CN"/>
                    </w:rPr>
                    <w:t>过程中采取洒水降尘防尘措施，防治大气污染</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《新疆维吾尔自治区重点行业</w:t>
                  </w:r>
                  <w:r>
                    <w:rPr>
                      <w:rFonts w:hint="eastAsia" w:ascii="Times New Roman" w:hAnsi="Times New Roman" w:cs="Times New Roman"/>
                      <w:color w:val="auto"/>
                      <w:sz w:val="21"/>
                      <w:szCs w:val="22"/>
                      <w:lang w:val="en-US" w:eastAsia="zh-CN"/>
                    </w:rPr>
                    <w:t>生态环境</w:t>
                  </w:r>
                  <w:r>
                    <w:rPr>
                      <w:rFonts w:hint="eastAsia" w:ascii="Times New Roman" w:hAnsi="Times New Roman" w:cs="Times New Roman"/>
                      <w:color w:val="auto"/>
                      <w:sz w:val="21"/>
                      <w:szCs w:val="22"/>
                    </w:rPr>
                    <w:t>准入条件</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2024</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w:t>
                  </w:r>
                  <w:r>
                    <w:rPr>
                      <w:rFonts w:hint="eastAsia" w:ascii="Times New Roman" w:hAnsi="Times New Roman" w:cs="Times New Roman"/>
                      <w:color w:val="auto"/>
                      <w:sz w:val="21"/>
                      <w:szCs w:val="22"/>
                      <w:lang w:eastAsia="zh-CN"/>
                    </w:rPr>
                    <w:t>（新环环评发〔2024〕93号）</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shd w:val="clear" w:color="auto" w:fill="FFFFFF"/>
                    </w:rPr>
                  </w:pPr>
                  <w:r>
                    <w:rPr>
                      <w:rFonts w:hint="eastAsia" w:ascii="Times New Roman" w:hAnsi="Times New Roman" w:cs="Times New Roman"/>
                      <w:color w:val="auto"/>
                      <w:sz w:val="21"/>
                      <w:szCs w:val="22"/>
                      <w:shd w:val="clear" w:color="auto" w:fill="FFFFFF"/>
                    </w:rPr>
                    <w:t>矿产资源开发按照国家及自治区绿色矿山建设规范进行建设，遵循“谁开发、谁保护，谁破坏、谁恢复，谁受益、谁补偿，谁污染、谁付费”的原则，制定矿山生态环境保护与恢复治理方案并严格组织实施。违反国家规定造成生态环境损害的，依法依规开展生态环境损害赔偿工作，依法追究生态环境损害赔偿责任</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本项目为固体矿产地质勘查</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勘查过程中采取洒水降尘防尘措施，防治大气污染；</w:t>
                  </w:r>
                  <w:r>
                    <w:rPr>
                      <w:rFonts w:hint="eastAsia" w:ascii="Times New Roman" w:hAnsi="Times New Roman" w:cs="Times New Roman"/>
                      <w:color w:val="auto"/>
                      <w:sz w:val="21"/>
                      <w:szCs w:val="21"/>
                    </w:rPr>
                    <w:t>探矿期结束后，对遗留地面的施工迹地</w:t>
                  </w:r>
                  <w:r>
                    <w:rPr>
                      <w:rFonts w:hint="eastAsia" w:ascii="Times New Roman" w:hAnsi="Times New Roman" w:cs="Times New Roman"/>
                      <w:color w:val="auto"/>
                      <w:sz w:val="21"/>
                      <w:szCs w:val="21"/>
                      <w:lang w:val="en-US" w:eastAsia="zh-CN"/>
                    </w:rPr>
                    <w:t>按照普查设计方案</w:t>
                  </w:r>
                  <w:r>
                    <w:rPr>
                      <w:rFonts w:hint="eastAsia" w:ascii="Times New Roman" w:hAnsi="Times New Roman" w:cs="Times New Roman"/>
                      <w:color w:val="auto"/>
                      <w:sz w:val="21"/>
                      <w:szCs w:val="21"/>
                    </w:rPr>
                    <w:t>进行恢复</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《中华人民共和国草原法》（2021年4月29日）</w:t>
                  </w:r>
                </w:p>
              </w:tc>
              <w:tc>
                <w:tcPr>
                  <w:tcW w:w="1872"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第五十五条除抢险救灾和牧民搬迁的机动车辆外，禁止机动车辆离开道路在草原上行驶，破坏草原植被；因从事地质勘探、科学考察等活动确需离开道路在草原上行驶的，应当事先向所在地县级人民政府草原行政主管部门报告行驶区域和行驶路线，并按照报告的行驶区域和行驶路线在草原上行驶</w:t>
                  </w:r>
                </w:p>
              </w:tc>
              <w:tc>
                <w:tcPr>
                  <w:tcW w:w="1358"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本项目属于地质勘查活动，矿区属矿业权空白区，且不涉及生态敏感区，勘查区至县城已建有交通运输道路，不占用、破坏草原，项目勘查符合国家法律法规</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《绿色地质勘查工作规范》（DZ/T0374-2021）</w:t>
                  </w:r>
                </w:p>
              </w:tc>
              <w:tc>
                <w:tcPr>
                  <w:tcW w:w="1872"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编制地质勘查设计前，应就地质勘查工作部署对水、大气、声、土壤、野生动植物、自然遗迹和人文遗迹等的环境影响进行分析，确定主要的环境影响因素，制定环境保护、环境修复措施，编制经费预算，作为绿色勘查内容体现在勘查设计中，可以单独成章，也可以融入到相关章节</w:t>
                  </w:r>
                </w:p>
              </w:tc>
              <w:tc>
                <w:tcPr>
                  <w:tcW w:w="1358"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default" w:ascii="Times New Roman" w:hAnsi="Times New Roman" w:eastAsia="宋体" w:cs="Times New Roman"/>
                      <w:color w:val="auto"/>
                      <w:kern w:val="2"/>
                      <w:sz w:val="21"/>
                      <w:szCs w:val="22"/>
                      <w:shd w:val="clear" w:color="auto" w:fill="FFFFFF"/>
                      <w:lang w:val="en-US" w:eastAsia="zh-CN" w:bidi="ar-SA"/>
                    </w:rPr>
                    <w:t>本项目在地质勘查前，编制了环境影响评价文件，其中对环境保护相关内容进行了分析，并制定对应环保措施，符合要求</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《矿山生态环境保护与恢复治理技术规范（试行）》（HJ651-2013）</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探矿活动结束后，应根据景观相似原则，对探矿活动造成的土壤、植被和地表景观破坏进行恢复</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本项目实施过</w:t>
                  </w:r>
                  <w:r>
                    <w:rPr>
                      <w:rFonts w:hint="eastAsia" w:ascii="Times New Roman" w:hAnsi="Times New Roman" w:cs="Times New Roman"/>
                      <w:color w:val="auto"/>
                      <w:sz w:val="21"/>
                      <w:szCs w:val="21"/>
                      <w:lang w:eastAsia="zh-CN"/>
                    </w:rPr>
                    <w:t>程中</w:t>
                  </w:r>
                  <w:r>
                    <w:rPr>
                      <w:rFonts w:hint="eastAsia" w:ascii="Times New Roman" w:hAnsi="Times New Roman" w:cs="Times New Roman"/>
                      <w:color w:val="auto"/>
                      <w:sz w:val="21"/>
                      <w:szCs w:val="21"/>
                    </w:rPr>
                    <w:t>注意减少对土壤、植被、地表景观的破坏，探矿期结束后，对遗留地面的施工迹地进行恢复</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2"/>
                      <w:lang w:val="en-US" w:eastAsia="zh-CN"/>
                    </w:rPr>
                  </w:pPr>
                  <w:r>
                    <w:rPr>
                      <w:rFonts w:hint="eastAsia"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cs="Times New Roman"/>
                      <w:color w:val="auto"/>
                      <w:sz w:val="21"/>
                      <w:szCs w:val="21"/>
                    </w:rPr>
                    <w:t>《矿山生态环境保护与污染防治技术政策》</w:t>
                  </w:r>
                  <w:r>
                    <w:rPr>
                      <w:rFonts w:hint="eastAsia" w:cs="Times New Roman"/>
                      <w:color w:val="auto"/>
                      <w:sz w:val="21"/>
                      <w:szCs w:val="21"/>
                      <w:lang w:eastAsia="zh-CN"/>
                    </w:rPr>
                    <w:t>（环发</w:t>
                  </w:r>
                  <w:r>
                    <w:rPr>
                      <w:rFonts w:hint="eastAsia" w:cs="Times New Roman"/>
                      <w:color w:val="auto"/>
                      <w:sz w:val="21"/>
                      <w:szCs w:val="22"/>
                      <w:lang w:eastAsia="zh-CN"/>
                    </w:rPr>
                    <w:t>〔20</w:t>
                  </w:r>
                  <w:r>
                    <w:rPr>
                      <w:rFonts w:hint="eastAsia" w:cs="Times New Roman"/>
                      <w:color w:val="auto"/>
                      <w:sz w:val="21"/>
                      <w:szCs w:val="22"/>
                      <w:lang w:val="en-US" w:eastAsia="zh-CN"/>
                    </w:rPr>
                    <w:t>05</w:t>
                  </w:r>
                  <w:r>
                    <w:rPr>
                      <w:rFonts w:hint="eastAsia" w:cs="Times New Roman"/>
                      <w:color w:val="auto"/>
                      <w:sz w:val="21"/>
                      <w:szCs w:val="22"/>
                      <w:lang w:eastAsia="zh-CN"/>
                    </w:rPr>
                    <w:t>〕</w:t>
                  </w:r>
                  <w:r>
                    <w:rPr>
                      <w:rFonts w:hint="eastAsia" w:cs="Times New Roman"/>
                      <w:color w:val="auto"/>
                      <w:sz w:val="21"/>
                      <w:szCs w:val="21"/>
                      <w:lang w:eastAsia="zh-CN"/>
                    </w:rPr>
                    <w:t>109号）</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对矿山勘探性钻孔应采取封闭等措施进行处理，以确保生产安全；对矿山基建可能影响的具有保护价值的动、植物资源，应优先采取就地、就近保护措施；对表土、底土和适于植物生长的地层物质均应进行保护性堆存和利用，可优先用作废弃地复垦时的土壤重构用土</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本项目主要为固体矿产地质勘查，在严格落实各项污染防治措施的前提下，项目建设对环境影响较小，恢复其原有生态功能</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2"/>
                      <w:lang w:val="en-US" w:eastAsia="zh-CN"/>
                    </w:rPr>
                  </w:pPr>
                  <w:r>
                    <w:rPr>
                      <w:rFonts w:hint="eastAsia" w:ascii="Times New Roman" w:hAnsi="Times New Roman" w:cs="Times New Roman"/>
                      <w:color w:val="auto"/>
                      <w:sz w:val="21"/>
                      <w:szCs w:val="21"/>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pPr>
                    <w:pStyle w:val="35"/>
                    <w:keepNext w:val="0"/>
                    <w:keepLines w:val="0"/>
                    <w:suppressLineNumbers w:val="0"/>
                    <w:bidi w:val="0"/>
                    <w:spacing w:before="0" w:beforeAutospacing="0" w:after="0" w:afterAutospacing="0"/>
                    <w:ind w:left="0" w:leftChars="0" w:right="0" w:firstLine="0" w:firstLineChars="0"/>
                    <w:jc w:val="both"/>
                    <w:rPr>
                      <w:rFonts w:hint="eastAsia" w:cs="Times New Roman"/>
                      <w:color w:val="auto"/>
                      <w:sz w:val="21"/>
                      <w:szCs w:val="21"/>
                      <w:lang w:eastAsia="zh-CN"/>
                    </w:rPr>
                  </w:pPr>
                  <w:r>
                    <w:rPr>
                      <w:rFonts w:hint="eastAsia" w:cs="Times New Roman"/>
                      <w:color w:val="auto"/>
                      <w:sz w:val="21"/>
                      <w:szCs w:val="21"/>
                      <w:lang w:eastAsia="zh-CN"/>
                    </w:rPr>
                    <w:t>《自然资源部</w:t>
                  </w:r>
                  <w:r>
                    <w:rPr>
                      <w:rFonts w:hint="eastAsia" w:cs="Times New Roman"/>
                      <w:color w:val="auto"/>
                      <w:sz w:val="21"/>
                      <w:szCs w:val="21"/>
                      <w:lang w:val="en-US" w:eastAsia="zh-CN"/>
                    </w:rPr>
                    <w:t xml:space="preserve"> </w:t>
                  </w:r>
                  <w:r>
                    <w:rPr>
                      <w:rFonts w:hint="eastAsia" w:cs="Times New Roman"/>
                      <w:color w:val="auto"/>
                      <w:sz w:val="21"/>
                      <w:szCs w:val="21"/>
                      <w:lang w:eastAsia="zh-CN"/>
                    </w:rPr>
                    <w:t>国家林草局关于在新一轮找矿突破战略行动中全面实施绿色勘查的通知》自然资发〔2024〕122号</w:t>
                  </w:r>
                </w:p>
              </w:tc>
              <w:tc>
                <w:tcPr>
                  <w:tcW w:w="1872"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（一）加快推进标准规范落实。各地要加快落实《绿色地质勘查工作规范》（DZ/T 0374-2021），细化形成符合本地实际的绿色勘查地方标准，为地勘单位和矿山企业实施绿色勘查提供明确依据，支持和鼓励地勘单位和矿山企业开展绿色勘查标准建设。要加大绿色勘查标准规范、工作规则宣传培训力度，加强绿色勘查成功经验总结提炼、推广应用。</w:t>
                  </w:r>
                </w:p>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二）强化勘查设计管理。财政出资的各类地质勘查项目，勘查实施方案中要明确绿色勘查具体措施。新出让的探矿权，要将矿业权人绿色勘查义务在合同中载明，并在勘查实施方案评审中，对绿色勘查措施进行严格把关，促进矿业权人落实绿色勘查各项规定和要求。</w:t>
                  </w:r>
                </w:p>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三）明确项目实施要求。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tc>
              <w:tc>
                <w:tcPr>
                  <w:tcW w:w="1358"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eastAsia" w:ascii="Times New Roman" w:hAnsi="Times New Roman" w:cs="Times New Roman"/>
                      <w:color w:val="auto"/>
                      <w:sz w:val="21"/>
                      <w:szCs w:val="21"/>
                    </w:rPr>
                    <w:t>主要为固体矿产地质勘查，勘查</w:t>
                  </w:r>
                  <w:r>
                    <w:rPr>
                      <w:rFonts w:hint="eastAsia" w:ascii="Times New Roman" w:hAnsi="Times New Roman" w:cs="Times New Roman"/>
                      <w:color w:val="auto"/>
                      <w:sz w:val="21"/>
                      <w:szCs w:val="21"/>
                      <w:lang w:val="en-US" w:eastAsia="zh-CN"/>
                    </w:rPr>
                    <w:t>前，制定完成勘察实施方案，对勘查人员进行绿色勘查培训，在勘查过程中通过技术创新与管理优化，显著降低勘查活动对生态系统的扰动，采用1:25000土壤地球化学测量，1:10000地质修测，</w:t>
                  </w:r>
                  <w:r>
                    <w:rPr>
                      <w:rFonts w:hint="eastAsia" w:cs="Times New Roman"/>
                      <w:color w:val="auto"/>
                      <w:sz w:val="21"/>
                      <w:szCs w:val="21"/>
                      <w:lang w:val="en-US" w:eastAsia="zh-CN"/>
                    </w:rPr>
                    <w:t>1</w:t>
                  </w:r>
                  <w:r>
                    <w:rPr>
                      <w:rFonts w:hint="eastAsia" w:ascii="Times New Roman" w:hAnsi="Times New Roman" w:cs="Times New Roman"/>
                      <w:color w:val="auto"/>
                      <w:sz w:val="21"/>
                      <w:szCs w:val="21"/>
                      <w:lang w:val="en-US" w:eastAsia="zh-CN"/>
                    </w:rPr>
                    <w:t>:5000土壤地球化学剖面测量，土壤化探样，基本化学分析样，内检样，光、薄片等综合勘查技术方法</w:t>
                  </w:r>
                </w:p>
              </w:tc>
              <w:tc>
                <w:tcPr>
                  <w:tcW w:w="571" w:type="pct"/>
                  <w:tcBorders>
                    <w:tl2br w:val="nil"/>
                    <w:tr2bl w:val="nil"/>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符合</w:t>
                  </w:r>
                </w:p>
              </w:tc>
            </w:tr>
          </w:tbl>
          <w:p>
            <w:pPr>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kern w:val="0"/>
                <w:lang w:val="en-US" w:eastAsia="zh-CN"/>
              </w:rPr>
            </w:pPr>
          </w:p>
        </w:tc>
      </w:tr>
    </w:tbl>
    <w:p>
      <w:pPr>
        <w:ind w:firstLine="600"/>
        <w:outlineLvl w:val="0"/>
        <w:rPr>
          <w:rFonts w:eastAsia="黑体"/>
          <w:color w:val="auto"/>
          <w:sz w:val="30"/>
        </w:rPr>
        <w:sectPr>
          <w:footerReference r:id="rId11"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7"/>
        <w:rPr>
          <w:snapToGrid w:val="0"/>
          <w:color w:val="auto"/>
        </w:rPr>
      </w:pPr>
      <w:r>
        <w:rPr>
          <w:rFonts w:hint="eastAsia"/>
          <w:snapToGrid w:val="0"/>
          <w:color w:val="auto"/>
        </w:rPr>
        <w:t>二、建设内容</w:t>
      </w:r>
    </w:p>
    <w:tbl>
      <w:tblPr>
        <w:tblStyle w:val="28"/>
        <w:tblW w:w="92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4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地</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理</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位</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置</w:t>
            </w:r>
          </w:p>
        </w:tc>
        <w:tc>
          <w:tcPr>
            <w:tcW w:w="8423" w:type="dxa"/>
            <w:noWrap w:val="0"/>
            <w:vAlign w:val="top"/>
          </w:tcPr>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本项目位于</w:t>
            </w:r>
            <w:r>
              <w:rPr>
                <w:rFonts w:hint="eastAsia" w:ascii="Times New Roman" w:hAnsi="Times New Roman" w:cs="Times New Roman"/>
                <w:color w:val="auto"/>
              </w:rPr>
              <w:t>新疆维吾尔自治区巴音郭楞蒙古自治州和静县西北277°方向，直线距离约170km</w:t>
            </w:r>
            <w:r>
              <w:rPr>
                <w:rFonts w:hint="default" w:ascii="Times New Roman" w:hAnsi="Times New Roman" w:cs="Times New Roman"/>
                <w:color w:val="auto"/>
              </w:rPr>
              <w:t>，项目探矿范围拐点坐标如下表所示；地理位置图见</w:t>
            </w:r>
            <w:r>
              <w:rPr>
                <w:rFonts w:hint="default" w:ascii="Times New Roman" w:hAnsi="Times New Roman" w:cs="Times New Roman"/>
                <w:color w:val="auto"/>
                <w:lang w:val="en-US" w:eastAsia="zh-CN"/>
              </w:rPr>
              <w:t>附</w:t>
            </w:r>
            <w:r>
              <w:rPr>
                <w:rFonts w:hint="default" w:ascii="Times New Roman" w:hAnsi="Times New Roman" w:cs="Times New Roman"/>
                <w:color w:val="auto"/>
              </w:rPr>
              <w:t>图</w:t>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与周边位置关系见附图</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eastAsia" w:cs="Times New Roman"/>
                <w:color w:val="auto"/>
                <w:lang w:val="en-US" w:eastAsia="zh-CN"/>
              </w:rPr>
              <w:t>-1</w:t>
            </w:r>
            <w:r>
              <w:rPr>
                <w:rFonts w:hint="default" w:ascii="Times New Roman" w:hAnsi="Times New Roman" w:cs="Times New Roman"/>
                <w:color w:val="auto"/>
              </w:rPr>
              <w:t xml:space="preserve">   本项目探矿权范围拐点坐标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3490"/>
              <w:gridCol w:w="349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vMerge w:val="restar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拐点序号</w:t>
                  </w:r>
                </w:p>
              </w:tc>
              <w:tc>
                <w:tcPr>
                  <w:tcW w:w="4265" w:type="pct"/>
                  <w:gridSpan w:val="2"/>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eastAsia="zh-CN"/>
                    </w:rPr>
                  </w:pPr>
                  <w:r>
                    <w:rPr>
                      <w:rFonts w:hint="default" w:ascii="Times New Roman" w:hAnsi="Times New Roman" w:cs="Times New Roman"/>
                      <w:color w:val="auto"/>
                    </w:rPr>
                    <w:t>地理坐标</w:t>
                  </w:r>
                  <w:r>
                    <w:rPr>
                      <w:rFonts w:hint="default" w:ascii="Times New Roman" w:hAnsi="Times New Roman" w:cs="Times New Roman"/>
                      <w:color w:val="auto"/>
                      <w:lang w:eastAsia="zh-CN"/>
                    </w:rPr>
                    <w:t>（</w:t>
                  </w:r>
                  <w:r>
                    <w:rPr>
                      <w:rFonts w:hint="default" w:ascii="Times New Roman" w:hAnsi="Times New Roman" w:cs="Times New Roman"/>
                      <w:color w:val="auto"/>
                    </w:rPr>
                    <w:t>CGCS2000坐标系</w:t>
                  </w:r>
                  <w:r>
                    <w:rPr>
                      <w:rFonts w:hint="default" w:ascii="Times New Roman" w:hAnsi="Times New Roman" w:cs="Times New Roman"/>
                      <w:color w:val="auto"/>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vMerge w:val="continue"/>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eastAsia" w:ascii="宋体" w:eastAsia="宋体" w:cs="宋体"/>
                      <w:color w:val="auto"/>
                      <w:sz w:val="21"/>
                      <w:szCs w:val="21"/>
                    </w:rPr>
                    <w:t>东经</w:t>
                  </w:r>
                </w:p>
              </w:tc>
              <w:tc>
                <w:tcPr>
                  <w:tcW w:w="2134"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eastAsia" w:ascii="宋体" w:eastAsia="宋体" w:cs="宋体"/>
                      <w:color w:val="auto"/>
                      <w:sz w:val="21"/>
                      <w:szCs w:val="21"/>
                    </w:rPr>
                    <w:t>北纬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001</w:t>
                  </w:r>
                </w:p>
              </w:tc>
              <w:tc>
                <w:tcPr>
                  <w:tcW w:w="2131"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23</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19.</w:t>
                  </w:r>
                  <w:r>
                    <w:rPr>
                      <w:rFonts w:hint="default" w:ascii="Times New Roman" w:hAnsi="Times New Roman" w:cs="Times New Roman"/>
                      <w:color w:val="auto"/>
                      <w:sz w:val="21"/>
                      <w:szCs w:val="21"/>
                    </w:rPr>
                    <w:t>000"</w:t>
                  </w:r>
                </w:p>
              </w:tc>
              <w:tc>
                <w:tcPr>
                  <w:tcW w:w="2134"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42°3</w:t>
                  </w:r>
                  <w:r>
                    <w:rPr>
                      <w:rFonts w:hint="eastAsia" w:ascii="Times New Roman" w:hAnsi="Times New Roman" w:cs="Times New Roman"/>
                      <w:color w:val="auto"/>
                      <w:sz w:val="21"/>
                      <w:szCs w:val="21"/>
                      <w:lang w:val="en-US" w:eastAsia="zh-CN"/>
                    </w:rPr>
                    <w:t>6</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5</w:t>
                  </w:r>
                  <w:r>
                    <w:rPr>
                      <w:rFonts w:hint="eastAsia"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002</w:t>
                  </w:r>
                </w:p>
              </w:tc>
              <w:tc>
                <w:tcPr>
                  <w:tcW w:w="2131"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26</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25.000</w:t>
                  </w:r>
                  <w:r>
                    <w:rPr>
                      <w:rFonts w:hint="default" w:ascii="Times New Roman" w:hAnsi="Times New Roman" w:cs="Times New Roman"/>
                      <w:color w:val="auto"/>
                      <w:sz w:val="21"/>
                      <w:szCs w:val="21"/>
                    </w:rPr>
                    <w:t>″</w:t>
                  </w:r>
                </w:p>
              </w:tc>
              <w:tc>
                <w:tcPr>
                  <w:tcW w:w="2134"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42°3</w:t>
                  </w:r>
                  <w:r>
                    <w:rPr>
                      <w:rFonts w:hint="eastAsia" w:ascii="Times New Roman" w:hAnsi="Times New Roman" w:cs="Times New Roman"/>
                      <w:color w:val="auto"/>
                      <w:sz w:val="21"/>
                      <w:szCs w:val="21"/>
                      <w:lang w:val="en-US" w:eastAsia="zh-CN"/>
                    </w:rPr>
                    <w:t>6</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5</w:t>
                  </w:r>
                  <w:r>
                    <w:rPr>
                      <w:rFonts w:hint="eastAsia"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003</w:t>
                  </w:r>
                </w:p>
              </w:tc>
              <w:tc>
                <w:tcPr>
                  <w:tcW w:w="2131"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26</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25.000</w:t>
                  </w:r>
                  <w:r>
                    <w:rPr>
                      <w:rFonts w:hint="default" w:ascii="Times New Roman" w:hAnsi="Times New Roman" w:cs="Times New Roman"/>
                      <w:color w:val="auto"/>
                      <w:sz w:val="21"/>
                      <w:szCs w:val="21"/>
                    </w:rPr>
                    <w:t>″</w:t>
                  </w:r>
                </w:p>
              </w:tc>
              <w:tc>
                <w:tcPr>
                  <w:tcW w:w="2134"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42°3</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21.000</w:t>
                  </w:r>
                  <w:r>
                    <w:rPr>
                      <w:rFonts w:hint="default" w:ascii="Times New Roman" w:hAnsi="Times New Roman" w:cs="Times New Roman"/>
                      <w:color w:val="auto"/>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004</w:t>
                  </w:r>
                </w:p>
              </w:tc>
              <w:tc>
                <w:tcPr>
                  <w:tcW w:w="2131"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23</w:t>
                  </w:r>
                  <w:r>
                    <w:rPr>
                      <w:rFonts w:hint="default"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9.000</w:t>
                  </w:r>
                  <w:r>
                    <w:rPr>
                      <w:rFonts w:hint="default" w:ascii="Times New Roman" w:hAnsi="Times New Roman" w:cs="Times New Roman"/>
                      <w:color w:val="auto"/>
                      <w:sz w:val="21"/>
                      <w:szCs w:val="21"/>
                    </w:rPr>
                    <w:t>″</w:t>
                  </w:r>
                </w:p>
              </w:tc>
              <w:tc>
                <w:tcPr>
                  <w:tcW w:w="2134" w:type="pct"/>
                  <w:tcBorders>
                    <w:tl2br w:val="nil"/>
                    <w:tr2bl w:val="nil"/>
                  </w:tcBorders>
                  <w:noWrap w:val="0"/>
                  <w:vAlign w:val="center"/>
                </w:tcPr>
                <w:p>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42°3</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21.000</w:t>
                  </w:r>
                  <w:r>
                    <w:rPr>
                      <w:rFonts w:hint="default" w:ascii="Times New Roman" w:hAnsi="Times New Roman" w:cs="Times New Roman"/>
                      <w:color w:val="auto"/>
                      <w:sz w:val="21"/>
                      <w:szCs w:val="21"/>
                    </w:rPr>
                    <w:t>″</w:t>
                  </w:r>
                </w:p>
              </w:tc>
            </w:tr>
          </w:tbl>
          <w:p>
            <w:pPr>
              <w:keepNext w:val="0"/>
              <w:keepLines w:val="0"/>
              <w:suppressLineNumbers w:val="0"/>
              <w:spacing w:before="0" w:beforeAutospacing="0" w:after="0" w:afterAutospacing="0"/>
              <w:ind w:left="0" w:right="0" w:firstLine="482"/>
              <w:rPr>
                <w:rFonts w:hint="default" w:ascii="Times New Roman" w:hAnsi="Times New Roman" w:cs="Times New Roman"/>
                <w:b/>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目</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组</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成</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及</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规</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模</w:t>
            </w:r>
          </w:p>
        </w:tc>
        <w:tc>
          <w:tcPr>
            <w:tcW w:w="8423" w:type="dxa"/>
            <w:noWrap w:val="0"/>
            <w:vAlign w:val="top"/>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2.1</w:t>
            </w:r>
            <w:r>
              <w:rPr>
                <w:rFonts w:hint="default" w:ascii="Times New Roman" w:hAnsi="Times New Roman" w:cs="Times New Roman"/>
                <w:color w:val="auto"/>
                <w:highlight w:val="none"/>
                <w:lang w:bidi="ar"/>
              </w:rPr>
              <w:t>项目</w:t>
            </w:r>
            <w:r>
              <w:rPr>
                <w:rFonts w:hint="eastAsia" w:cs="Times New Roman"/>
                <w:color w:val="auto"/>
                <w:highlight w:val="none"/>
                <w:lang w:val="en-US" w:eastAsia="zh-CN" w:bidi="ar"/>
              </w:rPr>
              <w:t>背景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新疆五彩矿业有限责任公司于20</w:t>
            </w:r>
            <w:r>
              <w:rPr>
                <w:rFonts w:hint="eastAsia" w:ascii="Times New Roman" w:hAnsi="Times New Roman" w:cs="Times New Roman"/>
                <w:color w:val="auto"/>
                <w:highlight w:val="none"/>
                <w:lang w:val="en-US" w:eastAsia="zh-CN"/>
              </w:rPr>
              <w:t>21</w:t>
            </w:r>
            <w:r>
              <w:rPr>
                <w:rFonts w:hint="eastAsia" w:ascii="Times New Roman" w:hAnsi="Times New Roman" w:cs="Times New Roman"/>
                <w:color w:val="auto"/>
                <w:highlight w:val="none"/>
              </w:rPr>
              <w:t>年</w:t>
            </w:r>
            <w:r>
              <w:rPr>
                <w:rFonts w:hint="eastAsia" w:cs="Times New Roman"/>
                <w:color w:val="auto"/>
                <w:highlight w:val="none"/>
                <w:lang w:val="en-US" w:eastAsia="zh-CN"/>
              </w:rPr>
              <w:t>8</w:t>
            </w:r>
            <w:r>
              <w:rPr>
                <w:rFonts w:hint="eastAsia" w:ascii="Times New Roman" w:hAnsi="Times New Roman" w:cs="Times New Roman"/>
                <w:color w:val="auto"/>
                <w:highlight w:val="none"/>
              </w:rPr>
              <w:t>月</w:t>
            </w:r>
            <w:r>
              <w:rPr>
                <w:rFonts w:hint="eastAsia" w:cs="Times New Roman"/>
                <w:color w:val="auto"/>
                <w:highlight w:val="none"/>
                <w:lang w:val="en-US" w:eastAsia="zh-CN"/>
              </w:rPr>
              <w:t>23</w:t>
            </w:r>
            <w:r>
              <w:rPr>
                <w:rFonts w:hint="eastAsia" w:ascii="Times New Roman" w:hAnsi="Times New Roman" w:cs="Times New Roman"/>
                <w:color w:val="auto"/>
                <w:highlight w:val="none"/>
              </w:rPr>
              <w:t>日取得“新疆和静县巴格亚马特铜金矿勘探”探矿权证，勘查矿种为铜金矿，勘查许可证号：</w:t>
            </w:r>
            <w:r>
              <w:rPr>
                <w:rFonts w:hint="eastAsia" w:ascii="Times New Roman" w:hAnsi="Times New Roman" w:cs="Times New Roman"/>
                <w:color w:val="auto"/>
                <w:kern w:val="0"/>
                <w:highlight w:val="none"/>
                <w:lang w:val="en-US" w:eastAsia="zh-CN"/>
              </w:rPr>
              <w:t>T6500002008023010006450</w:t>
            </w:r>
            <w:r>
              <w:rPr>
                <w:rFonts w:hint="eastAsia" w:ascii="Times New Roman" w:hAnsi="Times New Roman" w:cs="Times New Roman"/>
                <w:color w:val="auto"/>
                <w:highlight w:val="none"/>
              </w:rPr>
              <w:t>，有效期限2</w:t>
            </w:r>
            <w:r>
              <w:rPr>
                <w:rFonts w:hint="default" w:ascii="Times New Roman" w:hAnsi="Times New Roman" w:cs="Times New Roman"/>
                <w:color w:val="auto"/>
                <w:highlight w:val="none"/>
              </w:rPr>
              <w:t>02</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年</w:t>
            </w:r>
            <w:r>
              <w:rPr>
                <w:rFonts w:hint="eastAsia" w:cs="Times New Roman"/>
                <w:color w:val="auto"/>
                <w:highlight w:val="none"/>
                <w:lang w:val="en-US" w:eastAsia="zh-CN"/>
              </w:rPr>
              <w:t>8</w:t>
            </w:r>
            <w:r>
              <w:rPr>
                <w:rFonts w:hint="eastAsia" w:ascii="Times New Roman" w:hAnsi="Times New Roman" w:cs="Times New Roman"/>
                <w:color w:val="auto"/>
                <w:highlight w:val="none"/>
              </w:rPr>
              <w:t>月</w:t>
            </w:r>
            <w:r>
              <w:rPr>
                <w:rFonts w:hint="eastAsia" w:cs="Times New Roman"/>
                <w:color w:val="auto"/>
                <w:highlight w:val="none"/>
                <w:lang w:val="en-US" w:eastAsia="zh-CN"/>
              </w:rPr>
              <w:t>23</w:t>
            </w:r>
            <w:r>
              <w:rPr>
                <w:rFonts w:hint="eastAsia" w:ascii="Times New Roman" w:hAnsi="Times New Roman" w:cs="Times New Roman"/>
                <w:color w:val="auto"/>
                <w:highlight w:val="none"/>
              </w:rPr>
              <w:t>日至</w:t>
            </w:r>
            <w:r>
              <w:rPr>
                <w:rFonts w:hint="eastAsia" w:ascii="Times New Roman" w:hAnsi="Times New Roman" w:cs="Times New Roman"/>
                <w:color w:val="auto"/>
                <w:highlight w:val="none"/>
                <w:lang w:val="en-US" w:eastAsia="zh-CN"/>
              </w:rPr>
              <w:t>2026</w:t>
            </w:r>
            <w:r>
              <w:rPr>
                <w:rFonts w:hint="eastAsia" w:ascii="Times New Roman" w:hAnsi="Times New Roman" w:cs="Times New Roman"/>
                <w:color w:val="auto"/>
                <w:highlight w:val="none"/>
              </w:rPr>
              <w:t>年</w:t>
            </w:r>
            <w:r>
              <w:rPr>
                <w:rFonts w:hint="eastAsia" w:cs="Times New Roman"/>
                <w:color w:val="auto"/>
                <w:highlight w:val="none"/>
                <w:lang w:val="en-US" w:eastAsia="zh-CN"/>
              </w:rPr>
              <w:t>8</w:t>
            </w:r>
            <w:r>
              <w:rPr>
                <w:rFonts w:hint="eastAsia" w:ascii="Times New Roman" w:hAnsi="Times New Roman" w:cs="Times New Roman"/>
                <w:color w:val="auto"/>
                <w:highlight w:val="none"/>
              </w:rPr>
              <w:t>月</w:t>
            </w:r>
            <w:r>
              <w:rPr>
                <w:rFonts w:hint="eastAsia" w:cs="Times New Roman"/>
                <w:color w:val="auto"/>
                <w:highlight w:val="none"/>
                <w:lang w:val="en-US" w:eastAsia="zh-CN"/>
              </w:rPr>
              <w:t>23</w:t>
            </w:r>
            <w:r>
              <w:rPr>
                <w:rFonts w:hint="eastAsia" w:ascii="Times New Roman" w:hAnsi="Times New Roman" w:cs="Times New Roman"/>
                <w:color w:val="auto"/>
                <w:highlight w:val="none"/>
              </w:rPr>
              <w:t>日，</w:t>
            </w:r>
            <w:r>
              <w:rPr>
                <w:rFonts w:hint="eastAsia" w:ascii="Times New Roman" w:hAnsi="Times New Roman" w:cs="Times New Roman"/>
                <w:color w:val="auto"/>
              </w:rPr>
              <w:t>勘查面积为</w:t>
            </w:r>
            <w:r>
              <w:rPr>
                <w:rFonts w:hint="eastAsia" w:cs="Times New Roman"/>
                <w:color w:val="auto"/>
                <w:lang w:val="en-US" w:eastAsia="zh-CN"/>
              </w:rPr>
              <w:t>1176</w:t>
            </w:r>
            <w:r>
              <w:rPr>
                <w:rFonts w:hint="eastAsia" w:ascii="Times New Roman" w:hAnsi="Times New Roman" w:cs="Times New Roman"/>
                <w:color w:val="auto"/>
                <w:lang w:val="en-US" w:eastAsia="zh-CN"/>
              </w:rPr>
              <w:t>0000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eastAsia" w:ascii="Times New Roman" w:hAnsi="Times New Roman" w:cs="Times New Roman"/>
                <w:color w:val="auto"/>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临时用地面积为</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000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val="en-US" w:eastAsia="zh-CN"/>
              </w:rPr>
              <w:t>，其中临时工作区</w:t>
            </w:r>
            <w:r>
              <w:rPr>
                <w:rFonts w:hint="eastAsia" w:cs="Times New Roman"/>
                <w:color w:val="auto"/>
                <w:highlight w:val="none"/>
                <w:lang w:val="en-US" w:eastAsia="zh-CN"/>
              </w:rPr>
              <w:t>20</w:t>
            </w:r>
            <w:r>
              <w:rPr>
                <w:rFonts w:hint="eastAsia" w:ascii="Times New Roman" w:hAnsi="Times New Roman" w:cs="Times New Roman"/>
                <w:color w:val="auto"/>
                <w:highlight w:val="none"/>
                <w:lang w:val="en-US" w:eastAsia="zh-CN"/>
              </w:rPr>
              <w:t>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eastAsia="zh-CN"/>
              </w:rPr>
              <w:t>）</w:t>
            </w:r>
          </w:p>
          <w:p>
            <w:pPr>
              <w:pStyle w:val="26"/>
              <w:keepNext w:val="0"/>
              <w:keepLines w:val="0"/>
              <w:suppressLineNumbers w:val="0"/>
              <w:spacing w:before="0" w:beforeAutospacing="0" w:after="0" w:afterAutospacing="0"/>
              <w:ind w:left="0" w:leftChars="0" w:right="0" w:firstLine="0" w:firstLineChars="0"/>
              <w:outlineLvl w:val="9"/>
              <w:rPr>
                <w:rFonts w:hint="default"/>
                <w:color w:val="auto"/>
              </w:rPr>
            </w:pPr>
            <w:r>
              <w:rPr>
                <w:rFonts w:hint="eastAsia"/>
                <w:color w:val="auto"/>
                <w:lang w:val="en-US" w:eastAsia="zh-CN" w:bidi="ar"/>
              </w:rPr>
              <w:t>2.2</w:t>
            </w:r>
            <w:r>
              <w:rPr>
                <w:rFonts w:hint="eastAsia"/>
                <w:color w:val="auto"/>
                <w:lang w:bidi="ar"/>
              </w:rPr>
              <w:t>项目基本概况</w:t>
            </w:r>
          </w:p>
          <w:p>
            <w:pPr>
              <w:keepNext w:val="0"/>
              <w:keepLines w:val="0"/>
              <w:suppressLineNumbers w:val="0"/>
              <w:spacing w:before="0" w:beforeAutospacing="0" w:after="0" w:afterAutospacing="0"/>
              <w:ind w:left="0" w:right="0" w:firstLine="480"/>
              <w:rPr>
                <w:rFonts w:hint="eastAsia"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rPr>
              <w:t>）</w:t>
            </w:r>
            <w:r>
              <w:rPr>
                <w:rFonts w:hint="eastAsia" w:ascii="Times New Roman" w:hAnsi="Times New Roman" w:cs="Times New Roman"/>
                <w:color w:val="auto"/>
                <w:lang w:val="en-US" w:eastAsia="zh-CN"/>
              </w:rPr>
              <w:t>勘查矿种：</w:t>
            </w:r>
            <w:r>
              <w:rPr>
                <w:rFonts w:hint="eastAsia" w:ascii="Times New Roman" w:hAnsi="Times New Roman" w:cs="Times New Roman"/>
                <w:color w:val="auto"/>
                <w:highlight w:val="none"/>
              </w:rPr>
              <w:t>铜金矿</w:t>
            </w:r>
          </w:p>
          <w:p>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lang w:val="en-US" w:eastAsia="zh-CN"/>
              </w:rPr>
              <w:t>探矿方式：1:25000土壤地球化学测量，</w:t>
            </w:r>
            <w:r>
              <w:rPr>
                <w:rFonts w:hint="eastAsia" w:cs="Times New Roman"/>
                <w:color w:val="auto"/>
                <w:lang w:val="en-US" w:eastAsia="zh-CN"/>
              </w:rPr>
              <w:t>1</w:t>
            </w:r>
            <w:r>
              <w:rPr>
                <w:rFonts w:hint="eastAsia" w:ascii="Times New Roman" w:hAnsi="Times New Roman" w:eastAsia="宋体" w:cs="Times New Roman"/>
                <w:color w:val="auto"/>
                <w:lang w:val="en-US" w:eastAsia="zh-CN"/>
              </w:rPr>
              <w:t>:10000地质修测，</w:t>
            </w:r>
            <w:r>
              <w:rPr>
                <w:rFonts w:hint="eastAsia" w:cs="Times New Roman"/>
                <w:color w:val="auto"/>
                <w:lang w:val="en-US" w:eastAsia="zh-CN"/>
              </w:rPr>
              <w:t>1</w:t>
            </w:r>
            <w:r>
              <w:rPr>
                <w:rFonts w:hint="eastAsia" w:ascii="Times New Roman" w:hAnsi="Times New Roman" w:eastAsia="宋体" w:cs="Times New Roman"/>
                <w:color w:val="auto"/>
                <w:lang w:val="en-US" w:eastAsia="zh-CN"/>
              </w:rPr>
              <w:t>:5000土壤地球化学剖面测量，土壤化探样，基本化学分析样，内检样，光、薄片等综合勘查技术方法</w:t>
            </w:r>
          </w:p>
          <w:p>
            <w:pPr>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w:t>
            </w:r>
            <w:r>
              <w:rPr>
                <w:rFonts w:hint="default" w:ascii="Times New Roman" w:hAnsi="Times New Roman" w:cs="Times New Roman"/>
                <w:color w:val="auto"/>
              </w:rPr>
              <w:t>工程投资：</w:t>
            </w:r>
            <w:r>
              <w:rPr>
                <w:rFonts w:hint="eastAsia" w:cs="Times New Roman"/>
                <w:color w:val="auto"/>
                <w:highlight w:val="none"/>
                <w:lang w:val="en-US" w:eastAsia="zh-CN"/>
              </w:rPr>
              <w:t>78.93</w:t>
            </w:r>
            <w:r>
              <w:rPr>
                <w:rFonts w:hint="default" w:ascii="Times New Roman" w:hAnsi="Times New Roman" w:cs="Times New Roman"/>
                <w:color w:val="auto"/>
              </w:rPr>
              <w:t>万元</w:t>
            </w:r>
          </w:p>
          <w:p>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rPr>
              <w:t>）</w:t>
            </w:r>
            <w:r>
              <w:rPr>
                <w:rFonts w:hint="eastAsia" w:ascii="Times New Roman" w:hAnsi="Times New Roman" w:cs="Times New Roman"/>
                <w:color w:val="auto"/>
              </w:rPr>
              <w:t>勘查面积：</w:t>
            </w:r>
            <w:r>
              <w:rPr>
                <w:rFonts w:hint="eastAsia" w:cs="Times New Roman"/>
                <w:color w:val="auto"/>
                <w:lang w:val="en-US" w:eastAsia="zh-CN"/>
              </w:rPr>
              <w:t>1176</w:t>
            </w:r>
            <w:r>
              <w:rPr>
                <w:rFonts w:hint="eastAsia" w:ascii="Times New Roman" w:hAnsi="Times New Roman" w:cs="Times New Roman"/>
                <w:color w:val="auto"/>
                <w:lang w:val="en-US" w:eastAsia="zh-CN"/>
              </w:rPr>
              <w:t>0000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p>
          <w:p>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w:t>
            </w:r>
            <w:r>
              <w:rPr>
                <w:rFonts w:hint="eastAsia" w:ascii="Times New Roman" w:hAnsi="Times New Roman" w:cs="Times New Roman"/>
                <w:color w:val="auto"/>
              </w:rPr>
              <w:t>总体工作部署：</w:t>
            </w:r>
          </w:p>
          <w:p>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r>
              <w:rPr>
                <w:rFonts w:hint="eastAsia" w:ascii="宋体" w:hAnsi="宋体" w:cs="宋体"/>
                <w:color w:val="auto"/>
                <w:lang w:val="en-US" w:eastAsia="zh-CN"/>
              </w:rPr>
              <w:t>①</w:t>
            </w:r>
            <w:r>
              <w:rPr>
                <w:rFonts w:hint="eastAsia" w:ascii="宋体" w:hAnsi="宋体" w:cs="宋体"/>
                <w:color w:val="auto"/>
              </w:rPr>
              <w:t>系统收集工作区以往地、物、化、遥以及矿产勘查资料，进一步分析总结工作区控矿因素与成矿规律，指导本次勘查工作开展。</w:t>
            </w:r>
          </w:p>
          <w:p>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②</w:t>
            </w:r>
            <w:r>
              <w:rPr>
                <w:rFonts w:hint="default" w:ascii="Times New Roman" w:hAnsi="Times New Roman" w:cs="Times New Roman"/>
                <w:color w:val="auto"/>
                <w:lang w:val="en-US" w:eastAsia="zh-CN"/>
              </w:rPr>
              <w:t>开展工作区全区</w:t>
            </w:r>
            <w:r>
              <w:rPr>
                <w:rFonts w:hint="eastAsia" w:ascii="Times New Roman" w:hAnsi="Times New Roman" w:eastAsia="宋体" w:cs="Times New Roman"/>
                <w:color w:val="auto"/>
                <w:lang w:val="en-US" w:eastAsia="zh-CN"/>
              </w:rPr>
              <w:t>1:25000土壤地球化学测量，</w:t>
            </w:r>
            <w:r>
              <w:rPr>
                <w:rFonts w:hint="eastAsia" w:cs="Times New Roman"/>
                <w:color w:val="auto"/>
                <w:lang w:val="en-US" w:eastAsia="zh-CN"/>
              </w:rPr>
              <w:t>1</w:t>
            </w:r>
            <w:r>
              <w:rPr>
                <w:rFonts w:hint="eastAsia" w:ascii="Times New Roman" w:hAnsi="Times New Roman" w:eastAsia="宋体" w:cs="Times New Roman"/>
                <w:color w:val="auto"/>
                <w:lang w:val="en-US" w:eastAsia="zh-CN"/>
              </w:rPr>
              <w:t>:10000地质修测，</w:t>
            </w:r>
            <w:r>
              <w:rPr>
                <w:rFonts w:hint="eastAsia" w:cs="Times New Roman"/>
                <w:color w:val="auto"/>
                <w:lang w:val="en-US" w:eastAsia="zh-CN"/>
              </w:rPr>
              <w:t>1</w:t>
            </w:r>
            <w:r>
              <w:rPr>
                <w:rFonts w:hint="eastAsia" w:ascii="Times New Roman" w:hAnsi="Times New Roman" w:eastAsia="宋体" w:cs="Times New Roman"/>
                <w:color w:val="auto"/>
                <w:lang w:val="en-US" w:eastAsia="zh-CN"/>
              </w:rPr>
              <w:t>:5000土壤地球化学剖面测量</w:t>
            </w:r>
            <w:r>
              <w:rPr>
                <w:rFonts w:hint="default" w:ascii="Times New Roman" w:hAnsi="Times New Roman" w:cs="Times New Roman"/>
                <w:color w:val="auto"/>
                <w:lang w:val="en-US" w:eastAsia="zh-CN"/>
              </w:rPr>
              <w:t>，进一步查明工作区成矿地质条件、矿化特征、控矿因素等；利用</w:t>
            </w:r>
            <w:r>
              <w:rPr>
                <w:rFonts w:hint="eastAsia" w:cs="Times New Roman"/>
                <w:color w:val="auto"/>
                <w:lang w:val="en-US" w:eastAsia="zh-CN"/>
              </w:rPr>
              <w:t>取样</w:t>
            </w:r>
            <w:r>
              <w:rPr>
                <w:rFonts w:hint="default" w:ascii="Times New Roman" w:hAnsi="Times New Roman" w:cs="Times New Roman"/>
                <w:color w:val="auto"/>
                <w:lang w:val="en-US" w:eastAsia="zh-CN"/>
              </w:rPr>
              <w:t>对化探异常进行揭露、对已知矿化带延伸进行扩大控制，圈定矿体。</w:t>
            </w:r>
          </w:p>
          <w:p>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eastAsia" w:ascii="Times New Roman" w:hAnsi="Times New Roman" w:cs="Times New Roman"/>
                <w:color w:val="auto"/>
              </w:rPr>
              <w:t>（</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勘查</w:t>
            </w:r>
            <w:r>
              <w:rPr>
                <w:rFonts w:hint="eastAsia" w:ascii="Times New Roman" w:hAnsi="Times New Roman" w:cs="Times New Roman"/>
                <w:color w:val="auto"/>
              </w:rPr>
              <w:t>的目的和任务</w:t>
            </w:r>
          </w:p>
          <w:p>
            <w:pPr>
              <w:keepNext w:val="0"/>
              <w:keepLines w:val="0"/>
              <w:suppressLineNumbers w:val="0"/>
              <w:tabs>
                <w:tab w:val="left" w:pos="6000"/>
              </w:tabs>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宋体" w:hAnsi="宋体" w:cs="宋体"/>
                <w:color w:val="auto"/>
              </w:rPr>
              <w:t>在充分收集与分析已有工作成果资料的基础上，以寻找</w:t>
            </w:r>
            <w:r>
              <w:rPr>
                <w:rFonts w:hint="eastAsia" w:ascii="Times New Roman" w:hAnsi="Times New Roman" w:cs="Times New Roman"/>
                <w:color w:val="auto"/>
                <w:highlight w:val="none"/>
              </w:rPr>
              <w:t>铜金矿</w:t>
            </w:r>
            <w:r>
              <w:rPr>
                <w:rFonts w:hint="eastAsia" w:ascii="宋体" w:hAnsi="宋体" w:cs="宋体"/>
                <w:color w:val="auto"/>
              </w:rPr>
              <w:t>为主攻目标。采用</w:t>
            </w:r>
            <w:r>
              <w:rPr>
                <w:rFonts w:hint="eastAsia" w:ascii="Times New Roman" w:hAnsi="Times New Roman" w:eastAsia="宋体" w:cs="Times New Roman"/>
                <w:color w:val="auto"/>
                <w:lang w:val="en-US" w:eastAsia="zh-CN"/>
              </w:rPr>
              <w:t>地质测量、综合剖面测量</w:t>
            </w:r>
            <w:r>
              <w:rPr>
                <w:rFonts w:hint="eastAsia" w:cs="Times New Roman"/>
                <w:color w:val="auto"/>
                <w:lang w:val="en-US" w:eastAsia="zh-CN"/>
              </w:rPr>
              <w:t>、化学样分析</w:t>
            </w:r>
            <w:r>
              <w:rPr>
                <w:rFonts w:hint="eastAsia" w:ascii="宋体" w:hAnsi="宋体" w:cs="宋体"/>
                <w:color w:val="auto"/>
              </w:rPr>
              <w:t>等方法，对</w:t>
            </w:r>
            <w:r>
              <w:rPr>
                <w:rFonts w:hint="eastAsia" w:ascii="Times New Roman" w:hAnsi="Times New Roman" w:cs="Times New Roman"/>
                <w:color w:val="auto"/>
                <w:highlight w:val="none"/>
              </w:rPr>
              <w:t>新疆和静县巴格亚马特铜金矿勘探</w:t>
            </w:r>
            <w:r>
              <w:rPr>
                <w:rFonts w:hint="eastAsia" w:ascii="宋体" w:hAnsi="宋体" w:cs="宋体"/>
                <w:color w:val="auto"/>
              </w:rPr>
              <w:t>工作区开展普查工作，初步查明成矿地质条件、控矿因素和矿体特征，估算推断资源量，为下一步勘查工作部署提供依据。</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outlineLvl w:val="9"/>
              <w:rPr>
                <w:rFonts w:hint="default"/>
                <w:color w:val="auto"/>
              </w:rPr>
            </w:pPr>
            <w:r>
              <w:rPr>
                <w:rFonts w:hint="eastAsia"/>
                <w:color w:val="auto"/>
                <w:lang w:val="en-US" w:eastAsia="zh-CN"/>
              </w:rPr>
              <w:t>2.3</w:t>
            </w:r>
            <w:r>
              <w:rPr>
                <w:rFonts w:hint="default"/>
                <w:color w:val="auto"/>
              </w:rPr>
              <w:t>项目主要经济技术指标</w:t>
            </w:r>
          </w:p>
          <w:p>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cs="Times New Roman"/>
                <w:color w:val="auto"/>
              </w:rPr>
              <w:t>本项目主要经济技术指标见表</w:t>
            </w:r>
            <w:r>
              <w:rPr>
                <w:rFonts w:hint="eastAsia" w:ascii="Times New Roman" w:hAnsi="Times New Roman" w:cs="Times New Roman"/>
                <w:color w:val="auto"/>
                <w:lang w:val="en-US" w:eastAsia="zh-CN"/>
              </w:rPr>
              <w:t>2-2</w:t>
            </w:r>
            <w:r>
              <w:rPr>
                <w:rFonts w:hint="default" w:ascii="Times New Roman" w:hAnsi="Times New Roman" w:cs="Times New Roman"/>
                <w:color w:val="auto"/>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color w:val="auto"/>
              </w:rPr>
            </w:pPr>
            <w:r>
              <w:rPr>
                <w:rFonts w:hint="eastAsia" w:cs="Times New Roman"/>
                <w:color w:val="auto"/>
              </w:rPr>
              <w:t>表</w:t>
            </w:r>
            <w:r>
              <w:rPr>
                <w:rFonts w:hint="eastAsia" w:cs="Times New Roman"/>
                <w:color w:val="auto"/>
                <w:lang w:val="en-US" w:eastAsia="zh-CN"/>
              </w:rPr>
              <w:t>2-2</w:t>
            </w:r>
            <w:r>
              <w:rPr>
                <w:rFonts w:hint="default" w:cs="Times New Roman"/>
                <w:color w:val="auto"/>
              </w:rPr>
              <w:t xml:space="preserve">  </w:t>
            </w:r>
            <w:r>
              <w:rPr>
                <w:rFonts w:hint="eastAsia" w:cs="Times New Roman"/>
                <w:color w:val="auto"/>
                <w:lang w:val="en-US" w:eastAsia="zh-CN"/>
              </w:rPr>
              <w:t xml:space="preserve"> </w:t>
            </w:r>
            <w:r>
              <w:rPr>
                <w:rFonts w:hint="eastAsia" w:cs="Times New Roman"/>
                <w:bCs/>
                <w:color w:val="auto"/>
              </w:rPr>
              <w:t>本项目主要经济技术指标</w:t>
            </w:r>
          </w:p>
          <w:tbl>
            <w:tblPr>
              <w:tblStyle w:val="28"/>
              <w:tblW w:w="8192"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371"/>
              <w:gridCol w:w="2048"/>
              <w:gridCol w:w="20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3371" w:type="dxa"/>
                  <w:tcBorders>
                    <w:tl2br w:val="nil"/>
                    <w:tr2bl w:val="nil"/>
                  </w:tcBorders>
                  <w:noWrap w:val="0"/>
                  <w:vAlign w:val="top"/>
                </w:tcPr>
                <w:p>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项目</w:t>
                  </w:r>
                </w:p>
              </w:tc>
              <w:tc>
                <w:tcPr>
                  <w:tcW w:w="2048" w:type="dxa"/>
                  <w:tcBorders>
                    <w:tl2br w:val="nil"/>
                    <w:tr2bl w:val="nil"/>
                  </w:tcBorders>
                  <w:noWrap w:val="0"/>
                  <w:vAlign w:val="top"/>
                </w:tcPr>
                <w:p>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单位</w:t>
                  </w:r>
                </w:p>
              </w:tc>
              <w:tc>
                <w:tcPr>
                  <w:tcW w:w="2048" w:type="dxa"/>
                  <w:tcBorders>
                    <w:tl2br w:val="nil"/>
                    <w:tr2bl w:val="nil"/>
                  </w:tcBorders>
                  <w:noWrap w:val="0"/>
                  <w:vAlign w:val="top"/>
                </w:tcPr>
                <w:p>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工作量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lang w:val="en-US" w:eastAsia="zh-CN"/>
                    </w:rPr>
                    <w:t>1</w:t>
                  </w:r>
                </w:p>
              </w:tc>
              <w:tc>
                <w:tcPr>
                  <w:tcW w:w="3371"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1:1万地质修测</w:t>
                  </w:r>
                </w:p>
              </w:tc>
              <w:tc>
                <w:tcPr>
                  <w:tcW w:w="204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平方千米</w:t>
                  </w:r>
                </w:p>
              </w:tc>
              <w:tc>
                <w:tcPr>
                  <w:tcW w:w="2048"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11.76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2</w:t>
                  </w:r>
                </w:p>
              </w:tc>
              <w:tc>
                <w:tcPr>
                  <w:tcW w:w="3371"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1:2.5万土壤地球化学测量</w:t>
                  </w:r>
                </w:p>
              </w:tc>
              <w:tc>
                <w:tcPr>
                  <w:tcW w:w="204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平方千米</w:t>
                  </w:r>
                </w:p>
              </w:tc>
              <w:tc>
                <w:tcPr>
                  <w:tcW w:w="2048"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11.76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3</w:t>
                  </w:r>
                </w:p>
              </w:tc>
              <w:tc>
                <w:tcPr>
                  <w:tcW w:w="3371"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1:5000土壤地球化学剖面测量</w:t>
                  </w:r>
                </w:p>
              </w:tc>
              <w:tc>
                <w:tcPr>
                  <w:tcW w:w="204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千米</w:t>
                  </w:r>
                </w:p>
              </w:tc>
              <w:tc>
                <w:tcPr>
                  <w:tcW w:w="2048"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4</w:t>
                  </w:r>
                </w:p>
              </w:tc>
              <w:tc>
                <w:tcPr>
                  <w:tcW w:w="3371"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基本分析</w:t>
                  </w:r>
                </w:p>
              </w:tc>
              <w:tc>
                <w:tcPr>
                  <w:tcW w:w="204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auto"/>
                      <w:sz w:val="21"/>
                      <w:szCs w:val="21"/>
                      <w:lang w:val="en-US"/>
                    </w:rPr>
                    <w:t>件</w:t>
                  </w:r>
                </w:p>
              </w:tc>
              <w:tc>
                <w:tcPr>
                  <w:tcW w:w="2048" w:type="dxa"/>
                  <w:tcBorders>
                    <w:tl2br w:val="nil"/>
                    <w:tr2bl w:val="nil"/>
                  </w:tcBorders>
                  <w:noWrap w:val="0"/>
                  <w:vAlign w:val="center"/>
                </w:tcPr>
                <w:p>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5</w:t>
                  </w:r>
                </w:p>
              </w:tc>
              <w:tc>
                <w:tcPr>
                  <w:tcW w:w="3371"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color w:val="auto"/>
                      <w:sz w:val="21"/>
                      <w:szCs w:val="21"/>
                      <w:lang w:val="en-US" w:eastAsia="zh-CN"/>
                    </w:rPr>
                    <w:t>化探样</w:t>
                  </w:r>
                </w:p>
              </w:tc>
              <w:tc>
                <w:tcPr>
                  <w:tcW w:w="2048" w:type="dxa"/>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auto"/>
                      <w:sz w:val="21"/>
                      <w:szCs w:val="21"/>
                      <w:lang w:val="en-US"/>
                    </w:rPr>
                    <w:t>件</w:t>
                  </w:r>
                </w:p>
              </w:tc>
              <w:tc>
                <w:tcPr>
                  <w:tcW w:w="2048"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6</w:t>
                  </w:r>
                </w:p>
              </w:tc>
              <w:tc>
                <w:tcPr>
                  <w:tcW w:w="3371"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color w:val="auto"/>
                      <w:sz w:val="21"/>
                      <w:szCs w:val="21"/>
                      <w:lang w:val="en-US" w:eastAsia="zh-CN"/>
                    </w:rPr>
                    <w:t>光片制片与鉴定</w:t>
                  </w:r>
                </w:p>
              </w:tc>
              <w:tc>
                <w:tcPr>
                  <w:tcW w:w="2048"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default" w:ascii="Times New Roman" w:hAnsi="Times New Roman" w:eastAsia="宋体" w:cs="Times New Roman"/>
                      <w:snapToGrid/>
                      <w:color w:val="auto"/>
                      <w:sz w:val="21"/>
                      <w:szCs w:val="21"/>
                      <w:lang w:val="en-US"/>
                    </w:rPr>
                    <w:t>件</w:t>
                  </w:r>
                </w:p>
              </w:tc>
              <w:tc>
                <w:tcPr>
                  <w:tcW w:w="2048"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7</w:t>
                  </w:r>
                </w:p>
              </w:tc>
              <w:tc>
                <w:tcPr>
                  <w:tcW w:w="3371"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snapToGrid/>
                      <w:color w:val="auto"/>
                      <w:sz w:val="21"/>
                      <w:szCs w:val="21"/>
                      <w:lang w:val="en-US"/>
                    </w:rPr>
                    <w:t>薄片制片与鉴定</w:t>
                  </w:r>
                </w:p>
              </w:tc>
              <w:tc>
                <w:tcPr>
                  <w:tcW w:w="2048"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default" w:ascii="Times New Roman" w:hAnsi="Times New Roman" w:eastAsia="宋体" w:cs="Times New Roman"/>
                      <w:snapToGrid/>
                      <w:color w:val="auto"/>
                      <w:sz w:val="21"/>
                      <w:szCs w:val="21"/>
                      <w:lang w:val="en-US"/>
                    </w:rPr>
                    <w:t>件</w:t>
                  </w:r>
                </w:p>
              </w:tc>
              <w:tc>
                <w:tcPr>
                  <w:tcW w:w="2048" w:type="dxa"/>
                  <w:tcBorders>
                    <w:tl2br w:val="nil"/>
                    <w:tr2bl w:val="nil"/>
                  </w:tcBorders>
                  <w:shd w:val="clear" w:color="auto" w:fill="auto"/>
                  <w:noWrap w:val="0"/>
                  <w:vAlign w:val="center"/>
                </w:tcPr>
                <w:p>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snapToGrid w:val="0"/>
                      <w:color w:val="auto"/>
                      <w:spacing w:val="-4"/>
                      <w:kern w:val="2"/>
                      <w:sz w:val="21"/>
                      <w:szCs w:val="21"/>
                      <w:lang w:val="en-US" w:eastAsia="zh-CN" w:bidi="ar-SA"/>
                    </w:rPr>
                    <w:t>10</w:t>
                  </w:r>
                </w:p>
              </w:tc>
            </w:tr>
          </w:tbl>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2.4</w:t>
            </w:r>
            <w:r>
              <w:rPr>
                <w:rFonts w:hint="default" w:ascii="Times New Roman" w:hAnsi="Times New Roman" w:cs="Times New Roman"/>
                <w:color w:val="auto"/>
              </w:rPr>
              <w:t>建设内容及规模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本项目为矿区地质</w:t>
            </w:r>
            <w:r>
              <w:rPr>
                <w:rFonts w:hint="eastAsia"/>
                <w:color w:val="auto"/>
                <w:lang w:val="en-US" w:eastAsia="zh-CN"/>
              </w:rPr>
              <w:t>勘查</w:t>
            </w:r>
            <w:r>
              <w:rPr>
                <w:rFonts w:hint="default" w:ascii="Times New Roman" w:hAnsi="Times New Roman" w:cs="Times New Roman"/>
                <w:color w:val="auto"/>
                <w:lang w:val="en-US" w:eastAsia="zh-CN"/>
              </w:rPr>
              <w:t>活动，主要为</w:t>
            </w:r>
            <w:r>
              <w:rPr>
                <w:rFonts w:hint="eastAsia"/>
                <w:color w:val="auto"/>
                <w:lang w:val="en-US" w:eastAsia="zh-CN"/>
              </w:rPr>
              <w:t>勘查</w:t>
            </w:r>
            <w:r>
              <w:rPr>
                <w:rFonts w:hint="default" w:ascii="Times New Roman" w:hAnsi="Times New Roman" w:cs="Times New Roman"/>
                <w:color w:val="auto"/>
                <w:lang w:val="en-US" w:eastAsia="zh-CN"/>
              </w:rPr>
              <w:t>工程施工，不涉及矿区开采运营。</w:t>
            </w:r>
            <w:r>
              <w:rPr>
                <w:rFonts w:hint="default" w:ascii="Times New Roman" w:hAnsi="Times New Roman" w:cs="Times New Roman"/>
                <w:color w:val="auto"/>
              </w:rPr>
              <w:t>本项目组成见表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-3</w:t>
            </w:r>
            <w:r>
              <w:rPr>
                <w:rFonts w:hint="default" w:ascii="Times New Roman" w:hAnsi="Times New Roman" w:cs="Times New Roman"/>
                <w:color w:val="auto"/>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eastAsia" w:cs="Times New Roman"/>
                <w:color w:val="auto"/>
                <w:lang w:val="en-US" w:eastAsia="zh-CN"/>
              </w:rPr>
              <w:t>-3</w:t>
            </w:r>
            <w:r>
              <w:rPr>
                <w:rFonts w:hint="default" w:ascii="Times New Roman" w:hAnsi="Times New Roman" w:cs="Times New Roman"/>
                <w:color w:val="auto"/>
              </w:rPr>
              <w:t xml:space="preserve">   建设项目组成一览表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127"/>
              <w:gridCol w:w="5468"/>
              <w:gridCol w:w="8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jc w:val="center"/>
              </w:trPr>
              <w:tc>
                <w:tcPr>
                  <w:tcW w:w="1850" w:type="dxa"/>
                  <w:gridSpan w:val="2"/>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项目组成</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工程内容与规模</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主体工程</w:t>
                  </w: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snapToGrid w:val="0"/>
                      <w:color w:val="auto"/>
                      <w:spacing w:val="4"/>
                      <w:kern w:val="0"/>
                    </w:rPr>
                    <w:t>地质</w:t>
                  </w:r>
                  <w:r>
                    <w:rPr>
                      <w:rFonts w:hint="default" w:ascii="Times New Roman" w:hAnsi="Times New Roman" w:eastAsia="宋体" w:cs="Times New Roman"/>
                      <w:color w:val="auto"/>
                      <w:kern w:val="2"/>
                      <w:sz w:val="21"/>
                      <w:szCs w:val="21"/>
                      <w:lang w:val="en-US" w:eastAsia="zh-CN" w:bidi="ar-SA"/>
                    </w:rPr>
                    <w:t>测量</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开展工作区全区</w:t>
                  </w:r>
                  <w:r>
                    <w:rPr>
                      <w:rFonts w:hint="default" w:ascii="Times New Roman" w:hAnsi="Times New Roman" w:eastAsia="宋体" w:cs="Times New Roman"/>
                      <w:color w:val="auto"/>
                      <w:kern w:val="2"/>
                      <w:sz w:val="21"/>
                      <w:szCs w:val="21"/>
                      <w:lang w:val="en-US" w:eastAsia="zh-CN" w:bidi="ar-SA"/>
                    </w:rPr>
                    <w:t>1:1万地质修测</w:t>
                  </w:r>
                  <w:r>
                    <w:rPr>
                      <w:rFonts w:hint="default" w:ascii="Times New Roman" w:hAnsi="Times New Roman" w:cs="Times New Roman"/>
                      <w:color w:val="auto"/>
                      <w:lang w:val="en-US" w:eastAsia="zh-CN"/>
                    </w:rPr>
                    <w:t>，进一步查明工作区成矿地质条件、矿化特征、控矿因素等</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化探</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rPr>
                  </w:pPr>
                  <w:r>
                    <w:rPr>
                      <w:rFonts w:hint="default" w:ascii="Times New Roman" w:hAnsi="Times New Roman" w:cs="Times New Roman"/>
                      <w:color w:val="auto"/>
                      <w:lang w:val="en-US" w:eastAsia="zh-CN"/>
                    </w:rPr>
                    <w:t>开展工作区全区</w:t>
                  </w:r>
                  <w:r>
                    <w:rPr>
                      <w:rFonts w:hint="default" w:ascii="Times New Roman" w:hAnsi="Times New Roman" w:eastAsia="宋体" w:cs="Times New Roman"/>
                      <w:color w:val="auto"/>
                      <w:kern w:val="2"/>
                      <w:sz w:val="21"/>
                      <w:szCs w:val="21"/>
                      <w:lang w:val="en-US" w:eastAsia="zh-CN" w:bidi="ar-SA"/>
                    </w:rPr>
                    <w:t>1:2.5万土壤地球化学测量</w:t>
                  </w:r>
                  <w:r>
                    <w:rPr>
                      <w:rFonts w:hint="eastAsia" w:cs="Times New Roman"/>
                      <w:color w:val="auto"/>
                      <w:kern w:val="2"/>
                      <w:sz w:val="21"/>
                      <w:szCs w:val="21"/>
                      <w:lang w:val="en-US" w:eastAsia="zh-CN" w:bidi="ar-SA"/>
                    </w:rPr>
                    <w:t>和</w:t>
                  </w:r>
                  <w:r>
                    <w:rPr>
                      <w:rFonts w:hint="default" w:ascii="Times New Roman" w:hAnsi="Times New Roman" w:eastAsia="宋体" w:cs="Times New Roman"/>
                      <w:color w:val="auto"/>
                      <w:kern w:val="2"/>
                      <w:sz w:val="21"/>
                      <w:szCs w:val="21"/>
                      <w:lang w:val="en-US" w:eastAsia="zh-CN" w:bidi="ar-SA"/>
                    </w:rPr>
                    <w:t>1.1:5000土壤地球化学剖面测量</w:t>
                  </w:r>
                  <w:r>
                    <w:rPr>
                      <w:rFonts w:hint="default" w:ascii="Times New Roman" w:hAnsi="Times New Roman" w:cs="Times New Roman"/>
                      <w:color w:val="auto"/>
                      <w:lang w:val="en-US" w:eastAsia="zh-CN"/>
                    </w:rPr>
                    <w:t>，通过系统测量和研究岩石、土壤、水体及其他天然物质中的地球化学指标，寻找与矿化或资源分布相关的异常区域</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lang w:val="en-US" w:eastAsia="zh-CN"/>
                    </w:rPr>
                    <w:t>采样测试</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kern w:val="2"/>
                      <w:sz w:val="21"/>
                      <w:szCs w:val="22"/>
                      <w:highlight w:val="none"/>
                      <w:lang w:val="en-US" w:eastAsia="zh-CN" w:bidi="ar-SA"/>
                    </w:rPr>
                  </w:pPr>
                  <w:r>
                    <w:rPr>
                      <w:rFonts w:hint="default" w:ascii="Times New Roman" w:hAnsi="Times New Roman" w:cs="Times New Roman"/>
                      <w:color w:val="auto"/>
                      <w:sz w:val="21"/>
                      <w:szCs w:val="21"/>
                      <w:highlight w:val="none"/>
                    </w:rPr>
                    <w:t>样品化验工作</w:t>
                  </w:r>
                  <w:r>
                    <w:rPr>
                      <w:rFonts w:hint="default" w:ascii="Times New Roman" w:hAnsi="Times New Roman" w:cs="Times New Roman"/>
                      <w:color w:val="auto"/>
                      <w:sz w:val="21"/>
                      <w:szCs w:val="21"/>
                      <w:highlight w:val="none"/>
                      <w:lang w:val="en-US" w:eastAsia="zh-CN"/>
                    </w:rPr>
                    <w:t>委托有</w:t>
                  </w:r>
                  <w:r>
                    <w:rPr>
                      <w:rFonts w:hint="default" w:ascii="Times New Roman" w:hAnsi="Times New Roman" w:cs="Times New Roman"/>
                      <w:color w:val="auto"/>
                      <w:sz w:val="21"/>
                      <w:szCs w:val="21"/>
                      <w:highlight w:val="none"/>
                    </w:rPr>
                    <w:t>资质</w:t>
                  </w:r>
                  <w:r>
                    <w:rPr>
                      <w:rFonts w:hint="eastAsia" w:ascii="Times New Roman" w:hAnsi="Times New Roman" w:cs="Times New Roman"/>
                      <w:color w:val="auto"/>
                      <w:sz w:val="21"/>
                      <w:szCs w:val="21"/>
                      <w:highlight w:val="none"/>
                      <w:lang w:val="en-US" w:eastAsia="zh-CN"/>
                    </w:rPr>
                    <w:t>的</w:t>
                  </w:r>
                  <w:r>
                    <w:rPr>
                      <w:rFonts w:hint="default" w:ascii="Times New Roman" w:hAnsi="Times New Roman" w:cs="Times New Roman"/>
                      <w:color w:val="auto"/>
                      <w:sz w:val="21"/>
                      <w:szCs w:val="21"/>
                      <w:highlight w:val="none"/>
                      <w:lang w:val="en-US" w:eastAsia="zh-CN"/>
                    </w:rPr>
                    <w:t>第三方</w:t>
                  </w:r>
                  <w:r>
                    <w:rPr>
                      <w:rFonts w:hint="default" w:ascii="Times New Roman" w:hAnsi="Times New Roman" w:cs="Times New Roman"/>
                      <w:color w:val="auto"/>
                      <w:sz w:val="21"/>
                      <w:szCs w:val="21"/>
                      <w:highlight w:val="none"/>
                    </w:rPr>
                    <w:t>测试单位进行分析</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辅助工程</w:t>
                  </w: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施工营地</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Cs w:val="21"/>
                    </w:rPr>
                    <w:t>本次探矿活动在探矿作业区内搭设临时帐篷用于施工人员休息使用</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占地面积（500m</w:t>
                  </w:r>
                  <w:r>
                    <w:rPr>
                      <w:rFonts w:hint="default" w:ascii="Times New Roman" w:hAnsi="Times New Roman" w:cs="Times New Roman"/>
                      <w:color w:val="auto"/>
                      <w:szCs w:val="21"/>
                      <w:vertAlign w:val="superscript"/>
                      <w:lang w:val="en-US" w:eastAsia="zh-CN"/>
                    </w:rPr>
                    <w:t>2</w:t>
                  </w:r>
                  <w:r>
                    <w:rPr>
                      <w:rFonts w:hint="default" w:ascii="Times New Roman" w:hAnsi="Times New Roman" w:cs="Times New Roman"/>
                      <w:color w:val="auto"/>
                      <w:szCs w:val="21"/>
                      <w:lang w:val="en-US" w:eastAsia="zh-CN"/>
                    </w:rPr>
                    <w:t>），施工营</w:t>
                  </w:r>
                  <w:r>
                    <w:rPr>
                      <w:rFonts w:hint="eastAsia" w:ascii="Times New Roman" w:hAnsi="Times New Roman" w:cs="Times New Roman"/>
                      <w:color w:val="auto"/>
                      <w:szCs w:val="21"/>
                      <w:lang w:val="en-US" w:eastAsia="zh-CN"/>
                    </w:rPr>
                    <w:t>地</w:t>
                  </w:r>
                  <w:r>
                    <w:rPr>
                      <w:rFonts w:hint="default" w:ascii="Times New Roman" w:hAnsi="Times New Roman" w:cs="Times New Roman"/>
                      <w:color w:val="auto"/>
                      <w:szCs w:val="21"/>
                      <w:lang w:val="en-US" w:eastAsia="zh-CN"/>
                    </w:rPr>
                    <w:t>选址地势平坦、避开陡坡和易发生地质灾害的区域</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lang w:val="en-US" w:eastAsia="zh-CN"/>
                    </w:rPr>
                  </w:pPr>
                  <w:r>
                    <w:rPr>
                      <w:rFonts w:hint="eastAsia"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储运工程</w:t>
                  </w: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施工道路</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矿区内</w:t>
                  </w:r>
                  <w:r>
                    <w:rPr>
                      <w:rFonts w:hint="default" w:ascii="Times New Roman" w:hAnsi="Times New Roman" w:cs="Times New Roman"/>
                      <w:color w:val="auto"/>
                      <w:highlight w:val="none"/>
                      <w:lang w:val="en-US" w:eastAsia="zh-CN"/>
                    </w:rPr>
                    <w:t>外利用现有</w:t>
                  </w:r>
                  <w:r>
                    <w:rPr>
                      <w:rFonts w:hint="eastAsia" w:ascii="Times New Roman" w:hAnsi="Times New Roman" w:cs="Times New Roman"/>
                      <w:color w:val="auto"/>
                      <w:highlight w:val="none"/>
                      <w:lang w:val="en-US" w:eastAsia="zh-CN"/>
                    </w:rPr>
                    <w:t>道路</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rPr>
                    <w:t>临时堆场</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highlight w:val="none"/>
                    </w:rPr>
                  </w:pPr>
                  <w:r>
                    <w:rPr>
                      <w:rFonts w:hint="eastAsia" w:cs="Times New Roman"/>
                      <w:color w:val="auto"/>
                      <w:lang w:val="en-US" w:eastAsia="zh-CN"/>
                    </w:rPr>
                    <w:t>施工前表土剥离</w:t>
                  </w:r>
                  <w:r>
                    <w:rPr>
                      <w:rFonts w:hint="default" w:ascii="Times New Roman" w:hAnsi="Times New Roman" w:eastAsia="宋体" w:cs="Times New Roman"/>
                      <w:color w:val="auto"/>
                      <w:lang w:eastAsia="zh-CN"/>
                    </w:rPr>
                    <w:t>，采用可降解编织袋装袋，依次堆码堆放高度不宜超过2m，确保堆填边坡稳定</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eastAsia"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公用工程</w:t>
                  </w: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供电</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eastAsia" w:cs="Times New Roman"/>
                      <w:color w:val="auto"/>
                      <w:lang w:val="en-US" w:eastAsia="zh-CN"/>
                    </w:rPr>
                    <w:t>采用蓄电池</w:t>
                  </w:r>
                  <w:r>
                    <w:rPr>
                      <w:rFonts w:hint="default" w:ascii="Times New Roman" w:hAnsi="Times New Roman" w:eastAsia="宋体" w:cs="Times New Roman"/>
                      <w:color w:val="auto"/>
                      <w:lang w:eastAsia="zh-CN"/>
                    </w:rPr>
                    <w:t>提供用电</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供水</w:t>
                  </w:r>
                </w:p>
              </w:tc>
              <w:tc>
                <w:tcPr>
                  <w:tcW w:w="5468" w:type="dxa"/>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textAlignment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生活用水从和静县</w:t>
                  </w:r>
                  <w:r>
                    <w:rPr>
                      <w:rFonts w:hint="eastAsia" w:cs="Times New Roman"/>
                      <w:color w:val="auto"/>
                      <w:lang w:val="en-US" w:eastAsia="zh-CN"/>
                    </w:rPr>
                    <w:t>巴音布鲁克镇</w:t>
                  </w:r>
                  <w:r>
                    <w:rPr>
                      <w:rFonts w:hint="default" w:ascii="Times New Roman" w:hAnsi="Times New Roman" w:cs="Times New Roman"/>
                      <w:color w:val="auto"/>
                      <w:lang w:val="en-US" w:eastAsia="zh-CN"/>
                    </w:rPr>
                    <w:t>拉运，生活用水桶装纯净水</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排水</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本项目工人在矿区搭设临时帐篷。生活污水进入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vMerge w:val="restart"/>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环保工程</w:t>
                  </w: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废气</w:t>
                  </w:r>
                </w:p>
              </w:tc>
              <w:tc>
                <w:tcPr>
                  <w:tcW w:w="5468" w:type="dxa"/>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rPr>
                    <w:t>扬尘</w:t>
                  </w:r>
                  <w:r>
                    <w:rPr>
                      <w:rFonts w:hint="default" w:ascii="Times New Roman" w:hAnsi="Times New Roman" w:cs="Times New Roman"/>
                      <w:color w:val="auto"/>
                      <w:lang w:eastAsia="zh-CN"/>
                    </w:rPr>
                    <w:t>：</w:t>
                  </w:r>
                  <w:r>
                    <w:rPr>
                      <w:rFonts w:hint="default" w:ascii="Times New Roman" w:hAnsi="Times New Roman" w:cs="Times New Roman"/>
                      <w:color w:val="auto"/>
                    </w:rPr>
                    <w:t>采取洒水降尘措施后</w:t>
                  </w:r>
                  <w:r>
                    <w:rPr>
                      <w:rFonts w:hint="default" w:ascii="Times New Roman" w:hAnsi="Times New Roman" w:cs="Times New Roman"/>
                      <w:color w:val="auto"/>
                      <w:lang w:val="en-US" w:eastAsia="zh-CN"/>
                    </w:rPr>
                    <w:t>能减少</w:t>
                  </w:r>
                  <w:r>
                    <w:rPr>
                      <w:rFonts w:hint="default" w:ascii="Times New Roman" w:hAnsi="Times New Roman" w:cs="Times New Roman"/>
                      <w:color w:val="auto"/>
                    </w:rPr>
                    <w:t>粉尘的排放</w:t>
                  </w:r>
                  <w:r>
                    <w:rPr>
                      <w:rFonts w:hint="default" w:ascii="Times New Roman" w:hAnsi="Times New Roman" w:cs="Times New Roman"/>
                      <w:color w:val="auto"/>
                      <w:lang w:eastAsia="zh-CN"/>
                    </w:rPr>
                    <w:t>。</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废水</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本项目工人在矿区搭设临时帐篷。生活污水进入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噪声</w:t>
                  </w:r>
                </w:p>
              </w:tc>
              <w:tc>
                <w:tcPr>
                  <w:tcW w:w="5468"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低噪声设备，</w:t>
                  </w:r>
                  <w:r>
                    <w:rPr>
                      <w:rFonts w:hint="eastAsia" w:ascii="Times New Roman" w:hAnsi="Times New Roman" w:cs="Times New Roman"/>
                      <w:color w:val="auto"/>
                      <w:lang w:val="en-US" w:eastAsia="zh-CN"/>
                    </w:rPr>
                    <w:t>应</w:t>
                  </w:r>
                  <w:r>
                    <w:rPr>
                      <w:rFonts w:hint="default" w:ascii="Times New Roman" w:hAnsi="Times New Roman" w:cs="Times New Roman"/>
                      <w:color w:val="auto"/>
                    </w:rPr>
                    <w:t>对设备及时保养和维修，使设备处于良好的技术状态</w:t>
                  </w:r>
                </w:p>
              </w:tc>
              <w:tc>
                <w:tcPr>
                  <w:tcW w:w="869" w:type="dxa"/>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restart"/>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固废</w:t>
                  </w:r>
                </w:p>
              </w:tc>
              <w:tc>
                <w:tcPr>
                  <w:tcW w:w="6337" w:type="dxa"/>
                  <w:gridSpan w:val="2"/>
                  <w:tcBorders>
                    <w:tl2br w:val="nil"/>
                    <w:tr2bl w:val="nil"/>
                  </w:tcBorders>
                  <w:shd w:val="clear" w:color="auto" w:fill="auto"/>
                  <w:noWrap w:val="0"/>
                  <w:vAlign w:val="center"/>
                </w:tcPr>
                <w:p>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continue"/>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6337" w:type="dxa"/>
                  <w:gridSpan w:val="2"/>
                  <w:tcBorders>
                    <w:tl2br w:val="nil"/>
                    <w:tr2bl w:val="nil"/>
                  </w:tcBorders>
                  <w:shd w:val="clear" w:color="auto" w:fill="auto"/>
                  <w:noWrap w:val="0"/>
                  <w:vAlign w:val="center"/>
                </w:tcPr>
                <w:p>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kern w:val="0"/>
                      <w:szCs w:val="21"/>
                      <w:lang w:val="en-US" w:eastAsia="zh-CN"/>
                    </w:rPr>
                    <w:t>项目生活垃圾采用垃圾袋集中收集后定期清运至最近垃圾收集点</w:t>
                  </w:r>
                  <w:r>
                    <w:rPr>
                      <w:rFonts w:hint="default" w:ascii="Times New Roman" w:hAnsi="Times New Roman" w:cs="Times New Roman"/>
                      <w:color w:val="auto"/>
                    </w:rPr>
                    <w:t>。</w:t>
                  </w:r>
                  <w:r>
                    <w:rPr>
                      <w:rFonts w:hint="eastAsia" w:ascii="Times New Roman" w:hAnsi="Times New Roman" w:cs="Times New Roman"/>
                      <w:color w:val="auto"/>
                      <w:lang w:val="en-US" w:eastAsia="zh-CN"/>
                    </w:rPr>
                    <w:t>项目</w:t>
                  </w:r>
                  <w:r>
                    <w:rPr>
                      <w:rFonts w:hint="eastAsia" w:ascii="Times New Roman" w:hAnsi="Times New Roman" w:eastAsia="宋体" w:cs="Times New Roman"/>
                      <w:color w:val="auto"/>
                      <w:lang w:eastAsia="zh-CN"/>
                    </w:rPr>
                    <w:t>不产生危险废物，设备保养维修委托修理厂，维修保养后由修理厂自行带走</w:t>
                  </w:r>
                </w:p>
              </w:tc>
            </w:tr>
          </w:tbl>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2.5</w:t>
            </w:r>
            <w:r>
              <w:rPr>
                <w:rFonts w:hint="default" w:ascii="Times New Roman" w:hAnsi="Times New Roman" w:cs="Times New Roman"/>
                <w:color w:val="auto"/>
              </w:rPr>
              <w:t>主要设备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本项目主要设备见表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-4</w:t>
            </w:r>
            <w:r>
              <w:rPr>
                <w:rFonts w:hint="default" w:ascii="Times New Roman" w:hAnsi="Times New Roman" w:cs="Times New Roman"/>
                <w:color w:val="auto"/>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2-4</w:t>
            </w:r>
            <w:r>
              <w:rPr>
                <w:rFonts w:hint="default" w:ascii="Times New Roman" w:hAnsi="Times New Roman" w:cs="Times New Roman"/>
                <w:color w:val="auto"/>
              </w:rPr>
              <w:t xml:space="preserve">   主要设备一览表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3"/>
              <w:gridCol w:w="2864"/>
              <w:gridCol w:w="2506"/>
              <w:gridCol w:w="937"/>
              <w:gridCol w:w="9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50" w:type="dxa"/>
                  <w:tcBorders>
                    <w:tl2br w:val="nil"/>
                    <w:tr2bl w:val="nil"/>
                  </w:tcBorders>
                  <w:noWrap w:val="0"/>
                  <w:vAlign w:val="center"/>
                </w:tcPr>
                <w:p>
                  <w:pPr>
                    <w:pStyle w:val="68"/>
                    <w:keepNext w:val="0"/>
                    <w:keepLines w:val="0"/>
                    <w:pageBreakBefore w:val="0"/>
                    <w:suppressLineNumbers w:val="0"/>
                    <w:kinsoku/>
                    <w:wordWrap/>
                    <w:overflowPunct/>
                    <w:topLinePunct w:val="0"/>
                    <w:autoSpaceDE/>
                    <w:autoSpaceDN/>
                    <w:bidi w:val="0"/>
                    <w:spacing w:before="0" w:beforeAutospacing="0" w:after="0" w:afterAutospacing="0" w:line="240" w:lineRule="auto"/>
                    <w:ind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3253" w:type="dxa"/>
                  <w:tcBorders>
                    <w:tl2br w:val="nil"/>
                    <w:tr2bl w:val="nil"/>
                  </w:tcBorders>
                  <w:noWrap w:val="0"/>
                  <w:vAlign w:val="center"/>
                </w:tcPr>
                <w:p>
                  <w:pPr>
                    <w:pStyle w:val="68"/>
                    <w:keepNext w:val="0"/>
                    <w:keepLines w:val="0"/>
                    <w:pageBreakBefore w:val="0"/>
                    <w:suppressLineNumbers w:val="0"/>
                    <w:kinsoku/>
                    <w:wordWrap/>
                    <w:overflowPunct/>
                    <w:topLinePunct w:val="0"/>
                    <w:autoSpaceDE/>
                    <w:autoSpaceDN/>
                    <w:bidi w:val="0"/>
                    <w:spacing w:before="0" w:beforeAutospacing="0" w:after="0" w:afterAutospacing="0" w:line="240" w:lineRule="auto"/>
                    <w:ind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设备名称</w:t>
                  </w:r>
                </w:p>
              </w:tc>
              <w:tc>
                <w:tcPr>
                  <w:tcW w:w="2842" w:type="dxa"/>
                  <w:tcBorders>
                    <w:tl2br w:val="nil"/>
                    <w:tr2bl w:val="nil"/>
                  </w:tcBorders>
                  <w:noWrap w:val="0"/>
                  <w:vAlign w:val="center"/>
                </w:tcPr>
                <w:p>
                  <w:pPr>
                    <w:pStyle w:val="68"/>
                    <w:keepNext w:val="0"/>
                    <w:keepLines w:val="0"/>
                    <w:pageBreakBefore w:val="0"/>
                    <w:suppressLineNumbers w:val="0"/>
                    <w:kinsoku/>
                    <w:wordWrap/>
                    <w:overflowPunct/>
                    <w:topLinePunct w:val="0"/>
                    <w:autoSpaceDE/>
                    <w:autoSpaceDN/>
                    <w:bidi w:val="0"/>
                    <w:spacing w:before="0" w:beforeAutospacing="0" w:after="0" w:afterAutospacing="0" w:line="240" w:lineRule="auto"/>
                    <w:ind w:right="0" w:firstLine="0" w:firstLineChars="0"/>
                    <w:jc w:val="center"/>
                    <w:textAlignment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型号规格</w:t>
                  </w:r>
                </w:p>
              </w:tc>
              <w:tc>
                <w:tcPr>
                  <w:tcW w:w="1042" w:type="dxa"/>
                  <w:tcBorders>
                    <w:tl2br w:val="nil"/>
                    <w:tr2bl w:val="nil"/>
                  </w:tcBorders>
                  <w:noWrap w:val="0"/>
                  <w:vAlign w:val="center"/>
                </w:tcPr>
                <w:p>
                  <w:pPr>
                    <w:pStyle w:val="68"/>
                    <w:keepNext w:val="0"/>
                    <w:keepLines w:val="0"/>
                    <w:pageBreakBefore w:val="0"/>
                    <w:suppressLineNumbers w:val="0"/>
                    <w:kinsoku/>
                    <w:wordWrap/>
                    <w:overflowPunct/>
                    <w:topLinePunct w:val="0"/>
                    <w:autoSpaceDE/>
                    <w:autoSpaceDN/>
                    <w:bidi w:val="0"/>
                    <w:spacing w:before="0" w:beforeAutospacing="0" w:after="0" w:afterAutospacing="0" w:line="240" w:lineRule="auto"/>
                    <w:ind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1042" w:type="dxa"/>
                  <w:tcBorders>
                    <w:tl2br w:val="nil"/>
                    <w:tr2bl w:val="nil"/>
                  </w:tcBorders>
                  <w:noWrap w:val="0"/>
                  <w:vAlign w:val="center"/>
                </w:tcPr>
                <w:p>
                  <w:pPr>
                    <w:pStyle w:val="68"/>
                    <w:keepNext w:val="0"/>
                    <w:keepLines w:val="0"/>
                    <w:pageBreakBefore w:val="0"/>
                    <w:suppressLineNumbers w:val="0"/>
                    <w:kinsoku/>
                    <w:wordWrap/>
                    <w:overflowPunct/>
                    <w:topLinePunct w:val="0"/>
                    <w:autoSpaceDE/>
                    <w:autoSpaceDN/>
                    <w:bidi w:val="0"/>
                    <w:spacing w:before="0" w:beforeAutospacing="0" w:after="0" w:afterAutospacing="0" w:line="240" w:lineRule="auto"/>
                    <w:ind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1</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中海达GNSS RTK</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iRTK2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2</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手持GPS</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GPSMAP 67</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6</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3</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数码</w:t>
                  </w:r>
                  <w:r>
                    <w:rPr>
                      <w:rFonts w:hint="eastAsia" w:cs="Times New Roman"/>
                      <w:color w:val="auto"/>
                      <w:kern w:val="0"/>
                      <w:sz w:val="21"/>
                      <w:szCs w:val="21"/>
                      <w:lang w:val="en-US" w:eastAsia="zh-CN" w:bidi="ar-SA"/>
                    </w:rPr>
                    <w:t>摄像机</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索尼330E</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5</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4</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野外快速分析箱</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VANTVCA</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5</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Y辐射仪(GPS)</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HD-2000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6</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奥林巴斯偏光显微镜</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BX53-P型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7</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越野车</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江</w:t>
                  </w:r>
                  <w:r>
                    <w:rPr>
                      <w:rFonts w:hint="eastAsia" w:cs="Times New Roman"/>
                      <w:color w:val="auto"/>
                      <w:sz w:val="21"/>
                      <w:szCs w:val="21"/>
                      <w:lang w:val="en-US" w:eastAsia="zh-CN"/>
                    </w:rPr>
                    <w:t>铃</w:t>
                  </w:r>
                  <w:r>
                    <w:rPr>
                      <w:rFonts w:hint="default" w:ascii="Times New Roman" w:hAnsi="Times New Roman" w:cs="Times New Roman"/>
                      <w:color w:val="auto"/>
                      <w:sz w:val="21"/>
                      <w:szCs w:val="21"/>
                    </w:rPr>
                    <w:t>JX6476DA</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8</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矿石元素分析仪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NITONXL3T500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9</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标准质子磁力仪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GSM-19T</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bidi="ar-SA"/>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10</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电感耦合等离子体质谱</w:t>
                  </w:r>
                  <w:r>
                    <w:rPr>
                      <w:rFonts w:hint="default" w:ascii="Times New Roman" w:hAnsi="Times New Roman" w:cs="Times New Roman"/>
                      <w:color w:val="auto"/>
                      <w:sz w:val="21"/>
                      <w:szCs w:val="21"/>
                      <w:lang w:val="en-US" w:eastAsia="zh-CN"/>
                    </w:rPr>
                    <w:t>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NexION300X</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11</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电感耦合等离子体发射</w:t>
                  </w:r>
                  <w:r>
                    <w:rPr>
                      <w:rFonts w:hint="eastAsia" w:cs="Times New Roman"/>
                      <w:color w:val="auto"/>
                      <w:kern w:val="0"/>
                      <w:sz w:val="21"/>
                      <w:szCs w:val="21"/>
                      <w:lang w:val="en-US" w:eastAsia="zh-CN"/>
                    </w:rPr>
                    <w:t>光谱仪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Avio 500型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12</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原子荧光光度计</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AFS-230E</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kern w:val="0"/>
                      <w:sz w:val="21"/>
                      <w:szCs w:val="21"/>
                      <w:lang w:val="en-US" w:eastAsia="zh-CN"/>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13</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多功能原子吸收光谱仪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GGX-810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14</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X荧光光谱仪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ZETIUM</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15</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可见分光光度计</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722N</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16</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紫外可见分光光度计</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UV-5500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17</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电子静水天平</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MP21001J</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20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18</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电子天平</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JA2003N</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20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19</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电子天平</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FA2004B</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20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20</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eastAsia="zh-CN" w:bidi="ar"/>
                    </w:rPr>
                  </w:pPr>
                  <w:r>
                    <w:rPr>
                      <w:rFonts w:hint="default" w:ascii="Times New Roman" w:hAnsi="Times New Roman" w:cs="Times New Roman"/>
                      <w:color w:val="auto"/>
                      <w:sz w:val="21"/>
                      <w:szCs w:val="21"/>
                      <w:lang w:bidi="ar"/>
                    </w:rPr>
                    <w:t>电子</w:t>
                  </w:r>
                  <w:r>
                    <w:rPr>
                      <w:rFonts w:hint="eastAsia" w:cs="Times New Roman"/>
                      <w:color w:val="auto"/>
                      <w:sz w:val="21"/>
                      <w:szCs w:val="21"/>
                      <w:lang w:val="en-US" w:eastAsia="zh-CN" w:bidi="ar"/>
                    </w:rPr>
                    <w:t>秤</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ACS系列</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20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21</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标准土壤筛</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FB-2</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22</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高频振筛机</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GZS-1型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23</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数显液塑限联合测定仪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GYS-2型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24</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鼓风电热恒温干燥箱</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101-3</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25</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数控电动击实仪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JDS-1型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26</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电动四联直剪仪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Z型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27</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天然坡度仪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QR-1型</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28</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固结仪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WG</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29</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绘图仪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HP450S</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30</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数码复印机</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柯尼卡7030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31</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一体化高速印刷机</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GR1710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32</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数字化仪</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CD-91200B</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33</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图文碎纸机</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TW1000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34</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晒图机</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T1320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05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35</w:t>
                  </w:r>
                </w:p>
              </w:tc>
              <w:tc>
                <w:tcPr>
                  <w:tcW w:w="325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笔记本电脑</w:t>
                  </w:r>
                </w:p>
              </w:tc>
              <w:tc>
                <w:tcPr>
                  <w:tcW w:w="28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联想E450</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eastAsia" w:cs="Times New Roman"/>
                      <w:color w:val="auto"/>
                      <w:sz w:val="21"/>
                      <w:szCs w:val="21"/>
                      <w:lang w:val="en-US" w:eastAsia="zh-CN" w:bidi="ar"/>
                    </w:rPr>
                    <w:t>15</w:t>
                  </w:r>
                </w:p>
              </w:tc>
              <w:tc>
                <w:tcPr>
                  <w:tcW w:w="10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center"/>
                    <w:rPr>
                      <w:rFonts w:hint="eastAsia" w:cs="Times New Roman"/>
                      <w:color w:val="auto"/>
                      <w:sz w:val="21"/>
                      <w:szCs w:val="21"/>
                      <w:lang w:val="en-US" w:eastAsia="zh-CN" w:bidi="ar"/>
                    </w:rPr>
                  </w:pPr>
                  <w:r>
                    <w:rPr>
                      <w:rFonts w:hint="eastAsia" w:cs="Times New Roman"/>
                      <w:color w:val="auto"/>
                      <w:sz w:val="21"/>
                      <w:szCs w:val="21"/>
                      <w:lang w:val="en-US" w:eastAsia="zh-CN"/>
                    </w:rPr>
                    <w:t>利旧</w:t>
                  </w:r>
                </w:p>
              </w:tc>
            </w:tr>
          </w:tbl>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szCs w:val="21"/>
              </w:rPr>
            </w:pPr>
            <w:r>
              <w:rPr>
                <w:rFonts w:hint="eastAsia" w:cs="Times New Roman"/>
                <w:color w:val="auto"/>
                <w:lang w:val="en-US" w:eastAsia="zh-CN" w:bidi="ar"/>
              </w:rPr>
              <w:t>2.6</w:t>
            </w:r>
            <w:r>
              <w:rPr>
                <w:rFonts w:hint="default" w:ascii="Times New Roman" w:hAnsi="Times New Roman" w:cs="Times New Roman"/>
                <w:color w:val="auto"/>
                <w:lang w:bidi="ar"/>
              </w:rPr>
              <w:t>公用工程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给水工程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项目</w:t>
            </w:r>
            <w:r>
              <w:rPr>
                <w:rFonts w:hint="default" w:ascii="Times New Roman" w:hAnsi="Times New Roman" w:cs="Times New Roman"/>
                <w:color w:val="auto"/>
                <w:lang w:val="en-US" w:eastAsia="zh-CN"/>
              </w:rPr>
              <w:t>生活用水从和静县</w:t>
            </w:r>
            <w:r>
              <w:rPr>
                <w:rFonts w:hint="eastAsia" w:cs="Times New Roman"/>
                <w:color w:val="auto"/>
                <w:lang w:val="en-US" w:eastAsia="zh-CN"/>
              </w:rPr>
              <w:t>巴音布鲁克镇</w:t>
            </w:r>
            <w:r>
              <w:rPr>
                <w:rFonts w:hint="default" w:ascii="Times New Roman" w:hAnsi="Times New Roman" w:cs="Times New Roman"/>
                <w:color w:val="auto"/>
                <w:lang w:val="en-US" w:eastAsia="zh-CN"/>
              </w:rPr>
              <w:t>拉运</w:t>
            </w:r>
            <w:r>
              <w:rPr>
                <w:rFonts w:hint="default" w:ascii="Times New Roman" w:hAnsi="Times New Roman" w:cs="Times New Roman"/>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排水工程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本项目工人在矿区搭设临时帐篷。生活污水进入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r>
              <w:rPr>
                <w:rFonts w:hint="default" w:ascii="Times New Roman" w:hAnsi="Times New Roman" w:cs="Times New Roman"/>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供电工程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highlight w:val="none"/>
              </w:rPr>
            </w:pPr>
            <w:r>
              <w:rPr>
                <w:rFonts w:hint="eastAsia" w:cs="Times New Roman"/>
                <w:color w:val="auto"/>
                <w:lang w:val="en-US" w:eastAsia="zh-CN"/>
              </w:rPr>
              <w:t>采用蓄电池</w:t>
            </w:r>
            <w:r>
              <w:rPr>
                <w:rFonts w:hint="default" w:ascii="Times New Roman" w:hAnsi="Times New Roman" w:eastAsia="宋体" w:cs="Times New Roman"/>
                <w:color w:val="auto"/>
                <w:lang w:eastAsia="zh-CN"/>
              </w:rPr>
              <w:t>提供用电</w:t>
            </w:r>
            <w:r>
              <w:rPr>
                <w:rFonts w:hint="default" w:ascii="Times New Roman" w:hAnsi="Times New Roman" w:cs="Times New Roman"/>
                <w:color w:val="auto"/>
                <w:highlight w:val="none"/>
              </w:rPr>
              <w:t>。</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eastAsia="宋体" w:cs="Times New Roman"/>
                <w:b/>
                <w:bCs/>
                <w:color w:val="auto"/>
                <w:lang w:val="en-US" w:eastAsia="zh-CN" w:bidi="ar"/>
              </w:rPr>
            </w:pPr>
            <w:r>
              <w:rPr>
                <w:rFonts w:hint="eastAsia" w:eastAsia="宋体" w:cs="Times New Roman"/>
                <w:b/>
                <w:bCs/>
                <w:color w:val="auto"/>
                <w:lang w:val="en-US" w:eastAsia="zh-CN" w:bidi="ar"/>
              </w:rPr>
              <w:t>2.7</w:t>
            </w:r>
            <w:r>
              <w:rPr>
                <w:rFonts w:hint="default" w:ascii="Times New Roman" w:hAnsi="Times New Roman" w:eastAsia="宋体" w:cs="Times New Roman"/>
                <w:b/>
                <w:bCs/>
                <w:color w:val="auto"/>
                <w:lang w:val="en-US" w:eastAsia="zh-CN" w:bidi="ar"/>
              </w:rPr>
              <w:t>原辅料及能源消耗</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2-5</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原辅材料及能源消耗量一</w:t>
            </w:r>
            <w:r>
              <w:rPr>
                <w:rFonts w:hint="default" w:ascii="Times New Roman" w:hAnsi="Times New Roman" w:cs="Times New Roman"/>
                <w:color w:val="auto"/>
              </w:rPr>
              <w:t>览表</w:t>
            </w:r>
          </w:p>
          <w:tbl>
            <w:tblPr>
              <w:tblStyle w:val="28"/>
              <w:tblW w:w="83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7"/>
              <w:gridCol w:w="787"/>
              <w:gridCol w:w="1293"/>
              <w:gridCol w:w="870"/>
              <w:gridCol w:w="725"/>
              <w:gridCol w:w="1800"/>
              <w:gridCol w:w="21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序号</w:t>
                  </w:r>
                </w:p>
              </w:tc>
              <w:tc>
                <w:tcPr>
                  <w:tcW w:w="78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类别</w:t>
                  </w:r>
                </w:p>
              </w:tc>
              <w:tc>
                <w:tcPr>
                  <w:tcW w:w="129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名称</w:t>
                  </w:r>
                </w:p>
              </w:tc>
              <w:tc>
                <w:tcPr>
                  <w:tcW w:w="87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消耗量</w:t>
                  </w:r>
                </w:p>
              </w:tc>
              <w:tc>
                <w:tcPr>
                  <w:tcW w:w="72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单位</w:t>
                  </w:r>
                </w:p>
              </w:tc>
              <w:tc>
                <w:tcPr>
                  <w:tcW w:w="180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来源</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sz w:val="21"/>
                      <w:szCs w:val="21"/>
                      <w:lang w:eastAsia="zh-CN"/>
                    </w:rPr>
                  </w:pPr>
                  <w:r>
                    <w:rPr>
                      <w:rFonts w:hint="default" w:ascii="Times New Roman" w:hAnsi="Times New Roman" w:cs="Times New Roman"/>
                      <w:b w:val="0"/>
                      <w:bCs/>
                      <w:color w:val="auto"/>
                      <w:sz w:val="21"/>
                      <w:szCs w:val="21"/>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78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能源</w:t>
                  </w:r>
                </w:p>
              </w:tc>
              <w:tc>
                <w:tcPr>
                  <w:tcW w:w="129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水</w:t>
                  </w:r>
                </w:p>
              </w:tc>
              <w:tc>
                <w:tcPr>
                  <w:tcW w:w="87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280.5</w:t>
                  </w:r>
                </w:p>
              </w:tc>
              <w:tc>
                <w:tcPr>
                  <w:tcW w:w="72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t</w:t>
                  </w:r>
                  <w:r>
                    <w:rPr>
                      <w:rFonts w:hint="default" w:ascii="Times New Roman" w:hAnsi="Times New Roman" w:cs="Times New Roman"/>
                      <w:color w:val="auto"/>
                      <w:sz w:val="21"/>
                      <w:szCs w:val="21"/>
                      <w:lang w:val="en-US" w:eastAsia="zh-CN"/>
                    </w:rPr>
                    <w:t>/a</w:t>
                  </w:r>
                </w:p>
              </w:tc>
              <w:tc>
                <w:tcPr>
                  <w:tcW w:w="180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p>
              </w:tc>
              <w:tc>
                <w:tcPr>
                  <w:tcW w:w="217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bl>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2.8</w:t>
            </w:r>
            <w:r>
              <w:rPr>
                <w:rFonts w:hint="default" w:ascii="Times New Roman" w:hAnsi="Times New Roman" w:cs="Times New Roman"/>
                <w:color w:val="auto"/>
              </w:rPr>
              <w:t>工作制度和职工人数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highlight w:val="none"/>
              </w:rPr>
              <w:t>本项目工作人数</w:t>
            </w:r>
            <w:r>
              <w:rPr>
                <w:rFonts w:hint="eastAsia" w:cs="Times New Roman"/>
                <w:color w:val="auto"/>
                <w:highlight w:val="none"/>
                <w:lang w:val="en-US" w:eastAsia="zh-CN"/>
              </w:rPr>
              <w:t>7</w:t>
            </w:r>
            <w:r>
              <w:rPr>
                <w:rFonts w:hint="default" w:ascii="Times New Roman" w:hAnsi="Times New Roman" w:cs="Times New Roman"/>
                <w:color w:val="auto"/>
                <w:highlight w:val="none"/>
              </w:rPr>
              <w:t>人，年工作</w:t>
            </w:r>
            <w:r>
              <w:rPr>
                <w:rFonts w:hint="eastAsia" w:cs="Times New Roman"/>
                <w:color w:val="auto"/>
                <w:highlight w:val="none"/>
                <w:lang w:val="en-US" w:eastAsia="zh-CN"/>
              </w:rPr>
              <w:t>330</w:t>
            </w:r>
            <w:r>
              <w:rPr>
                <w:rFonts w:hint="default" w:ascii="Times New Roman" w:hAnsi="Times New Roman" w:cs="Times New Roman"/>
                <w:color w:val="auto"/>
                <w:highlight w:val="none"/>
              </w:rPr>
              <w:t>天，每天8小时。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总平面及现场布置</w:t>
            </w:r>
          </w:p>
        </w:tc>
        <w:tc>
          <w:tcPr>
            <w:tcW w:w="8423"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highlight w:val="none"/>
              </w:rPr>
              <w:t>矿区内</w:t>
            </w:r>
            <w:r>
              <w:rPr>
                <w:rFonts w:hint="default" w:ascii="Times New Roman" w:hAnsi="Times New Roman" w:cs="Times New Roman"/>
                <w:color w:val="auto"/>
                <w:highlight w:val="none"/>
                <w:lang w:val="en-US" w:eastAsia="zh-CN"/>
              </w:rPr>
              <w:t>外利用现有</w:t>
            </w:r>
            <w:r>
              <w:rPr>
                <w:rFonts w:hint="eastAsia" w:ascii="Times New Roman" w:hAnsi="Times New Roman" w:cs="Times New Roman"/>
                <w:color w:val="auto"/>
                <w:highlight w:val="none"/>
                <w:lang w:val="en-US" w:eastAsia="zh-CN"/>
              </w:rPr>
              <w:t>道路</w:t>
            </w:r>
            <w:r>
              <w:rPr>
                <w:rFonts w:hint="default" w:ascii="Times New Roman" w:hAnsi="Times New Roman" w:cs="Times New Roman"/>
                <w:color w:val="auto"/>
              </w:rPr>
              <w:t>；本次探矿活动在探矿作业区内搭设临时帐篷，随工程施工点位移动。</w:t>
            </w:r>
            <w:r>
              <w:rPr>
                <w:rFonts w:hint="default" w:ascii="Times New Roman" w:hAnsi="Times New Roman" w:cs="Times New Roman"/>
                <w:color w:val="auto"/>
                <w:lang w:val="en-US" w:eastAsia="zh-CN"/>
              </w:rPr>
              <w:t>生活用水从和静县</w:t>
            </w:r>
            <w:r>
              <w:rPr>
                <w:rFonts w:hint="eastAsia" w:cs="Times New Roman"/>
                <w:color w:val="auto"/>
                <w:lang w:val="en-US" w:eastAsia="zh-CN"/>
              </w:rPr>
              <w:t>巴音布鲁克镇</w:t>
            </w:r>
            <w:r>
              <w:rPr>
                <w:rFonts w:hint="default" w:ascii="Times New Roman" w:hAnsi="Times New Roman" w:cs="Times New Roman"/>
                <w:color w:val="auto"/>
                <w:lang w:val="en-US" w:eastAsia="zh-CN"/>
              </w:rPr>
              <w:t>拉运</w:t>
            </w:r>
            <w:r>
              <w:rPr>
                <w:rFonts w:hint="default" w:ascii="Times New Roman" w:hAnsi="Times New Roman" w:cs="Times New Roman"/>
                <w:color w:val="auto"/>
              </w:rPr>
              <w:t>。项目探矿区</w:t>
            </w:r>
            <w:r>
              <w:rPr>
                <w:rFonts w:hint="eastAsia" w:cs="Times New Roman"/>
                <w:color w:val="auto"/>
                <w:lang w:val="en-US" w:eastAsia="zh-CN"/>
              </w:rPr>
              <w:t>采用蓄电池</w:t>
            </w:r>
            <w:r>
              <w:rPr>
                <w:rFonts w:hint="default" w:ascii="Times New Roman" w:hAnsi="Times New Roman" w:eastAsia="宋体" w:cs="Times New Roman"/>
                <w:color w:val="auto"/>
                <w:lang w:eastAsia="zh-CN"/>
              </w:rPr>
              <w:t>提供用电</w:t>
            </w:r>
            <w:r>
              <w:rPr>
                <w:rFonts w:hint="default" w:ascii="Times New Roman" w:hAnsi="Times New Roman" w:cs="Times New Roman"/>
                <w:color w:val="auto"/>
              </w:rPr>
              <w:t>。本项目工程布局合理。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施工区域不占用耕地，无风景名胜区，无珍稀保护动、植物，对周边环境影响较小。由于本项目</w:t>
            </w:r>
            <w:r>
              <w:rPr>
                <w:rFonts w:hint="eastAsia"/>
                <w:color w:val="auto"/>
                <w:lang w:val="en-US" w:eastAsia="zh-CN"/>
              </w:rPr>
              <w:t>工作量</w:t>
            </w:r>
            <w:r>
              <w:rPr>
                <w:rFonts w:hint="default" w:ascii="Times New Roman" w:hAnsi="Times New Roman" w:cs="Times New Roman"/>
                <w:color w:val="auto"/>
              </w:rPr>
              <w:t>较少，对周围环境影响甚微。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综上所述，项目各</w:t>
            </w:r>
            <w:r>
              <w:rPr>
                <w:rFonts w:hint="eastAsia"/>
                <w:color w:val="auto"/>
                <w:lang w:val="en-US" w:eastAsia="zh-CN"/>
              </w:rPr>
              <w:t>勘查</w:t>
            </w:r>
            <w:r>
              <w:rPr>
                <w:rFonts w:hint="default" w:ascii="Times New Roman" w:hAnsi="Times New Roman" w:cs="Times New Roman"/>
                <w:color w:val="auto"/>
              </w:rPr>
              <w:t>活动影响范围内无自然保护区、风景名胜保护区、饮用水源地等敏感点。探矿范围内多为山区，矿区范围内无珍稀保护植物、未发现珍稀保护动物。在探矿过程中采取相应的保护措施后，对矿区周边的居民及生态环境影响较小。从环境保护角度分析项目选址是合理可行的，不存在制约性因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施工方案</w:t>
            </w:r>
          </w:p>
        </w:tc>
        <w:tc>
          <w:tcPr>
            <w:tcW w:w="8423" w:type="dxa"/>
            <w:noWrap w:val="0"/>
            <w:vAlign w:val="top"/>
          </w:tcPr>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2.9</w:t>
            </w:r>
            <w:r>
              <w:rPr>
                <w:rFonts w:hint="default" w:ascii="Times New Roman" w:hAnsi="Times New Roman" w:cs="Times New Roman"/>
                <w:color w:val="auto"/>
              </w:rPr>
              <w:t>工艺流程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cs="Times New Roman"/>
                <w:color w:val="auto"/>
              </w:rPr>
              <w:t>本项目产生环境影响的时段主要为野外</w:t>
            </w:r>
            <w:r>
              <w:rPr>
                <w:rFonts w:hint="eastAsia" w:cs="Times New Roman"/>
                <w:color w:val="auto"/>
                <w:lang w:val="en-US" w:eastAsia="zh-CN"/>
              </w:rPr>
              <w:t>勘查</w:t>
            </w:r>
            <w:r>
              <w:rPr>
                <w:rFonts w:hint="default" w:ascii="Times New Roman" w:hAnsi="Times New Roman" w:cs="Times New Roman"/>
                <w:color w:val="auto"/>
              </w:rPr>
              <w:t>期。探矿工作主要包括地质</w:t>
            </w:r>
            <w:r>
              <w:rPr>
                <w:rFonts w:hint="eastAsia" w:ascii="Times New Roman" w:hAnsi="Times New Roman" w:cs="Times New Roman"/>
                <w:color w:val="auto"/>
                <w:lang w:val="en-US" w:eastAsia="zh-CN"/>
              </w:rPr>
              <w:t>测量</w:t>
            </w:r>
            <w:r>
              <w:rPr>
                <w:rFonts w:hint="default" w:ascii="Times New Roman" w:hAnsi="Times New Roman" w:cs="Times New Roman"/>
                <w:color w:val="auto"/>
              </w:rPr>
              <w:t>及</w:t>
            </w:r>
            <w:r>
              <w:rPr>
                <w:rFonts w:hint="eastAsia" w:cs="Times New Roman"/>
                <w:color w:val="auto"/>
                <w:lang w:val="en-US" w:eastAsia="zh-CN"/>
              </w:rPr>
              <w:t>化探</w:t>
            </w:r>
            <w:r>
              <w:rPr>
                <w:rFonts w:hint="default" w:ascii="Times New Roman" w:hAnsi="Times New Roman" w:cs="Times New Roman"/>
                <w:color w:val="auto"/>
              </w:rPr>
              <w:t>，工程实施过程中主要的污染来</w:t>
            </w:r>
            <w:r>
              <w:rPr>
                <w:rFonts w:hint="default" w:ascii="Times New Roman" w:hAnsi="Times New Roman" w:cs="Times New Roman"/>
                <w:color w:val="auto"/>
                <w:lang w:val="en-US" w:eastAsia="zh-CN"/>
              </w:rPr>
              <w:t>自</w:t>
            </w:r>
            <w:r>
              <w:rPr>
                <w:rFonts w:hint="eastAsia" w:cs="Times New Roman"/>
                <w:color w:val="auto"/>
                <w:lang w:val="en-US" w:eastAsia="zh-CN"/>
              </w:rPr>
              <w:t>车辆行驶</w:t>
            </w:r>
            <w:r>
              <w:rPr>
                <w:rFonts w:hint="default" w:ascii="Times New Roman" w:hAnsi="Times New Roman" w:cs="Times New Roman"/>
                <w:color w:val="auto"/>
              </w:rPr>
              <w:t>过程中扬尘、机械噪声及工作人员在地质</w:t>
            </w:r>
            <w:r>
              <w:rPr>
                <w:rFonts w:hint="eastAsia" w:ascii="Times New Roman" w:hAnsi="Times New Roman" w:cs="Times New Roman"/>
                <w:color w:val="auto"/>
                <w:lang w:val="en-US" w:eastAsia="zh-CN"/>
              </w:rPr>
              <w:t>测量</w:t>
            </w:r>
            <w:r>
              <w:rPr>
                <w:rFonts w:hint="default" w:ascii="Times New Roman" w:hAnsi="Times New Roman" w:cs="Times New Roman"/>
                <w:color w:val="auto"/>
              </w:rPr>
              <w:t>和生活过程中产生的生活污水和垃圾。本次评价对象为矿产资源</w:t>
            </w:r>
            <w:r>
              <w:rPr>
                <w:rFonts w:hint="eastAsia"/>
                <w:color w:val="auto"/>
                <w:lang w:val="en-US" w:eastAsia="zh-CN"/>
              </w:rPr>
              <w:t>勘查</w:t>
            </w:r>
            <w:r>
              <w:rPr>
                <w:rFonts w:hint="default" w:ascii="Times New Roman" w:hAnsi="Times New Roman" w:cs="Times New Roman"/>
                <w:color w:val="auto"/>
              </w:rPr>
              <w:t>期间可能产生的</w:t>
            </w:r>
            <w:r>
              <w:rPr>
                <w:rFonts w:hint="eastAsia" w:ascii="Times New Roman" w:hAnsi="Times New Roman" w:cs="Times New Roman"/>
                <w:color w:val="auto"/>
                <w:lang w:eastAsia="zh-CN"/>
              </w:rPr>
              <w:t>“</w:t>
            </w:r>
            <w:r>
              <w:rPr>
                <w:rFonts w:hint="default" w:ascii="Times New Roman" w:hAnsi="Times New Roman" w:cs="Times New Roman"/>
                <w:color w:val="auto"/>
              </w:rPr>
              <w:t>三废</w:t>
            </w:r>
            <w:r>
              <w:rPr>
                <w:rFonts w:hint="eastAsia" w:ascii="Times New Roman" w:hAnsi="Times New Roman" w:cs="Times New Roman"/>
                <w:color w:val="auto"/>
                <w:lang w:eastAsia="zh-CN"/>
              </w:rPr>
              <w:t>”</w:t>
            </w:r>
            <w:r>
              <w:rPr>
                <w:rFonts w:hint="default" w:ascii="Times New Roman" w:hAnsi="Times New Roman" w:cs="Times New Roman"/>
                <w:color w:val="auto"/>
              </w:rPr>
              <w:t>污染及生态破坏、水土流失对项目周围的环境影响。</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w:t>
            </w:r>
            <w:r>
              <w:rPr>
                <w:rFonts w:hint="eastAsia" w:cs="Times New Roman"/>
                <w:color w:val="auto"/>
                <w:lang w:val="en-US" w:eastAsia="zh-CN"/>
              </w:rPr>
              <w:t>0</w:t>
            </w:r>
            <w:r>
              <w:rPr>
                <w:rFonts w:hint="default" w:ascii="Times New Roman" w:hAnsi="Times New Roman" w:cs="Times New Roman"/>
                <w:color w:val="auto"/>
                <w:lang w:val="en-US" w:eastAsia="zh-CN"/>
              </w:rPr>
              <w:t>地质测量工艺及产污流程</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地质测量主要分为地质测量（简测）和遥感地质两部分。通过航空磁力仪和大疆遥感飞机，提取矿区遥感蚀变信息，并结合前人填图成果，进一步查明普查区的地层、构造、岩浆岩及矿化蚀变带、矿（化）体分布情况，在前期预查成果的基础上，确定1:1万地质修测，确定含矿岩性层，查明矿化蚀变的种类及强度，确定主要工作区。</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该流程无污染物产生，只有航空和遥感设备运行噪声，随着作业结束而消失。</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2.</w:t>
            </w:r>
            <w:r>
              <w:rPr>
                <w:rFonts w:hint="eastAsia" w:cs="Times New Roman"/>
                <w:color w:val="auto"/>
                <w:lang w:val="en-US" w:eastAsia="zh-CN"/>
              </w:rPr>
              <w:t>11化探</w:t>
            </w:r>
            <w:r>
              <w:rPr>
                <w:rFonts w:hint="default" w:ascii="Times New Roman" w:hAnsi="Times New Roman" w:cs="Times New Roman"/>
                <w:color w:val="auto"/>
              </w:rPr>
              <w:t>施工工艺及产污流程</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b w:val="0"/>
                <w:bCs w:val="0"/>
                <w:color w:val="auto"/>
                <w:lang w:val="en-US" w:eastAsia="zh-CN"/>
              </w:rPr>
              <w:t>开展工作区全区1:2.5万土壤地球化学测量</w:t>
            </w:r>
            <w:r>
              <w:rPr>
                <w:rFonts w:hint="eastAsia" w:ascii="Times New Roman" w:hAnsi="Times New Roman" w:cs="Times New Roman"/>
                <w:b w:val="0"/>
                <w:bCs w:val="0"/>
                <w:color w:val="auto"/>
                <w:lang w:val="en-US" w:eastAsia="zh-CN"/>
              </w:rPr>
              <w:t>和</w:t>
            </w:r>
            <w:r>
              <w:rPr>
                <w:rFonts w:hint="default" w:ascii="Times New Roman" w:hAnsi="Times New Roman" w:cs="Times New Roman"/>
                <w:b w:val="0"/>
                <w:bCs w:val="0"/>
                <w:color w:val="auto"/>
                <w:lang w:val="en-US" w:eastAsia="zh-CN"/>
              </w:rPr>
              <w:t>1:5000土壤地球化学剖面测量，通过系统测量和研究岩石、土壤、水体及其他天然物质中的地球化学指标，寻找与矿化或资源分布相关的异常区域</w:t>
            </w:r>
            <w:r>
              <w:rPr>
                <w:rFonts w:hint="eastAsia" w:cs="Times New Roman"/>
                <w:b w:val="0"/>
                <w:bCs w:val="0"/>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其他</w:t>
            </w:r>
          </w:p>
        </w:tc>
        <w:tc>
          <w:tcPr>
            <w:tcW w:w="842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jc w:val="center"/>
              <w:textAlignment w:val="auto"/>
              <w:rPr>
                <w:rFonts w:hint="default" w:ascii="Times New Roman" w:hAnsi="Times New Roman" w:cs="Times New Roman"/>
                <w:bCs/>
                <w:color w:val="auto"/>
              </w:rPr>
            </w:pPr>
            <w:r>
              <w:rPr>
                <w:rFonts w:hint="default" w:ascii="Times New Roman" w:hAnsi="Times New Roman" w:cs="Times New Roman"/>
                <w:bCs/>
                <w:color w:val="auto"/>
              </w:rPr>
              <w:t>无</w:t>
            </w:r>
          </w:p>
        </w:tc>
      </w:tr>
    </w:tbl>
    <w:p>
      <w:pPr>
        <w:pStyle w:val="25"/>
        <w:ind w:firstLine="720"/>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7"/>
        <w:rPr>
          <w:snapToGrid w:val="0"/>
          <w:color w:val="auto"/>
        </w:rPr>
      </w:pPr>
      <w:r>
        <w:rPr>
          <w:rFonts w:hint="eastAsia"/>
          <w:snapToGrid w:val="0"/>
          <w:color w:val="auto"/>
        </w:rPr>
        <w:t>三、生态环境现状、保护目标及评价标准</w:t>
      </w:r>
    </w:p>
    <w:tbl>
      <w:tblPr>
        <w:tblStyle w:val="28"/>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800"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生态</w:t>
            </w:r>
          </w:p>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w:t>
            </w:r>
          </w:p>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现状</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3.1</w:t>
            </w:r>
            <w:r>
              <w:rPr>
                <w:rFonts w:hint="default" w:ascii="Times New Roman" w:hAnsi="Times New Roman" w:cs="Times New Roman"/>
                <w:b/>
                <w:bCs/>
                <w:color w:val="auto"/>
              </w:rPr>
              <w:t>与主体功能规划相符性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根据《新疆维吾尔自治区主体功能区规划》，新疆主体功能区按开发方式，分为重点开发区域、限制开发区域和禁止开发区域；按开发内容，分为城市化地区、农产品主产区和重点生态功能区三类；按层级，分为国家和自治区级两个层面。</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本项目位于</w:t>
            </w:r>
            <w:r>
              <w:rPr>
                <w:rFonts w:hint="eastAsia" w:ascii="Times New Roman" w:hAnsi="Times New Roman" w:cs="Times New Roman"/>
                <w:color w:val="auto"/>
              </w:rPr>
              <w:t>新疆维吾尔自治区巴音郭楞蒙古自治州和静县西北277°方向，直线距离约170km</w:t>
            </w:r>
            <w:r>
              <w:rPr>
                <w:rFonts w:hint="default" w:ascii="Times New Roman" w:hAnsi="Times New Roman" w:cs="Times New Roman"/>
                <w:color w:val="auto"/>
              </w:rPr>
              <w:t>，行政区划属巴音郭楞蒙古自治州</w:t>
            </w:r>
            <w:r>
              <w:rPr>
                <w:rFonts w:hint="default" w:ascii="Times New Roman" w:hAnsi="Times New Roman" w:cs="Times New Roman"/>
                <w:color w:val="auto"/>
                <w:lang w:val="en-US" w:eastAsia="zh-CN"/>
              </w:rPr>
              <w:t>和静</w:t>
            </w:r>
            <w:r>
              <w:rPr>
                <w:rFonts w:hint="default" w:ascii="Times New Roman" w:hAnsi="Times New Roman" w:cs="Times New Roman"/>
                <w:color w:val="auto"/>
              </w:rPr>
              <w:t>县管辖；不属于主体功能区划中确定的国家和自治区层面的限制开发区域</w:t>
            </w:r>
            <w:r>
              <w:rPr>
                <w:rFonts w:hint="default" w:ascii="Times New Roman" w:hAnsi="Times New Roman" w:cs="Times New Roman"/>
                <w:color w:val="auto"/>
                <w:lang w:val="en-US" w:eastAsia="zh-CN"/>
              </w:rPr>
              <w:t>和</w:t>
            </w:r>
            <w:r>
              <w:rPr>
                <w:rFonts w:hint="default" w:ascii="Times New Roman" w:hAnsi="Times New Roman" w:cs="Times New Roman"/>
                <w:color w:val="auto"/>
              </w:rPr>
              <w:t>禁止开发区域。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3.2</w:t>
            </w:r>
            <w:r>
              <w:rPr>
                <w:rFonts w:hint="default" w:ascii="Times New Roman" w:hAnsi="Times New Roman" w:cs="Times New Roman"/>
                <w:b/>
                <w:bCs/>
                <w:color w:val="auto"/>
              </w:rPr>
              <w:t>生态环境现状调查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color w:val="auto"/>
              </w:rPr>
            </w:pPr>
            <w:r>
              <w:rPr>
                <w:rFonts w:hint="default" w:ascii="Times New Roman" w:hAnsi="Times New Roman" w:cs="Times New Roman"/>
                <w:b/>
                <w:bCs/>
                <w:color w:val="auto"/>
                <w:lang w:val="en-US" w:eastAsia="zh-CN"/>
              </w:rPr>
              <w:t>3.2.1</w:t>
            </w:r>
            <w:r>
              <w:rPr>
                <w:rFonts w:hint="default" w:ascii="Times New Roman" w:hAnsi="Times New Roman" w:cs="Times New Roman"/>
                <w:b/>
                <w:bCs/>
                <w:color w:val="auto"/>
              </w:rPr>
              <w:t>生态功能区划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eastAsia" w:ascii="宋体" w:hAnsi="宋体" w:cs="Times New Roman"/>
                <w:color w:val="auto"/>
                <w:lang w:val="en-US" w:eastAsia="zh-CN"/>
              </w:rPr>
            </w:pPr>
            <w:r>
              <w:rPr>
                <w:rFonts w:hint="default" w:ascii="Times New Roman" w:hAnsi="Times New Roman" w:cs="Times New Roman"/>
                <w:color w:val="auto"/>
              </w:rPr>
              <w:t>根据《新疆生态功能区划》，本项目评价区域属于</w:t>
            </w:r>
            <w:r>
              <w:rPr>
                <w:rFonts w:hint="default" w:ascii="Times New Roman" w:hAnsi="Times New Roman" w:cs="Times New Roman"/>
                <w:color w:val="auto"/>
                <w:lang w:val="en-US" w:eastAsia="zh-CN"/>
              </w:rPr>
              <w:t>Ш天山山地温性草原、森林生态区—Ш</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天山南坡草原牧业、绿洲农业生态亚区</w:t>
            </w:r>
            <w:r>
              <w:rPr>
                <w:rFonts w:hint="default" w:ascii="Times New Roman" w:hAnsi="Times New Roman" w:cs="Times New Roman"/>
                <w:color w:val="auto"/>
              </w:rPr>
              <w:t>-</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.托木尔峰和天山南坡中段冰雪水源及生物多样性保护生态功能区</w:t>
            </w:r>
            <w:r>
              <w:rPr>
                <w:rFonts w:hint="eastAsia" w:ascii="Times New Roman" w:hAnsi="Times New Roman" w:cs="Times New Roman"/>
                <w:color w:val="auto"/>
                <w:lang w:eastAsia="zh-CN"/>
              </w:rPr>
              <w:t>，</w:t>
            </w:r>
            <w:r>
              <w:rPr>
                <w:rFonts w:hint="default" w:ascii="Times New Roman" w:hAnsi="Times New Roman" w:cs="Times New Roman"/>
                <w:color w:val="auto"/>
              </w:rPr>
              <w:t>具体见表</w:t>
            </w:r>
            <w:r>
              <w:rPr>
                <w:rFonts w:hint="default" w:ascii="Times New Roman" w:hAnsi="Times New Roman" w:cs="Times New Roman"/>
                <w:color w:val="auto"/>
                <w:lang w:val="en-US" w:eastAsia="zh-CN"/>
              </w:rPr>
              <w:t>3.2-1</w:t>
            </w:r>
            <w:r>
              <w:rPr>
                <w:rFonts w:hint="default" w:ascii="Times New Roman" w:hAnsi="Times New Roman" w:cs="Times New Roman"/>
                <w:color w:val="auto"/>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宋体" w:hAnsi="宋体" w:cs="Times New Roman"/>
                <w:color w:val="auto"/>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3.2-1</w:t>
            </w:r>
            <w:r>
              <w:rPr>
                <w:rFonts w:hint="default" w:ascii="Times New Roman" w:hAnsi="Times New Roman" w:cs="Times New Roman"/>
                <w:b/>
                <w:bCs/>
                <w:color w:val="auto"/>
                <w:sz w:val="21"/>
                <w:szCs w:val="21"/>
              </w:rPr>
              <w:t xml:space="preserve"> </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 xml:space="preserve"> 生态功能区划及主要环境问题和保护目标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157"/>
              <w:gridCol w:w="1149"/>
              <w:gridCol w:w="1165"/>
              <w:gridCol w:w="1266"/>
              <w:gridCol w:w="905"/>
              <w:gridCol w:w="10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71" w:hRule="atLeast"/>
                <w:jc w:val="center"/>
              </w:trPr>
              <w:tc>
                <w:tcPr>
                  <w:tcW w:w="81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生态功能区名称</w:t>
                  </w:r>
                </w:p>
              </w:tc>
              <w:tc>
                <w:tcPr>
                  <w:tcW w:w="72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主要生态服务功能</w:t>
                  </w:r>
                </w:p>
              </w:tc>
              <w:tc>
                <w:tcPr>
                  <w:tcW w:w="722"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主要生态环境问题</w:t>
                  </w:r>
                </w:p>
              </w:tc>
              <w:tc>
                <w:tcPr>
                  <w:tcW w:w="732"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生态敏感因子敏感程度</w:t>
                  </w:r>
                </w:p>
              </w:tc>
              <w:tc>
                <w:tcPr>
                  <w:tcW w:w="795"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保护目标</w:t>
                  </w:r>
                </w:p>
              </w:tc>
              <w:tc>
                <w:tcPr>
                  <w:tcW w:w="56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保护措施</w:t>
                  </w:r>
                </w:p>
              </w:tc>
              <w:tc>
                <w:tcPr>
                  <w:tcW w:w="639"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发展方向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56" w:hRule="atLeast"/>
                <w:jc w:val="center"/>
              </w:trPr>
              <w:tc>
                <w:tcPr>
                  <w:tcW w:w="81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42.托木尔峰和天山南坡中段冰雪水源及生物多样性保护生态功能区</w:t>
                  </w:r>
                </w:p>
              </w:tc>
              <w:tc>
                <w:tcPr>
                  <w:tcW w:w="72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水源补给、生物多样性维护、土壤保持</w:t>
                  </w:r>
                </w:p>
              </w:tc>
              <w:tc>
                <w:tcPr>
                  <w:tcW w:w="722"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水土流失、野生动物减少、土壤侵蚀、森林破坏</w:t>
                  </w:r>
                </w:p>
              </w:tc>
              <w:tc>
                <w:tcPr>
                  <w:tcW w:w="732"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生物多样性和生境极度敏感，土壤侵蚀轻度敏感、不敏感，土地沙漠化、土壤盐渍化不敏感。</w:t>
                  </w:r>
                </w:p>
              </w:tc>
              <w:tc>
                <w:tcPr>
                  <w:tcW w:w="795"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保护托木尔峰自然景观、保护高山冰川、保护野生动物、保护森林和草原</w:t>
                  </w:r>
                </w:p>
              </w:tc>
              <w:tc>
                <w:tcPr>
                  <w:tcW w:w="56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草地减牧、森林禁伐、禁猎、加强保护区管理</w:t>
                  </w:r>
                </w:p>
              </w:tc>
              <w:tc>
                <w:tcPr>
                  <w:tcW w:w="639"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合理利用天然草地，维护自然景观和生物多样性</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left"/>
              <w:textAlignment w:val="auto"/>
              <w:rPr>
                <w:rFonts w:hint="eastAsia" w:ascii="Times New Roman" w:hAnsi="Times New Roman" w:eastAsia="宋体" w:cs="Times New Roman"/>
                <w:b/>
                <w:bCs/>
                <w:color w:val="auto"/>
                <w:lang w:val="en-US" w:eastAsia="zh-CN"/>
              </w:rPr>
            </w:pPr>
            <w:r>
              <w:rPr>
                <w:rFonts w:hint="default" w:ascii="Times New Roman" w:hAnsi="Times New Roman" w:cs="Times New Roman"/>
                <w:color w:val="auto"/>
                <w:highlight w:val="none"/>
              </w:rPr>
              <w:t>本项目位于</w:t>
            </w:r>
            <w:r>
              <w:rPr>
                <w:rFonts w:hint="default" w:ascii="Times New Roman" w:hAnsi="Times New Roman" w:cs="Times New Roman"/>
                <w:color w:val="auto"/>
              </w:rPr>
              <w:t>新疆生态功能区划</w:t>
            </w:r>
            <w:r>
              <w:rPr>
                <w:rFonts w:hint="eastAsia" w:ascii="Times New Roman" w:hAnsi="Times New Roman" w:cs="Times New Roman"/>
                <w:color w:val="auto"/>
                <w:highlight w:val="none"/>
                <w:lang w:val="en-US" w:eastAsia="zh-CN"/>
              </w:rPr>
              <w:t>。本项目植被以耐旱草本为主，呈现土壤贫瘠、地表裸露度高的特征：植物群落以旱生、沙生植物为主，群落结构单一；动物种群以小型荒漠特有种为主（如沙蜥、跳鼠），无国家级重点保护物种。项目用地类型为其他草地，周边以低覆盖度耐旱植被（草甸）为主，项目直接影响限于项目占地范围内的生态环境。项目在严格落实修复措施、长期维护的前提下，项目生态影响可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jc w:val="left"/>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lang w:val="en-US" w:eastAsia="zh-CN"/>
              </w:rPr>
              <w:t>3.2.2</w:t>
            </w:r>
            <w:r>
              <w:rPr>
                <w:rFonts w:hint="eastAsia" w:ascii="Times New Roman" w:hAnsi="Times New Roman" w:eastAsia="宋体" w:cs="Times New Roman"/>
                <w:b/>
                <w:bCs/>
                <w:color w:val="auto"/>
              </w:rPr>
              <w:t>土</w:t>
            </w:r>
            <w:r>
              <w:rPr>
                <w:rFonts w:hint="eastAsia" w:ascii="Times New Roman" w:hAnsi="Times New Roman" w:eastAsia="宋体" w:cs="Times New Roman"/>
                <w:b/>
                <w:bCs/>
                <w:color w:val="auto"/>
                <w:lang w:val="en-US" w:eastAsia="zh-CN"/>
              </w:rPr>
              <w:t>地利用现状调查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（一）</w:t>
            </w:r>
            <w:r>
              <w:rPr>
                <w:rFonts w:hint="default" w:ascii="Times New Roman" w:hAnsi="Times New Roman" w:eastAsia="宋体" w:cs="Times New Roman"/>
                <w:color w:val="auto"/>
              </w:rPr>
              <w:t>项目区</w:t>
            </w:r>
            <w:r>
              <w:rPr>
                <w:rFonts w:hint="eastAsia" w:ascii="Times New Roman" w:hAnsi="Times New Roman" w:eastAsia="宋体" w:cs="Times New Roman"/>
                <w:color w:val="auto"/>
                <w:lang w:val="en-US" w:eastAsia="zh-CN"/>
              </w:rPr>
              <w:t>土壤</w:t>
            </w:r>
            <w:r>
              <w:rPr>
                <w:rFonts w:hint="default" w:ascii="Times New Roman" w:hAnsi="Times New Roman" w:eastAsia="宋体" w:cs="Times New Roman"/>
                <w:color w:val="auto"/>
              </w:rPr>
              <w:t>类型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根据收集的资料及现状调查，项目区</w:t>
            </w:r>
            <w:r>
              <w:rPr>
                <w:rFonts w:hint="default" w:ascii="Times New Roman" w:hAnsi="Times New Roman" w:eastAsia="宋体" w:cs="Times New Roman"/>
                <w:color w:val="auto"/>
              </w:rPr>
              <w:t>位于</w:t>
            </w:r>
            <w:r>
              <w:rPr>
                <w:rFonts w:hint="eastAsia" w:ascii="Times New Roman" w:hAnsi="Times New Roman" w:eastAsia="宋体" w:cs="Times New Roman"/>
                <w:color w:val="auto"/>
                <w:lang w:val="en-US" w:eastAsia="zh-CN"/>
              </w:rPr>
              <w:t>天山山脉南麓，区域内土壤类型较简单，</w:t>
            </w:r>
            <w:r>
              <w:rPr>
                <w:rFonts w:hint="eastAsia" w:cs="Times New Roman"/>
                <w:color w:val="auto"/>
                <w:lang w:val="en-US" w:eastAsia="zh-CN"/>
              </w:rPr>
              <w:t>为</w:t>
            </w:r>
            <w:r>
              <w:rPr>
                <w:rFonts w:hint="eastAsia" w:ascii="Times New Roman" w:hAnsi="Times New Roman" w:eastAsia="宋体" w:cs="Times New Roman"/>
                <w:color w:val="auto"/>
                <w:lang w:val="en-US" w:eastAsia="zh-CN"/>
              </w:rPr>
              <w:t>高山草甸土，见附图4。</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高山草甸土的特征表现为：有明显的腐殖质积聚，腐殖质层厚8～20厘米，呈灰棕至黑褐色粒状－扁核状结构。有机质含量10%～20%，以富啡酸为主，胡敏酸/富⾥酸(H/F)比值为0.6～1.0。土壤复合胶体属高有机质低复合度型，以松结合态腐殖质为主。腐殖质层向下颜色迅速变淡。在亚高山带，土壤层次间过渡迅速而明显；而在高山（真高山）带则不甚明显，且AB层出现一个暗色层。剖面中水溶性盐类和碳酸钙已淋失，仅部分高山草甸土剖面的中、下部有碳酸钙积聚。粘粒和三二氧化物在剖面中变化不大，粘土矿物以水云母为主，并有少量高岭石和蛭石。呈酸性至中性反应。土层厚度仅40～50厘米，有明显的融冻微形态特征，底层有季节冻层或多年冻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（二）</w:t>
            </w:r>
            <w:r>
              <w:rPr>
                <w:rFonts w:hint="default" w:ascii="Times New Roman" w:hAnsi="Times New Roman" w:eastAsia="宋体" w:cs="Times New Roman"/>
                <w:color w:val="auto"/>
              </w:rPr>
              <w:t>项目区植被类型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本项目位于西天山中部，属中高山区，总体北高南低，地形陡峭，海拔3480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4500米，相对高差500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1000米，山体上升强烈，属高山深切地貌。山体坡度为30~65°，局部地段65~80°，最低侵蚀基准面相对高差约200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812</w:t>
            </w:r>
            <w:r>
              <w:rPr>
                <w:rFonts w:hint="eastAsia" w:ascii="Times New Roman" w:hAnsi="Times New Roman" w:eastAsia="宋体" w:cs="Times New Roman"/>
                <w:color w:val="auto"/>
                <w:lang w:val="en-US" w:eastAsia="zh-CN"/>
              </w:rPr>
              <w:t>米</w:t>
            </w:r>
            <w:r>
              <w:rPr>
                <w:rFonts w:hint="default" w:ascii="Times New Roman" w:hAnsi="Times New Roman" w:eastAsia="宋体" w:cs="Times New Roman"/>
                <w:color w:val="auto"/>
                <w:lang w:val="en-US" w:eastAsia="zh-CN"/>
              </w:rPr>
              <w:t>。山体坡脚地带坡度15~30°，矿区大部分地区基岩裸露，风化强烈岩石破碎，多为陡峭险峻的碎石坡地形及灰岩陡坎地形，部分地区覆盖少量第四系堆积物。勘查区属温暖带大陆性干旱季风气候，冬寒夏炎，夏季有少量降雨，降雨量多集中在7-8月份，6-9月份平均气温为17-20度，多西北风，蒸发量大于降水量，冰冻期为10月至翌年4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根据查询相关资料及现场勘查和植被类型分布调查可知，项目所在区域目前主要植被类型为针茅等，用地现状多为</w:t>
            </w:r>
            <w:r>
              <w:rPr>
                <w:rFonts w:hint="eastAsia" w:ascii="Times New Roman" w:hAnsi="Times New Roman" w:cs="Times New Roman"/>
                <w:color w:val="auto"/>
                <w:highlight w:val="none"/>
                <w:lang w:val="en-US" w:eastAsia="zh-CN"/>
              </w:rPr>
              <w:t>其他草地</w:t>
            </w:r>
            <w:r>
              <w:rPr>
                <w:rFonts w:hint="default" w:ascii="Times New Roman" w:hAnsi="Times New Roman" w:cs="Times New Roman"/>
                <w:color w:val="auto"/>
                <w:highlight w:val="none"/>
                <w:lang w:val="en-US" w:eastAsia="zh-CN"/>
              </w:rPr>
              <w:t>。</w:t>
            </w:r>
          </w:p>
          <w:p>
            <w:pPr>
              <w:pStyle w:val="1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color w:val="auto"/>
                <w:kern w:val="0"/>
                <w:sz w:val="21"/>
                <w:szCs w:val="20"/>
                <w:lang w:val="en-US" w:eastAsia="zh-CN" w:bidi="ar-SA"/>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3.2-</w:t>
            </w:r>
            <w:r>
              <w:rPr>
                <w:rFonts w:hint="eastAsia" w:ascii="Times New Roman" w:hAnsi="Times New Roman" w:cs="Times New Roman"/>
                <w:b/>
                <w:bCs/>
                <w:color w:val="auto"/>
                <w:sz w:val="21"/>
                <w:szCs w:val="21"/>
                <w:lang w:val="en-US" w:eastAsia="zh-CN"/>
              </w:rPr>
              <w:t>2</w:t>
            </w:r>
            <w:r>
              <w:rPr>
                <w:rFonts w:hint="eastAsia" w:ascii="Times New Roman" w:hAnsi="Times New Roman" w:eastAsia="宋体" w:cs="Times New Roman"/>
                <w:b/>
                <w:color w:val="auto"/>
                <w:kern w:val="0"/>
                <w:sz w:val="21"/>
                <w:szCs w:val="20"/>
                <w:lang w:val="en-US" w:eastAsia="zh-CN" w:bidi="ar-SA"/>
              </w:rPr>
              <w:t xml:space="preserve">    项目区及周边区域植物名录</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458"/>
              <w:gridCol w:w="812"/>
              <w:gridCol w:w="1421"/>
              <w:gridCol w:w="4700"/>
              <w:gridCol w:w="5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458" w:type="dxa"/>
                  <w:tcBorders>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科</w:t>
                  </w:r>
                </w:p>
              </w:tc>
              <w:tc>
                <w:tcPr>
                  <w:tcW w:w="812" w:type="dxa"/>
                  <w:tcBorders>
                    <w:left w:val="single" w:color="auto" w:sz="8" w:space="0"/>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种名</w:t>
                  </w:r>
                </w:p>
              </w:tc>
              <w:tc>
                <w:tcPr>
                  <w:tcW w:w="1421" w:type="dxa"/>
                  <w:tcBorders>
                    <w:left w:val="single" w:color="auto" w:sz="8" w:space="0"/>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拉丁名</w:t>
                  </w:r>
                </w:p>
              </w:tc>
              <w:tc>
                <w:tcPr>
                  <w:tcW w:w="4700" w:type="dxa"/>
                  <w:tcBorders>
                    <w:left w:val="single" w:color="auto" w:sz="8" w:space="0"/>
                    <w:bottom w:val="single" w:color="auto" w:sz="8" w:space="0"/>
                    <w:right w:val="single" w:color="auto"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形态特征及生活习性</w:t>
                  </w:r>
                </w:p>
              </w:tc>
              <w:tc>
                <w:tcPr>
                  <w:tcW w:w="563" w:type="dxa"/>
                  <w:tcBorders>
                    <w:left w:val="single" w:color="auto" w:sz="8" w:space="0"/>
                    <w:bottom w:val="single" w:color="auto"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保护级别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458" w:type="dxa"/>
                  <w:tcBorders>
                    <w:top w:val="single" w:color="auto" w:sz="8" w:space="0"/>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禾本科</w:t>
                  </w:r>
                </w:p>
              </w:tc>
              <w:tc>
                <w:tcPr>
                  <w:tcW w:w="81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针茅</w:t>
                  </w:r>
                </w:p>
              </w:tc>
              <w:tc>
                <w:tcPr>
                  <w:tcW w:w="142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Stipa capillata L</w:t>
                  </w:r>
                </w:p>
              </w:tc>
              <w:tc>
                <w:tcPr>
                  <w:tcW w:w="470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多年生密丛型，秆直立，高40–80cm，具4节；植株基部留存干枯老叶鞘，形成保护丛。叶片持续内卷成细线形（旱生适应结构），宽仅0.5–1.3mm；叶面有细微柔毛，叶背粗糙；基生叶最长可达 40cm。叶舌披针形，秆生叶舌长4–8mm。圆锥花序狭窄，大部分包裹在叶鞘内，不舒展外露；小穗仅1 朵小花，整体呈草黄、灰白色。</w:t>
                  </w:r>
                </w:p>
              </w:tc>
              <w:tc>
                <w:tcPr>
                  <w:tcW w:w="563" w:type="dxa"/>
                  <w:tcBorders>
                    <w:top w:val="single" w:color="auto" w:sz="8" w:space="0"/>
                    <w:left w:val="single" w:color="auto" w:sz="8" w:space="0"/>
                    <w:bottom w:val="single" w:color="auto" w:sz="8"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项目区用地不涉及国家及地方公益林。本区域的气候土壤特殊性，决定了本区域植被种类贫乏、群落稀疏、植被类型简单，基本无利用价值，原始的自然植被较少。区内植被不发育，以</w:t>
            </w:r>
            <w:r>
              <w:rPr>
                <w:rFonts w:hint="eastAsia" w:cs="Times New Roman"/>
                <w:color w:val="auto"/>
                <w:lang w:val="en-US" w:eastAsia="zh-CN"/>
              </w:rPr>
              <w:t>草甸</w:t>
            </w:r>
            <w:r>
              <w:rPr>
                <w:rFonts w:hint="default" w:ascii="Times New Roman" w:hAnsi="Times New Roman" w:cs="Times New Roman"/>
                <w:color w:val="auto"/>
                <w:lang w:val="en-US" w:eastAsia="zh-CN"/>
              </w:rPr>
              <w:t>为主，海拔在3000米以上基本没有植被，矿区土地利用未涉及耕地、基本农田保护区。项目所在区域评价范围内零星分布着耐旱植被，项目区主要分布</w:t>
            </w:r>
            <w:r>
              <w:rPr>
                <w:rFonts w:hint="eastAsia" w:cs="Times New Roman"/>
                <w:color w:val="auto"/>
                <w:lang w:val="en-US" w:eastAsia="zh-CN"/>
              </w:rPr>
              <w:t>草甸</w:t>
            </w:r>
            <w:r>
              <w:rPr>
                <w:rFonts w:hint="default" w:ascii="Times New Roman" w:hAnsi="Times New Roman" w:cs="Times New Roman"/>
                <w:color w:val="auto"/>
                <w:lang w:val="en-US" w:eastAsia="zh-CN"/>
              </w:rPr>
              <w:t>等无高大乔木分布。根据《国家重点保护野生植物名录》</w:t>
            </w:r>
            <w:r>
              <w:rPr>
                <w:rFonts w:hint="eastAsia" w:ascii="Times New Roman" w:hAnsi="Times New Roman" w:cs="Times New Roman"/>
                <w:color w:val="auto"/>
              </w:rPr>
              <w:t>（2021年9月7日国家林业和草原局农业农村部公告（2021年第15号）</w:t>
            </w:r>
            <w:r>
              <w:rPr>
                <w:rFonts w:hint="eastAsia" w:ascii="Times New Roman" w:hAnsi="Times New Roman" w:cs="Times New Roman"/>
                <w:color w:val="auto"/>
                <w:lang w:eastAsia="zh-CN"/>
              </w:rPr>
              <w:t>，</w:t>
            </w:r>
            <w:r>
              <w:rPr>
                <w:rFonts w:hint="eastAsia" w:ascii="Times New Roman" w:hAnsi="Times New Roman" w:cs="Times New Roman"/>
                <w:color w:val="auto"/>
              </w:rPr>
              <w:t>国务院2021年8月7日批准）</w:t>
            </w:r>
            <w:r>
              <w:rPr>
                <w:rFonts w:hint="default" w:ascii="Times New Roman" w:hAnsi="Times New Roman" w:cs="Times New Roman"/>
                <w:color w:val="auto"/>
                <w:lang w:val="en-US" w:eastAsia="zh-CN"/>
              </w:rPr>
              <w:t>和《新疆维吾尔自治区重点保护野生植物名录》</w:t>
            </w:r>
            <w:r>
              <w:rPr>
                <w:rFonts w:hint="eastAsia" w:ascii="Times New Roman" w:hAnsi="Times New Roman" w:cs="Times New Roman"/>
                <w:color w:val="auto"/>
                <w:lang w:val="en-US" w:eastAsia="zh-CN"/>
              </w:rPr>
              <w:t>（新政发〔2023〕63号，新疆维吾尔自治区人民政府，2023年12月29日）</w:t>
            </w:r>
            <w:r>
              <w:rPr>
                <w:rFonts w:hint="default" w:ascii="Times New Roman" w:hAnsi="Times New Roman" w:cs="Times New Roman"/>
                <w:color w:val="auto"/>
                <w:lang w:val="en-US" w:eastAsia="zh-CN"/>
              </w:rPr>
              <w:t>等名录，项目区内未发现重点保护植物。</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0"/>
                <w:lang w:val="en-US" w:eastAsia="zh-CN"/>
              </w:rPr>
            </w:pPr>
            <w:r>
              <w:rPr>
                <w:rFonts w:hint="eastAsia" w:ascii="Times New Roman" w:hAnsi="Times New Roman" w:eastAsia="宋体" w:cs="Times New Roman"/>
                <w:b/>
                <w:bCs/>
                <w:color w:val="auto"/>
                <w:kern w:val="0"/>
                <w:lang w:val="en-US" w:eastAsia="zh-CN"/>
              </w:rPr>
              <w:t>3.2.3野生动物现状调查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Times New Roman" w:hAnsi="Times New Roman" w:cs="Times New Roman"/>
                <w:color w:val="auto"/>
              </w:rPr>
            </w:pPr>
            <w:r>
              <w:rPr>
                <w:rFonts w:hint="eastAsia" w:ascii="Times New Roman" w:hAnsi="Times New Roman" w:cs="Times New Roman"/>
                <w:color w:val="auto"/>
              </w:rPr>
              <w:t>项目区及周边地区由于人类活动，野生动物稀少，场址所在区域植物种类较少，动物食源少，因此该区动物组成较为单一，野生动物的分布种类和种群数量也较少，基本无大型哺乳动物活动，仅有一些常见的鸟类和鼠类，无国家及自治区级保护野生动物。根据《国家重点保护野生动物名录</w:t>
            </w:r>
            <w:r>
              <w:rPr>
                <w:rFonts w:hint="eastAsia" w:ascii="Times New Roman" w:hAnsi="Times New Roman" w:cs="Times New Roman"/>
                <w:color w:val="auto"/>
                <w:lang w:eastAsia="zh-CN"/>
              </w:rPr>
              <w:t>（</w:t>
            </w:r>
            <w:r>
              <w:rPr>
                <w:rFonts w:hint="eastAsia" w:ascii="Times New Roman" w:hAnsi="Times New Roman" w:cs="Times New Roman"/>
                <w:color w:val="auto"/>
              </w:rPr>
              <w:t>2021年版</w:t>
            </w:r>
            <w:r>
              <w:rPr>
                <w:rFonts w:hint="eastAsia" w:ascii="Times New Roman" w:hAnsi="Times New Roman" w:cs="Times New Roman"/>
                <w:color w:val="auto"/>
                <w:lang w:eastAsia="zh-CN"/>
              </w:rPr>
              <w:t>）</w:t>
            </w:r>
            <w:r>
              <w:rPr>
                <w:rFonts w:hint="eastAsia" w:ascii="Times New Roman" w:hAnsi="Times New Roman" w:cs="Times New Roman"/>
                <w:color w:val="auto"/>
              </w:rPr>
              <w:t>》《新疆国家重点保护野生动物名录》</w:t>
            </w:r>
            <w:r>
              <w:rPr>
                <w:rFonts w:hint="eastAsia" w:ascii="Times New Roman" w:hAnsi="Times New Roman" w:cs="Times New Roman"/>
                <w:color w:val="auto"/>
                <w:lang w:eastAsia="zh-CN"/>
              </w:rPr>
              <w:t>（2021年7月28日</w:t>
            </w:r>
            <w:r>
              <w:rPr>
                <w:rFonts w:hint="eastAsia" w:ascii="Times New Roman" w:hAnsi="Times New Roman" w:cs="Times New Roman"/>
                <w:color w:val="auto"/>
              </w:rPr>
              <w:t>发布</w:t>
            </w:r>
            <w:r>
              <w:rPr>
                <w:rFonts w:hint="eastAsia" w:ascii="Times New Roman" w:hAnsi="Times New Roman" w:cs="Times New Roman"/>
                <w:color w:val="auto"/>
                <w:lang w:eastAsia="zh-CN"/>
              </w:rPr>
              <w:t>）</w:t>
            </w:r>
            <w:r>
              <w:rPr>
                <w:rFonts w:hint="eastAsia" w:ascii="Times New Roman" w:hAnsi="Times New Roman" w:cs="Times New Roman"/>
                <w:color w:val="auto"/>
              </w:rPr>
              <w:t>，评价区没有保护野生动物分布。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color w:val="auto"/>
                <w:kern w:val="0"/>
              </w:rPr>
            </w:pPr>
            <w:r>
              <w:rPr>
                <w:rFonts w:hint="eastAsia" w:ascii="Times New Roman" w:hAnsi="Times New Roman" w:cs="Times New Roman"/>
                <w:b/>
                <w:color w:val="auto"/>
                <w:kern w:val="0"/>
                <w:lang w:val="en-US" w:eastAsia="zh-CN"/>
              </w:rPr>
              <w:t>3.3</w:t>
            </w:r>
            <w:r>
              <w:rPr>
                <w:rFonts w:hint="eastAsia" w:ascii="Times New Roman" w:hAnsi="Times New Roman" w:cs="Times New Roman"/>
                <w:b/>
                <w:color w:val="auto"/>
                <w:kern w:val="0"/>
              </w:rPr>
              <w:t>环境空气质量评价</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数据来源</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根据《环境影响评价技术导则大气环境》</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HJ2.2-2018</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，大气常规因子可直接采用国家或地方生态环境主管部门公开发布的评价基准年环境质量公告或环境质量报告中的数据或结论。故本次采用和静县空气自动监测站2024年数据进行评价。</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监测项目</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10、</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2.5</w:t>
            </w:r>
            <w:r>
              <w:rPr>
                <w:rFonts w:hint="default" w:ascii="Times New Roman" w:hAnsi="Times New Roman" w:cs="Times New Roman"/>
                <w:color w:val="auto"/>
                <w:lang w:val="en-US" w:eastAsia="zh-CN"/>
              </w:rPr>
              <w:t>、CO、O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评价标准</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本次环境空气质量现状评价采用《环境空气质量标准》（GB3095-2026）表1中过渡阶段二级标准。</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评价方法采用最大质量浓度占相应标准质量浓度限值的百分比，超标率对监测结果进行评价分析。计算公式如下</w:t>
            </w:r>
            <w:r>
              <w:rPr>
                <w:rFonts w:hint="eastAsia" w:ascii="Times New Roman" w:hAnsi="Times New Roman" w:cs="Times New Roman"/>
                <w:color w:val="auto"/>
                <w:lang w:val="en-US" w:eastAsia="zh-CN"/>
              </w:rPr>
              <w:t>：</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P</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oi</w:t>
            </w:r>
            <w:r>
              <w:rPr>
                <w:rFonts w:hint="default" w:ascii="Times New Roman" w:hAnsi="Times New Roman" w:cs="Times New Roman"/>
                <w:color w:val="auto"/>
                <w:lang w:val="en-US" w:eastAsia="zh-CN"/>
              </w:rPr>
              <w:t>x100%</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式中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P</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一某种污染物的最大地面质量浓度占标率，%</w:t>
            </w:r>
            <w:r>
              <w:rPr>
                <w:rFonts w:hint="eastAsia" w:ascii="Times New Roman" w:hAnsi="Times New Roman" w:cs="Times New Roman"/>
                <w:color w:val="auto"/>
                <w:lang w:val="en-US" w:eastAsia="zh-CN"/>
              </w:rPr>
              <w:t>；</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一某种污染物的实际监测浓度，mg/m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oi</w:t>
            </w:r>
            <w:r>
              <w:rPr>
                <w:rFonts w:hint="default" w:ascii="Times New Roman" w:hAnsi="Times New Roman" w:cs="Times New Roman"/>
                <w:color w:val="auto"/>
                <w:lang w:val="en-US" w:eastAsia="zh-CN"/>
              </w:rPr>
              <w:t>一某种污染物的环境空气标准浓度，mg/m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区域达标性分析</w:t>
            </w:r>
          </w:p>
          <w:p>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本次评价选用距离项目最近的和静县环境自动监测站2024年的全年监测统计数据，作为本项目环境空气现状评价基本污染物SO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、PM</w:t>
            </w:r>
            <w:r>
              <w:rPr>
                <w:rFonts w:hint="eastAsia" w:ascii="Times New Roman" w:hAnsi="Times New Roman" w:cs="Times New Roman"/>
                <w:color w:val="auto"/>
                <w:vertAlign w:val="subscript"/>
                <w:lang w:val="en-US" w:eastAsia="zh-CN"/>
              </w:rPr>
              <w:t>10</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2.5</w:t>
            </w:r>
            <w:r>
              <w:rPr>
                <w:rFonts w:hint="default" w:ascii="Times New Roman" w:hAnsi="Times New Roman" w:cs="Times New Roman"/>
                <w:color w:val="auto"/>
                <w:lang w:val="en-US" w:eastAsia="zh-CN"/>
              </w:rPr>
              <w:t>、CO和O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的数据来源可行，所引用数据可以满足环境空气质量评价有效性要求。基本污染物环境空气质量现状表详</w:t>
            </w:r>
            <w:r>
              <w:rPr>
                <w:rFonts w:hint="eastAsia" w:cs="Times New Roman"/>
                <w:color w:val="auto"/>
                <w:lang w:val="en-US" w:eastAsia="zh-CN"/>
              </w:rPr>
              <w:t>见下</w:t>
            </w:r>
            <w:r>
              <w:rPr>
                <w:rFonts w:hint="default" w:ascii="Times New Roman" w:hAnsi="Times New Roman" w:cs="Times New Roman"/>
                <w:color w:val="auto"/>
                <w:lang w:val="en-US" w:eastAsia="zh-CN"/>
              </w:rPr>
              <w:t>表</w:t>
            </w:r>
          </w:p>
          <w:p>
            <w:pPr>
              <w:pStyle w:val="58"/>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1</w:t>
            </w:r>
            <w:r>
              <w:rPr>
                <w:rFonts w:hint="default" w:ascii="Times New Roman" w:hAnsi="Times New Roman" w:cs="Times New Roman"/>
                <w:color w:val="auto"/>
              </w:rPr>
              <w:t>区域空气质量现状评价表单位（μg/m³）</w:t>
            </w:r>
          </w:p>
          <w:tbl>
            <w:tblPr>
              <w:tblStyle w:val="75"/>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994"/>
              <w:gridCol w:w="3010"/>
              <w:gridCol w:w="938"/>
              <w:gridCol w:w="1033"/>
              <w:gridCol w:w="1025"/>
              <w:gridCol w:w="954"/>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年评价指标</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现状浓度</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6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占标率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达标情况</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8.3</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24h平均第98百分位数</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48</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24h平均第98百分位数</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61</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CO</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eastAsia="zh-CN"/>
                    </w:rPr>
                    <w:t>）</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第95百分位数日平均浓度</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55</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第90百分位数最大8h平均浓度</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30</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81</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108</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180</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百分位数</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318</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265</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86.67</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40" w:hRule="atLeast"/>
                <w:jc w:val="center"/>
              </w:trPr>
              <w:tc>
                <w:tcPr>
                  <w:tcW w:w="6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百分位数</w:t>
                  </w:r>
                </w:p>
              </w:tc>
              <w:tc>
                <w:tcPr>
                  <w:tcW w:w="58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78</w:t>
                  </w:r>
                </w:p>
              </w:tc>
              <w:tc>
                <w:tcPr>
                  <w:tcW w:w="6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pPr>
                    <w:pStyle w:val="4"/>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130</w:t>
                  </w:r>
                </w:p>
              </w:tc>
              <w:tc>
                <w:tcPr>
                  <w:tcW w:w="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bl>
          <w:p>
            <w:pPr>
              <w:pStyle w:val="82"/>
              <w:keepNext w:val="0"/>
              <w:keepLines w:val="0"/>
              <w:pageBreakBefore w:val="0"/>
              <w:widowControl/>
              <w:suppressLineNumbers w:val="0"/>
              <w:kinsoku/>
              <w:wordWrap/>
              <w:overflowPunct/>
              <w:topLinePunct w:val="0"/>
              <w:autoSpaceDE/>
              <w:autoSpaceDN/>
              <w:bidi w:val="0"/>
              <w:spacing w:before="0" w:beforeAutospacing="0" w:after="0" w:afterAutospacing="0"/>
              <w:ind w:left="0" w:right="0"/>
              <w:textAlignment w:val="auto"/>
              <w:rPr>
                <w:rFonts w:hint="default" w:ascii="Times New Roman" w:hAnsi="Times New Roman" w:cs="Times New Roman"/>
                <w:color w:val="auto"/>
              </w:rPr>
            </w:pPr>
            <w:r>
              <w:rPr>
                <w:rFonts w:hint="default" w:ascii="Times New Roman" w:hAnsi="Times New Roman" w:cs="Times New Roman"/>
                <w:color w:val="auto"/>
              </w:rPr>
              <w:t>和静县空气自动监测站2024年空气质量监测总天数为365天。受沙尘天气影响，PM</w:t>
            </w:r>
            <w:r>
              <w:rPr>
                <w:rFonts w:hint="default" w:ascii="Times New Roman" w:hAnsi="Times New Roman" w:cs="Times New Roman"/>
                <w:color w:val="auto"/>
                <w:vertAlign w:val="subscript"/>
              </w:rPr>
              <w:t>2</w:t>
            </w:r>
            <w:r>
              <w:rPr>
                <w:rFonts w:hint="eastAsia" w:cs="Times New Roman"/>
                <w:color w:val="auto"/>
                <w:vertAlign w:val="subscript"/>
                <w:lang w:val="en-US" w:eastAsia="zh-CN"/>
              </w:rPr>
              <w:t>.5</w:t>
            </w:r>
            <w:r>
              <w:rPr>
                <w:rFonts w:hint="default" w:ascii="Times New Roman" w:hAnsi="Times New Roman" w:cs="Times New Roman"/>
                <w:color w:val="auto"/>
              </w:rPr>
              <w:t>24h平均第95百分位数</w:t>
            </w:r>
            <w:r>
              <w:rPr>
                <w:rFonts w:hint="eastAsia" w:ascii="Times New Roman" w:hAnsi="Times New Roman" w:cs="Times New Roman"/>
                <w:color w:val="auto"/>
                <w:lang w:val="en-US" w:eastAsia="zh-CN"/>
              </w:rPr>
              <w:t>和</w:t>
            </w:r>
            <w:r>
              <w:rPr>
                <w:rFonts w:hint="default" w:ascii="Times New Roman" w:hAnsi="Times New Roman" w:cs="Times New Roman"/>
                <w:color w:val="auto"/>
              </w:rPr>
              <w:t>PM</w:t>
            </w:r>
            <w:r>
              <w:rPr>
                <w:rFonts w:hint="eastAsia" w:cs="Times New Roman"/>
                <w:color w:val="auto"/>
                <w:vertAlign w:val="subscript"/>
                <w:lang w:val="en-US" w:eastAsia="zh-CN"/>
              </w:rPr>
              <w:t>10</w:t>
            </w:r>
            <w:r>
              <w:rPr>
                <w:rFonts w:hint="default" w:ascii="Times New Roman" w:hAnsi="Times New Roman" w:cs="Times New Roman"/>
                <w:color w:val="auto"/>
              </w:rPr>
              <w:t>年平均及24h平均第95百分位数浓度超过《环境空气质量标准》（GB3095-2026）表1中过渡阶段二级标准，SO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、CO、O</w:t>
            </w:r>
            <w:r>
              <w:rPr>
                <w:rFonts w:hint="eastAsia" w:cs="Times New Roman"/>
                <w:color w:val="auto"/>
                <w:vertAlign w:val="subscript"/>
                <w:lang w:val="en-US" w:eastAsia="zh-CN"/>
              </w:rPr>
              <w:t>3</w:t>
            </w:r>
            <w:r>
              <w:rPr>
                <w:rFonts w:hint="default" w:ascii="Times New Roman" w:hAnsi="Times New Roman" w:cs="Times New Roman"/>
                <w:color w:val="auto"/>
              </w:rPr>
              <w:t>等其他监测指标均满足二级标准，因此判断本项目所在区域为不达标区。</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对于环境空气质量不达标区域需提交《大气环境不达标区域削减方案》，根据生态环境部办公厅出具的《关于将巴音郭楞蒙古自治州 吐鲁番市 哈密市纳入执行</w:t>
            </w:r>
            <w:r>
              <w:rPr>
                <w:rFonts w:hint="eastAsia" w:ascii="Times New Roman" w:hAnsi="Times New Roman" w:cs="Times New Roman"/>
                <w:color w:val="auto"/>
                <w:lang w:eastAsia="zh-CN"/>
              </w:rPr>
              <w:t>（</w:t>
            </w:r>
            <w:r>
              <w:rPr>
                <w:rFonts w:hint="default" w:ascii="Times New Roman" w:hAnsi="Times New Roman" w:cs="Times New Roman"/>
                <w:color w:val="auto"/>
              </w:rPr>
              <w:t>环境影响评价技术导则大气环境</w:t>
            </w:r>
            <w:r>
              <w:rPr>
                <w:rFonts w:hint="eastAsia" w:ascii="Times New Roman" w:hAnsi="Times New Roman" w:cs="Times New Roman"/>
                <w:color w:val="auto"/>
                <w:lang w:eastAsia="zh-CN"/>
              </w:rPr>
              <w:t>（</w:t>
            </w:r>
            <w:r>
              <w:rPr>
                <w:rFonts w:hint="default" w:ascii="Times New Roman" w:hAnsi="Times New Roman" w:cs="Times New Roman"/>
                <w:color w:val="auto"/>
              </w:rPr>
              <w:t>HJ2.2-2018</w:t>
            </w:r>
            <w:r>
              <w:rPr>
                <w:rFonts w:hint="eastAsia" w:ascii="Times New Roman" w:hAnsi="Times New Roman" w:cs="Times New Roman"/>
                <w:color w:val="auto"/>
                <w:lang w:eastAsia="zh-CN"/>
              </w:rPr>
              <w:t>））</w:t>
            </w:r>
            <w:r>
              <w:rPr>
                <w:rFonts w:hint="default" w:ascii="Times New Roman" w:hAnsi="Times New Roman" w:cs="Times New Roman"/>
                <w:color w:val="auto"/>
              </w:rPr>
              <w:t>差别化政策范围的复函》</w:t>
            </w:r>
            <w:r>
              <w:rPr>
                <w:rFonts w:hint="eastAsia" w:ascii="Times New Roman" w:hAnsi="Times New Roman" w:cs="Times New Roman"/>
                <w:color w:val="auto"/>
                <w:lang w:eastAsia="zh-CN"/>
              </w:rPr>
              <w:t>（</w:t>
            </w:r>
            <w:r>
              <w:rPr>
                <w:rFonts w:hint="default" w:ascii="Times New Roman" w:hAnsi="Times New Roman" w:cs="Times New Roman"/>
                <w:color w:val="auto"/>
              </w:rPr>
              <w:t>环办环评函</w:t>
            </w:r>
            <w:r>
              <w:rPr>
                <w:rFonts w:hint="eastAsia" w:ascii="仿宋" w:hAnsi="仿宋" w:eastAsia="仿宋" w:cs="仿宋"/>
                <w:color w:val="auto"/>
              </w:rPr>
              <w:t>〔</w:t>
            </w:r>
            <w:r>
              <w:rPr>
                <w:rFonts w:hint="default" w:ascii="Times New Roman" w:hAnsi="Times New Roman" w:cs="Times New Roman"/>
                <w:color w:val="auto"/>
              </w:rPr>
              <w:t>2020</w:t>
            </w:r>
            <w:r>
              <w:rPr>
                <w:rFonts w:hint="eastAsia" w:ascii="仿宋" w:hAnsi="仿宋" w:eastAsia="仿宋" w:cs="仿宋"/>
                <w:color w:val="auto"/>
              </w:rPr>
              <w:t>〕</w:t>
            </w:r>
            <w:r>
              <w:rPr>
                <w:rFonts w:hint="default" w:ascii="Times New Roman" w:hAnsi="Times New Roman" w:cs="Times New Roman"/>
                <w:color w:val="auto"/>
              </w:rPr>
              <w:t>341号</w:t>
            </w:r>
            <w:r>
              <w:rPr>
                <w:rFonts w:hint="eastAsia" w:ascii="Times New Roman" w:hAnsi="Times New Roman" w:cs="Times New Roman"/>
                <w:color w:val="auto"/>
                <w:lang w:eastAsia="zh-CN"/>
              </w:rPr>
              <w:t>）</w:t>
            </w:r>
            <w:r>
              <w:rPr>
                <w:rFonts w:hint="default" w:ascii="Times New Roman" w:hAnsi="Times New Roman" w:cs="Times New Roman"/>
                <w:color w:val="auto"/>
              </w:rPr>
              <w:t>，同意对巴音郭楞蒙古自治州实施环境影响评价差别化政策，本项目可不提供颗粒物区域削减方案。</w:t>
            </w:r>
          </w:p>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eastAsia="宋体"/>
                <w:color w:val="auto"/>
                <w:lang w:val="en-US" w:eastAsia="zh-CN"/>
              </w:rPr>
            </w:pPr>
            <w:r>
              <w:rPr>
                <w:rFonts w:hint="eastAsia"/>
                <w:color w:val="auto"/>
                <w:lang w:val="en-US" w:eastAsia="zh-CN"/>
              </w:rPr>
              <w:t>3.4</w:t>
            </w:r>
            <w:r>
              <w:rPr>
                <w:rFonts w:hint="eastAsia"/>
                <w:color w:val="auto"/>
              </w:rPr>
              <w:t>声环境质量现状</w:t>
            </w:r>
          </w:p>
          <w:p>
            <w:pPr>
              <w:keepNext w:val="0"/>
              <w:keepLines w:val="0"/>
              <w:pageBreakBefore w:val="0"/>
              <w:widowControl w:val="0"/>
              <w:suppressLineNumbers w:val="0"/>
              <w:tabs>
                <w:tab w:val="left" w:pos="7170"/>
              </w:tabs>
              <w:kinsoku/>
              <w:wordWrap/>
              <w:overflowPunct/>
              <w:topLinePunct w:val="0"/>
              <w:autoSpaceDE/>
              <w:autoSpaceDN/>
              <w:bidi w:val="0"/>
              <w:adjustRightInd/>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参照《建设项目环境影响报告表编制技术指南（污染影响类）（试行）》，项目作业区周边50米范围内不存在声环境保护目标，因此本项目可不进行声环境现场监测。</w:t>
            </w:r>
          </w:p>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color w:val="auto"/>
              </w:rPr>
            </w:pPr>
            <w:bookmarkStart w:id="0" w:name="_Toc29722417"/>
            <w:bookmarkStart w:id="1" w:name="_Toc240865444"/>
            <w:r>
              <w:rPr>
                <w:rFonts w:hint="eastAsia"/>
                <w:color w:val="auto"/>
                <w:lang w:val="en-US" w:eastAsia="zh-CN"/>
              </w:rPr>
              <w:t>3.5</w:t>
            </w:r>
            <w:r>
              <w:rPr>
                <w:rFonts w:hint="eastAsia"/>
                <w:color w:val="auto"/>
              </w:rPr>
              <w:t>地表水环境质量现状</w:t>
            </w:r>
            <w:bookmarkEnd w:id="0"/>
          </w:p>
          <w:bookmarkEnd w:id="1"/>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根据《巴音郭楞蒙古自治州2024年生态环境状况公报》：</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（一）地表水环境质量。2024年，全州地表水监测的31个考核断面（点位）中，I~Ⅲ类优良水质断面（点位）占90.3%，无</w:t>
            </w:r>
            <w:r>
              <w:rPr>
                <w:rFonts w:hint="default" w:ascii="Times New Roman" w:hAnsi="Times New Roman" w:cs="Times New Roman"/>
                <w:color w:val="auto"/>
                <w:lang w:val="en-US" w:eastAsia="zh-CN"/>
              </w:rPr>
              <w:t>Ⅳ</w:t>
            </w:r>
            <w:r>
              <w:rPr>
                <w:rFonts w:hint="default" w:ascii="Times New Roman" w:hAnsi="Times New Roman" w:cs="Times New Roman"/>
                <w:color w:val="auto"/>
              </w:rPr>
              <w:t>类水质。6条主要河流19个监测断面中</w:t>
            </w:r>
            <w:r>
              <w:rPr>
                <w:rFonts w:hint="default" w:ascii="Times New Roman" w:hAnsi="Times New Roman" w:cs="Times New Roman"/>
                <w:color w:val="auto"/>
                <w:lang w:val="en-US" w:eastAsia="zh-CN"/>
              </w:rPr>
              <w:t>Ⅰ</w:t>
            </w:r>
            <w:r>
              <w:rPr>
                <w:rFonts w:hint="default" w:ascii="Times New Roman" w:hAnsi="Times New Roman" w:cs="Times New Roman"/>
                <w:color w:val="auto"/>
              </w:rPr>
              <w:t>~Ⅲ类优良水质断面占100%，3个重要湖泊（水库）12个监测点位中1~Ⅲ类优良水质点位占75%，无劣V类水体，湖泊主要水质影响因子为化学需氧量。</w:t>
            </w:r>
          </w:p>
          <w:p>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本</w:t>
            </w:r>
            <w:r>
              <w:rPr>
                <w:rFonts w:hint="eastAsia" w:ascii="Times New Roman" w:hAnsi="Times New Roman" w:cs="Times New Roman"/>
                <w:color w:val="auto"/>
                <w:lang w:val="en-US" w:eastAsia="zh-CN"/>
              </w:rPr>
              <w:t>项目</w:t>
            </w:r>
            <w:r>
              <w:rPr>
                <w:rFonts w:hint="eastAsia" w:ascii="Times New Roman" w:hAnsi="Times New Roman" w:cs="Times New Roman"/>
                <w:color w:val="auto"/>
              </w:rPr>
              <w:t>位于新疆维吾尔自治区巴音郭楞蒙古自治州和静县西北277°方向，直线距离约170km，</w:t>
            </w:r>
            <w:r>
              <w:rPr>
                <w:rFonts w:hint="eastAsia" w:ascii="Times New Roman" w:hAnsi="Times New Roman" w:cs="Times New Roman"/>
                <w:color w:val="auto"/>
                <w:lang w:val="en-US" w:eastAsia="zh-CN"/>
              </w:rPr>
              <w:t>项目</w:t>
            </w:r>
            <w:r>
              <w:rPr>
                <w:rFonts w:hint="eastAsia" w:ascii="Times New Roman" w:hAnsi="Times New Roman" w:cs="Times New Roman"/>
                <w:color w:val="auto"/>
                <w:highlight w:val="none"/>
              </w:rPr>
              <w:t>范围</w:t>
            </w:r>
            <w:r>
              <w:rPr>
                <w:rFonts w:hint="eastAsia" w:ascii="Times New Roman" w:hAnsi="Times New Roman" w:cs="Times New Roman"/>
                <w:color w:val="auto"/>
                <w:highlight w:val="none"/>
                <w:lang w:val="en-US" w:eastAsia="zh-CN"/>
              </w:rPr>
              <w:t>无河流</w:t>
            </w:r>
            <w:r>
              <w:rPr>
                <w:rFonts w:hint="eastAsia" w:ascii="Times New Roman" w:hAnsi="Times New Roman" w:cs="Times New Roman"/>
                <w:color w:val="auto"/>
              </w:rPr>
              <w:t>。</w:t>
            </w:r>
          </w:p>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3.6</w:t>
            </w:r>
            <w:r>
              <w:rPr>
                <w:rFonts w:hint="eastAsia"/>
                <w:b/>
                <w:color w:val="auto"/>
              </w:rPr>
              <w:t>地下水、土壤环境现状调查</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参照《环境影响评价技术导则 地下水环境》</w:t>
            </w:r>
            <w:r>
              <w:rPr>
                <w:rFonts w:hint="default" w:ascii="Times New Roman" w:hAnsi="Times New Roman" w:cs="Times New Roman"/>
                <w:color w:val="auto"/>
                <w:lang w:eastAsia="zh-CN"/>
              </w:rPr>
              <w:t>（</w:t>
            </w:r>
            <w:r>
              <w:rPr>
                <w:rFonts w:hint="default" w:ascii="Times New Roman" w:hAnsi="Times New Roman" w:cs="Times New Roman"/>
                <w:color w:val="auto"/>
              </w:rPr>
              <w:t>HJ 610-2016</w:t>
            </w:r>
            <w:r>
              <w:rPr>
                <w:rFonts w:hint="default" w:ascii="Times New Roman" w:hAnsi="Times New Roman" w:cs="Times New Roman"/>
                <w:color w:val="auto"/>
                <w:lang w:eastAsia="zh-CN"/>
              </w:rPr>
              <w:t>）</w:t>
            </w:r>
            <w:r>
              <w:rPr>
                <w:rFonts w:hint="default" w:ascii="Times New Roman" w:hAnsi="Times New Roman" w:cs="Times New Roman"/>
                <w:color w:val="auto"/>
              </w:rPr>
              <w:t>附录A地下水环境影响评价行业分类表，本项目行业类别属于</w:t>
            </w:r>
            <w:r>
              <w:rPr>
                <w:rFonts w:hint="eastAsia" w:ascii="Times New Roman" w:hAnsi="Times New Roman" w:cs="Times New Roman"/>
                <w:color w:val="auto"/>
                <w:lang w:eastAsia="zh-CN"/>
              </w:rPr>
              <w:t>“</w:t>
            </w:r>
            <w:r>
              <w:rPr>
                <w:rFonts w:hint="default" w:ascii="Times New Roman" w:hAnsi="Times New Roman" w:cs="Times New Roman"/>
                <w:color w:val="auto"/>
              </w:rPr>
              <w:t>C地质勘查24矿产资源地质勘查</w:t>
            </w:r>
            <w:r>
              <w:rPr>
                <w:rFonts w:hint="default" w:ascii="Times New Roman" w:hAnsi="Times New Roman" w:cs="Times New Roman"/>
                <w:color w:val="auto"/>
                <w:lang w:eastAsia="zh-CN"/>
              </w:rPr>
              <w:t>（</w:t>
            </w:r>
            <w:r>
              <w:rPr>
                <w:rFonts w:hint="default" w:ascii="Times New Roman" w:hAnsi="Times New Roman" w:cs="Times New Roman"/>
                <w:color w:val="auto"/>
              </w:rPr>
              <w:t>包括</w:t>
            </w:r>
            <w:r>
              <w:rPr>
                <w:rFonts w:hint="eastAsia"/>
                <w:color w:val="auto"/>
                <w:lang w:val="en-US" w:eastAsia="zh-CN"/>
              </w:rPr>
              <w:t>勘查</w:t>
            </w:r>
            <w:r>
              <w:rPr>
                <w:rFonts w:hint="default" w:ascii="Times New Roman" w:hAnsi="Times New Roman" w:cs="Times New Roman"/>
                <w:color w:val="auto"/>
              </w:rPr>
              <w:t>活动</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w:t>
            </w:r>
            <w:r>
              <w:rPr>
                <w:rFonts w:hint="default" w:ascii="Times New Roman" w:hAnsi="Times New Roman" w:cs="Times New Roman"/>
                <w:color w:val="auto"/>
              </w:rPr>
              <w:t>，属于Ⅳ类项目，不需开展地下水环境影响评价，不开展地下水环境监测，故不再进行区域地下水环境质量现状调查。</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参照《环境影响评价技术导则 土壤环境</w:t>
            </w:r>
            <w:r>
              <w:rPr>
                <w:rFonts w:hint="default" w:ascii="Times New Roman" w:hAnsi="Times New Roman" w:cs="Times New Roman"/>
                <w:color w:val="auto"/>
                <w:lang w:eastAsia="zh-CN"/>
              </w:rPr>
              <w:t>（</w:t>
            </w:r>
            <w:r>
              <w:rPr>
                <w:rFonts w:hint="default" w:ascii="Times New Roman" w:hAnsi="Times New Roman" w:cs="Times New Roman"/>
                <w:color w:val="auto"/>
              </w:rPr>
              <w:t>试行</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HJ964-2018</w:t>
            </w:r>
            <w:r>
              <w:rPr>
                <w:rFonts w:hint="default" w:ascii="Times New Roman" w:hAnsi="Times New Roman" w:cs="Times New Roman"/>
                <w:color w:val="auto"/>
                <w:lang w:eastAsia="zh-CN"/>
              </w:rPr>
              <w:t>）</w:t>
            </w:r>
            <w:r>
              <w:rPr>
                <w:rFonts w:hint="default" w:ascii="Times New Roman" w:hAnsi="Times New Roman" w:cs="Times New Roman"/>
                <w:color w:val="auto"/>
              </w:rPr>
              <w:t>附录A中表A.1土壤环境影响评价项目类别，本项目属于</w:t>
            </w:r>
            <w:r>
              <w:rPr>
                <w:rFonts w:hint="eastAsia" w:ascii="Times New Roman" w:hAnsi="Times New Roman" w:cs="Times New Roman"/>
                <w:color w:val="auto"/>
                <w:lang w:eastAsia="zh-CN"/>
              </w:rPr>
              <w:t>“</w:t>
            </w:r>
            <w:r>
              <w:rPr>
                <w:rFonts w:hint="default" w:ascii="Times New Roman" w:hAnsi="Times New Roman" w:cs="Times New Roman"/>
                <w:color w:val="auto"/>
              </w:rPr>
              <w:t>其他行业</w:t>
            </w:r>
            <w:r>
              <w:rPr>
                <w:rFonts w:hint="eastAsia" w:ascii="Times New Roman" w:hAnsi="Times New Roman" w:cs="Times New Roman"/>
                <w:color w:val="auto"/>
                <w:lang w:eastAsia="zh-CN"/>
              </w:rPr>
              <w:t>”</w:t>
            </w:r>
            <w:r>
              <w:rPr>
                <w:rFonts w:hint="default" w:ascii="Times New Roman" w:hAnsi="Times New Roman" w:cs="Times New Roman"/>
                <w:color w:val="auto"/>
              </w:rPr>
              <w:t>，为Ⅳ类项目，且工程自身不属于敏感目标建设项目，故不再开展土壤环境影响评价，不开展土壤环境质量监测，故不再进行区域土壤环境质量现状调查。</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3.7</w:t>
            </w:r>
            <w:r>
              <w:rPr>
                <w:rFonts w:hint="default" w:ascii="Times New Roman" w:hAnsi="Times New Roman" w:eastAsia="宋体" w:cs="Times New Roman"/>
                <w:b/>
                <w:bCs/>
                <w:color w:val="auto"/>
                <w:kern w:val="2"/>
                <w:sz w:val="24"/>
                <w:szCs w:val="32"/>
                <w:lang w:val="en-US" w:eastAsia="zh-CN" w:bidi="ar-SA"/>
              </w:rPr>
              <w:t>水土流失</w:t>
            </w:r>
            <w:r>
              <w:rPr>
                <w:rFonts w:hint="eastAsia" w:ascii="Times New Roman" w:hAnsi="Times New Roman" w:eastAsia="宋体" w:cs="Times New Roman"/>
                <w:b/>
                <w:bCs/>
                <w:color w:val="auto"/>
                <w:kern w:val="2"/>
                <w:sz w:val="24"/>
                <w:szCs w:val="32"/>
                <w:lang w:val="en-US" w:eastAsia="zh-CN" w:bidi="ar-SA"/>
              </w:rPr>
              <w:t>现状调查</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区地处和静县，根据水利部〔2013〕188号文《全国水土保持规划国家级水土流失重点预防区和重点治理区复核划分成果》，和静县不属于国家级水土流失重点预防区。根据《关于印发新疆自治区级水土流失重点预防区和重点治理区复核划分成果的通知》（新水水保〔2019〕4号），和静县属于自治区级</w:t>
            </w:r>
            <w:r>
              <w:rPr>
                <w:rFonts w:hint="default" w:ascii="Times New Roman" w:hAnsi="Times New Roman" w:eastAsia="宋体" w:cs="Times New Roman"/>
                <w:color w:val="auto"/>
                <w:highlight w:val="none"/>
                <w:lang w:val="en-US" w:eastAsia="zh-CN"/>
              </w:rPr>
              <w:t>Ⅰ</w:t>
            </w:r>
            <w:r>
              <w:rPr>
                <w:rFonts w:hint="eastAsia" w:ascii="Times New Roman" w:hAnsi="Times New Roman" w:eastAsia="宋体" w:cs="Times New Roman"/>
                <w:color w:val="auto"/>
                <w:highlight w:val="none"/>
                <w:vertAlign w:val="subscript"/>
                <w:lang w:val="en-US" w:eastAsia="zh-CN"/>
              </w:rPr>
              <w:t>1</w:t>
            </w:r>
            <w:r>
              <w:rPr>
                <w:rFonts w:hint="eastAsia" w:ascii="Times New Roman" w:hAnsi="Times New Roman" w:eastAsia="宋体" w:cs="Times New Roman"/>
                <w:color w:val="auto"/>
                <w:highlight w:val="none"/>
                <w:lang w:val="en-US" w:eastAsia="zh-CN"/>
              </w:rPr>
              <w:t>天山山区重点预防区。</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根据《新疆维吾尔自治区2024年水土流失动态监测年报》，和静县水土流失面积7720.40km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，占土地总面积的22.07%。其中水力侵蚀面积1880.49km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，占土壤侵蚀总面积的24.36%，风力侵蚀5839.91km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，占土壤侵蚀总面积的75.64%，和静县2023年水土流失面积比2022年减少了18.24km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根据《巴音郭楞蒙古自治州水土保持规划（2020-2030）》，和静县风力侵蚀面积6087.34km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，占土壤侵蚀面积的34.29%，其中轻度风力侵蚀面积6087.17km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，占风力侵蚀面积的99.997%，中度风力侵蚀面积0.17km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，占风力侵蚀面积的0.003%。</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和静县水力侵蚀面积1767.86km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，占土壤侵蚀面积的9.96%，其中轻度水力侵蚀面积1175.17km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，占水力侵蚀面积的66.47%，中度水力侵蚀面积495.03km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，占水力侵蚀面积的28%，强烈水力侵蚀面积90.47km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，占水力侵蚀面积的5.12%，极强烈水力侵蚀面积7.13km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，占水力侵蚀面积的0.40%，剧烈水力侵蚀面积0.06km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，占水力侵蚀面积的0.003%。</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和静县冻融侵蚀面积9897.65km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，占土壤侵蚀面积的55.75%，其中轻度冻融侵蚀面积1591.71km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，占冻融侵蚀面积的16.08%，中度冻融侵蚀面积2149.85km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，占冻融侵蚀面积的21.72%，强烈冻融侵蚀面积4979.02km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，占冻融侵蚀面积的50.31%，极强烈冻融侵蚀面积1177.07km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，占冻融侵蚀面积的11.89%。</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综上，和静县水土流失类型以冻融侵蚀为主，区域容许土壤流失量为1300t/（km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·a）。对照巴音郭楞蒙古自治州水土流失重点预防区、重点治理区分布图，项目区属于重点治理区。</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3.8土地沙化现状调查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根据《新疆维吾尔自治区第六次沙化土地监测报告》（2021年12月），本项目占地范围内不涉及沙化土地。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00"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与项目有关的原有</w:t>
            </w:r>
            <w:r>
              <w:rPr>
                <w:rFonts w:hint="eastAsia" w:ascii="Times New Roman" w:hAnsi="Times New Roman" w:cs="Times New Roman"/>
                <w:color w:val="auto"/>
              </w:rPr>
              <w:t>环境</w:t>
            </w:r>
            <w:r>
              <w:rPr>
                <w:rFonts w:hint="default" w:ascii="Times New Roman" w:hAnsi="Times New Roman" w:cs="Times New Roman"/>
                <w:color w:val="auto"/>
              </w:rPr>
              <w:t>污染</w:t>
            </w:r>
            <w:r>
              <w:rPr>
                <w:rFonts w:hint="eastAsia" w:ascii="Times New Roman" w:hAnsi="Times New Roman" w:cs="Times New Roman"/>
                <w:color w:val="auto"/>
              </w:rPr>
              <w:t>和生态破坏</w:t>
            </w:r>
            <w:r>
              <w:rPr>
                <w:rFonts w:hint="default" w:ascii="Times New Roman" w:hAnsi="Times New Roman" w:cs="Times New Roman"/>
                <w:color w:val="auto"/>
              </w:rPr>
              <w:t>问题</w:t>
            </w:r>
          </w:p>
        </w:tc>
        <w:tc>
          <w:tcPr>
            <w:tcW w:w="8190" w:type="dxa"/>
            <w:noWrap w:val="0"/>
            <w:vAlign w:val="center"/>
          </w:tcPr>
          <w:p>
            <w:pPr>
              <w:keepNext w:val="0"/>
              <w:keepLines w:val="0"/>
              <w:suppressLineNumbers w:val="0"/>
              <w:adjustRightInd w:val="0"/>
              <w:snapToGrid w:val="0"/>
              <w:spacing w:before="0" w:beforeAutospacing="0" w:after="0" w:afterAutospacing="0"/>
              <w:ind w:left="0" w:right="0" w:firstLine="480"/>
              <w:rPr>
                <w:rFonts w:hint="default" w:ascii="宋体" w:hAnsi="宋体" w:cs="宋体"/>
                <w:color w:val="auto"/>
                <w:kern w:val="0"/>
                <w:szCs w:val="21"/>
              </w:rPr>
            </w:pPr>
            <w:r>
              <w:rPr>
                <w:rFonts w:hint="default" w:ascii="宋体" w:hAnsi="宋体" w:cs="Times New Roman"/>
                <w:color w:val="auto"/>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00" w:type="dxa"/>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生态环境保护目标</w:t>
            </w:r>
          </w:p>
        </w:tc>
        <w:tc>
          <w:tcPr>
            <w:tcW w:w="8190" w:type="dxa"/>
            <w:noWrap w:val="0"/>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bookmarkStart w:id="2" w:name="_Hlk124255559"/>
            <w:r>
              <w:rPr>
                <w:rFonts w:hint="eastAsia"/>
                <w:color w:val="auto"/>
                <w:lang w:val="en-US" w:eastAsia="zh-CN"/>
              </w:rPr>
              <w:t>3.9</w:t>
            </w:r>
            <w:r>
              <w:rPr>
                <w:rFonts w:hint="eastAsia"/>
                <w:color w:val="auto"/>
              </w:rPr>
              <w:t>大气环境</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矿区四周为荒山，不涉及自然保护区、风景名胜区、居住区、文化区和农村地区中人群较集中的区域等保护目标，故不设大气环境保护目标。</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3.10</w:t>
            </w:r>
            <w:r>
              <w:rPr>
                <w:rFonts w:hint="eastAsia"/>
                <w:color w:val="auto"/>
              </w:rPr>
              <w:t>声环境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lang w:eastAsia="zh-CN"/>
              </w:rPr>
            </w:pPr>
            <w:r>
              <w:rPr>
                <w:rFonts w:hint="eastAsia" w:ascii="Times New Roman" w:hAnsi="Times New Roman" w:cs="Times New Roman"/>
                <w:color w:val="auto"/>
              </w:rPr>
              <w:t>根据现场踏勘和卫星图定位结果可知，</w:t>
            </w:r>
            <w:r>
              <w:rPr>
                <w:rFonts w:hint="default" w:ascii="Times New Roman" w:hAnsi="Times New Roman" w:cs="Times New Roman"/>
                <w:color w:val="auto"/>
              </w:rPr>
              <w:t>本项目场界外50m范围内无声环境保护目标</w:t>
            </w:r>
            <w:r>
              <w:rPr>
                <w:rFonts w:hint="eastAsia" w:ascii="Times New Roman" w:hAnsi="Times New Roman" w:cs="Times New Roman"/>
                <w:color w:val="auto"/>
              </w:rPr>
              <w:t>，故不设声环境保护目标。</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3.11</w:t>
            </w:r>
            <w:r>
              <w:rPr>
                <w:rFonts w:hint="eastAsia"/>
                <w:color w:val="auto"/>
              </w:rPr>
              <w:t>生态环境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highlight w:val="none"/>
                <w:lang w:val="en-US" w:eastAsia="zh-CN"/>
              </w:rPr>
            </w:pPr>
            <w:r>
              <w:rPr>
                <w:rFonts w:hint="eastAsia" w:ascii="Times New Roman" w:hAnsi="Times New Roman" w:cs="Times New Roman"/>
                <w:color w:val="auto"/>
              </w:rPr>
              <w:t>根据现场踏勘，</w:t>
            </w:r>
            <w:r>
              <w:rPr>
                <w:rFonts w:hint="eastAsia" w:ascii="Times New Roman" w:hAnsi="Times New Roman" w:cs="Times New Roman"/>
                <w:color w:val="auto"/>
                <w:lang w:val="en-US" w:eastAsia="zh-CN"/>
              </w:rPr>
              <w:t>本项目</w:t>
            </w:r>
            <w:r>
              <w:rPr>
                <w:rFonts w:hint="eastAsia" w:ascii="Times New Roman" w:hAnsi="Times New Roman" w:cs="Times New Roman"/>
                <w:color w:val="auto"/>
              </w:rPr>
              <w:t>位于新疆维吾尔自治区巴音郭楞蒙古自治州和静县西北277°方向，直线距离约170km，行政区划属巴音郭楞蒙古自治州</w:t>
            </w:r>
            <w:r>
              <w:rPr>
                <w:rFonts w:hint="eastAsia" w:ascii="Times New Roman" w:hAnsi="Times New Roman" w:cs="Times New Roman"/>
                <w:color w:val="auto"/>
                <w:lang w:val="en-US" w:eastAsia="zh-CN"/>
              </w:rPr>
              <w:t>和静</w:t>
            </w:r>
            <w:r>
              <w:rPr>
                <w:rFonts w:hint="eastAsia" w:ascii="Times New Roman" w:hAnsi="Times New Roman" w:cs="Times New Roman"/>
                <w:color w:val="auto"/>
              </w:rPr>
              <w:t>县管</w:t>
            </w:r>
            <w:r>
              <w:rPr>
                <w:rFonts w:hint="eastAsia" w:ascii="Times New Roman" w:hAnsi="Times New Roman" w:cs="Times New Roman"/>
                <w:color w:val="auto"/>
                <w:highlight w:val="none"/>
              </w:rPr>
              <w:t>辖</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项目区离新疆</w:t>
            </w:r>
            <w:r>
              <w:rPr>
                <w:rFonts w:hint="eastAsia" w:ascii="Times New Roman" w:hAnsi="Times New Roman" w:cs="Times New Roman"/>
                <w:color w:val="auto"/>
                <w:highlight w:val="none"/>
                <w:lang w:val="en-US" w:eastAsia="zh-CN"/>
              </w:rPr>
              <w:t>巴音布鲁克</w:t>
            </w:r>
            <w:r>
              <w:rPr>
                <w:rFonts w:hint="eastAsia" w:ascii="Times New Roman" w:hAnsi="Times New Roman" w:cs="Times New Roman"/>
                <w:color w:val="auto"/>
                <w:highlight w:val="none"/>
              </w:rPr>
              <w:t>国家级自然保护区</w:t>
            </w:r>
            <w:r>
              <w:rPr>
                <w:rFonts w:hint="eastAsia" w:ascii="Times New Roman" w:hAnsi="Times New Roman" w:cs="Times New Roman"/>
                <w:color w:val="auto"/>
                <w:highlight w:val="none"/>
                <w:lang w:val="en-US" w:eastAsia="zh-CN"/>
              </w:rPr>
              <w:t>直线距离</w:t>
            </w:r>
            <w:r>
              <w:rPr>
                <w:rFonts w:hint="eastAsia" w:cs="Times New Roman"/>
                <w:color w:val="auto"/>
                <w:highlight w:val="none"/>
                <w:lang w:val="en-US" w:eastAsia="zh-CN"/>
              </w:rPr>
              <w:t>5</w:t>
            </w:r>
            <w:r>
              <w:rPr>
                <w:rFonts w:hint="eastAsia" w:ascii="Times New Roman" w:hAnsi="Times New Roman" w:cs="Times New Roman"/>
                <w:color w:val="auto"/>
                <w:highlight w:val="none"/>
              </w:rPr>
              <w:t>km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根</w:t>
            </w:r>
            <w:r>
              <w:rPr>
                <w:rFonts w:hint="eastAsia" w:ascii="Times New Roman" w:hAnsi="Times New Roman" w:cs="Times New Roman"/>
                <w:color w:val="auto"/>
                <w:lang w:val="en-US" w:eastAsia="zh-CN"/>
              </w:rPr>
              <w:t>据</w:t>
            </w:r>
            <w:r>
              <w:rPr>
                <w:rFonts w:hint="eastAsia" w:ascii="Times New Roman" w:hAnsi="Times New Roman" w:cs="Times New Roman"/>
                <w:color w:val="auto"/>
              </w:rPr>
              <w:t>《环境影响评价技术导则 生态影响》</w:t>
            </w:r>
            <w:r>
              <w:rPr>
                <w:rFonts w:hint="eastAsia" w:ascii="Times New Roman" w:hAnsi="Times New Roman" w:cs="Times New Roman"/>
                <w:color w:val="auto"/>
                <w:lang w:eastAsia="zh-CN"/>
              </w:rPr>
              <w:t>（</w:t>
            </w:r>
            <w:r>
              <w:rPr>
                <w:rFonts w:hint="eastAsia" w:ascii="Times New Roman" w:hAnsi="Times New Roman" w:cs="Times New Roman"/>
                <w:color w:val="auto"/>
              </w:rPr>
              <w:t>HJ19-2022</w:t>
            </w:r>
            <w:r>
              <w:rPr>
                <w:rFonts w:hint="eastAsia" w:ascii="Times New Roman" w:hAnsi="Times New Roman" w:cs="Times New Roman"/>
                <w:color w:val="auto"/>
                <w:lang w:eastAsia="zh-CN"/>
              </w:rPr>
              <w:t>），矿山开采项目评价范围应涵盖开采区及其影响范围、各类场地及运输系统占地以及施工临时占地范围等。</w:t>
            </w:r>
            <w:r>
              <w:rPr>
                <w:rFonts w:hint="eastAsia" w:ascii="Times New Roman" w:hAnsi="Times New Roman" w:cs="Times New Roman"/>
                <w:color w:val="auto"/>
                <w:lang w:val="en-US" w:eastAsia="zh-CN"/>
              </w:rPr>
              <w:t>因本项目不涉及开采，仅评价初期</w:t>
            </w:r>
            <w:r>
              <w:rPr>
                <w:rFonts w:hint="eastAsia"/>
                <w:color w:val="auto"/>
                <w:lang w:val="en-US" w:eastAsia="zh-CN"/>
              </w:rPr>
              <w:t>勘查</w:t>
            </w:r>
            <w:r>
              <w:rPr>
                <w:rFonts w:hint="eastAsia" w:ascii="Times New Roman" w:hAnsi="Times New Roman" w:cs="Times New Roman"/>
                <w:color w:val="auto"/>
                <w:lang w:val="en-US" w:eastAsia="zh-CN"/>
              </w:rPr>
              <w:t>阶段，因此本项目生态评价范围为</w:t>
            </w:r>
            <w:r>
              <w:rPr>
                <w:rFonts w:hint="eastAsia"/>
                <w:color w:val="auto"/>
                <w:lang w:val="en-US" w:eastAsia="zh-CN"/>
              </w:rPr>
              <w:t>勘查</w:t>
            </w:r>
            <w:r>
              <w:rPr>
                <w:rFonts w:hint="eastAsia" w:ascii="Times New Roman" w:hAnsi="Times New Roman" w:cs="Times New Roman"/>
                <w:color w:val="auto"/>
                <w:lang w:val="en-US" w:eastAsia="zh-CN"/>
              </w:rPr>
              <w:t>矿区范围内。评价范围及周边无生态环境保护目标</w:t>
            </w:r>
            <w:r>
              <w:rPr>
                <w:rFonts w:hint="eastAsia" w:ascii="Times New Roman" w:hAnsi="Times New Roman" w:cs="Times New Roman"/>
                <w:color w:val="auto"/>
              </w:rPr>
              <w:t>。</w:t>
            </w:r>
          </w:p>
          <w:bookmarkEnd w:id="2"/>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cs="Times New Roman"/>
                <w:color w:val="auto"/>
                <w:lang w:val="en-US"/>
              </w:rPr>
            </w:pPr>
            <w:r>
              <w:rPr>
                <w:rFonts w:hint="eastAsia" w:ascii="Times New Roman" w:hAnsi="Times New Roman" w:cs="Times New Roman"/>
                <w:color w:val="auto"/>
              </w:rPr>
              <w:t>项目周边区域无饮用水水源保护区、国家及地方公益林、森林公园、湿地公园等生态环境敏感点</w:t>
            </w:r>
            <w:r>
              <w:rPr>
                <w:rFonts w:hint="eastAsia" w:ascii="Times New Roman" w:hAnsi="Times New Roman" w:cs="Times New Roman"/>
                <w:color w:val="auto"/>
                <w:lang w:val="en-US" w:eastAsia="zh-CN"/>
              </w:rPr>
              <w:t>。</w:t>
            </w:r>
            <w:r>
              <w:rPr>
                <w:rFonts w:hint="eastAsia" w:ascii="Times New Roman" w:hAnsi="Times New Roman" w:cs="Times New Roman"/>
                <w:color w:val="auto"/>
              </w:rPr>
              <w:t>本项目属于地质</w:t>
            </w:r>
            <w:r>
              <w:rPr>
                <w:rFonts w:hint="eastAsia"/>
                <w:color w:val="auto"/>
                <w:lang w:val="en-US" w:eastAsia="zh-CN"/>
              </w:rPr>
              <w:t>勘查</w:t>
            </w:r>
            <w:r>
              <w:rPr>
                <w:rFonts w:hint="eastAsia" w:ascii="Times New Roman" w:hAnsi="Times New Roman" w:cs="Times New Roman"/>
                <w:color w:val="auto"/>
              </w:rPr>
              <w:t>工程，生产活动较少，采取有效的污染防治措施后对</w:t>
            </w:r>
            <w:r>
              <w:rPr>
                <w:rFonts w:hint="eastAsia" w:ascii="Times New Roman" w:hAnsi="Times New Roman" w:cs="Times New Roman"/>
                <w:color w:val="auto"/>
                <w:lang w:val="en-US" w:eastAsia="zh-CN"/>
              </w:rPr>
              <w:t>周边生态环境</w:t>
            </w:r>
            <w:r>
              <w:rPr>
                <w:rFonts w:hint="eastAsia" w:ascii="Times New Roman" w:hAnsi="Times New Roman" w:cs="Times New Roman"/>
                <w:color w:val="auto"/>
              </w:rPr>
              <w:t>基本无影响。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评价标准</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eastAsia" w:ascii="Times New Roman" w:hAnsi="Times New Roman" w:cs="Times New Roman"/>
                <w:b/>
                <w:bCs/>
                <w:color w:val="auto"/>
              </w:rPr>
            </w:pPr>
            <w:r>
              <w:rPr>
                <w:rFonts w:hint="eastAsia" w:ascii="Times New Roman" w:hAnsi="Times New Roman" w:cs="Times New Roman"/>
                <w:b/>
                <w:bCs/>
                <w:color w:val="auto"/>
                <w:lang w:val="en-US" w:eastAsia="zh-CN"/>
              </w:rPr>
              <w:t>3.12</w:t>
            </w:r>
            <w:r>
              <w:rPr>
                <w:rFonts w:hint="eastAsia" w:ascii="Times New Roman" w:hAnsi="Times New Roman" w:cs="Times New Roman"/>
                <w:b/>
                <w:bCs/>
                <w:color w:val="auto"/>
              </w:rPr>
              <w:t>环境质量标准</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default" w:ascii="Times New Roman" w:hAnsi="Times New Roman" w:cs="Times New Roman"/>
                <w:b/>
                <w:bCs/>
                <w:color w:val="auto"/>
              </w:rPr>
            </w:pPr>
            <w:r>
              <w:rPr>
                <w:rFonts w:hint="eastAsia" w:ascii="Times New Roman" w:hAnsi="Times New Roman" w:cs="Times New Roman"/>
                <w:b/>
                <w:bCs/>
                <w:color w:val="auto"/>
                <w:lang w:val="en-US" w:eastAsia="zh-CN"/>
              </w:rPr>
              <w:t>3.12.1</w:t>
            </w:r>
            <w:r>
              <w:rPr>
                <w:rFonts w:hint="default" w:ascii="Times New Roman" w:hAnsi="Times New Roman" w:cs="Times New Roman"/>
                <w:b/>
                <w:bCs/>
                <w:color w:val="auto"/>
              </w:rPr>
              <w:t>环境空气</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bCs/>
                <w:color w:val="auto"/>
                <w:szCs w:val="22"/>
              </w:rPr>
            </w:pPr>
            <w:r>
              <w:rPr>
                <w:rFonts w:hint="default" w:ascii="Times New Roman" w:hAnsi="Times New Roman" w:cs="Times New Roman"/>
                <w:color w:val="auto"/>
                <w:szCs w:val="22"/>
              </w:rPr>
              <w:t>环境空气质量执行《环境空气质量标准》</w:t>
            </w:r>
            <w:r>
              <w:rPr>
                <w:rFonts w:hint="default" w:ascii="Times New Roman" w:hAnsi="Times New Roman" w:eastAsia="宋体" w:cs="Times New Roman"/>
                <w:b w:val="0"/>
                <w:bCs w:val="0"/>
                <w:color w:val="auto"/>
                <w:sz w:val="24"/>
                <w:highlight w:val="none"/>
                <w:lang w:val="en-US" w:eastAsia="zh-CN"/>
              </w:rPr>
              <w:t>（GB3095-20</w:t>
            </w:r>
            <w:r>
              <w:rPr>
                <w:rFonts w:hint="eastAsia" w:ascii="Times New Roman" w:hAnsi="Times New Roman" w:eastAsia="宋体"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）二级标准要求。</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default" w:ascii="Times New Roman" w:hAnsi="Times New Roman" w:cs="Times New Roman"/>
                <w:b/>
                <w:bCs/>
                <w:color w:val="auto"/>
              </w:rPr>
            </w:pPr>
            <w:r>
              <w:rPr>
                <w:rFonts w:hint="eastAsia" w:ascii="Times New Roman" w:hAnsi="Times New Roman" w:cs="Times New Roman"/>
                <w:b/>
                <w:bCs/>
                <w:color w:val="auto"/>
                <w:lang w:val="en-US" w:eastAsia="zh-CN"/>
              </w:rPr>
              <w:t>3.12.2</w:t>
            </w:r>
            <w:r>
              <w:rPr>
                <w:rFonts w:hint="default" w:ascii="Times New Roman" w:hAnsi="Times New Roman" w:cs="Times New Roman"/>
                <w:b/>
                <w:bCs/>
                <w:color w:val="auto"/>
              </w:rPr>
              <w:t>声环境</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outlineLvl w:val="9"/>
              <w:rPr>
                <w:rFonts w:hint="default" w:ascii="Times New Roman" w:hAnsi="Times New Roman" w:cs="Times New Roman"/>
                <w:color w:val="auto"/>
                <w:szCs w:val="22"/>
              </w:rPr>
            </w:pPr>
            <w:r>
              <w:rPr>
                <w:rFonts w:hint="default" w:ascii="Times New Roman" w:hAnsi="Times New Roman" w:cs="Times New Roman"/>
                <w:color w:val="auto"/>
                <w:szCs w:val="22"/>
              </w:rPr>
              <w:t>项目区声环境质量执行《声环境质量标准》</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GB3096-2008</w:t>
            </w:r>
            <w:r>
              <w:rPr>
                <w:rFonts w:hint="eastAsia" w:ascii="Times New Roman" w:hAnsi="Times New Roman" w:cs="Times New Roman"/>
                <w:color w:val="auto"/>
                <w:szCs w:val="22"/>
                <w:lang w:eastAsia="zh-CN"/>
              </w:rPr>
              <w:t>）</w:t>
            </w:r>
            <w:r>
              <w:rPr>
                <w:rFonts w:hint="eastAsia" w:ascii="Times New Roman" w:hAnsi="Times New Roman" w:cs="Times New Roman"/>
                <w:color w:val="auto"/>
                <w:szCs w:val="22"/>
                <w:lang w:val="en-US" w:eastAsia="zh-CN"/>
              </w:rPr>
              <w:t>2</w:t>
            </w:r>
            <w:r>
              <w:rPr>
                <w:rFonts w:hint="default" w:ascii="Times New Roman" w:hAnsi="Times New Roman" w:cs="Times New Roman"/>
                <w:color w:val="auto"/>
                <w:szCs w:val="22"/>
              </w:rPr>
              <w:t>类标准，即昼间≤6</w:t>
            </w:r>
            <w:r>
              <w:rPr>
                <w:rFonts w:hint="eastAsia" w:ascii="Times New Roman" w:hAnsi="Times New Roman" w:cs="Times New Roman"/>
                <w:color w:val="auto"/>
                <w:szCs w:val="22"/>
                <w:lang w:val="en-US" w:eastAsia="zh-CN"/>
              </w:rPr>
              <w:t>0</w:t>
            </w:r>
            <w:r>
              <w:rPr>
                <w:rFonts w:hint="default" w:ascii="Times New Roman" w:hAnsi="Times New Roman" w:cs="Times New Roman"/>
                <w:color w:val="auto"/>
                <w:szCs w:val="22"/>
              </w:rPr>
              <w:t>dB</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A</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，夜间≤5</w:t>
            </w:r>
            <w:r>
              <w:rPr>
                <w:rFonts w:hint="eastAsia" w:ascii="Times New Roman" w:hAnsi="Times New Roman" w:cs="Times New Roman"/>
                <w:color w:val="auto"/>
                <w:szCs w:val="22"/>
                <w:lang w:val="en-US" w:eastAsia="zh-CN"/>
              </w:rPr>
              <w:t>0</w:t>
            </w:r>
            <w:r>
              <w:rPr>
                <w:rFonts w:hint="default" w:ascii="Times New Roman" w:hAnsi="Times New Roman" w:cs="Times New Roman"/>
                <w:color w:val="auto"/>
                <w:szCs w:val="22"/>
              </w:rPr>
              <w:t>dB</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A</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w:t>
            </w:r>
          </w:p>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outlineLvl w:val="9"/>
              <w:rPr>
                <w:rFonts w:hint="default"/>
                <w:color w:val="auto"/>
              </w:rPr>
            </w:pPr>
            <w:r>
              <w:rPr>
                <w:rFonts w:hint="eastAsia"/>
                <w:color w:val="auto"/>
                <w:lang w:val="en-US" w:eastAsia="zh-CN"/>
              </w:rPr>
              <w:t>3.13</w:t>
            </w:r>
            <w:r>
              <w:rPr>
                <w:rFonts w:hint="eastAsia"/>
                <w:color w:val="auto"/>
              </w:rPr>
              <w:t>污染物排放标准</w:t>
            </w:r>
          </w:p>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outlineLvl w:val="9"/>
              <w:rPr>
                <w:rFonts w:hint="default"/>
                <w:color w:val="auto"/>
              </w:rPr>
            </w:pPr>
            <w:r>
              <w:rPr>
                <w:rFonts w:hint="eastAsia"/>
                <w:color w:val="auto"/>
                <w:lang w:val="en-US" w:eastAsia="zh-CN"/>
              </w:rPr>
              <w:t>3.13.1</w:t>
            </w:r>
            <w:r>
              <w:rPr>
                <w:rFonts w:hint="default"/>
                <w:color w:val="auto"/>
              </w:rPr>
              <w:t>废气</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outlineLvl w:val="9"/>
              <w:rPr>
                <w:rFonts w:hint="eastAsia" w:ascii="Times New Roman" w:hAnsi="Times New Roman" w:cs="Times New Roman"/>
                <w:color w:val="auto"/>
              </w:rPr>
            </w:pPr>
            <w:r>
              <w:rPr>
                <w:rFonts w:hint="default" w:ascii="Times New Roman" w:hAnsi="Times New Roman" w:cs="Times New Roman"/>
                <w:color w:val="auto"/>
              </w:rPr>
              <w:t>大气污染物排放执行《大气污染物综合排放标准》</w:t>
            </w:r>
            <w:r>
              <w:rPr>
                <w:rFonts w:hint="eastAsia" w:ascii="Times New Roman" w:hAnsi="Times New Roman" w:cs="Times New Roman"/>
                <w:color w:val="auto"/>
                <w:lang w:eastAsia="zh-CN"/>
              </w:rPr>
              <w:t>（</w:t>
            </w:r>
            <w:r>
              <w:rPr>
                <w:rFonts w:hint="default" w:ascii="Times New Roman" w:hAnsi="Times New Roman" w:cs="Times New Roman"/>
                <w:color w:val="auto"/>
              </w:rPr>
              <w:t>GB16297-</w:t>
            </w:r>
            <w:r>
              <w:rPr>
                <w:rFonts w:hint="eastAsia" w:ascii="Times New Roman" w:hAnsi="Times New Roman" w:cs="Times New Roman"/>
                <w:color w:val="auto"/>
              </w:rPr>
              <w:t>19</w:t>
            </w:r>
            <w:r>
              <w:rPr>
                <w:rFonts w:hint="default" w:ascii="Times New Roman" w:hAnsi="Times New Roman" w:cs="Times New Roman"/>
                <w:color w:val="auto"/>
              </w:rPr>
              <w:t>96</w:t>
            </w:r>
            <w:r>
              <w:rPr>
                <w:rFonts w:hint="eastAsia" w:ascii="Times New Roman" w:hAnsi="Times New Roman" w:cs="Times New Roman"/>
                <w:color w:val="auto"/>
                <w:lang w:eastAsia="zh-CN"/>
              </w:rPr>
              <w:t>）</w:t>
            </w:r>
            <w:r>
              <w:rPr>
                <w:rFonts w:hint="eastAsia" w:ascii="Times New Roman" w:hAnsi="Times New Roman" w:cs="Times New Roman"/>
                <w:color w:val="auto"/>
              </w:rPr>
              <w:t>中无组织排放监控浓度限值，</w:t>
            </w:r>
            <w:r>
              <w:rPr>
                <w:rFonts w:hint="default" w:ascii="Times New Roman" w:hAnsi="Times New Roman" w:cs="Times New Roman"/>
                <w:color w:val="auto"/>
              </w:rPr>
              <w:t>详见</w:t>
            </w:r>
            <w:r>
              <w:rPr>
                <w:rFonts w:hint="eastAsia" w:ascii="Times New Roman" w:hAnsi="Times New Roman" w:cs="Times New Roman"/>
                <w:color w:val="auto"/>
              </w:rPr>
              <w:t>下</w:t>
            </w:r>
            <w:r>
              <w:rPr>
                <w:rFonts w:hint="default" w:ascii="Times New Roman" w:hAnsi="Times New Roman" w:cs="Times New Roman"/>
                <w:color w:val="auto"/>
              </w:rPr>
              <w:t>表。</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default" w:cs="Times New Roman"/>
                <w:color w:val="auto"/>
                <w:vertAlign w:val="superscript"/>
              </w:rPr>
            </w:pPr>
            <w:r>
              <w:rPr>
                <w:rFonts w:hint="default" w:cs="Times New Roman"/>
                <w:color w:val="auto"/>
              </w:rPr>
              <w:t>表</w:t>
            </w:r>
            <w:r>
              <w:rPr>
                <w:rFonts w:hint="eastAsia" w:cs="Times New Roman"/>
                <w:color w:val="auto"/>
                <w:lang w:val="en-US" w:eastAsia="zh-CN"/>
              </w:rPr>
              <w:t>3.13-1</w:t>
            </w:r>
            <w:r>
              <w:rPr>
                <w:rFonts w:hint="default" w:cs="Times New Roman"/>
                <w:color w:val="auto"/>
              </w:rPr>
              <w:t xml:space="preserve">   大气污染物综合排放标准</w:t>
            </w:r>
            <w:r>
              <w:rPr>
                <w:rFonts w:hint="eastAsia" w:cs="Times New Roman"/>
                <w:color w:val="auto"/>
                <w:lang w:eastAsia="zh-CN"/>
              </w:rPr>
              <w:t>（</w:t>
            </w:r>
            <w:r>
              <w:rPr>
                <w:rFonts w:hint="eastAsia" w:cs="Times New Roman"/>
                <w:color w:val="auto"/>
              </w:rPr>
              <w:t>摘录</w:t>
            </w:r>
            <w:r>
              <w:rPr>
                <w:rFonts w:hint="eastAsia" w:cs="Times New Roman"/>
                <w:color w:val="auto"/>
                <w:lang w:eastAsia="zh-CN"/>
              </w:rPr>
              <w:t>）</w:t>
            </w:r>
            <w:r>
              <w:rPr>
                <w:rFonts w:hint="default" w:cs="Times New Roman"/>
                <w:color w:val="auto"/>
              </w:rPr>
              <w:t>单位：mg/m</w:t>
            </w:r>
            <w:r>
              <w:rPr>
                <w:rFonts w:hint="default" w:cs="Times New Roman"/>
                <w:color w:val="auto"/>
                <w:vertAlign w:val="superscript"/>
              </w:rPr>
              <w:t>3</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2223"/>
              <w:gridCol w:w="44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4"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序号</w:t>
                  </w:r>
                </w:p>
              </w:tc>
              <w:tc>
                <w:tcPr>
                  <w:tcW w:w="1397"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污染物</w:t>
                  </w:r>
                </w:p>
              </w:tc>
              <w:tc>
                <w:tcPr>
                  <w:tcW w:w="2798"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eastAsia" w:ascii="Times New Roman" w:hAnsi="Times New Roman" w:cs="Times New Roman"/>
                      <w:color w:val="auto"/>
                    </w:rPr>
                    <w:t>无组织排放监控浓度限值</w:t>
                  </w:r>
                  <w:r>
                    <w:rPr>
                      <w:rFonts w:hint="eastAsia" w:ascii="Times New Roman" w:hAnsi="Times New Roman" w:cs="Times New Roman"/>
                      <w:color w:val="auto"/>
                      <w:lang w:eastAsia="zh-CN"/>
                    </w:rPr>
                    <w:t>（</w:t>
                  </w:r>
                  <w:r>
                    <w:rPr>
                      <w:rFonts w:hint="default" w:ascii="Times New Roman" w:hAnsi="Times New Roman" w:cs="Times New Roman"/>
                      <w:color w:val="auto"/>
                    </w:rPr>
                    <w:t>mg/m</w:t>
                  </w:r>
                  <w:r>
                    <w:rPr>
                      <w:rFonts w:hint="default" w:ascii="Times New Roman" w:hAnsi="Times New Roman" w:cs="Times New Roman"/>
                      <w:color w:val="auto"/>
                      <w:vertAlign w:val="superscript"/>
                    </w:rPr>
                    <w:t>3</w:t>
                  </w:r>
                  <w:r>
                    <w:rPr>
                      <w:rFonts w:hint="eastAsia" w:ascii="Times New Roman" w:hAnsi="Times New Roman" w:cs="Times New Roman"/>
                      <w:color w:val="auto"/>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4"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val="pt-BR" w:eastAsia="zh-CN"/>
                    </w:rPr>
                  </w:pPr>
                  <w:r>
                    <w:rPr>
                      <w:rFonts w:hint="eastAsia" w:ascii="Times New Roman" w:hAnsi="Times New Roman" w:cs="Times New Roman"/>
                      <w:color w:val="auto"/>
                      <w:lang w:val="en-US" w:eastAsia="zh-CN"/>
                    </w:rPr>
                    <w:t>1</w:t>
                  </w:r>
                </w:p>
              </w:tc>
              <w:tc>
                <w:tcPr>
                  <w:tcW w:w="1397"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颗粒物</w:t>
                  </w:r>
                </w:p>
              </w:tc>
              <w:tc>
                <w:tcPr>
                  <w:tcW w:w="2798"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1.0</w:t>
                  </w:r>
                </w:p>
              </w:tc>
            </w:tr>
          </w:tbl>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3.13.2噪声</w:t>
            </w:r>
          </w:p>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施工期执行《工业企业厂界环境噪声排放标准》（GB12348-2008）中的2类标准，具体标准值见下表。</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eastAsia" w:eastAsia="宋体" w:cs="Times New Roman"/>
                <w:color w:val="auto"/>
                <w:lang w:eastAsia="zh-CN"/>
              </w:rPr>
            </w:pPr>
            <w:r>
              <w:rPr>
                <w:rFonts w:hint="default" w:cs="Times New Roman"/>
                <w:color w:val="auto"/>
              </w:rPr>
              <w:t>表</w:t>
            </w:r>
            <w:r>
              <w:rPr>
                <w:rFonts w:hint="eastAsia" w:cs="Times New Roman"/>
                <w:color w:val="auto"/>
                <w:lang w:val="en-US" w:eastAsia="zh-CN"/>
              </w:rPr>
              <w:t>3.13-2</w:t>
            </w:r>
            <w:r>
              <w:rPr>
                <w:rFonts w:hint="default" w:cs="Times New Roman"/>
                <w:color w:val="auto"/>
              </w:rPr>
              <w:t xml:space="preserve">   </w:t>
            </w:r>
            <w:r>
              <w:rPr>
                <w:rFonts w:hint="eastAsia" w:cs="Times New Roman"/>
                <w:color w:val="auto"/>
              </w:rPr>
              <w:t>工业企业厂界环境噪声排放标准</w:t>
            </w:r>
            <w:r>
              <w:rPr>
                <w:rFonts w:hint="eastAsia" w:cs="Times New Roman"/>
                <w:color w:val="auto"/>
                <w:lang w:eastAsia="zh-CN"/>
              </w:rPr>
              <w:t>（</w:t>
            </w:r>
            <w:r>
              <w:rPr>
                <w:rFonts w:hint="default" w:cs="Times New Roman"/>
                <w:color w:val="auto"/>
              </w:rPr>
              <w:t>摘录</w:t>
            </w:r>
            <w:r>
              <w:rPr>
                <w:rFonts w:hint="eastAsia" w:cs="Times New Roman"/>
                <w:color w:val="auto"/>
                <w:lang w:eastAsia="zh-CN"/>
              </w:rPr>
              <w:t>）</w:t>
            </w:r>
            <w:r>
              <w:rPr>
                <w:rFonts w:hint="default" w:cs="Times New Roman"/>
                <w:color w:val="auto"/>
              </w:rPr>
              <w:t>单位：dB</w:t>
            </w:r>
            <w:r>
              <w:rPr>
                <w:rFonts w:hint="eastAsia" w:cs="Times New Roman"/>
                <w:color w:val="auto"/>
                <w:lang w:eastAsia="zh-CN"/>
              </w:rPr>
              <w:t>（</w:t>
            </w:r>
            <w:r>
              <w:rPr>
                <w:rFonts w:hint="default" w:cs="Times New Roman"/>
                <w:color w:val="auto"/>
              </w:rPr>
              <w:t>A</w:t>
            </w:r>
            <w:r>
              <w:rPr>
                <w:rFonts w:hint="eastAsia" w:cs="Times New Roman"/>
                <w:color w:val="auto"/>
                <w:lang w:eastAsia="zh-CN"/>
              </w:rPr>
              <w:t>）</w:t>
            </w:r>
          </w:p>
          <w:tbl>
            <w:tblPr>
              <w:tblStyle w:val="28"/>
              <w:tblW w:w="4999" w:type="pct"/>
              <w:tblInd w:w="1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3976"/>
              <w:gridCol w:w="397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500" w:type="pct"/>
                  <w:tcBorders>
                    <w:tl2br w:val="nil"/>
                    <w:tr2bl w:val="nil"/>
                  </w:tcBorders>
                  <w:noWrap w:val="0"/>
                  <w:vAlign w:val="top"/>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昼间</w:t>
                  </w:r>
                </w:p>
              </w:tc>
              <w:tc>
                <w:tcPr>
                  <w:tcW w:w="2500" w:type="pct"/>
                  <w:tcBorders>
                    <w:tl2br w:val="nil"/>
                    <w:tr2bl w:val="nil"/>
                  </w:tcBorders>
                  <w:noWrap w:val="0"/>
                  <w:vAlign w:val="top"/>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夜间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500"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60</w:t>
                  </w:r>
                </w:p>
              </w:tc>
              <w:tc>
                <w:tcPr>
                  <w:tcW w:w="2500" w:type="pct"/>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w:t>
                  </w:r>
                </w:p>
              </w:tc>
            </w:tr>
          </w:tbl>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b w:val="0"/>
                <w:bCs w:val="0"/>
                <w:color w:val="auto"/>
              </w:rPr>
            </w:pPr>
            <w:r>
              <w:rPr>
                <w:rFonts w:hint="eastAsia"/>
                <w:color w:val="auto"/>
                <w:lang w:val="en-US" w:eastAsia="zh-CN"/>
              </w:rPr>
              <w:t>3.13.3</w:t>
            </w:r>
            <w:r>
              <w:rPr>
                <w:rFonts w:hint="eastAsia"/>
                <w:b/>
                <w:bCs/>
                <w:color w:val="auto"/>
              </w:rPr>
              <w:t>一般工业固体废物</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32"/>
                <w:lang w:val="en-US" w:eastAsia="zh-CN" w:bidi="ar-SA"/>
              </w:rPr>
            </w:pPr>
            <w:r>
              <w:rPr>
                <w:rFonts w:hint="eastAsia" w:ascii="Times New Roman" w:hAnsi="Times New Roman" w:eastAsia="宋体" w:cs="Times New Roman"/>
                <w:b w:val="0"/>
                <w:bCs w:val="0"/>
                <w:color w:val="auto"/>
                <w:kern w:val="2"/>
                <w:sz w:val="24"/>
                <w:szCs w:val="32"/>
                <w:lang w:val="en-US" w:eastAsia="zh-CN" w:bidi="ar-SA"/>
              </w:rPr>
              <w:t>本项目施工期一般工业固体废物参考《一般工业固体废物贮存和填埋污染控制标准》（GB18599-2020）中的相关要求。</w:t>
            </w:r>
          </w:p>
          <w:p>
            <w:pPr>
              <w:pStyle w:val="26"/>
              <w:keepNext w:val="0"/>
              <w:keepLines w:val="0"/>
              <w:suppressLineNumbers w:val="0"/>
              <w:spacing w:before="0" w:beforeAutospacing="0" w:after="0" w:afterAutospacing="0"/>
              <w:ind w:left="0" w:leftChars="0" w:right="0" w:firstLine="0" w:firstLineChars="0"/>
              <w:rPr>
                <w:rFonts w:hint="eastAsia"/>
                <w:color w:val="auto"/>
                <w:lang w:val="en-US" w:eastAsia="zh-CN"/>
              </w:rPr>
            </w:pPr>
            <w:r>
              <w:rPr>
                <w:rFonts w:hint="eastAsia"/>
                <w:color w:val="auto"/>
                <w:lang w:val="en-US" w:eastAsia="zh-CN"/>
              </w:rPr>
              <w:t>3.13.4废水</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outlineLvl w:val="9"/>
              <w:rPr>
                <w:rFonts w:hint="default" w:ascii="Times New Roman" w:hAnsi="Times New Roman" w:eastAsia="宋体" w:cs="Times New Roman"/>
                <w:b w:val="0"/>
                <w:bCs w:val="0"/>
                <w:color w:val="auto"/>
                <w:kern w:val="2"/>
                <w:sz w:val="24"/>
                <w:szCs w:val="32"/>
                <w:lang w:val="en-US" w:eastAsia="zh-CN" w:bidi="ar-SA"/>
              </w:rPr>
            </w:pPr>
            <w:r>
              <w:rPr>
                <w:rFonts w:hint="eastAsia"/>
                <w:b w:val="0"/>
                <w:bCs w:val="0"/>
                <w:color w:val="auto"/>
                <w:lang w:val="en-US" w:eastAsia="zh-CN"/>
              </w:rPr>
              <w:t>生活污水执行《农村生活污水处理排放标准》（DB65 4275-2019）表2A级标准。生活污水进入一体化处理设施，处理后用于草地灌溉。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800"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8190" w:type="dxa"/>
            <w:noWrap w:val="0"/>
            <w:vAlign w:val="center"/>
          </w:tcPr>
          <w:p>
            <w:pPr>
              <w:keepNext w:val="0"/>
              <w:keepLines w:val="0"/>
              <w:suppressLineNumbers w:val="0"/>
              <w:snapToGrid w:val="0"/>
              <w:spacing w:before="0" w:beforeAutospacing="0" w:after="0" w:afterAutospacing="0"/>
              <w:ind w:left="0" w:right="0" w:firstLine="480"/>
              <w:rPr>
                <w:rFonts w:hint="eastAsia" w:ascii="Times New Roman" w:hAnsi="Times New Roman" w:cs="Times New Roman"/>
                <w:bCs/>
                <w:color w:val="auto"/>
              </w:rPr>
            </w:pPr>
            <w:r>
              <w:rPr>
                <w:rFonts w:hint="eastAsia" w:ascii="宋体" w:hAnsi="宋体" w:cs="Times New Roman"/>
                <w:color w:val="auto"/>
                <w:szCs w:val="22"/>
              </w:rPr>
              <w:t>无</w:t>
            </w:r>
          </w:p>
        </w:tc>
      </w:tr>
    </w:tbl>
    <w:p>
      <w:pPr>
        <w:pStyle w:val="7"/>
        <w:rPr>
          <w:snapToGrid w:val="0"/>
          <w:color w:val="auto"/>
        </w:rPr>
      </w:pPr>
      <w:r>
        <w:rPr>
          <w:snapToGrid w:val="0"/>
          <w:color w:val="auto"/>
          <w:sz w:val="36"/>
          <w:szCs w:val="36"/>
        </w:rPr>
        <w:br w:type="page"/>
      </w:r>
      <w:r>
        <w:rPr>
          <w:rFonts w:hint="eastAsia"/>
          <w:snapToGrid w:val="0"/>
          <w:color w:val="auto"/>
        </w:rPr>
        <w:t>四、生态环境影响分析</w:t>
      </w:r>
    </w:p>
    <w:tbl>
      <w:tblPr>
        <w:tblStyle w:val="28"/>
        <w:tblpPr w:leftFromText="180" w:rightFromText="180" w:vertAnchor="text" w:tblpXSpec="center" w:tblpY="1"/>
        <w:tblOverlap w:val="never"/>
        <w:tblW w:w="915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85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595"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bookmarkStart w:id="3" w:name="_Hlk69138538"/>
            <w:r>
              <w:rPr>
                <w:rFonts w:hint="eastAsia" w:ascii="Times New Roman" w:hAnsi="Times New Roman" w:cs="Times New Roman"/>
                <w:color w:val="auto"/>
              </w:rPr>
              <w:t>施工期生态环境影响分析</w:t>
            </w:r>
          </w:p>
        </w:tc>
        <w:tc>
          <w:tcPr>
            <w:tcW w:w="85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本项目探矿期间主要的环境影响为探矿过程产生的废水、废气、噪声、固体废物排放对环境的影响及生态保护措施。</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4.1</w:t>
            </w:r>
            <w:r>
              <w:rPr>
                <w:rFonts w:hint="eastAsia"/>
                <w:color w:val="auto"/>
              </w:rPr>
              <w:t>大气环境影响分析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结合项目施工特点及施工内容，本项目施工期大气污染源来自</w:t>
            </w:r>
            <w:r>
              <w:rPr>
                <w:rFonts w:hint="eastAsia" w:ascii="Times New Roman" w:hAnsi="Times New Roman" w:cs="Times New Roman"/>
                <w:color w:val="auto"/>
                <w:lang w:val="en-US" w:eastAsia="zh-CN"/>
              </w:rPr>
              <w:t>运输道路产生的扬尘以及</w:t>
            </w:r>
            <w:r>
              <w:rPr>
                <w:rFonts w:hint="eastAsia" w:ascii="Times New Roman" w:hAnsi="Times New Roman" w:cs="Times New Roman"/>
                <w:color w:val="auto"/>
              </w:rPr>
              <w:t>车辆废气</w:t>
            </w:r>
            <w:r>
              <w:rPr>
                <w:rFonts w:hint="eastAsia" w:ascii="Times New Roman" w:hAnsi="Times New Roman" w:cs="Times New Roman"/>
                <w:color w:val="auto"/>
                <w:lang w:val="en-US" w:eastAsia="zh-CN"/>
              </w:rPr>
              <w:t>。</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4.1.1</w:t>
            </w:r>
            <w:r>
              <w:rPr>
                <w:rFonts w:hint="eastAsia"/>
                <w:color w:val="auto"/>
              </w:rPr>
              <w:t>扬尘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rPr>
              <w:t>在勘查过程中，扬尘污染来源于：</w:t>
            </w:r>
            <w:r>
              <w:rPr>
                <w:rFonts w:hint="eastAsia" w:ascii="Times New Roman" w:hAnsi="Times New Roman" w:cs="Times New Roman"/>
                <w:color w:val="auto"/>
                <w:lang w:val="en-US" w:eastAsia="zh-CN"/>
              </w:rPr>
              <w:t>运输道路</w:t>
            </w:r>
            <w:r>
              <w:rPr>
                <w:rFonts w:hint="eastAsia" w:ascii="Times New Roman" w:hAnsi="Times New Roman" w:cs="Times New Roman"/>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val="en-US" w:eastAsia="zh-CN"/>
              </w:rPr>
            </w:pPr>
            <w:r>
              <w:rPr>
                <w:rFonts w:hint="eastAsia" w:ascii="Times New Roman" w:hAnsi="Times New Roman" w:cs="Times New Roman"/>
                <w:color w:val="auto"/>
              </w:rPr>
              <w:t>前期矿区内部道路平整过程以及车辆运输样品及生活用品时会产生一定扬尘，施工扬尘的污染程度与风速、粉尘颗粒、粉尘含水量和汽车行驶速度等因素有关，汽车行驶速度和风速增大，产生的起尘量</w:t>
            </w:r>
            <w:r>
              <w:rPr>
                <w:rFonts w:hint="eastAsia" w:ascii="Times New Roman" w:hAnsi="Times New Roman" w:cs="Times New Roman"/>
                <w:color w:val="auto"/>
                <w:lang w:eastAsia="zh-CN"/>
              </w:rPr>
              <w:t>成正比</w:t>
            </w:r>
            <w:r>
              <w:rPr>
                <w:rFonts w:hint="eastAsia" w:ascii="Times New Roman" w:hAnsi="Times New Roman" w:cs="Times New Roman"/>
                <w:color w:val="auto"/>
              </w:rPr>
              <w:t>或</w:t>
            </w:r>
            <w:r>
              <w:rPr>
                <w:rFonts w:hint="eastAsia" w:ascii="Times New Roman" w:hAnsi="Times New Roman" w:cs="Times New Roman"/>
                <w:color w:val="auto"/>
                <w:lang w:val="en-US" w:eastAsia="zh-CN"/>
              </w:rPr>
              <w:t>指</w:t>
            </w:r>
            <w:r>
              <w:rPr>
                <w:rFonts w:hint="eastAsia" w:ascii="Times New Roman" w:hAnsi="Times New Roman" w:cs="Times New Roman"/>
                <w:color w:val="auto"/>
              </w:rPr>
              <w:t>数增加，粉尘污染范围相应扩大。粉尘含水量增大，粉尘污染范围相应减小。施工扬尘会造成局部地段降尘量增多，对施工现场周围的大气环境会产生一定的影响。但这种污染是局部的、短期的，工程完成之后这种影响就会消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要求与建议：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a.</w:t>
            </w:r>
            <w:r>
              <w:rPr>
                <w:rFonts w:hint="eastAsia" w:ascii="Times New Roman" w:hAnsi="Times New Roman" w:cs="Times New Roman"/>
                <w:color w:val="auto"/>
              </w:rPr>
              <w:t>及时清理场地</w:t>
            </w:r>
            <w:r>
              <w:rPr>
                <w:rFonts w:hint="eastAsia" w:ascii="Times New Roman" w:hAnsi="Times New Roman" w:cs="Times New Roman"/>
                <w:color w:val="auto"/>
                <w:lang w:val="en-US" w:eastAsia="zh-CN"/>
              </w:rPr>
              <w:t>土石方</w:t>
            </w:r>
            <w:r>
              <w:rPr>
                <w:rFonts w:hint="eastAsia" w:ascii="Times New Roman" w:hAnsi="Times New Roman" w:cs="Times New Roman"/>
                <w:color w:val="auto"/>
              </w:rPr>
              <w:t>，不能及时清运的要求采取覆盖，洒水抑尘等措施；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b.</w:t>
            </w:r>
            <w:r>
              <w:rPr>
                <w:rFonts w:hint="eastAsia" w:ascii="Times New Roman" w:hAnsi="Times New Roman" w:cs="Times New Roman"/>
                <w:color w:val="auto"/>
              </w:rPr>
              <w:t>尽量缩短施工期，干燥、大风天气施工必须采取洒水抑尘措施；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c.运输道路要定时进行清扫、洒水；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rPr>
              <w:t>治理措施：在工作中建议施工人员</w:t>
            </w:r>
            <w:r>
              <w:rPr>
                <w:rFonts w:hint="default" w:ascii="Times New Roman" w:hAnsi="Times New Roman" w:cs="Times New Roman"/>
                <w:color w:val="auto"/>
              </w:rPr>
              <w:t>戴口罩、防尘面罩等劳动防护装备</w:t>
            </w:r>
            <w:r>
              <w:rPr>
                <w:rFonts w:hint="eastAsia" w:ascii="Times New Roman" w:hAnsi="Times New Roman" w:cs="Times New Roman"/>
                <w:color w:val="auto"/>
              </w:rPr>
              <w:t>，同时</w:t>
            </w:r>
            <w:r>
              <w:rPr>
                <w:rFonts w:hint="default" w:ascii="Times New Roman" w:hAnsi="Times New Roman" w:cs="Times New Roman"/>
                <w:color w:val="auto"/>
              </w:rPr>
              <w:t>避开大风天气作业</w:t>
            </w:r>
            <w:r>
              <w:rPr>
                <w:rFonts w:hint="eastAsia" w:ascii="Times New Roman" w:hAnsi="Times New Roman" w:cs="Times New Roman"/>
                <w:color w:val="auto"/>
              </w:rPr>
              <w:t>，矿区内部道路限速行驶</w:t>
            </w:r>
            <w:r>
              <w:rPr>
                <w:rFonts w:hint="default" w:ascii="Times New Roman" w:hAnsi="Times New Roman" w:cs="Times New Roman"/>
                <w:color w:val="auto"/>
              </w:rPr>
              <w:t>。</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4.2</w:t>
            </w:r>
            <w:r>
              <w:rPr>
                <w:rFonts w:hint="eastAsia"/>
                <w:color w:val="auto"/>
              </w:rPr>
              <w:t>地表水环境影响分析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color w:val="auto"/>
                <w:lang w:val="en-US" w:eastAsia="zh-CN"/>
              </w:rPr>
              <w:t>勘查</w:t>
            </w:r>
            <w:r>
              <w:rPr>
                <w:rFonts w:hint="eastAsia" w:ascii="Times New Roman" w:hAnsi="Times New Roman" w:cs="Times New Roman"/>
                <w:color w:val="auto"/>
              </w:rPr>
              <w:t>作业期间产生的废水</w:t>
            </w:r>
            <w:r>
              <w:rPr>
                <w:rFonts w:hint="eastAsia" w:ascii="Times New Roman" w:hAnsi="Times New Roman" w:cs="Times New Roman"/>
                <w:color w:val="auto"/>
                <w:lang w:val="en-US" w:eastAsia="zh-CN"/>
              </w:rPr>
              <w:t>主要为</w:t>
            </w:r>
            <w:r>
              <w:rPr>
                <w:rFonts w:hint="eastAsia" w:ascii="Times New Roman" w:hAnsi="Times New Roman" w:cs="Times New Roman"/>
                <w:color w:val="auto"/>
              </w:rPr>
              <w:t>生活</w:t>
            </w:r>
            <w:r>
              <w:rPr>
                <w:rFonts w:hint="eastAsia" w:ascii="Times New Roman" w:hAnsi="Times New Roman" w:cs="Times New Roman"/>
                <w:color w:val="auto"/>
                <w:lang w:val="en-US" w:eastAsia="zh-CN"/>
              </w:rPr>
              <w:t>污水</w:t>
            </w:r>
            <w:r>
              <w:rPr>
                <w:rFonts w:hint="eastAsia" w:ascii="Times New Roman" w:hAnsi="Times New Roman" w:cs="Times New Roman"/>
                <w:color w:val="auto"/>
              </w:rPr>
              <w:t>。</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4.2.1生活污水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产生情况：本项目</w:t>
            </w:r>
            <w:r>
              <w:rPr>
                <w:rFonts w:hint="default" w:ascii="Times New Roman" w:hAnsi="Times New Roman" w:cs="Times New Roman"/>
                <w:color w:val="auto"/>
              </w:rPr>
              <w:t>在施工场地的生活</w:t>
            </w:r>
            <w:r>
              <w:rPr>
                <w:rFonts w:hint="eastAsia" w:ascii="Times New Roman" w:hAnsi="Times New Roman" w:cs="Times New Roman"/>
                <w:color w:val="auto"/>
              </w:rPr>
              <w:t>用水</w:t>
            </w:r>
            <w:r>
              <w:rPr>
                <w:rFonts w:hint="default" w:ascii="Times New Roman" w:hAnsi="Times New Roman" w:cs="Times New Roman"/>
                <w:color w:val="auto"/>
              </w:rPr>
              <w:t>量</w:t>
            </w:r>
            <w:r>
              <w:rPr>
                <w:rFonts w:hint="eastAsia" w:ascii="Times New Roman" w:hAnsi="Times New Roman" w:cs="Times New Roman"/>
                <w:color w:val="auto"/>
              </w:rPr>
              <w:t>按5</w:t>
            </w:r>
            <w:r>
              <w:rPr>
                <w:rFonts w:hint="eastAsia" w:ascii="Times New Roman" w:hAnsi="Times New Roman" w:cs="Times New Roman"/>
                <w:color w:val="auto"/>
                <w:lang w:val="en-US" w:eastAsia="zh-CN"/>
              </w:rPr>
              <w:t>0</w:t>
            </w:r>
            <w:r>
              <w:rPr>
                <w:rFonts w:hint="default" w:ascii="Times New Roman" w:hAnsi="Times New Roman" w:cs="Times New Roman"/>
                <w:color w:val="auto"/>
              </w:rPr>
              <w:t>L/</w:t>
            </w:r>
            <w:r>
              <w:rPr>
                <w:rFonts w:hint="eastAsia" w:ascii="Times New Roman" w:hAnsi="Times New Roman" w:cs="Times New Roman"/>
                <w:color w:val="auto"/>
              </w:rPr>
              <w:t>人</w:t>
            </w:r>
            <w:r>
              <w:rPr>
                <w:rFonts w:hint="default" w:ascii="Times New Roman" w:hAnsi="Times New Roman" w:cs="Times New Roman"/>
                <w:color w:val="auto"/>
              </w:rPr>
              <w:t>d</w:t>
            </w:r>
            <w:r>
              <w:rPr>
                <w:rFonts w:hint="eastAsia" w:ascii="Times New Roman" w:hAnsi="Times New Roman" w:cs="Times New Roman"/>
                <w:color w:val="auto"/>
              </w:rPr>
              <w:t>计</w:t>
            </w:r>
            <w:r>
              <w:rPr>
                <w:rFonts w:hint="eastAsia" w:ascii="Times New Roman" w:hAnsi="Times New Roman" w:cs="Times New Roman"/>
                <w:color w:val="auto"/>
                <w:lang w:val="en-US" w:eastAsia="zh-CN"/>
              </w:rPr>
              <w:t>算</w:t>
            </w:r>
            <w:r>
              <w:rPr>
                <w:rFonts w:hint="eastAsia" w:ascii="Times New Roman" w:hAnsi="Times New Roman" w:cs="Times New Roman"/>
                <w:color w:val="auto"/>
              </w:rPr>
              <w:t>，</w:t>
            </w:r>
            <w:r>
              <w:rPr>
                <w:rFonts w:hint="default" w:ascii="Times New Roman" w:hAnsi="Times New Roman" w:cs="Times New Roman"/>
                <w:color w:val="auto"/>
              </w:rPr>
              <w:t>本项目按照施工人员</w:t>
            </w:r>
            <w:r>
              <w:rPr>
                <w:rFonts w:hint="eastAsia" w:cs="Times New Roman"/>
                <w:color w:val="auto"/>
                <w:lang w:val="en-US" w:eastAsia="zh-CN"/>
              </w:rPr>
              <w:t>7</w:t>
            </w:r>
            <w:r>
              <w:rPr>
                <w:rFonts w:hint="eastAsia" w:ascii="Times New Roman" w:hAnsi="Times New Roman" w:cs="Times New Roman"/>
                <w:color w:val="auto"/>
              </w:rPr>
              <w:t>人</w:t>
            </w:r>
            <w:r>
              <w:rPr>
                <w:rFonts w:hint="default" w:ascii="Times New Roman" w:hAnsi="Times New Roman" w:cs="Times New Roman"/>
                <w:color w:val="auto"/>
              </w:rPr>
              <w:t>计算，排污按照</w:t>
            </w:r>
            <w:r>
              <w:rPr>
                <w:rFonts w:hint="eastAsia" w:ascii="Times New Roman" w:hAnsi="Times New Roman" w:cs="Times New Roman"/>
                <w:color w:val="auto"/>
              </w:rPr>
              <w:t>80</w:t>
            </w:r>
            <w:r>
              <w:rPr>
                <w:rFonts w:hint="default" w:ascii="Times New Roman" w:hAnsi="Times New Roman" w:cs="Times New Roman"/>
                <w:color w:val="auto"/>
              </w:rPr>
              <w:t>%计算，则本项目</w:t>
            </w:r>
            <w:r>
              <w:rPr>
                <w:rFonts w:hint="eastAsia" w:ascii="Times New Roman" w:hAnsi="Times New Roman" w:cs="Times New Roman"/>
                <w:color w:val="auto"/>
              </w:rPr>
              <w:t>生活用水量</w:t>
            </w:r>
            <w:r>
              <w:rPr>
                <w:rFonts w:hint="default" w:ascii="Times New Roman" w:hAnsi="Times New Roman" w:cs="Times New Roman"/>
                <w:color w:val="auto"/>
              </w:rPr>
              <w:t>为</w:t>
            </w:r>
            <w:r>
              <w:rPr>
                <w:rFonts w:hint="eastAsia" w:ascii="Times New Roman" w:hAnsi="Times New Roman" w:cs="Times New Roman"/>
                <w:color w:val="auto"/>
                <w:lang w:val="en-US" w:eastAsia="zh-CN"/>
              </w:rPr>
              <w:t>0.</w:t>
            </w:r>
            <w:r>
              <w:rPr>
                <w:rFonts w:hint="eastAsia" w:cs="Times New Roman"/>
                <w:color w:val="auto"/>
                <w:lang w:val="en-US" w:eastAsia="zh-CN"/>
              </w:rPr>
              <w:t>35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cs="Times New Roman"/>
                <w:color w:val="auto"/>
                <w:lang w:val="en-US" w:eastAsia="zh-CN"/>
              </w:rPr>
              <w:t>15.5</w:t>
            </w:r>
            <w:r>
              <w:rPr>
                <w:rFonts w:hint="eastAsia"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rPr>
              <w:t>生活污水产生量</w:t>
            </w:r>
            <w:r>
              <w:rPr>
                <w:rFonts w:hint="default" w:ascii="Times New Roman" w:hAnsi="Times New Roman" w:cs="Times New Roman"/>
                <w:color w:val="auto"/>
              </w:rPr>
              <w:t>为</w:t>
            </w:r>
            <w:r>
              <w:rPr>
                <w:rFonts w:hint="eastAsia" w:ascii="Times New Roman" w:hAnsi="Times New Roman" w:cs="Times New Roman"/>
                <w:color w:val="auto"/>
                <w:lang w:val="en-US" w:eastAsia="zh-CN"/>
              </w:rPr>
              <w:t>0.</w:t>
            </w:r>
            <w:r>
              <w:rPr>
                <w:rFonts w:hint="eastAsia" w:cs="Times New Roman"/>
                <w:color w:val="auto"/>
                <w:lang w:val="en-US" w:eastAsia="zh-CN"/>
              </w:rPr>
              <w:t>28</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cs="Times New Roman"/>
                <w:color w:val="auto"/>
                <w:lang w:val="en-US" w:eastAsia="zh-CN"/>
              </w:rPr>
              <w:t>92.4</w:t>
            </w:r>
            <w:r>
              <w:rPr>
                <w:rFonts w:hint="eastAsia"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w:t>
            </w:r>
            <w:r>
              <w:rPr>
                <w:rFonts w:hint="default" w:ascii="Times New Roman" w:hAnsi="Times New Roman" w:cs="Times New Roman"/>
                <w:color w:val="auto"/>
              </w:rPr>
              <w:t>一般生活污水COD的产生浓度约为400mg/L，BOD</w:t>
            </w:r>
            <w:r>
              <w:rPr>
                <w:rFonts w:hint="default" w:ascii="Times New Roman" w:hAnsi="Times New Roman" w:cs="Times New Roman"/>
                <w:color w:val="auto"/>
                <w:vertAlign w:val="subscript"/>
              </w:rPr>
              <w:t>5</w:t>
            </w:r>
            <w:r>
              <w:rPr>
                <w:rFonts w:hint="default" w:ascii="Times New Roman" w:hAnsi="Times New Roman" w:cs="Times New Roman"/>
                <w:color w:val="auto"/>
              </w:rPr>
              <w:t>的产生浓度约为300mg/L，SS的产生浓度约为250mg/L，NH</w:t>
            </w:r>
            <w:r>
              <w:rPr>
                <w:rFonts w:hint="default" w:ascii="Times New Roman" w:hAnsi="Times New Roman" w:cs="Times New Roman"/>
                <w:color w:val="auto"/>
                <w:vertAlign w:val="subscript"/>
              </w:rPr>
              <w:t>3</w:t>
            </w:r>
            <w:r>
              <w:rPr>
                <w:rFonts w:hint="default" w:ascii="Times New Roman" w:hAnsi="Times New Roman" w:cs="Times New Roman"/>
                <w:color w:val="auto"/>
              </w:rPr>
              <w:t>-N的产生浓度约为30mg/L，则本项目COD产生量约为</w:t>
            </w:r>
            <w:r>
              <w:rPr>
                <w:rFonts w:hint="eastAsia" w:ascii="Times New Roman" w:hAnsi="Times New Roman" w:cs="Times New Roman"/>
                <w:color w:val="auto"/>
                <w:lang w:val="en-US" w:eastAsia="zh-CN"/>
              </w:rPr>
              <w:t>0.</w:t>
            </w:r>
            <w:r>
              <w:rPr>
                <w:rFonts w:hint="eastAsia" w:cs="Times New Roman"/>
                <w:color w:val="auto"/>
                <w:lang w:val="en-US" w:eastAsia="zh-CN"/>
              </w:rPr>
              <w:t>037</w:t>
            </w:r>
            <w:r>
              <w:rPr>
                <w:rFonts w:hint="eastAsia" w:ascii="Times New Roman" w:hAnsi="Times New Roman" w:cs="Times New Roman"/>
                <w:color w:val="auto"/>
              </w:rPr>
              <w:t>t</w:t>
            </w:r>
            <w:r>
              <w:rPr>
                <w:rFonts w:hint="default" w:ascii="Times New Roman" w:hAnsi="Times New Roman" w:cs="Times New Roman"/>
                <w:color w:val="auto"/>
              </w:rPr>
              <w:t>/a，BOD</w:t>
            </w:r>
            <w:r>
              <w:rPr>
                <w:rFonts w:hint="default" w:ascii="Times New Roman" w:hAnsi="Times New Roman" w:cs="Times New Roman"/>
                <w:color w:val="auto"/>
                <w:vertAlign w:val="subscript"/>
              </w:rPr>
              <w:t>5</w:t>
            </w:r>
            <w:r>
              <w:rPr>
                <w:rFonts w:hint="default" w:ascii="Times New Roman" w:hAnsi="Times New Roman" w:cs="Times New Roman"/>
                <w:color w:val="auto"/>
              </w:rPr>
              <w:t>产生量约为</w:t>
            </w:r>
            <w:r>
              <w:rPr>
                <w:rFonts w:hint="eastAsia" w:ascii="Times New Roman" w:hAnsi="Times New Roman" w:cs="Times New Roman"/>
                <w:color w:val="auto"/>
                <w:lang w:val="en-US" w:eastAsia="zh-CN"/>
              </w:rPr>
              <w:t>0.0</w:t>
            </w:r>
            <w:r>
              <w:rPr>
                <w:rFonts w:hint="eastAsia" w:cs="Times New Roman"/>
                <w:color w:val="auto"/>
                <w:lang w:val="en-US" w:eastAsia="zh-CN"/>
              </w:rPr>
              <w:t>28</w:t>
            </w:r>
            <w:r>
              <w:rPr>
                <w:rFonts w:hint="default" w:ascii="Times New Roman" w:hAnsi="Times New Roman" w:cs="Times New Roman"/>
                <w:color w:val="auto"/>
              </w:rPr>
              <w:t>t/a，SS产生量约为</w:t>
            </w:r>
            <w:r>
              <w:rPr>
                <w:rFonts w:hint="eastAsia" w:ascii="Times New Roman" w:hAnsi="Times New Roman" w:cs="Times New Roman"/>
                <w:color w:val="auto"/>
                <w:lang w:val="en-US" w:eastAsia="zh-CN"/>
              </w:rPr>
              <w:t>0.0</w:t>
            </w:r>
            <w:r>
              <w:rPr>
                <w:rFonts w:hint="eastAsia" w:cs="Times New Roman"/>
                <w:color w:val="auto"/>
                <w:lang w:val="en-US" w:eastAsia="zh-CN"/>
              </w:rPr>
              <w:t>23</w:t>
            </w:r>
            <w:r>
              <w:rPr>
                <w:rFonts w:hint="default" w:ascii="Times New Roman" w:hAnsi="Times New Roman" w:cs="Times New Roman"/>
                <w:color w:val="auto"/>
              </w:rPr>
              <w:t>t/a，NH</w:t>
            </w:r>
            <w:r>
              <w:rPr>
                <w:rFonts w:hint="default" w:ascii="Times New Roman" w:hAnsi="Times New Roman" w:cs="Times New Roman"/>
                <w:color w:val="auto"/>
                <w:vertAlign w:val="subscript"/>
              </w:rPr>
              <w:t>3</w:t>
            </w:r>
            <w:r>
              <w:rPr>
                <w:rFonts w:hint="default" w:ascii="Times New Roman" w:hAnsi="Times New Roman" w:cs="Times New Roman"/>
                <w:color w:val="auto"/>
              </w:rPr>
              <w:t>-N产生量约为</w:t>
            </w:r>
            <w:r>
              <w:rPr>
                <w:rFonts w:hint="eastAsia" w:ascii="Times New Roman" w:hAnsi="Times New Roman" w:cs="Times New Roman"/>
                <w:color w:val="auto"/>
                <w:lang w:val="en-US" w:eastAsia="zh-CN"/>
              </w:rPr>
              <w:t>0.0</w:t>
            </w:r>
            <w:r>
              <w:rPr>
                <w:rFonts w:hint="eastAsia" w:cs="Times New Roman"/>
                <w:color w:val="auto"/>
                <w:lang w:val="en-US" w:eastAsia="zh-CN"/>
              </w:rPr>
              <w:t>03</w:t>
            </w:r>
            <w:r>
              <w:rPr>
                <w:rFonts w:hint="default" w:ascii="Times New Roman" w:hAnsi="Times New Roman" w:cs="Times New Roman"/>
                <w:color w:val="auto"/>
              </w:rPr>
              <w:t>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default" w:ascii="Times New Roman" w:hAnsi="Times New Roman" w:cs="Times New Roman"/>
                <w:color w:val="auto"/>
              </w:rPr>
              <w:t>治理措施：</w:t>
            </w:r>
            <w:r>
              <w:rPr>
                <w:rFonts w:hint="default" w:ascii="Times New Roman" w:hAnsi="Times New Roman" w:cs="Times New Roman"/>
                <w:color w:val="auto"/>
                <w:lang w:val="en-US" w:eastAsia="zh-CN"/>
              </w:rPr>
              <w:t>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污水处理的可行性分析：生活污水一体化处理设施采用“格栅+缺氧池+好氧池+二沉池+消毒池”处理工艺，简称“A/O”工艺，其中二沉池污泥回流至缺氧池，完成反硝化脱氮，该处理工艺为成熟的生活污水处理工艺，且属于《农村生活污水处理技术规范》（DB65/T4346-2021）中“表2农村生活污水处理排放标准分级与推荐处理工艺对应表”建议处理工艺及推荐技术，故生活污水处理方式可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4.2.3洒水降尘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bCs/>
                <w:color w:val="auto"/>
                <w:lang w:val="en-US" w:eastAsia="zh-CN"/>
              </w:rPr>
            </w:pPr>
            <w:r>
              <w:rPr>
                <w:rFonts w:hint="default" w:ascii="Times New Roman" w:hAnsi="Times New Roman" w:cs="Times New Roman"/>
                <w:color w:val="auto"/>
              </w:rPr>
              <w:t>为减少</w:t>
            </w:r>
            <w:r>
              <w:rPr>
                <w:rFonts w:hint="eastAsia" w:ascii="Times New Roman" w:hAnsi="Times New Roman" w:cs="Times New Roman"/>
                <w:color w:val="auto"/>
                <w:lang w:val="en-US" w:eastAsia="zh-CN"/>
              </w:rPr>
              <w:t>临时堆场、运输道路、作业点</w:t>
            </w:r>
            <w:r>
              <w:rPr>
                <w:rFonts w:hint="default" w:ascii="Times New Roman" w:hAnsi="Times New Roman" w:cs="Times New Roman"/>
                <w:color w:val="auto"/>
              </w:rPr>
              <w:t>的扬尘，本环评提出采用洒水抑尘的方法控制扬尘。根据同类型报告，洒水用水量为</w:t>
            </w:r>
            <w:r>
              <w:rPr>
                <w:rFonts w:hint="eastAsia" w:cs="Times New Roman"/>
                <w:color w:val="auto"/>
                <w:lang w:val="en-US" w:eastAsia="zh-CN"/>
              </w:rPr>
              <w:t>0.5</w:t>
            </w:r>
            <w:r>
              <w:rPr>
                <w:rFonts w:hint="default" w:ascii="Times New Roman" w:hAnsi="Times New Roman" w:cs="Times New Roman"/>
                <w:color w:val="auto"/>
              </w:rPr>
              <w:t>m³/d，</w:t>
            </w:r>
            <w:r>
              <w:rPr>
                <w:rFonts w:hint="eastAsia" w:cs="Times New Roman"/>
                <w:color w:val="auto"/>
                <w:lang w:val="en-US" w:eastAsia="zh-CN"/>
              </w:rPr>
              <w:t>165</w:t>
            </w:r>
            <w:r>
              <w:rPr>
                <w:rFonts w:hint="default" w:ascii="Times New Roman" w:hAnsi="Times New Roman" w:cs="Times New Roman"/>
                <w:color w:val="auto"/>
              </w:rPr>
              <w:t>m³/a。此部分水全部蒸发损耗。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本项目用水一览表见下表。</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4.2-1</w:t>
            </w:r>
            <w:r>
              <w:rPr>
                <w:rFonts w:hint="default" w:cs="Times New Roman"/>
                <w:color w:val="auto"/>
              </w:rPr>
              <w:t xml:space="preserve">   </w:t>
            </w:r>
            <w:r>
              <w:rPr>
                <w:rFonts w:hint="eastAsia" w:cs="Times New Roman"/>
                <w:color w:val="auto"/>
              </w:rPr>
              <w:t>项目用水情况一览表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991"/>
              <w:gridCol w:w="1505"/>
              <w:gridCol w:w="28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33" w:hRule="atLeast"/>
              </w:trPr>
              <w:tc>
                <w:tcPr>
                  <w:tcW w:w="576"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序号</w:t>
                  </w:r>
                </w:p>
              </w:tc>
              <w:tc>
                <w:tcPr>
                  <w:tcW w:w="1797"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用水位置</w:t>
                  </w:r>
                </w:p>
              </w:tc>
              <w:tc>
                <w:tcPr>
                  <w:tcW w:w="904"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用水方式</w:t>
                  </w:r>
                </w:p>
              </w:tc>
              <w:tc>
                <w:tcPr>
                  <w:tcW w:w="1722"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76"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center"/>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1</w:t>
                  </w:r>
                </w:p>
              </w:tc>
              <w:tc>
                <w:tcPr>
                  <w:tcW w:w="1797"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color w:val="auto"/>
                      <w:lang w:val="en-US" w:eastAsia="zh-CN"/>
                    </w:rPr>
                    <w:t>工作人员</w:t>
                  </w:r>
                  <w:r>
                    <w:rPr>
                      <w:rFonts w:hint="default" w:ascii="Times New Roman" w:hAnsi="Times New Roman" w:cs="Times New Roman"/>
                      <w:color w:val="auto"/>
                    </w:rPr>
                    <w:t>生活</w:t>
                  </w:r>
                </w:p>
              </w:tc>
              <w:tc>
                <w:tcPr>
                  <w:tcW w:w="904"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rPr>
                    <w:t>生活</w:t>
                  </w:r>
                  <w:r>
                    <w:rPr>
                      <w:rFonts w:hint="eastAsia" w:ascii="Times New Roman" w:hAnsi="Times New Roman" w:cs="Times New Roman"/>
                      <w:color w:val="auto"/>
                      <w:lang w:val="en-US" w:eastAsia="zh-CN"/>
                    </w:rPr>
                    <w:t>用水</w:t>
                  </w:r>
                </w:p>
              </w:tc>
              <w:tc>
                <w:tcPr>
                  <w:tcW w:w="1722"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cs="Times New Roman"/>
                      <w:bCs/>
                      <w:color w:val="auto"/>
                      <w:lang w:val="en-US" w:eastAsia="zh-CN"/>
                    </w:rPr>
                    <w:t>0.35</w:t>
                  </w:r>
                  <w:r>
                    <w:rPr>
                      <w:rFonts w:hint="default" w:ascii="Times New Roman" w:hAnsi="Times New Roman" w:cs="Times New Roman"/>
                      <w:bCs/>
                      <w:color w:val="auto"/>
                    </w:rPr>
                    <w:t>m</w:t>
                  </w:r>
                  <w:r>
                    <w:rPr>
                      <w:rFonts w:hint="default" w:ascii="Times New Roman" w:hAnsi="Times New Roman" w:cs="Times New Roman"/>
                      <w:bCs/>
                      <w:color w:val="auto"/>
                      <w:vertAlign w:val="superscript"/>
                    </w:rPr>
                    <w:t>3</w:t>
                  </w:r>
                  <w:r>
                    <w:rPr>
                      <w:rFonts w:hint="default" w:ascii="Times New Roman" w:hAnsi="Times New Roman" w:cs="Times New Roman"/>
                      <w:bCs/>
                      <w:color w:val="auto"/>
                    </w:rPr>
                    <w:t>/d</w:t>
                  </w:r>
                  <w:r>
                    <w:rPr>
                      <w:rFonts w:hint="default" w:ascii="Times New Roman" w:hAnsi="Times New Roman" w:cs="Times New Roman"/>
                      <w:color w:val="auto"/>
                    </w:rPr>
                    <w:t>，</w:t>
                  </w:r>
                  <w:r>
                    <w:rPr>
                      <w:rFonts w:hint="eastAsia" w:cs="Times New Roman"/>
                      <w:color w:val="auto"/>
                      <w:lang w:val="en-US" w:eastAsia="zh-CN"/>
                    </w:rPr>
                    <w:t>115.5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43" w:hRule="atLeast"/>
              </w:trPr>
              <w:tc>
                <w:tcPr>
                  <w:tcW w:w="576"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1797"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运输道路</w:t>
                  </w:r>
                </w:p>
              </w:tc>
              <w:tc>
                <w:tcPr>
                  <w:tcW w:w="904"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color w:val="auto"/>
                      <w:lang w:val="en-US" w:eastAsia="zh-CN"/>
                    </w:rPr>
                    <w:t>洒水降尘</w:t>
                  </w:r>
                </w:p>
              </w:tc>
              <w:tc>
                <w:tcPr>
                  <w:tcW w:w="1722"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eastAsia" w:ascii="Times New Roman" w:hAnsi="Times New Roman" w:cs="Times New Roman"/>
                      <w:bCs/>
                      <w:color w:val="auto"/>
                      <w:lang w:val="en-US" w:eastAsia="zh-CN"/>
                    </w:rPr>
                  </w:pPr>
                  <w:r>
                    <w:rPr>
                      <w:rFonts w:hint="eastAsia" w:cs="Times New Roman"/>
                      <w:bCs/>
                      <w:color w:val="auto"/>
                      <w:lang w:val="en-US" w:eastAsia="zh-CN"/>
                    </w:rPr>
                    <w:t>0.5</w:t>
                  </w:r>
                  <w:r>
                    <w:rPr>
                      <w:rFonts w:hint="default" w:ascii="Times New Roman" w:hAnsi="Times New Roman" w:cs="Times New Roman"/>
                      <w:bCs/>
                      <w:color w:val="auto"/>
                    </w:rPr>
                    <w:t>m</w:t>
                  </w:r>
                  <w:r>
                    <w:rPr>
                      <w:rFonts w:hint="default" w:ascii="Times New Roman" w:hAnsi="Times New Roman" w:cs="Times New Roman"/>
                      <w:bCs/>
                      <w:color w:val="auto"/>
                      <w:vertAlign w:val="superscript"/>
                    </w:rPr>
                    <w:t>3</w:t>
                  </w:r>
                  <w:r>
                    <w:rPr>
                      <w:rFonts w:hint="default" w:ascii="Times New Roman" w:hAnsi="Times New Roman" w:cs="Times New Roman"/>
                      <w:bCs/>
                      <w:color w:val="auto"/>
                    </w:rPr>
                    <w:t>/d</w:t>
                  </w:r>
                  <w:r>
                    <w:rPr>
                      <w:rFonts w:hint="default" w:ascii="Times New Roman" w:hAnsi="Times New Roman" w:cs="Times New Roman"/>
                      <w:color w:val="auto"/>
                    </w:rPr>
                    <w:t>，</w:t>
                  </w:r>
                  <w:r>
                    <w:rPr>
                      <w:rFonts w:hint="eastAsia" w:cs="Times New Roman"/>
                      <w:color w:val="auto"/>
                      <w:lang w:val="en-US" w:eastAsia="zh-CN"/>
                    </w:rPr>
                    <w:t>165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项目水平衡见图</w:t>
            </w:r>
            <w:r>
              <w:rPr>
                <w:rFonts w:hint="eastAsia" w:ascii="Times New Roman" w:hAnsi="Times New Roman" w:eastAsia="宋体" w:cs="Times New Roman"/>
                <w:color w:val="auto"/>
                <w:lang w:val="en-US" w:eastAsia="zh-CN"/>
              </w:rPr>
              <w:t>4.2-1</w:t>
            </w:r>
            <w:r>
              <w:rPr>
                <w:rFonts w:hint="eastAsia" w:ascii="Times New Roman" w:hAnsi="Times New Roman" w:eastAsia="宋体" w:cs="Times New Roman"/>
                <w:color w:val="auto"/>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rPr>
            </w:pPr>
            <w:r>
              <w:rPr>
                <w:rFonts w:hint="default" w:ascii="Times New Roman" w:hAnsi="Times New Roman" w:cs="Times New Roman"/>
                <w:b/>
                <w:color w:val="auto"/>
              </w:rPr>
              <w:object>
                <v:shape id="_x0000_i1025" o:spt="75" type="#_x0000_t75" style="height:126pt;width:370.5pt;" o:ole="t" filled="f" o:preferrelative="t" stroked="t" coordsize="21600,21600">
                  <v:path/>
                  <v:fill on="f" focussize="0,0"/>
                  <v:stroke color="#000000" joinstyle="miter"/>
                  <v:imagedata r:id="rId15" o:title=""/>
                  <o:lock v:ext="edit" aspectratio="f"/>
                  <w10:wrap type="none"/>
                  <w10:anchorlock/>
                </v:shape>
                <o:OLEObject Type="Embed" ProgID="Visio.Drawing.15" ShapeID="_x0000_i1025" DrawAspect="Content" ObjectID="_1468075725" r:id="rId14">
                  <o:LockedField>false</o:LockedField>
                </o:OLEObject>
              </w:objec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lang w:eastAsia="zh-CN"/>
              </w:rPr>
            </w:pPr>
            <w:r>
              <w:rPr>
                <w:rFonts w:hint="eastAsia" w:ascii="Times New Roman" w:hAnsi="Times New Roman" w:cs="Times New Roman"/>
                <w:b/>
                <w:bCs/>
                <w:color w:val="auto"/>
                <w:sz w:val="21"/>
                <w:szCs w:val="21"/>
              </w:rPr>
              <w:t>图</w:t>
            </w:r>
            <w:r>
              <w:rPr>
                <w:rFonts w:hint="eastAsia" w:ascii="Times New Roman" w:hAnsi="Times New Roman" w:cs="Times New Roman"/>
                <w:b/>
                <w:bCs/>
                <w:color w:val="auto"/>
                <w:sz w:val="21"/>
                <w:szCs w:val="21"/>
                <w:lang w:val="en-US" w:eastAsia="zh-CN"/>
              </w:rPr>
              <w:t>4.2-1</w:t>
            </w:r>
            <w:r>
              <w:rPr>
                <w:rFonts w:hint="default" w:ascii="Times New Roman" w:hAnsi="Times New Roman" w:cs="Times New Roman"/>
                <w:b/>
                <w:bCs/>
                <w:color w:val="auto"/>
                <w:sz w:val="21"/>
                <w:szCs w:val="21"/>
              </w:rPr>
              <w:t xml:space="preserve">   </w:t>
            </w:r>
            <w:r>
              <w:rPr>
                <w:rFonts w:hint="eastAsia" w:ascii="Times New Roman" w:hAnsi="Times New Roman" w:cs="Times New Roman"/>
                <w:b/>
                <w:bCs/>
                <w:color w:val="auto"/>
                <w:sz w:val="21"/>
                <w:szCs w:val="21"/>
              </w:rPr>
              <w:t>本项目水平衡图</w:t>
            </w:r>
            <w:r>
              <w:rPr>
                <w:rFonts w:hint="eastAsia" w:cs="Times New Roman"/>
                <w:b/>
                <w:bCs/>
                <w:color w:val="auto"/>
                <w:sz w:val="21"/>
                <w:szCs w:val="21"/>
                <w:lang w:val="en-US" w:eastAsia="zh-CN"/>
              </w:rPr>
              <w:t xml:space="preserve">  </w:t>
            </w:r>
            <w:r>
              <w:rPr>
                <w:rFonts w:hint="eastAsia" w:ascii="Times New Roman" w:hAnsi="Times New Roman" w:cs="Times New Roman"/>
                <w:b/>
                <w:bCs/>
                <w:color w:val="auto"/>
                <w:sz w:val="21"/>
                <w:szCs w:val="21"/>
              </w:rPr>
              <w:t>单位：m</w:t>
            </w:r>
            <w:r>
              <w:rPr>
                <w:rFonts w:hint="eastAsia" w:ascii="Times New Roman" w:hAnsi="Times New Roman" w:cs="Times New Roman"/>
                <w:b/>
                <w:bCs/>
                <w:color w:val="auto"/>
                <w:sz w:val="21"/>
                <w:szCs w:val="21"/>
                <w:vertAlign w:val="superscript"/>
              </w:rPr>
              <w:t>3</w:t>
            </w:r>
            <w:r>
              <w:rPr>
                <w:rFonts w:hint="eastAsia" w:ascii="Times New Roman" w:hAnsi="Times New Roman" w:cs="Times New Roman"/>
                <w:b/>
                <w:bCs/>
                <w:color w:val="auto"/>
                <w:sz w:val="21"/>
                <w:szCs w:val="21"/>
              </w:rPr>
              <w:t>/</w:t>
            </w:r>
            <w:r>
              <w:rPr>
                <w:rFonts w:hint="eastAsia" w:ascii="Times New Roman" w:hAnsi="Times New Roman" w:cs="Times New Roman"/>
                <w:b/>
                <w:bCs/>
                <w:color w:val="auto"/>
                <w:sz w:val="21"/>
                <w:szCs w:val="21"/>
                <w:lang w:val="en-US" w:eastAsia="zh-CN"/>
              </w:rPr>
              <w:t>a</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因此，本项目施工期间废水产生量较</w:t>
            </w:r>
            <w:r>
              <w:rPr>
                <w:rFonts w:hint="eastAsia" w:ascii="Times New Roman" w:hAnsi="Times New Roman" w:cs="Times New Roman"/>
                <w:color w:val="auto"/>
                <w:lang w:val="en-US" w:eastAsia="zh-CN"/>
              </w:rPr>
              <w:t>少</w:t>
            </w:r>
            <w:r>
              <w:rPr>
                <w:rFonts w:hint="eastAsia" w:ascii="Times New Roman" w:hAnsi="Times New Roman" w:cs="Times New Roman"/>
                <w:color w:val="auto"/>
              </w:rPr>
              <w:t>，水质较为简单，采取上述措施后施工期间产生的废水能够全部做到综合利用不外排。本次评价认为，项目施工期基本不对周边地表水环境产生污染影响。</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4.3</w:t>
            </w:r>
            <w:r>
              <w:rPr>
                <w:rFonts w:hint="eastAsia"/>
                <w:color w:val="auto"/>
              </w:rPr>
              <w:t>施工期噪声影响分析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color w:val="auto"/>
                <w:lang w:eastAsia="zh-CN"/>
              </w:rPr>
            </w:pPr>
            <w:r>
              <w:rPr>
                <w:rFonts w:hint="default" w:ascii="Times New Roman" w:hAnsi="Times New Roman" w:cs="Times New Roman"/>
                <w:color w:val="auto"/>
              </w:rPr>
              <w:t>本项目噪声来源包括运输车辆噪</w:t>
            </w:r>
            <w:r>
              <w:rPr>
                <w:rFonts w:hint="eastAsia" w:cs="Times New Roman"/>
                <w:color w:val="auto"/>
                <w:lang w:eastAsia="zh-CN"/>
              </w:rPr>
              <w:t>声和</w:t>
            </w:r>
            <w:r>
              <w:rPr>
                <w:rFonts w:hint="default" w:ascii="Times New Roman" w:hAnsi="Times New Roman" w:cs="Times New Roman"/>
                <w:color w:val="auto"/>
              </w:rPr>
              <w:t>机械噪声</w:t>
            </w:r>
            <w:r>
              <w:rPr>
                <w:rFonts w:hint="eastAsia" w:ascii="Times New Roman" w:hAnsi="Times New Roman" w:cs="Times New Roman"/>
                <w:color w:val="auto"/>
              </w:rPr>
              <w:t>。</w:t>
            </w:r>
            <w:r>
              <w:rPr>
                <w:rFonts w:hint="default" w:ascii="Times New Roman" w:hAnsi="Times New Roman" w:cs="Times New Roman"/>
                <w:color w:val="auto"/>
              </w:rPr>
              <w:t>噪声源强约</w:t>
            </w:r>
            <w:r>
              <w:rPr>
                <w:rFonts w:hint="eastAsia" w:ascii="Times New Roman" w:hAnsi="Times New Roman" w:cs="Times New Roman"/>
                <w:color w:val="auto"/>
              </w:rPr>
              <w:t>8</w:t>
            </w:r>
            <w:r>
              <w:rPr>
                <w:rFonts w:hint="eastAsia" w:ascii="Times New Roman" w:hAnsi="Times New Roman" w:cs="Times New Roman"/>
                <w:color w:val="auto"/>
                <w:lang w:val="en-US" w:eastAsia="zh-CN"/>
              </w:rPr>
              <w:t>0</w:t>
            </w:r>
            <w:r>
              <w:rPr>
                <w:rFonts w:hint="default" w:ascii="Times New Roman" w:hAnsi="Times New Roman" w:cs="Times New Roman"/>
                <w:color w:val="auto"/>
              </w:rPr>
              <w:t>dB</w:t>
            </w:r>
            <w:r>
              <w:rPr>
                <w:rFonts w:hint="eastAsia" w:ascii="Times New Roman" w:hAnsi="Times New Roman" w:cs="Times New Roman"/>
                <w:color w:val="auto"/>
                <w:lang w:eastAsia="zh-CN"/>
              </w:rPr>
              <w:t>（</w:t>
            </w:r>
            <w:r>
              <w:rPr>
                <w:rFonts w:hint="default"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w:t>
            </w:r>
            <w:r>
              <w:rPr>
                <w:rFonts w:hint="default" w:ascii="Times New Roman" w:hAnsi="Times New Roman" w:cs="Times New Roman"/>
                <w:color w:val="auto"/>
              </w:rPr>
              <w:t>根据类比调查，主要噪声源及声级详见表</w:t>
            </w:r>
            <w:r>
              <w:rPr>
                <w:rFonts w:hint="eastAsia" w:ascii="Times New Roman" w:hAnsi="Times New Roman" w:cs="Times New Roman"/>
                <w:color w:val="auto"/>
                <w:lang w:val="en-US" w:eastAsia="zh-CN"/>
              </w:rPr>
              <w:t>4.3-1</w:t>
            </w:r>
            <w:r>
              <w:rPr>
                <w:rFonts w:hint="eastAsia" w:ascii="Times New Roman" w:hAnsi="Times New Roman" w:cs="Times New Roman"/>
                <w:b/>
                <w:color w:val="auto"/>
                <w:lang w:eastAsia="zh-CN"/>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4.3-1</w:t>
            </w:r>
            <w:r>
              <w:rPr>
                <w:rFonts w:hint="default" w:cs="Times New Roman"/>
                <w:color w:val="auto"/>
              </w:rPr>
              <w:t xml:space="preserve">  </w:t>
            </w:r>
            <w:r>
              <w:rPr>
                <w:rFonts w:hint="eastAsia" w:cs="Times New Roman"/>
                <w:color w:val="auto"/>
              </w:rPr>
              <w:t xml:space="preserve"> 主要噪声源及声级一览表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0"/>
              <w:gridCol w:w="2697"/>
              <w:gridCol w:w="1332"/>
              <w:gridCol w:w="20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408"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913"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声源名称</w:t>
                  </w:r>
                </w:p>
              </w:tc>
              <w:tc>
                <w:tcPr>
                  <w:tcW w:w="1620"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噪声级dB</w:t>
                  </w:r>
                  <w:r>
                    <w:rPr>
                      <w:rFonts w:hint="eastAsia" w:ascii="Times New Roman" w:hAnsi="Times New Roman" w:cs="Times New Roman"/>
                      <w:color w:val="auto"/>
                      <w:lang w:eastAsia="zh-CN"/>
                    </w:rPr>
                    <w:t>（</w:t>
                  </w:r>
                  <w:r>
                    <w:rPr>
                      <w:rFonts w:hint="default" w:ascii="Times New Roman" w:hAnsi="Times New Roman" w:cs="Times New Roman"/>
                      <w:color w:val="auto"/>
                    </w:rPr>
                    <w:t>A</w:t>
                  </w:r>
                  <w:r>
                    <w:rPr>
                      <w:rFonts w:hint="eastAsia" w:ascii="Times New Roman" w:hAnsi="Times New Roman" w:cs="Times New Roman"/>
                      <w:color w:val="auto"/>
                      <w:lang w:eastAsia="zh-CN"/>
                    </w:rPr>
                    <w:t>）</w:t>
                  </w:r>
                </w:p>
              </w:tc>
              <w:tc>
                <w:tcPr>
                  <w:tcW w:w="800"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距声源</w:t>
                  </w:r>
                </w:p>
              </w:tc>
              <w:tc>
                <w:tcPr>
                  <w:tcW w:w="1257"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408"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val="en-US" w:eastAsia="zh-CN"/>
                    </w:rPr>
                  </w:pPr>
                  <w:r>
                    <w:rPr>
                      <w:rFonts w:hint="eastAsia" w:cs="Times New Roman"/>
                      <w:color w:val="auto"/>
                      <w:lang w:val="en-US" w:eastAsia="zh-CN"/>
                    </w:rPr>
                    <w:t>1</w:t>
                  </w:r>
                </w:p>
              </w:tc>
              <w:tc>
                <w:tcPr>
                  <w:tcW w:w="913"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cs="Times New Roman"/>
                      <w:color w:val="auto"/>
                      <w:lang w:val="en-US" w:eastAsia="zh-CN"/>
                    </w:rPr>
                    <w:t>越野车</w:t>
                  </w:r>
                </w:p>
              </w:tc>
              <w:tc>
                <w:tcPr>
                  <w:tcW w:w="1620"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w:t>
                  </w:r>
                </w:p>
              </w:tc>
              <w:tc>
                <w:tcPr>
                  <w:tcW w:w="800"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5</w:t>
                  </w:r>
                  <w:r>
                    <w:rPr>
                      <w:rFonts w:hint="default" w:ascii="Times New Roman" w:hAnsi="Times New Roman" w:cs="Times New Roman"/>
                      <w:color w:val="auto"/>
                    </w:rPr>
                    <w:t>m</w:t>
                  </w:r>
                </w:p>
              </w:tc>
              <w:tc>
                <w:tcPr>
                  <w:tcW w:w="1257" w:type="pct"/>
                  <w:tcBorders>
                    <w:tl2br w:val="nil"/>
                    <w:tr2bl w:val="nil"/>
                  </w:tcBorders>
                  <w:noWrap w:val="0"/>
                  <w:vAlign w:val="center"/>
                </w:tcPr>
                <w:p>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lang w:val="en-US" w:eastAsia="zh-CN"/>
                    </w:rPr>
                    <w:t>/</w:t>
                  </w: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防治措施：合理布设施工场地，使用低噪声设备，加强</w:t>
            </w:r>
            <w:r>
              <w:rPr>
                <w:rFonts w:hint="eastAsia" w:ascii="Times New Roman" w:hAnsi="Times New Roman" w:cs="Times New Roman"/>
                <w:color w:val="auto"/>
                <w:lang w:val="en-US" w:eastAsia="zh-CN"/>
              </w:rPr>
              <w:t>设备</w:t>
            </w:r>
            <w:r>
              <w:rPr>
                <w:rFonts w:hint="eastAsia" w:ascii="Times New Roman" w:hAnsi="Times New Roman" w:cs="Times New Roman"/>
                <w:color w:val="auto"/>
              </w:rPr>
              <w:t>的维护保养工作，保持其良好工况，夜间禁止施工。而且要对连续接触高噪声源的操作人员，采取相应防护措施。</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4.4</w:t>
            </w:r>
            <w:r>
              <w:rPr>
                <w:rFonts w:hint="eastAsia"/>
                <w:color w:val="auto"/>
              </w:rPr>
              <w:t>施工期固体废弃物</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本项目固体废物主要为</w:t>
            </w:r>
            <w:r>
              <w:rPr>
                <w:rFonts w:hint="default" w:ascii="Times New Roman" w:hAnsi="Times New Roman" w:eastAsia="宋体" w:cs="Times New Roman"/>
                <w:color w:val="auto"/>
                <w:lang w:val="en-US" w:eastAsia="zh-CN"/>
              </w:rPr>
              <w:t>生活污水一体化处理设施底泥</w:t>
            </w:r>
            <w:r>
              <w:rPr>
                <w:rFonts w:hint="eastAsia" w:ascii="Times New Roman" w:hAnsi="Times New Roman" w:cs="Times New Roman"/>
                <w:color w:val="auto"/>
              </w:rPr>
              <w:t>及施工人员产生的生活垃圾。</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b w:val="0"/>
                <w:bCs w:val="0"/>
                <w:color w:val="auto"/>
                <w:lang w:eastAsia="zh-CN"/>
              </w:rPr>
              <w:t>（</w:t>
            </w:r>
            <w:r>
              <w:rPr>
                <w:rFonts w:hint="eastAsia"/>
                <w:b w:val="0"/>
                <w:bCs w:val="0"/>
                <w:color w:val="auto"/>
                <w:lang w:val="en-US" w:eastAsia="zh-CN"/>
              </w:rPr>
              <w:t>1</w:t>
            </w:r>
            <w:r>
              <w:rPr>
                <w:rFonts w:hint="eastAsia"/>
                <w:b w:val="0"/>
                <w:bCs w:val="0"/>
                <w:color w:val="auto"/>
                <w:lang w:eastAsia="zh-CN"/>
              </w:rPr>
              <w:t>）</w:t>
            </w:r>
            <w:r>
              <w:rPr>
                <w:rFonts w:hint="eastAsia"/>
                <w:b w:val="0"/>
                <w:bCs w:val="0"/>
                <w:color w:val="auto"/>
                <w:lang w:val="en-US" w:eastAsia="zh-CN"/>
              </w:rPr>
              <w:t>一般工业固体废物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①</w:t>
            </w:r>
            <w:r>
              <w:rPr>
                <w:rFonts w:hint="default" w:ascii="Times New Roman" w:hAnsi="Times New Roman" w:eastAsia="宋体" w:cs="Times New Roman"/>
                <w:color w:val="auto"/>
                <w:lang w:val="en-US" w:eastAsia="zh-CN"/>
              </w:rPr>
              <w:t>生活污水一体化处理设施底泥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定期清掏，用于周边植被施肥。</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val="en-US" w:eastAsia="zh-CN"/>
              </w:rPr>
              <w:t>（2）生活垃圾</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eastAsia="宋体" w:cs="Times New Roman"/>
                <w:color w:val="auto"/>
              </w:rPr>
              <w:t>生活垃圾来自探矿人员日常生活，以纸张、塑料瓶为主。本项目野外探矿作业人员为</w:t>
            </w:r>
            <w:r>
              <w:rPr>
                <w:rFonts w:hint="eastAsia" w:cs="Times New Roman"/>
                <w:color w:val="auto"/>
                <w:lang w:val="en-US" w:eastAsia="zh-CN"/>
              </w:rPr>
              <w:t>7</w:t>
            </w:r>
            <w:r>
              <w:rPr>
                <w:rFonts w:hint="eastAsia" w:ascii="Times New Roman" w:hAnsi="Times New Roman" w:eastAsia="宋体" w:cs="Times New Roman"/>
                <w:color w:val="auto"/>
              </w:rPr>
              <w:t>人，按每人每天产生0.35kg生活垃圾计算，则生活垃圾产生量为</w:t>
            </w:r>
            <w:r>
              <w:rPr>
                <w:rFonts w:hint="eastAsia" w:cs="Times New Roman"/>
                <w:color w:val="auto"/>
                <w:lang w:val="en-US" w:eastAsia="zh-CN"/>
              </w:rPr>
              <w:t>2.45</w:t>
            </w:r>
            <w:r>
              <w:rPr>
                <w:rFonts w:hint="eastAsia" w:ascii="Times New Roman" w:hAnsi="Times New Roman" w:eastAsia="宋体" w:cs="Times New Roman"/>
                <w:color w:val="auto"/>
              </w:rPr>
              <w:t>kg/d，整个探矿期生活垃圾产生量约为</w:t>
            </w:r>
            <w:r>
              <w:rPr>
                <w:rFonts w:hint="eastAsia" w:cs="Times New Roman"/>
                <w:color w:val="auto"/>
                <w:lang w:val="en-US" w:eastAsia="zh-CN"/>
              </w:rPr>
              <w:t>0.81</w:t>
            </w:r>
            <w:r>
              <w:rPr>
                <w:rFonts w:hint="eastAsia" w:ascii="Times New Roman" w:hAnsi="Times New Roman" w:eastAsia="宋体" w:cs="Times New Roman"/>
                <w:color w:val="auto"/>
              </w:rPr>
              <w:t>t</w:t>
            </w:r>
            <w:r>
              <w:rPr>
                <w:rFonts w:hint="eastAsia" w:ascii="Times New Roman" w:hAnsi="Times New Roman" w:eastAsia="宋体" w:cs="Times New Roman"/>
                <w:color w:val="auto"/>
                <w:lang w:val="en-US" w:eastAsia="zh-CN"/>
              </w:rPr>
              <w:t>/a</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生活垃圾采用垃圾袋集中收集后定期清运至最近垃圾收集点。</w:t>
            </w:r>
            <w:r>
              <w:rPr>
                <w:rFonts w:hint="eastAsia" w:ascii="Times New Roman" w:hAnsi="Times New Roman" w:eastAsia="宋体" w:cs="Times New Roman"/>
                <w:color w:val="auto"/>
              </w:rPr>
              <w:t>工作人员严禁将生活垃圾遗弃在矿区内。</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w:t>
            </w:r>
            <w:r>
              <w:rPr>
                <w:rFonts w:hint="eastAsia"/>
                <w:color w:val="auto"/>
              </w:rPr>
              <w:t>施工期生态环境影响分析</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4.5.1</w:t>
            </w:r>
            <w:r>
              <w:rPr>
                <w:rFonts w:hint="default"/>
                <w:color w:val="auto"/>
              </w:rPr>
              <w:t>对土壤及土地利用的影响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宋体" w:hAnsi="宋体" w:cs="宋体"/>
                <w:color w:val="auto"/>
              </w:rPr>
            </w:pPr>
            <w:r>
              <w:rPr>
                <w:rFonts w:hint="default" w:ascii="Times New Roman" w:hAnsi="Times New Roman" w:cs="Times New Roman"/>
                <w:color w:val="auto"/>
              </w:rPr>
              <w:t>本项目占地性质属于临时占地</w:t>
            </w:r>
            <w:r>
              <w:rPr>
                <w:rFonts w:hint="eastAsia" w:ascii="Times New Roman" w:hAnsi="Times New Roman" w:cs="Times New Roman"/>
                <w:color w:val="auto"/>
                <w:lang w:eastAsia="zh-CN"/>
              </w:rPr>
              <w:t>。</w:t>
            </w:r>
            <w:r>
              <w:rPr>
                <w:rFonts w:hint="default" w:ascii="宋体" w:hAnsi="宋体" w:cs="宋体"/>
                <w:color w:val="auto"/>
              </w:rPr>
              <w:t>工程占地点状分布，面积较小，探矿结束后进行土地平整后，对区域土地利用影响较小。</w:t>
            </w:r>
            <w:r>
              <w:rPr>
                <w:rFonts w:hint="eastAsia" w:ascii="Times New Roman" w:hAnsi="Times New Roman" w:cs="Times New Roman"/>
                <w:color w:val="auto"/>
              </w:rPr>
              <w:t>建设期工程对土壤的影响主要表现为对土壤理化性质、土壤肥力的影响和土壤污染三个方面</w:t>
            </w:r>
            <w:r>
              <w:rPr>
                <w:rFonts w:hint="default" w:ascii="宋体" w:hAnsi="宋体" w:cs="宋体"/>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①土壤理化性质影响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施工过程中，材料堆放、人工</w:t>
            </w:r>
            <w:r>
              <w:rPr>
                <w:rFonts w:hint="eastAsia" w:ascii="Times New Roman" w:hAnsi="Times New Roman" w:cs="Times New Roman"/>
                <w:color w:val="auto"/>
                <w:lang w:eastAsia="zh-CN"/>
              </w:rPr>
              <w:t>踩踏</w:t>
            </w:r>
            <w:r>
              <w:rPr>
                <w:rFonts w:hint="eastAsia" w:ascii="Times New Roman" w:hAnsi="Times New Roman" w:cs="Times New Roman"/>
                <w:color w:val="auto"/>
              </w:rPr>
              <w:t>、机械设备碾压等活动对土壤理化性质影响较大。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扰乱土壤表层，破坏土壤结构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土壤表层肥力集中、腐殖质含量高、水分相对优越，土壤表层土层松软，团粒结构发达。地表</w:t>
            </w:r>
            <w:r>
              <w:rPr>
                <w:rFonts w:hint="eastAsia" w:cs="Times New Roman"/>
                <w:color w:val="auto"/>
                <w:lang w:val="en-US" w:eastAsia="zh-CN"/>
              </w:rPr>
              <w:t>扰动</w:t>
            </w:r>
            <w:r>
              <w:rPr>
                <w:rFonts w:hint="eastAsia" w:ascii="Times New Roman" w:hAnsi="Times New Roman" w:cs="Times New Roman"/>
                <w:color w:val="auto"/>
              </w:rPr>
              <w:t>必定扰乱和破坏土壤表层，</w:t>
            </w:r>
            <w:r>
              <w:rPr>
                <w:rFonts w:hint="eastAsia" w:cs="Times New Roman"/>
                <w:color w:val="auto"/>
                <w:lang w:val="en-US" w:eastAsia="zh-CN"/>
              </w:rPr>
              <w:t>被</w:t>
            </w:r>
            <w:r>
              <w:rPr>
                <w:rFonts w:hint="eastAsia" w:ascii="Times New Roman" w:hAnsi="Times New Roman" w:cs="Times New Roman"/>
                <w:color w:val="auto"/>
              </w:rPr>
              <w:t>压</w:t>
            </w:r>
            <w:r>
              <w:rPr>
                <w:rFonts w:hint="eastAsia" w:cs="Times New Roman"/>
                <w:color w:val="auto"/>
                <w:lang w:val="en-US" w:eastAsia="zh-CN"/>
              </w:rPr>
              <w:t>占</w:t>
            </w:r>
            <w:r>
              <w:rPr>
                <w:rFonts w:hint="eastAsia" w:ascii="Times New Roman" w:hAnsi="Times New Roman" w:cs="Times New Roman"/>
                <w:color w:val="auto"/>
              </w:rPr>
              <w:t>附近的土地，破坏土壤表层及其结构。由于表层的团粒结构是经过较长的历史时期形成的，一旦遭到破坏，短期内难以恢复。因此，施工过程中，对土壤表层的影响最为严重。</w:t>
            </w:r>
          </w:p>
          <w:p>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B</w:t>
            </w:r>
            <w:r>
              <w:rPr>
                <w:rFonts w:hint="eastAsia" w:ascii="Times New Roman" w:hAnsi="Times New Roman" w:cs="Times New Roman"/>
                <w:color w:val="auto"/>
                <w:lang w:eastAsia="zh-CN"/>
              </w:rPr>
              <w:t>.</w:t>
            </w:r>
            <w:r>
              <w:rPr>
                <w:rFonts w:hint="eastAsia" w:ascii="Times New Roman" w:hAnsi="Times New Roman" w:cs="Times New Roman"/>
                <w:color w:val="auto"/>
              </w:rPr>
              <w:t>混合土壤层次，改变土体构型</w:t>
            </w:r>
          </w:p>
          <w:p>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施工期的土石方开挖与回填，使原土壤层次混合，原土体构型破坏。土体构型的破坏，将改变土体中物质和能量的运动变化规律，使表层通气透水性变差，使亚表层保水、保肥性能降低。</w:t>
            </w:r>
          </w:p>
          <w:p>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C</w:t>
            </w:r>
            <w:r>
              <w:rPr>
                <w:rFonts w:hint="eastAsia" w:ascii="Times New Roman" w:hAnsi="Times New Roman" w:cs="Times New Roman"/>
                <w:color w:val="auto"/>
                <w:lang w:eastAsia="zh-CN"/>
              </w:rPr>
              <w:t>.</w:t>
            </w:r>
            <w:r>
              <w:rPr>
                <w:rFonts w:hint="eastAsia" w:ascii="Times New Roman" w:hAnsi="Times New Roman" w:cs="Times New Roman"/>
                <w:color w:val="auto"/>
              </w:rPr>
              <w:t>影响土壤紧实度</w:t>
            </w:r>
          </w:p>
          <w:p>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施工机械碾压，尤其在坡度较大的地段，将大大改变土壤的紧实程度，与原有的上松下紧结构相比，极不利于土壤的通气、透水作用，甚至导致压实地段的地表寸草不生，形成局部人工荒漠化现象。</w:t>
            </w:r>
          </w:p>
          <w:p>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②土壤肥力影响</w:t>
            </w:r>
          </w:p>
          <w:p>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土壤中的有机质、氮、磷、钾等养分含量，均表现为表土层远高于心土层；施工期土石方的开挖与回填，将扰动甚至打乱原土体构型，使土壤肥力状况受到较大的影响。据资料统计，即使在实行分层堆放、分层回填措施下，土壤的有机质也将下降</w:t>
            </w:r>
            <w:r>
              <w:rPr>
                <w:rFonts w:hint="eastAsia" w:ascii="Times New Roman" w:hAnsi="Times New Roman" w:cs="Times New Roman"/>
                <w:color w:val="auto"/>
                <w:lang w:eastAsia="zh-CN"/>
              </w:rPr>
              <w:t>36.2%～46.5%</w:t>
            </w:r>
            <w:r>
              <w:rPr>
                <w:rFonts w:hint="eastAsia" w:ascii="Times New Roman" w:hAnsi="Times New Roman" w:cs="Times New Roman"/>
                <w:color w:val="auto"/>
              </w:rPr>
              <w:t>左右，氮下降</w:t>
            </w:r>
            <w:r>
              <w:rPr>
                <w:rFonts w:hint="eastAsia" w:ascii="Times New Roman" w:hAnsi="Times New Roman" w:cs="Times New Roman"/>
                <w:color w:val="auto"/>
                <w:lang w:eastAsia="zh-CN"/>
              </w:rPr>
              <w:t>27%～50.6%</w:t>
            </w:r>
            <w:r>
              <w:rPr>
                <w:rFonts w:hint="eastAsia" w:ascii="Times New Roman" w:hAnsi="Times New Roman" w:cs="Times New Roman"/>
                <w:color w:val="auto"/>
              </w:rPr>
              <w:t>，磷下降</w:t>
            </w:r>
            <w:r>
              <w:rPr>
                <w:rFonts w:hint="eastAsia" w:ascii="Times New Roman" w:hAnsi="Times New Roman" w:cs="Times New Roman"/>
                <w:color w:val="auto"/>
                <w:lang w:eastAsia="zh-CN"/>
              </w:rPr>
              <w:t>13.9%～46.0%</w:t>
            </w:r>
            <w:r>
              <w:rPr>
                <w:rFonts w:hint="eastAsia" w:ascii="Times New Roman" w:hAnsi="Times New Roman" w:cs="Times New Roman"/>
                <w:color w:val="auto"/>
              </w:rPr>
              <w:t>，钾下降</w:t>
            </w:r>
            <w:r>
              <w:rPr>
                <w:rFonts w:hint="eastAsia" w:ascii="Times New Roman" w:hAnsi="Times New Roman" w:cs="Times New Roman"/>
                <w:color w:val="auto"/>
                <w:lang w:eastAsia="zh-CN"/>
              </w:rPr>
              <w:t>9.1%～32.5%</w:t>
            </w:r>
            <w:r>
              <w:rPr>
                <w:rFonts w:hint="eastAsia" w:ascii="Times New Roman" w:hAnsi="Times New Roman" w:cs="Times New Roman"/>
                <w:color w:val="auto"/>
              </w:rPr>
              <w:t>。因此评价要求在土石方开挖、回填过程中，必须严格对表层土实行分层堆放和分层回填，最大限度</w:t>
            </w:r>
            <w:r>
              <w:rPr>
                <w:rFonts w:hint="eastAsia" w:ascii="Times New Roman" w:hAnsi="Times New Roman" w:cs="Times New Roman"/>
                <w:color w:val="auto"/>
                <w:lang w:eastAsia="zh-CN"/>
              </w:rPr>
              <w:t>地</w:t>
            </w:r>
            <w:r>
              <w:rPr>
                <w:rFonts w:hint="eastAsia" w:ascii="Times New Roman" w:hAnsi="Times New Roman" w:cs="Times New Roman"/>
                <w:color w:val="auto"/>
              </w:rPr>
              <w:t>减小对土壤肥力的影响。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③土壤污染影响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施工过程中将产生建筑施工垃圾、生活垃圾和污水，若不集中收集妥善处置，难以生物降解的固体废物残留于土壤中，将污染土壤表层。评价要求施工时必须对固体废物实施管理措施，进行统一回收和处置。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总体而言，本工程所在区域土地开发强度较</w:t>
            </w:r>
            <w:r>
              <w:rPr>
                <w:rFonts w:hint="eastAsia" w:ascii="Times New Roman" w:hAnsi="Times New Roman" w:cs="Times New Roman"/>
                <w:color w:val="auto"/>
              </w:rPr>
              <w:t>小</w:t>
            </w:r>
            <w:r>
              <w:rPr>
                <w:rFonts w:hint="default" w:ascii="Times New Roman" w:hAnsi="Times New Roman" w:cs="Times New Roman"/>
                <w:color w:val="auto"/>
              </w:rPr>
              <w:t>，项目占用土地量相对</w:t>
            </w:r>
            <w:r>
              <w:rPr>
                <w:rFonts w:hint="eastAsia" w:ascii="Times New Roman" w:hAnsi="Times New Roman" w:cs="Times New Roman"/>
                <w:color w:val="auto"/>
              </w:rPr>
              <w:t>较小</w:t>
            </w:r>
            <w:r>
              <w:rPr>
                <w:rFonts w:hint="default" w:ascii="Times New Roman" w:hAnsi="Times New Roman" w:cs="Times New Roman"/>
                <w:color w:val="auto"/>
              </w:rPr>
              <w:t>，对土地利用的影响较小。</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szCs w:val="24"/>
              </w:rPr>
            </w:pPr>
            <w:r>
              <w:rPr>
                <w:rFonts w:hint="eastAsia"/>
                <w:color w:val="auto"/>
                <w:lang w:val="en-US" w:eastAsia="zh-CN"/>
              </w:rPr>
              <w:t>4.5.2</w:t>
            </w:r>
            <w:r>
              <w:rPr>
                <w:rFonts w:hint="default"/>
                <w:color w:val="auto"/>
              </w:rPr>
              <w:t>对植被与动物</w:t>
            </w:r>
            <w:r>
              <w:rPr>
                <w:rFonts w:hint="default"/>
                <w:color w:val="auto"/>
                <w:szCs w:val="24"/>
              </w:rPr>
              <w:t>的影响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项目所在区域为</w:t>
            </w:r>
            <w:r>
              <w:rPr>
                <w:rFonts w:hint="eastAsia" w:ascii="Times New Roman" w:hAnsi="Times New Roman" w:cs="Times New Roman"/>
                <w:color w:val="auto"/>
                <w:lang w:val="en-US" w:eastAsia="zh-CN"/>
              </w:rPr>
              <w:t>荒漠植被覆盖率较低</w:t>
            </w:r>
            <w:r>
              <w:rPr>
                <w:rFonts w:hint="eastAsia" w:ascii="Times New Roman" w:hAnsi="Times New Roman" w:cs="Times New Roman"/>
                <w:color w:val="auto"/>
              </w:rPr>
              <w:t>，无</w:t>
            </w:r>
            <w:r>
              <w:rPr>
                <w:rFonts w:hint="default" w:ascii="Times New Roman" w:hAnsi="Times New Roman" w:cs="Times New Roman"/>
                <w:snapToGrid w:val="0"/>
                <w:color w:val="auto"/>
              </w:rPr>
              <w:t>珍稀濒危动植物存在</w:t>
            </w:r>
            <w:r>
              <w:rPr>
                <w:rFonts w:hint="eastAsia" w:ascii="Times New Roman" w:hAnsi="Times New Roman" w:cs="Times New Roman"/>
                <w:snapToGrid w:val="0"/>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default" w:ascii="Times New Roman" w:hAnsi="Times New Roman" w:cs="Times New Roman"/>
                <w:color w:val="auto"/>
              </w:rPr>
              <w:t>植被</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本项目建设过程中，进行</w:t>
            </w:r>
            <w:r>
              <w:rPr>
                <w:rFonts w:hint="eastAsia" w:cs="Times New Roman"/>
                <w:color w:val="auto"/>
                <w:lang w:val="en-US" w:eastAsia="zh-CN"/>
              </w:rPr>
              <w:t>施工</w:t>
            </w:r>
            <w:r>
              <w:rPr>
                <w:rFonts w:hint="default" w:ascii="Times New Roman" w:hAnsi="Times New Roman" w:cs="Times New Roman"/>
                <w:color w:val="auto"/>
              </w:rPr>
              <w:t>时将破坏原有的地形地貌，使地表裸露，施工过程中</w:t>
            </w:r>
            <w:r>
              <w:rPr>
                <w:rFonts w:hint="eastAsia" w:ascii="Times New Roman" w:hAnsi="Times New Roman" w:cs="Times New Roman"/>
                <w:color w:val="auto"/>
                <w:lang w:val="en-US" w:eastAsia="zh-CN"/>
              </w:rPr>
              <w:t>土方</w:t>
            </w:r>
            <w:r>
              <w:rPr>
                <w:rFonts w:hint="default" w:ascii="Times New Roman" w:hAnsi="Times New Roman" w:cs="Times New Roman"/>
                <w:color w:val="auto"/>
              </w:rPr>
              <w:t>等均要破坏植被，从而使</w:t>
            </w:r>
            <w:r>
              <w:rPr>
                <w:rFonts w:hint="eastAsia" w:ascii="Times New Roman" w:hAnsi="Times New Roman" w:cs="Times New Roman"/>
                <w:color w:val="auto"/>
              </w:rPr>
              <w:t>项目</w:t>
            </w:r>
            <w:r>
              <w:rPr>
                <w:rFonts w:hint="default" w:ascii="Times New Roman" w:hAnsi="Times New Roman" w:cs="Times New Roman"/>
                <w:color w:val="auto"/>
              </w:rPr>
              <w:t>区的生物量有所减少。但随着施工期结束</w:t>
            </w:r>
            <w:r>
              <w:rPr>
                <w:rFonts w:hint="eastAsia" w:ascii="Times New Roman" w:hAnsi="Times New Roman" w:cs="Times New Roman"/>
                <w:color w:val="auto"/>
              </w:rPr>
              <w:t>和</w:t>
            </w:r>
            <w:r>
              <w:rPr>
                <w:rFonts w:hint="default" w:ascii="Times New Roman" w:hAnsi="Times New Roman" w:cs="Times New Roman"/>
                <w:color w:val="auto"/>
              </w:rPr>
              <w:t>人工恢复，</w:t>
            </w:r>
            <w:r>
              <w:rPr>
                <w:rFonts w:hint="eastAsia" w:ascii="Times New Roman" w:hAnsi="Times New Roman" w:cs="Times New Roman"/>
                <w:color w:val="auto"/>
              </w:rPr>
              <w:t>本项目</w:t>
            </w:r>
            <w:r>
              <w:rPr>
                <w:rFonts w:hint="default" w:ascii="Times New Roman" w:hAnsi="Times New Roman" w:cs="Times New Roman"/>
                <w:color w:val="auto"/>
              </w:rPr>
              <w:t>建设对其造成的影响将逐步减弱。</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eastAsia="zh-CN"/>
              </w:rPr>
            </w:pPr>
            <w:r>
              <w:rPr>
                <w:rFonts w:hint="eastAsia" w:ascii="Times New Roman" w:hAnsi="Times New Roman" w:cs="Times New Roman"/>
                <w:color w:val="auto"/>
              </w:rPr>
              <w:t>本</w:t>
            </w:r>
            <w:r>
              <w:rPr>
                <w:rFonts w:hint="default" w:ascii="Times New Roman" w:hAnsi="Times New Roman" w:cs="Times New Roman"/>
                <w:color w:val="auto"/>
              </w:rPr>
              <w:t>项目施工期间，由于各种施工机械、运输车辆进入施工现场，以及在施工中产生的扬尘和运输车辆排放尾气对附近植被产生一定的影响，部分粉尘沉降在植物叶片表面，降低植物的光合与呼吸作用，进而对植物生长发育产生一定的影响</w:t>
            </w:r>
            <w:r>
              <w:rPr>
                <w:rFonts w:hint="eastAsia" w:ascii="Times New Roman" w:hAnsi="Times New Roman" w:cs="Times New Roman"/>
                <w:color w:val="auto"/>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生物损失量</w:t>
            </w:r>
            <w:r>
              <w:rPr>
                <w:rFonts w:hint="eastAsia" w:ascii="Times New Roman" w:hAnsi="Times New Roman" w:eastAsia="宋体" w:cs="Times New Roman"/>
                <w:color w:val="auto"/>
                <w:sz w:val="24"/>
                <w:szCs w:val="24"/>
                <w:highlight w:val="none"/>
                <w:lang w:val="en-US" w:eastAsia="zh-CN"/>
              </w:rPr>
              <w:t>分析：</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eastAsia="宋体" w:cs="Times New Roman"/>
                <w:color w:val="auto"/>
                <w:sz w:val="24"/>
                <w:szCs w:val="24"/>
                <w:highlight w:val="none"/>
                <w:lang w:val="en-US" w:eastAsia="zh-CN"/>
              </w:rPr>
              <w:t>本工程临时占地</w:t>
            </w:r>
            <w:r>
              <w:rPr>
                <w:rFonts w:hint="eastAsia" w:ascii="Times New Roman" w:hAnsi="Times New Roman" w:cs="Times New Roman"/>
                <w:color w:val="auto"/>
                <w:sz w:val="24"/>
                <w:szCs w:val="24"/>
                <w:highlight w:val="none"/>
                <w:lang w:val="en-US" w:eastAsia="zh-CN"/>
              </w:rPr>
              <w:t>0.2</w:t>
            </w:r>
            <w:r>
              <w:rPr>
                <w:rFonts w:hint="eastAsia" w:ascii="Times New Roman" w:hAnsi="Times New Roman" w:eastAsia="宋体" w:cs="Times New Roman"/>
                <w:color w:val="auto"/>
                <w:sz w:val="24"/>
                <w:szCs w:val="24"/>
                <w:highlight w:val="none"/>
                <w:lang w:val="en-US" w:eastAsia="zh-CN"/>
              </w:rPr>
              <w:t>hm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（临时用地面积为</w:t>
            </w:r>
            <w:r>
              <w:rPr>
                <w:rFonts w:hint="eastAsia" w:ascii="Times New Roman" w:hAnsi="Times New Roman"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，其中临时工作区</w:t>
            </w:r>
            <w:r>
              <w:rPr>
                <w:rFonts w:hint="eastAsia" w:ascii="Times New Roman" w:hAnsi="Times New Roman"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）主要为矿山</w:t>
            </w:r>
            <w:r>
              <w:rPr>
                <w:rFonts w:hint="eastAsia"/>
                <w:color w:val="auto"/>
                <w:lang w:val="en-US" w:eastAsia="zh-CN"/>
              </w:rPr>
              <w:t>勘查</w:t>
            </w:r>
            <w:r>
              <w:rPr>
                <w:rFonts w:hint="eastAsia" w:ascii="Times New Roman" w:hAnsi="Times New Roman" w:eastAsia="宋体" w:cs="Times New Roman"/>
                <w:color w:val="auto"/>
                <w:sz w:val="24"/>
                <w:szCs w:val="24"/>
                <w:highlight w:val="none"/>
                <w:lang w:val="en-US" w:eastAsia="zh-CN"/>
              </w:rPr>
              <w:t>、车辆运输等人为活动。临时用地会导致生物量损失。生物量损失按下式计算：</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center"/>
              <w:textAlignment w:val="auto"/>
              <w:outlineLvl w:val="9"/>
              <w:rPr>
                <w:rFonts w:hint="eastAsia" w:ascii="Times New Roman" w:hAnsi="Times New Roman" w:eastAsia="宋体" w:cs="Times New Roman"/>
                <w:color w:val="auto"/>
                <w:sz w:val="24"/>
                <w:szCs w:val="24"/>
                <w:highlight w:val="none"/>
                <w:lang w:val="en-US" w:eastAsia="zh-CN"/>
              </w:rPr>
            </w:pPr>
            <m:oMathPara>
              <m:oMath>
                <m:r>
                  <m:rPr>
                    <m:sty m:val="p"/>
                  </m:rPr>
                  <w:rPr>
                    <w:rFonts w:hint="default" w:ascii="Cambria Math" w:hAnsi="Cambria Math" w:cs="Times New Roman"/>
                    <w:color w:val="auto"/>
                  </w:rPr>
                  <m:t>Y=Si·Wi</m:t>
                </m:r>
              </m:oMath>
            </m:oMathPara>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Y———临时性生物量损失，t；</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Si———占地面积，hm²；</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Wi———单位面积生物量，t/hm²；</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勘查区范围内无重要交通要道或建筑设施，无自然保护区及旅游景区，区域生物量损失引用《新疆荒漠草地生物量估算及影响因素研究》按每公顷损失0.3892t，工程的实施，将造成约0.07784t临时植被损失。</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cs="Times New Roman"/>
                <w:color w:val="auto"/>
                <w:lang w:eastAsia="zh-CN"/>
              </w:rPr>
            </w:pPr>
            <w:r>
              <w:rPr>
                <w:rFonts w:hint="eastAsia" w:ascii="Times New Roman" w:hAnsi="Times New Roman" w:eastAsia="宋体" w:cs="Times New Roman"/>
                <w:color w:val="auto"/>
                <w:sz w:val="24"/>
                <w:szCs w:val="24"/>
                <w:highlight w:val="none"/>
                <w:lang w:val="en-US" w:eastAsia="zh-CN"/>
              </w:rPr>
              <w:t>项目探矿期结束后，其所在区域的生态环境可以基本得到恢复，而且由于地方优势草类的共同生长，会发育形成良好的共栖共生环境而增加该地区的物种多样性。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eastAsia" w:ascii="Times New Roman" w:hAnsi="Times New Roman" w:cs="Times New Roman"/>
                <w:color w:val="auto"/>
                <w:lang w:eastAsia="zh-CN"/>
              </w:rPr>
              <w:t>）</w:t>
            </w:r>
            <w:r>
              <w:rPr>
                <w:rFonts w:hint="default" w:ascii="Times New Roman" w:hAnsi="Times New Roman" w:cs="Times New Roman"/>
                <w:color w:val="auto"/>
              </w:rPr>
              <w:t>动物</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本项目位于高寒山区</w:t>
            </w:r>
            <w:r>
              <w:rPr>
                <w:rFonts w:hint="default" w:ascii="Times New Roman" w:hAnsi="Times New Roman" w:cs="Times New Roman"/>
                <w:color w:val="auto"/>
              </w:rPr>
              <w:t>，主要是适应这种环境的常见种类，</w:t>
            </w:r>
            <w:r>
              <w:rPr>
                <w:rFonts w:hint="eastAsia" w:ascii="Times New Roman" w:hAnsi="Times New Roman" w:cs="Times New Roman"/>
                <w:color w:val="auto"/>
              </w:rPr>
              <w:t>未发现</w:t>
            </w:r>
            <w:r>
              <w:rPr>
                <w:rFonts w:hint="default" w:ascii="Times New Roman" w:hAnsi="Times New Roman" w:cs="Times New Roman"/>
                <w:color w:val="auto"/>
              </w:rPr>
              <w:t>珍稀保护野生动物。因此，工程建设对动物的影响</w:t>
            </w:r>
            <w:r>
              <w:rPr>
                <w:rFonts w:hint="eastAsia" w:ascii="Times New Roman" w:hAnsi="Times New Roman" w:cs="Times New Roman"/>
                <w:color w:val="auto"/>
              </w:rPr>
              <w:t>较小</w:t>
            </w:r>
            <w:r>
              <w:rPr>
                <w:rFonts w:hint="default" w:ascii="Times New Roman" w:hAnsi="Times New Roman" w:cs="Times New Roman"/>
                <w:color w:val="auto"/>
              </w:rPr>
              <w:t>。</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4.5.3</w:t>
            </w:r>
            <w:r>
              <w:rPr>
                <w:rFonts w:hint="default"/>
                <w:color w:val="auto"/>
              </w:rPr>
              <w:t>对景观环境的影响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default" w:ascii="Times New Roman" w:hAnsi="Times New Roman" w:cs="Times New Roman"/>
                <w:color w:val="auto"/>
              </w:rPr>
              <w:t>主体工程施工对景观环境的影响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由于工程施工对地表植被的破坏和工程区土壤的扰动，在雨季松散裸露的坡面易形成水土流失，导致区域土壤侵蚀模数增大。而在旱季，松散的地表在有风和车辆行驶时易形成扬尘，扬尘覆盖在施</w:t>
            </w:r>
            <w:r>
              <w:rPr>
                <w:rFonts w:hint="eastAsia" w:ascii="Times New Roman" w:hAnsi="Times New Roman" w:cs="Times New Roman"/>
                <w:color w:val="auto"/>
                <w:lang w:eastAsia="zh-CN"/>
              </w:rPr>
              <w:t>工现</w:t>
            </w:r>
            <w:r>
              <w:rPr>
                <w:rFonts w:hint="default" w:ascii="Times New Roman" w:hAnsi="Times New Roman" w:cs="Times New Roman"/>
                <w:color w:val="auto"/>
              </w:rPr>
              <w:t>场植被，使周围景观的美度降低。</w:t>
            </w:r>
          </w:p>
          <w:p>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（2）临时工程设施对景观环境的影响</w:t>
            </w:r>
          </w:p>
          <w:p>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施工期临时工程设施主要包括施工场地等。根据环境现状调查结果，施工人员在项目用地红线范围内设置施工场地，并及时清理施工场地的污染物后，</w:t>
            </w:r>
            <w:r>
              <w:rPr>
                <w:rFonts w:hint="eastAsia"/>
                <w:color w:val="auto"/>
                <w:lang w:val="en-US" w:eastAsia="zh-CN"/>
              </w:rPr>
              <w:t>恢复原地貌，</w:t>
            </w:r>
            <w:r>
              <w:rPr>
                <w:rFonts w:hint="eastAsia" w:ascii="Times New Roman" w:hAnsi="Times New Roman" w:eastAsia="宋体" w:cs="Times New Roman"/>
                <w:color w:val="auto"/>
                <w:kern w:val="2"/>
                <w:sz w:val="24"/>
                <w:szCs w:val="24"/>
                <w:lang w:val="en-US" w:eastAsia="zh-CN" w:bidi="ar-SA"/>
              </w:rPr>
              <w:t>其对景观环境的影响较小。</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4.5.4</w:t>
            </w:r>
            <w:r>
              <w:rPr>
                <w:rFonts w:hint="eastAsia"/>
                <w:color w:val="auto"/>
              </w:rPr>
              <w:t>水土流失影响分析</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w:t>
            </w:r>
            <w:r>
              <w:rPr>
                <w:rFonts w:hint="eastAsia" w:ascii="Times New Roman" w:hAnsi="Times New Roman" w:cs="Times New Roman"/>
                <w:color w:val="auto"/>
                <w:lang w:val="en-US" w:eastAsia="zh-CN"/>
              </w:rPr>
              <w:t>项目</w:t>
            </w:r>
            <w:r>
              <w:rPr>
                <w:rFonts w:hint="eastAsia" w:ascii="Times New Roman" w:hAnsi="Times New Roman" w:cs="Times New Roman"/>
                <w:color w:val="auto"/>
              </w:rPr>
              <w:t>建设过程中人为活动造成水土流失的原因主要是破坏地面表层结构以及大风季节临时堆土对周边环境带来的影响，可能造成的水土流失危害主要有以下几个方面：</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a.扩大侵蚀面积，加剧水土流失。施工过程将扰动地表、增大地表裸露面积，破坏原有水土保持稳定状态，引起一定程度的水土流失。本项目施工期水土流失类型主要为风力侵蚀，自然恢复期间，水土流失量有所减少。</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b.破坏生态环境，对周边地区造成影响。本项目施工期会清除占地范围内植被，对地表结皮造成破坏，可能加剧项目区内的</w:t>
            </w:r>
            <w:r>
              <w:rPr>
                <w:rFonts w:hint="eastAsia" w:ascii="Times New Roman" w:hAnsi="Times New Roman" w:cs="Times New Roman"/>
                <w:color w:val="auto"/>
                <w:lang w:eastAsia="zh-CN"/>
              </w:rPr>
              <w:t>风沙</w:t>
            </w:r>
            <w:r>
              <w:rPr>
                <w:rFonts w:hint="eastAsia" w:ascii="Times New Roman" w:hAnsi="Times New Roman" w:cs="Times New Roman"/>
                <w:color w:val="auto"/>
              </w:rPr>
              <w:t>天气，增加空气中粉尘含量，严重时会形成沙尘暴，造成一定的生态环境破坏。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c.扰动土地面积、降低风沙土抗侵蚀能力。项目施工建设由于车辆行驶，改变了扰动区域的原地貌、土壤结构和地面物质组成，降低了风沙土壤抗侵蚀能力。通过采取以上措施后，项目产生的水土流失量在可接受范围内。</w:t>
            </w:r>
          </w:p>
          <w:p>
            <w:pPr>
              <w:pStyle w:val="26"/>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4.5.5</w:t>
            </w:r>
            <w:r>
              <w:rPr>
                <w:rFonts w:hint="eastAsia"/>
                <w:color w:val="auto"/>
              </w:rPr>
              <w:t>生态环境保护措施</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项目在施工期间，严格控制施工范围，不得随意增加临时施工占地</w:t>
            </w:r>
            <w:r>
              <w:rPr>
                <w:rFonts w:hint="eastAsia" w:ascii="Times New Roman" w:hAnsi="Times New Roman" w:cs="Times New Roman"/>
                <w:color w:val="auto"/>
                <w:lang w:val="en-US" w:eastAsia="zh-CN"/>
              </w:rPr>
              <w:t>，</w:t>
            </w:r>
            <w:r>
              <w:rPr>
                <w:rFonts w:hint="eastAsia" w:ascii="Times New Roman" w:hAnsi="Times New Roman" w:cs="Times New Roman"/>
                <w:color w:val="auto"/>
              </w:rPr>
              <w:t>施工期</w:t>
            </w:r>
            <w:r>
              <w:rPr>
                <w:rFonts w:hint="eastAsia" w:ascii="Times New Roman" w:hAnsi="Times New Roman" w:cs="Times New Roman"/>
                <w:color w:val="auto"/>
                <w:kern w:val="0"/>
                <w:szCs w:val="21"/>
                <w:lang w:val="en-US" w:eastAsia="zh-CN"/>
              </w:rPr>
              <w:t>生活垃圾采用垃圾袋集中收集后定期清运至最近垃圾收集点</w:t>
            </w:r>
            <w:r>
              <w:rPr>
                <w:rFonts w:hint="eastAsia" w:ascii="Times New Roman" w:hAnsi="Times New Roman" w:cs="Times New Roman"/>
                <w:color w:val="auto"/>
              </w:rPr>
              <w:t>，</w:t>
            </w:r>
            <w:r>
              <w:rPr>
                <w:rFonts w:hint="eastAsia" w:ascii="Times New Roman" w:hAnsi="Times New Roman" w:cs="Times New Roman"/>
                <w:color w:val="auto"/>
                <w:lang w:eastAsia="zh-CN"/>
              </w:rPr>
              <w:t>防止</w:t>
            </w:r>
            <w:r>
              <w:rPr>
                <w:rFonts w:hint="eastAsia" w:ascii="Times New Roman" w:hAnsi="Times New Roman" w:cs="Times New Roman"/>
                <w:color w:val="auto"/>
              </w:rPr>
              <w:t>蚊虫、老鼠滋生。</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综上，本项目作为</w:t>
            </w:r>
            <w:r>
              <w:rPr>
                <w:rFonts w:hint="eastAsia" w:ascii="Times New Roman" w:hAnsi="Times New Roman" w:cs="Times New Roman"/>
                <w:color w:val="auto"/>
                <w:lang w:val="en-US" w:eastAsia="zh-CN"/>
              </w:rPr>
              <w:t>固体</w:t>
            </w:r>
            <w:r>
              <w:rPr>
                <w:rFonts w:hint="eastAsia" w:ascii="Times New Roman" w:hAnsi="Times New Roman" w:cs="Times New Roman"/>
                <w:color w:val="auto"/>
              </w:rPr>
              <w:t>矿</w:t>
            </w:r>
            <w:r>
              <w:rPr>
                <w:rFonts w:hint="eastAsia"/>
                <w:color w:val="auto"/>
                <w:lang w:val="en-US" w:eastAsia="zh-CN"/>
              </w:rPr>
              <w:t>勘查</w:t>
            </w:r>
            <w:r>
              <w:rPr>
                <w:rFonts w:hint="eastAsia" w:ascii="Times New Roman" w:hAnsi="Times New Roman" w:cs="Times New Roman"/>
                <w:color w:val="auto"/>
              </w:rPr>
              <w:t>工程，其施工量较小，施工期对环境的污染影响主要是粉尘、噪声、废水、</w:t>
            </w:r>
            <w:r>
              <w:rPr>
                <w:rFonts w:hint="eastAsia" w:cs="Times New Roman"/>
                <w:color w:val="auto"/>
                <w:lang w:val="en-US" w:eastAsia="zh-CN"/>
              </w:rPr>
              <w:t>固废</w:t>
            </w:r>
            <w:r>
              <w:rPr>
                <w:rFonts w:hint="eastAsia" w:ascii="Times New Roman" w:hAnsi="Times New Roman" w:cs="Times New Roman"/>
                <w:color w:val="auto"/>
              </w:rPr>
              <w:t>以及对建设区的生态破坏等。施工过程中只要严格按照建筑施工规范要求，做到文明</w:t>
            </w:r>
            <w:r>
              <w:rPr>
                <w:rFonts w:hint="eastAsia" w:ascii="Times New Roman" w:hAnsi="Times New Roman" w:cs="Times New Roman"/>
                <w:color w:val="auto"/>
                <w:lang w:val="en-US" w:eastAsia="zh-CN"/>
              </w:rPr>
              <w:t>绿色</w:t>
            </w:r>
            <w:r>
              <w:rPr>
                <w:rFonts w:hint="eastAsia" w:ascii="Times New Roman" w:hAnsi="Times New Roman" w:cs="Times New Roman"/>
                <w:color w:val="auto"/>
              </w:rPr>
              <w:t>施工，施工期产生的</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对环境污染影响不大。随着施工的结束，施工影响随</w:t>
            </w:r>
            <w:r>
              <w:rPr>
                <w:rFonts w:hint="eastAsia" w:cs="Times New Roman"/>
                <w:color w:val="auto"/>
                <w:lang w:val="en-US" w:eastAsia="zh-CN"/>
              </w:rPr>
              <w:t>之</w:t>
            </w:r>
            <w:r>
              <w:rPr>
                <w:rFonts w:hint="eastAsia" w:ascii="Times New Roman" w:hAnsi="Times New Roman" w:cs="Times New Roman"/>
                <w:color w:val="auto"/>
              </w:rPr>
              <w:t>消除。</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4.5.6土地沙化影响分析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项目建设过程中对原地貌的扰动将降低项目占地范围内的土壤抗侵蚀能力，造成土地沙化；此外，由于项目地处内陆地区，风沙较大，空气干燥，加上地表植被覆盖度低，若项目土石方堆存过程中未采取防尘网苫盖、洒水抑尘等措施，地表沙化的土壤遇大风天气易产生严重的扬尘，形成沙尘天气。</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项目施工期基础开挖、场地平整等过程中，对原有地表土壤造成扰动，造成地表原有结构的破坏。此外，在施工过程中，各种车辆行驶将使经过的土壤变紧实，严重的经过多次碾压后植物很难再生长。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宋体" w:hAnsi="宋体" w:eastAsia="宋体" w:cs="宋体"/>
                <w:color w:val="auto"/>
                <w:sz w:val="24"/>
                <w:szCs w:val="24"/>
                <w:lang w:val="en-US" w:eastAsia="zh-CN"/>
              </w:rPr>
            </w:pPr>
            <w:r>
              <w:rPr>
                <w:rFonts w:hint="eastAsia" w:ascii="Times New Roman" w:hAnsi="Times New Roman" w:cs="Times New Roman"/>
                <w:color w:val="auto"/>
                <w:lang w:val="en-US" w:eastAsia="zh-CN"/>
              </w:rPr>
              <w:t>上述施工作业过程中，对原地貌的扰动大大降低了项目占地范围内的土壤抗侵蚀能力，若未采取相应的防护措施，遇大风天气，极易加重区域沙尘天气。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595"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default" w:ascii="宋体" w:hAnsi="宋体" w:cs="Times New Roman"/>
                <w:bCs/>
                <w:color w:val="auto"/>
              </w:rPr>
            </w:pPr>
            <w:r>
              <w:rPr>
                <w:rFonts w:hint="eastAsia" w:ascii="Times New Roman" w:hAnsi="Times New Roman" w:cs="Times New Roman"/>
                <w:color w:val="auto"/>
              </w:rPr>
              <w:t>运营期生态环境影响分析</w:t>
            </w:r>
          </w:p>
        </w:tc>
        <w:tc>
          <w:tcPr>
            <w:tcW w:w="8557" w:type="dxa"/>
            <w:noWrap w:val="0"/>
            <w:vAlign w:val="center"/>
          </w:tcPr>
          <w:p>
            <w:pPr>
              <w:keepNext w:val="0"/>
              <w:keepLines w:val="0"/>
              <w:suppressLineNumbers w:val="0"/>
              <w:spacing w:before="0" w:beforeAutospacing="0" w:after="0" w:afterAutospacing="0"/>
              <w:ind w:left="0" w:right="0" w:firstLine="482"/>
              <w:rPr>
                <w:rFonts w:hint="eastAsia" w:ascii="Times New Roman" w:hAnsi="Times New Roman" w:cs="Times New Roman"/>
                <w:color w:val="auto"/>
              </w:rPr>
            </w:pPr>
            <w:r>
              <w:rPr>
                <w:rFonts w:hint="eastAsia" w:ascii="Times New Roman" w:hAnsi="Times New Roman" w:cs="Times New Roman"/>
                <w:b w:val="0"/>
                <w:bCs w:val="0"/>
                <w:color w:val="auto"/>
              </w:rPr>
              <w:t>本项目仅涉及</w:t>
            </w:r>
            <w:r>
              <w:rPr>
                <w:rFonts w:hint="eastAsia" w:ascii="Times New Roman" w:hAnsi="Times New Roman" w:cs="Times New Roman"/>
                <w:b w:val="0"/>
                <w:bCs w:val="0"/>
                <w:color w:val="auto"/>
                <w:lang w:val="en-US" w:eastAsia="zh-CN"/>
              </w:rPr>
              <w:t>矿山</w:t>
            </w:r>
            <w:r>
              <w:rPr>
                <w:rFonts w:hint="eastAsia"/>
                <w:color w:val="auto"/>
                <w:lang w:val="en-US" w:eastAsia="zh-CN"/>
              </w:rPr>
              <w:t>勘查</w:t>
            </w:r>
            <w:r>
              <w:rPr>
                <w:rFonts w:hint="eastAsia" w:ascii="Times New Roman" w:hAnsi="Times New Roman" w:cs="Times New Roman"/>
                <w:b w:val="0"/>
                <w:bCs w:val="0"/>
                <w:color w:val="auto"/>
              </w:rPr>
              <w:t>，</w:t>
            </w:r>
            <w:r>
              <w:rPr>
                <w:rFonts w:hint="eastAsia" w:ascii="Times New Roman" w:hAnsi="Times New Roman" w:cs="Times New Roman"/>
                <w:b w:val="0"/>
                <w:bCs w:val="0"/>
                <w:color w:val="auto"/>
                <w:lang w:val="en-US" w:eastAsia="zh-CN"/>
              </w:rPr>
              <w:t>无</w:t>
            </w:r>
            <w:r>
              <w:rPr>
                <w:rFonts w:hint="eastAsia" w:ascii="Times New Roman" w:hAnsi="Times New Roman" w:cs="Times New Roman"/>
                <w:b w:val="0"/>
                <w:bCs w:val="0"/>
                <w:color w:val="auto"/>
              </w:rPr>
              <w:t>运营期。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70" w:hRule="atLeast"/>
        </w:trPr>
        <w:tc>
          <w:tcPr>
            <w:tcW w:w="595"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leftChars="0" w:right="0" w:firstLine="0" w:firstLineChars="0"/>
              <w:jc w:val="both"/>
              <w:rPr>
                <w:rFonts w:hint="eastAsia" w:ascii="Times New Roman" w:hAnsi="Times New Roman" w:cs="宋体"/>
                <w:color w:val="auto"/>
                <w:szCs w:val="21"/>
              </w:rPr>
            </w:pPr>
            <w:r>
              <w:rPr>
                <w:rFonts w:hint="eastAsia" w:ascii="Times New Roman" w:hAnsi="Times New Roman" w:cs="宋体"/>
                <w:color w:val="auto"/>
                <w:sz w:val="21"/>
                <w:szCs w:val="21"/>
              </w:rPr>
              <w:t>选址选线环境合理性分析</w:t>
            </w:r>
          </w:p>
        </w:tc>
        <w:tc>
          <w:tcPr>
            <w:tcW w:w="8557" w:type="dxa"/>
            <w:noWrap w:val="0"/>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outlineLvl w:val="9"/>
              <w:rPr>
                <w:rFonts w:hint="default"/>
                <w:color w:val="auto"/>
              </w:rPr>
            </w:pPr>
            <w:r>
              <w:rPr>
                <w:rFonts w:hint="eastAsia"/>
                <w:color w:val="auto"/>
                <w:lang w:val="en-US" w:eastAsia="zh-CN"/>
              </w:rPr>
              <w:t>4.6</w:t>
            </w:r>
            <w:r>
              <w:rPr>
                <w:rFonts w:hint="eastAsia"/>
                <w:color w:val="auto"/>
              </w:rPr>
              <w:t>用地合理性</w:t>
            </w:r>
          </w:p>
          <w:p>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color w:val="auto"/>
              </w:rPr>
            </w:pPr>
            <w:r>
              <w:rPr>
                <w:rFonts w:hint="eastAsia" w:ascii="Times New Roman" w:hAnsi="Times New Roman" w:cs="Times New Roman"/>
                <w:color w:val="auto"/>
              </w:rPr>
              <w:t>本项目位于新疆维吾尔自治区巴音郭楞蒙古自治州和静县西北277°方向，直线距离约170km，项目不涉及饮用水水源保护区、自然保护区、风景名胜区、地质公园、森林公园及人文古迹等环境敏感点，矿区范围内无村民居住，不涉及拆迁，</w:t>
            </w:r>
            <w:r>
              <w:rPr>
                <w:rFonts w:hint="eastAsia"/>
                <w:color w:val="auto"/>
                <w:lang w:val="en-US" w:eastAsia="zh-CN"/>
              </w:rPr>
              <w:t>已取得探矿证，</w:t>
            </w:r>
            <w:r>
              <w:rPr>
                <w:rFonts w:hint="eastAsia" w:ascii="Times New Roman" w:hAnsi="Times New Roman" w:cs="Times New Roman"/>
                <w:color w:val="auto"/>
              </w:rPr>
              <w:t>因此，本项目用地合理。</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outlineLvl w:val="9"/>
              <w:rPr>
                <w:rFonts w:hint="default"/>
                <w:color w:val="auto"/>
              </w:rPr>
            </w:pPr>
            <w:r>
              <w:rPr>
                <w:rFonts w:hint="eastAsia"/>
                <w:color w:val="auto"/>
                <w:lang w:val="en-US" w:eastAsia="zh-CN"/>
              </w:rPr>
              <w:t>4.7</w:t>
            </w:r>
            <w:r>
              <w:rPr>
                <w:rFonts w:hint="eastAsia"/>
                <w:color w:val="auto"/>
              </w:rPr>
              <w:t>与周边环境相容性分析</w:t>
            </w:r>
          </w:p>
          <w:p>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color w:val="auto"/>
              </w:rPr>
            </w:pPr>
            <w:r>
              <w:rPr>
                <w:rFonts w:hint="eastAsia" w:ascii="Times New Roman" w:hAnsi="Times New Roman" w:cs="Times New Roman"/>
                <w:color w:val="auto"/>
              </w:rPr>
              <w:t>根据现场踏勘可知，探矿区域周围5</w:t>
            </w:r>
            <w:r>
              <w:rPr>
                <w:rFonts w:hint="default" w:ascii="Times New Roman" w:hAnsi="Times New Roman" w:cs="Times New Roman"/>
                <w:color w:val="auto"/>
              </w:rPr>
              <w:t>00m</w:t>
            </w:r>
            <w:r>
              <w:rPr>
                <w:rFonts w:hint="eastAsia" w:ascii="Times New Roman" w:hAnsi="Times New Roman" w:cs="Times New Roman"/>
                <w:color w:val="auto"/>
              </w:rPr>
              <w:t>范围内无环境保护目标，项目周边不涉及重点生态功能区，生态敏感脆弱区，自然保护区，风景名胜区，国家级、省级禁止开发区域，外环境无重大环境制约因素。项目位于新疆维吾尔自治区巴音郭楞蒙古自治州和静县西北277°方向，直线距离约170km</w:t>
            </w:r>
            <w:r>
              <w:rPr>
                <w:rFonts w:hint="eastAsia" w:ascii="Times New Roman" w:hAnsi="Times New Roman" w:cs="Times New Roman"/>
                <w:color w:val="auto"/>
                <w:lang w:eastAsia="zh-CN"/>
              </w:rPr>
              <w:t>，</w:t>
            </w:r>
            <w:r>
              <w:rPr>
                <w:rFonts w:hint="eastAsia" w:cs="Times New Roman"/>
                <w:color w:val="auto"/>
                <w:lang w:val="en-US" w:eastAsia="zh-CN"/>
              </w:rPr>
              <w:t>内</w:t>
            </w:r>
            <w:r>
              <w:rPr>
                <w:rFonts w:hint="eastAsia" w:ascii="Times New Roman" w:hAnsi="Times New Roman" w:cs="Times New Roman"/>
                <w:color w:val="auto"/>
                <w:lang w:val="en-US" w:eastAsia="zh-CN"/>
              </w:rPr>
              <w:t>外部依托现有的资源</w:t>
            </w:r>
            <w:r>
              <w:rPr>
                <w:rFonts w:hint="eastAsia" w:ascii="Times New Roman" w:hAnsi="Times New Roman" w:cs="Times New Roman"/>
                <w:color w:val="auto"/>
                <w:highlight w:val="none"/>
                <w:lang w:val="en-US" w:eastAsia="zh-CN"/>
              </w:rPr>
              <w:t>道路，</w:t>
            </w:r>
            <w:r>
              <w:rPr>
                <w:rFonts w:hint="eastAsia" w:ascii="Times New Roman" w:hAnsi="Times New Roman" w:cs="Times New Roman"/>
                <w:color w:val="auto"/>
                <w:lang w:val="en-US" w:eastAsia="zh-CN"/>
              </w:rPr>
              <w:t>生活用水从和静县</w:t>
            </w:r>
            <w:r>
              <w:rPr>
                <w:rFonts w:hint="eastAsia" w:cs="Times New Roman"/>
                <w:color w:val="auto"/>
                <w:lang w:val="en-US" w:eastAsia="zh-CN"/>
              </w:rPr>
              <w:t>巴音布鲁克镇</w:t>
            </w:r>
            <w:r>
              <w:rPr>
                <w:rFonts w:hint="eastAsia" w:ascii="Times New Roman" w:hAnsi="Times New Roman" w:cs="Times New Roman"/>
                <w:color w:val="auto"/>
                <w:lang w:val="en-US" w:eastAsia="zh-CN"/>
              </w:rPr>
              <w:t>拉运供给，</w:t>
            </w:r>
            <w:r>
              <w:rPr>
                <w:rFonts w:hint="eastAsia" w:cs="Times New Roman"/>
                <w:color w:val="auto"/>
                <w:lang w:val="en-US" w:eastAsia="zh-CN"/>
              </w:rPr>
              <w:t>蓄电池供电</w:t>
            </w:r>
            <w:r>
              <w:rPr>
                <w:rFonts w:hint="eastAsia" w:ascii="Times New Roman" w:hAnsi="Times New Roman" w:cs="Times New Roman"/>
                <w:color w:val="auto"/>
                <w:lang w:val="en-US" w:eastAsia="zh-CN"/>
              </w:rPr>
              <w:t>。</w:t>
            </w:r>
            <w:r>
              <w:rPr>
                <w:rFonts w:hint="default" w:ascii="Times New Roman" w:hAnsi="Times New Roman" w:cs="Times New Roman"/>
                <w:color w:val="auto"/>
              </w:rPr>
              <w:t>本项目的建设对外环境无特殊要求，</w:t>
            </w:r>
            <w:r>
              <w:rPr>
                <w:rFonts w:hint="eastAsia" w:ascii="Times New Roman" w:hAnsi="Times New Roman" w:cs="Times New Roman"/>
                <w:color w:val="auto"/>
              </w:rPr>
              <w:t>本</w:t>
            </w:r>
            <w:r>
              <w:rPr>
                <w:rFonts w:hint="default" w:ascii="Times New Roman" w:hAnsi="Times New Roman" w:cs="Times New Roman"/>
                <w:color w:val="auto"/>
              </w:rPr>
              <w:t>项目产生的废水、废气、噪声、固废等各项污染物通过采取相应措施后均可达标排放，通过项目的合理布局、严格管理、积极推进企业清洁生产及其它有针对性的污染防治措施，可有效避免和减轻项目建设过程对周围环境的影响。</w:t>
            </w:r>
            <w:r>
              <w:rPr>
                <w:rFonts w:hint="eastAsia" w:ascii="Times New Roman" w:hAnsi="Times New Roman" w:cs="Times New Roman"/>
                <w:color w:val="auto"/>
              </w:rPr>
              <w:t>矿区</w:t>
            </w:r>
            <w:r>
              <w:rPr>
                <w:rFonts w:hint="default" w:ascii="Times New Roman" w:hAnsi="Times New Roman" w:cs="Times New Roman"/>
                <w:color w:val="auto"/>
              </w:rPr>
              <w:t>内</w:t>
            </w:r>
            <w:r>
              <w:rPr>
                <w:rFonts w:hint="eastAsia" w:ascii="Times New Roman" w:hAnsi="Times New Roman" w:cs="Times New Roman"/>
                <w:color w:val="auto"/>
              </w:rPr>
              <w:t>植被覆盖度较低</w:t>
            </w:r>
            <w:r>
              <w:rPr>
                <w:rFonts w:hint="eastAsia" w:ascii="Times New Roman" w:hAnsi="Times New Roman" w:cs="Times New Roman"/>
                <w:color w:val="auto"/>
                <w:lang w:eastAsia="zh-CN"/>
              </w:rPr>
              <w:t>，</w:t>
            </w:r>
            <w:r>
              <w:rPr>
                <w:rFonts w:hint="eastAsia" w:ascii="Times New Roman" w:hAnsi="Times New Roman" w:cs="Times New Roman"/>
                <w:color w:val="auto"/>
              </w:rPr>
              <w:t>未发现珍稀保护动植物。</w:t>
            </w:r>
          </w:p>
          <w:p>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eastAsia" w:ascii="Times New Roman" w:hAnsi="Times New Roman" w:cs="Times New Roman"/>
                <w:color w:val="auto"/>
              </w:rPr>
            </w:pPr>
            <w:r>
              <w:rPr>
                <w:rFonts w:hint="eastAsia" w:ascii="Times New Roman" w:hAnsi="Times New Roman" w:cs="Times New Roman"/>
                <w:color w:val="auto"/>
              </w:rPr>
              <w:t>综上所述，本项目选址合理。</w:t>
            </w:r>
          </w:p>
        </w:tc>
      </w:tr>
      <w:bookmarkEnd w:id="3"/>
    </w:tbl>
    <w:p>
      <w:pPr>
        <w:adjustRightInd w:val="0"/>
        <w:snapToGrid w:val="0"/>
        <w:ind w:firstLine="562"/>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pPr>
        <w:pStyle w:val="7"/>
        <w:rPr>
          <w:snapToGrid w:val="0"/>
          <w:color w:val="auto"/>
          <w:highlight w:val="none"/>
        </w:rPr>
      </w:pPr>
      <w:r>
        <w:rPr>
          <w:rFonts w:hint="eastAsia"/>
          <w:snapToGrid w:val="0"/>
          <w:color w:val="auto"/>
          <w:highlight w:val="none"/>
        </w:rPr>
        <w:t>五、主要生态环境保护措施</w:t>
      </w:r>
    </w:p>
    <w:tbl>
      <w:tblPr>
        <w:tblStyle w:val="28"/>
        <w:tblpPr w:leftFromText="180" w:rightFromText="180" w:vertAnchor="text" w:tblpXSpec="center" w:tblpY="1"/>
        <w:tblOverlap w:val="never"/>
        <w:tblW w:w="91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91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6"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施工期生态环境保护措施</w:t>
            </w:r>
          </w:p>
        </w:tc>
        <w:tc>
          <w:tcPr>
            <w:tcW w:w="835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本项目施工期工程量较小，施工期环境保护措施情况如下：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在进行</w:t>
            </w:r>
            <w:r>
              <w:rPr>
                <w:rFonts w:hint="eastAsia" w:ascii="宋体" w:hAnsi="宋体" w:cs="宋体"/>
                <w:color w:val="auto"/>
                <w:lang w:val="en-US" w:eastAsia="zh-CN"/>
              </w:rPr>
              <w:t>地质测量和化探</w:t>
            </w:r>
            <w:r>
              <w:rPr>
                <w:rFonts w:hint="default" w:ascii="宋体" w:hAnsi="宋体" w:eastAsia="宋体" w:cs="宋体"/>
                <w:color w:val="auto"/>
              </w:rPr>
              <w:t>等活动时，采取有效的生态环境保护措施至关重要，以减少对自然环境的负面影响。以下是一些关键的环境保护措施：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营地建设的环境保护措施：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宋体" w:hAnsi="宋体" w:eastAsia="宋体" w:cs="宋体"/>
                <w:color w:val="auto"/>
                <w:lang w:eastAsia="zh-CN"/>
              </w:rPr>
            </w:pPr>
            <w:r>
              <w:rPr>
                <w:rFonts w:hint="default" w:ascii="宋体" w:hAnsi="宋体" w:eastAsia="宋体" w:cs="宋体"/>
                <w:color w:val="auto"/>
              </w:rPr>
              <w:t>选址谨慎：营地应选在</w:t>
            </w:r>
            <w:r>
              <w:rPr>
                <w:rFonts w:hint="eastAsia"/>
                <w:color w:val="auto"/>
                <w:lang w:val="en-US" w:eastAsia="zh-CN"/>
              </w:rPr>
              <w:t>植被稀疏</w:t>
            </w:r>
            <w:r>
              <w:rPr>
                <w:rFonts w:hint="default" w:ascii="宋体" w:hAnsi="宋体" w:eastAsia="宋体" w:cs="宋体"/>
                <w:color w:val="auto"/>
              </w:rPr>
              <w:t>的地点，远离生态脆弱区，减少对自然景观的破坏。临时性设施建设：采用可移动或易拆卸的设施，减少对地表的永久性改变。资源节约：使用节水和节能设备，实施垃圾分类，促进资源循环利用。生态恢复计划：项目结束后，制定并执行生态恢复计划，包括植被恢复和土地整治。环保教育：对营地人员进行环保培训，</w:t>
            </w:r>
            <w:r>
              <w:rPr>
                <w:rFonts w:hint="eastAsia" w:ascii="宋体" w:hAnsi="宋体" w:eastAsia="宋体" w:cs="宋体"/>
                <w:color w:val="auto"/>
                <w:lang w:eastAsia="zh-CN"/>
              </w:rPr>
              <w:t>增强</w:t>
            </w:r>
            <w:r>
              <w:rPr>
                <w:rFonts w:hint="default" w:ascii="宋体" w:hAnsi="宋体" w:eastAsia="宋体" w:cs="宋体"/>
                <w:color w:val="auto"/>
              </w:rPr>
              <w:t>他们的环保意识，确保每个人都遵守环保规定。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宋体" w:hAnsi="宋体" w:eastAsia="宋体" w:cs="宋体"/>
                <w:color w:val="auto"/>
              </w:rPr>
              <w:t>综上所述，生态环境保护贯穿于</w:t>
            </w:r>
            <w:r>
              <w:rPr>
                <w:rFonts w:hint="eastAsia" w:ascii="宋体" w:hAnsi="宋体" w:cs="宋体"/>
                <w:color w:val="auto"/>
                <w:lang w:val="en-US" w:eastAsia="zh-CN"/>
              </w:rPr>
              <w:t>勘查</w:t>
            </w:r>
            <w:r>
              <w:rPr>
                <w:rFonts w:hint="default" w:ascii="宋体" w:hAnsi="宋体" w:eastAsia="宋体" w:cs="宋体"/>
                <w:color w:val="auto"/>
              </w:rPr>
              <w:t>活动的全过程，需要综合考虑规划、施工、运营及后期恢复等各个阶段，通过科学管理和技术应用，实现与自然环境的和谐共存。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5.1废气防治措施分析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本工程施工期对大气环境的影响主要表现为扬尘。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5.1.1扬尘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针对本项目产生的扬尘，环评要求如下：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作业施工前对施工区域进行洒水降尘；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原材料运输、堆放要求遮盖；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及时清理场地弃渣料，不能及时清运的要求采取覆盖，洒水抑尘等措施，在工作中建议施工人员</w:t>
            </w:r>
            <w:r>
              <w:rPr>
                <w:rFonts w:hint="default" w:ascii="Times New Roman" w:hAnsi="Times New Roman" w:eastAsia="宋体" w:cs="Times New Roman"/>
                <w:color w:val="auto"/>
              </w:rPr>
              <w:t>戴口罩、防尘面罩等劳动防护装备</w:t>
            </w:r>
            <w:r>
              <w:rPr>
                <w:rFonts w:hint="eastAsia" w:ascii="Times New Roman" w:hAnsi="Times New Roman" w:eastAsia="宋体" w:cs="Times New Roman"/>
                <w:color w:val="auto"/>
              </w:rPr>
              <w:t>，同时</w:t>
            </w:r>
            <w:r>
              <w:rPr>
                <w:rFonts w:hint="default" w:ascii="Times New Roman" w:hAnsi="Times New Roman" w:eastAsia="宋体" w:cs="Times New Roman"/>
                <w:color w:val="auto"/>
              </w:rPr>
              <w:t>避开大风天气作业</w:t>
            </w:r>
            <w:r>
              <w:rPr>
                <w:rFonts w:hint="eastAsia" w:ascii="Times New Roman" w:hAnsi="Times New Roman" w:eastAsia="宋体" w:cs="Times New Roman"/>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5.2废水防治措施分析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废水主要来自</w:t>
            </w:r>
            <w:r>
              <w:rPr>
                <w:rFonts w:hint="eastAsia" w:ascii="Times New Roman" w:hAnsi="Times New Roman" w:eastAsia="宋体" w:cs="Times New Roman"/>
                <w:color w:val="auto"/>
                <w:lang w:eastAsia="zh-CN"/>
              </w:rPr>
              <w:t>生活污水</w:t>
            </w:r>
            <w:r>
              <w:rPr>
                <w:rFonts w:hint="eastAsia" w:ascii="Times New Roman" w:hAnsi="Times New Roman" w:eastAsia="宋体" w:cs="Times New Roman"/>
                <w:color w:val="auto"/>
              </w:rPr>
              <w:t>。生活污水来源于施工人员及工地管理人员，其污染物较为简单，主要为SS、NH</w:t>
            </w:r>
            <w:r>
              <w:rPr>
                <w:rFonts w:hint="eastAsia" w:ascii="Times New Roman" w:hAnsi="Times New Roman" w:eastAsia="宋体" w:cs="Times New Roman"/>
                <w:color w:val="auto"/>
                <w:vertAlign w:val="subscript"/>
              </w:rPr>
              <w:t>3</w:t>
            </w:r>
            <w:r>
              <w:rPr>
                <w:rFonts w:hint="eastAsia" w:ascii="Times New Roman" w:hAnsi="Times New Roman" w:eastAsia="宋体" w:cs="Times New Roman"/>
                <w:color w:val="auto"/>
              </w:rPr>
              <w:t>-N、COD、BOD</w:t>
            </w:r>
            <w:r>
              <w:rPr>
                <w:rFonts w:hint="eastAsia" w:ascii="Times New Roman" w:hAnsi="Times New Roman" w:eastAsia="宋体" w:cs="Times New Roman"/>
                <w:color w:val="auto"/>
                <w:vertAlign w:val="subscript"/>
              </w:rPr>
              <w:t>5</w:t>
            </w:r>
            <w:r>
              <w:rPr>
                <w:rFonts w:hint="eastAsia" w:ascii="Times New Roman" w:hAnsi="Times New Roman" w:eastAsia="宋体" w:cs="Times New Roman"/>
                <w:color w:val="auto"/>
              </w:rPr>
              <w:t>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highlight w:val="none"/>
              </w:rPr>
            </w:pPr>
            <w:r>
              <w:rPr>
                <w:rFonts w:hint="default" w:ascii="Times New Roman" w:hAnsi="Times New Roman" w:cs="Times New Roman"/>
                <w:color w:val="auto"/>
                <w:lang w:val="en-US" w:eastAsia="zh-CN"/>
              </w:rPr>
              <w:t>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r>
              <w:rPr>
                <w:rFonts w:hint="eastAsia" w:ascii="Times New Roman" w:hAnsi="Times New Roman" w:eastAsia="宋体" w:cs="Times New Roman"/>
                <w:color w:val="auto"/>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污水处理的可行性分析：生活污水一体化处理设施采用“格栅+缺氧池+好氧池+二沉池+消毒池”处理工艺，简称“A/O”工艺，其中二沉池污泥回流至缺氧池，完成反硝化脱氮，该处理工艺为成熟的生活污水处理工艺，且属于《农村生活污水处理技术规范》（DB65/T4346-2021）中“表2农村生活污水处理排放标准分级与推荐处理工艺对应表”建议处理工艺及推荐技术，故生活污水处理方式可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5.3噪声控制措施分析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根据工程特性及环境特征，环评要求采取的噪声治理措施如下：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尽量选用技术先进的低噪声设备，夜间、午间禁止施工。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运输车辆减速、禁止鸣笛等。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重视操作人员的劳动保护，为其发放耳塞、耳罩，避免操作人员长期处于高噪声环境中。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经以上措施处理后，施工噪声对周边声环境影响不大，措施可行。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eastAsia="宋体" w:cs="Times New Roman"/>
                <w:b/>
                <w:bCs/>
                <w:color w:val="auto"/>
                <w:kern w:val="2"/>
                <w:sz w:val="24"/>
                <w:szCs w:val="32"/>
                <w:lang w:val="en-US" w:eastAsia="zh-CN" w:bidi="ar-SA"/>
              </w:rPr>
              <w:t>5.4</w:t>
            </w:r>
            <w:r>
              <w:rPr>
                <w:rFonts w:hint="eastAsia" w:ascii="Times New Roman" w:hAnsi="Times New Roman" w:cs="Times New Roman"/>
                <w:b/>
                <w:bCs/>
                <w:color w:val="auto"/>
                <w:lang w:val="en-US" w:eastAsia="zh-CN"/>
              </w:rPr>
              <w:t>固体废物处置措施分析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施工期固废主要为</w:t>
            </w:r>
            <w:r>
              <w:rPr>
                <w:rFonts w:hint="default" w:ascii="Times New Roman" w:hAnsi="Times New Roman" w:eastAsia="宋体" w:cs="Times New Roman"/>
                <w:color w:val="auto"/>
                <w:lang w:val="en-US" w:eastAsia="zh-CN"/>
              </w:rPr>
              <w:t>生活污水一体化处理设施底泥</w:t>
            </w:r>
            <w:r>
              <w:rPr>
                <w:rFonts w:hint="eastAsia" w:ascii="Times New Roman" w:hAnsi="Times New Roman" w:cs="Times New Roman"/>
                <w:b w:val="0"/>
                <w:bCs w:val="0"/>
                <w:color w:val="auto"/>
                <w:lang w:val="en-US" w:eastAsia="zh-CN"/>
              </w:rPr>
              <w:t>、施工人员生活垃圾。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color w:val="auto"/>
                <w:kern w:val="0"/>
                <w:szCs w:val="21"/>
                <w:lang w:val="en-US" w:eastAsia="zh-CN"/>
              </w:rPr>
              <w:t>生活垃圾采用垃圾袋集中收集后定期清运至最近垃圾收集点</w:t>
            </w:r>
            <w:r>
              <w:rPr>
                <w:rFonts w:hint="eastAsia" w:ascii="Times New Roman" w:hAnsi="Times New Roman" w:cs="Times New Roman"/>
                <w:b w:val="0"/>
                <w:bCs w:val="0"/>
                <w:color w:val="auto"/>
                <w:lang w:val="en-US" w:eastAsia="zh-CN"/>
              </w:rPr>
              <w:t>；</w:t>
            </w: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w:t>
            </w:r>
            <w:r>
              <w:rPr>
                <w:rFonts w:hint="eastAsia" w:cs="Times New Roman"/>
                <w:color w:val="auto"/>
                <w:lang w:val="en-US" w:eastAsia="zh-CN"/>
              </w:rPr>
              <w:t>施肥</w:t>
            </w:r>
            <w:r>
              <w:rPr>
                <w:rFonts w:hint="eastAsia" w:ascii="Times New Roman" w:hAnsi="Times New Roman" w:cs="Times New Roman"/>
                <w:b w:val="0"/>
                <w:bCs w:val="0"/>
                <w:color w:val="auto"/>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2" w:firstLineChars="20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暂存及转运管理要求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建立相应的规章制度和污染防治措施；定期对收集人员培训。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cs="Times New Roman"/>
                <w:b w:val="0"/>
                <w:bCs w:val="0"/>
                <w:color w:val="auto"/>
                <w:lang w:val="en-US" w:eastAsia="zh-CN"/>
              </w:rPr>
              <w:t>综上所述，本项目固废处置措施可行。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5.5生态环境保护与植被恢复措施分析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本环评要求施工期生态保护与植被恢复措施如下：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5.5.1土壤与植被的保护措施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本项目为地质</w:t>
            </w:r>
            <w:r>
              <w:rPr>
                <w:rFonts w:hint="eastAsia" w:cs="Times New Roman"/>
                <w:color w:val="auto"/>
                <w:lang w:val="en-US" w:eastAsia="zh-CN"/>
              </w:rPr>
              <w:t>勘查</w:t>
            </w:r>
            <w:r>
              <w:rPr>
                <w:rFonts w:hint="eastAsia" w:ascii="Times New Roman" w:hAnsi="Times New Roman" w:eastAsia="宋体" w:cs="Times New Roman"/>
                <w:color w:val="auto"/>
              </w:rPr>
              <w:t>工程，项目工程建设的生态环境影响主要为</w:t>
            </w:r>
            <w:r>
              <w:rPr>
                <w:rFonts w:hint="eastAsia" w:cs="Times New Roman"/>
                <w:color w:val="auto"/>
                <w:lang w:val="en-US" w:eastAsia="zh-CN"/>
              </w:rPr>
              <w:t>勘查</w:t>
            </w:r>
            <w:r>
              <w:rPr>
                <w:rFonts w:hint="eastAsia" w:ascii="Times New Roman" w:hAnsi="Times New Roman" w:eastAsia="宋体" w:cs="Times New Roman"/>
                <w:color w:val="auto"/>
              </w:rPr>
              <w:t>过程对生态的影响，在对生态环境各具体要素</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如土壤、植被、野生动物等</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产生影响的同时，也对工程占地范围内原有的地表景观格局和生态体系完整性产生一定影响。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区域内植被不发育，植被类型单一，工程建设对区域内植被影响较低。对区域内生态体系稳定性影响的主要途径是地表扰动。对区域景观的影响随着探矿施工，挖毁原地貌等，这种景观格局的变化，使固有的自然生态功能完全丧失。同时，产生了水土流失、植被破坏等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提出以下土壤及植被污染防治措施：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探矿施工期间，将探矿活动控制在施工区域内，严禁越界</w:t>
            </w:r>
            <w:r>
              <w:rPr>
                <w:rFonts w:hint="eastAsia" w:cs="Times New Roman"/>
                <w:color w:val="auto"/>
                <w:lang w:val="en-US" w:eastAsia="zh-CN"/>
              </w:rPr>
              <w:t>勘查</w:t>
            </w:r>
            <w:r>
              <w:rPr>
                <w:rFonts w:hint="eastAsia" w:ascii="Times New Roman" w:hAnsi="Times New Roman" w:eastAsia="宋体" w:cs="Times New Roman"/>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color w:val="auto"/>
                <w:lang w:val="en-US" w:eastAsia="zh-CN"/>
              </w:rPr>
              <w:t>加强洒水抑尘</w:t>
            </w:r>
            <w:r>
              <w:rPr>
                <w:rFonts w:hint="eastAsia" w:ascii="Times New Roman" w:hAnsi="Times New Roman" w:eastAsia="宋体" w:cs="Times New Roman"/>
                <w:color w:val="auto"/>
              </w:rPr>
              <w:t>减少探矿施工期间在风力、装卸扰动作用下产生的二次扬尘污染，保护矿区周边生态环境和矿山工作员工的身体健康。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表层土壤的保护和利用。保护利用好</w:t>
            </w:r>
            <w:r>
              <w:rPr>
                <w:rFonts w:hint="eastAsia" w:ascii="Times New Roman" w:hAnsi="Times New Roman" w:eastAsia="宋体" w:cs="Times New Roman"/>
                <w:color w:val="auto"/>
                <w:lang w:val="en-US" w:eastAsia="zh-CN"/>
              </w:rPr>
              <w:t>表层</w:t>
            </w:r>
            <w:r>
              <w:rPr>
                <w:rFonts w:hint="eastAsia" w:ascii="Times New Roman" w:hAnsi="Times New Roman" w:eastAsia="宋体" w:cs="Times New Roman"/>
                <w:color w:val="auto"/>
              </w:rPr>
              <w:t>土壤</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主要为0～</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0cm的土层</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，在挖掘施工前，首先要把表层的熟化土壤尽可能地集中堆放，施工结束后再进行熟土回填，保护土壤肥力，以利后期植被恢复。</w:t>
            </w:r>
            <w:r>
              <w:rPr>
                <w:rFonts w:hint="eastAsia" w:ascii="Times New Roman" w:hAnsi="Times New Roman" w:eastAsia="宋体" w:cs="Times New Roman"/>
                <w:color w:val="auto"/>
                <w:lang w:val="en-US" w:eastAsia="zh-CN"/>
              </w:rPr>
              <w:t>熟土回填在施工结束后的1个月内完成。根据和静县的气候（干旱、半干旱）和土壤条件，选择耐旱、耐寒、抗风沙的本地植物如</w:t>
            </w:r>
            <w:r>
              <w:rPr>
                <w:rFonts w:hint="eastAsia" w:cs="Times New Roman"/>
                <w:color w:val="auto"/>
                <w:lang w:val="en-US" w:eastAsia="zh-CN"/>
              </w:rPr>
              <w:t>草甸</w:t>
            </w:r>
            <w:r>
              <w:rPr>
                <w:rFonts w:hint="eastAsia" w:ascii="Times New Roman" w:hAnsi="Times New Roman" w:eastAsia="宋体" w:cs="Times New Roman"/>
                <w:color w:val="auto"/>
                <w:lang w:val="en-US" w:eastAsia="zh-CN"/>
              </w:rPr>
              <w:t>，种植方式为播撒，播种量5～10kg/亩。</w:t>
            </w:r>
            <w:r>
              <w:rPr>
                <w:rFonts w:hint="eastAsia" w:ascii="Times New Roman" w:hAnsi="Times New Roman" w:eastAsia="宋体" w:cs="Times New Roman"/>
                <w:color w:val="auto"/>
                <w:kern w:val="2"/>
                <w:sz w:val="24"/>
                <w:szCs w:val="24"/>
                <w:lang w:val="en-US" w:eastAsia="zh-CN" w:bidi="ar-SA"/>
              </w:rPr>
              <w:t>草种播撒后，恢复期（1—2年）人工补水，后期依赖自然降水。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工程施工</w:t>
            </w:r>
            <w:r>
              <w:rPr>
                <w:rFonts w:hint="eastAsia" w:ascii="Times New Roman" w:hAnsi="Times New Roman" w:eastAsia="宋体" w:cs="Times New Roman"/>
                <w:color w:val="auto"/>
                <w:lang w:eastAsia="zh-CN"/>
              </w:rPr>
              <w:t>期间</w:t>
            </w:r>
            <w:r>
              <w:rPr>
                <w:rFonts w:hint="eastAsia" w:ascii="Times New Roman" w:hAnsi="Times New Roman" w:eastAsia="宋体" w:cs="Times New Roman"/>
                <w:color w:val="auto"/>
              </w:rPr>
              <w:t>应首先计划安排好</w:t>
            </w:r>
            <w:r>
              <w:rPr>
                <w:rFonts w:hint="eastAsia" w:cs="Times New Roman"/>
                <w:color w:val="auto"/>
                <w:lang w:val="en-US" w:eastAsia="zh-CN"/>
              </w:rPr>
              <w:t>施工</w:t>
            </w:r>
            <w:r>
              <w:rPr>
                <w:rFonts w:hint="eastAsia" w:ascii="Times New Roman" w:hAnsi="Times New Roman" w:eastAsia="宋体" w:cs="Times New Roman"/>
                <w:color w:val="auto"/>
              </w:rPr>
              <w:t>量，及时进行回填，铺平压实，以免发生风蚀、水蚀。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充分利用原有道路，减少土石方工程量并缩小生态影响范围，减少了对周边土壤和植被的破坏。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生活营地及其他临时占地施工结束后，应按相关规定恢复植被。</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7</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在施工前划定保护区，避免对重要植被区域的破坏。尽量减少施工过程中对地表的扰动，采用低影响施工技术。制定详细的植被恢复计划，选择适应当地环境的植物种类进行种植。定期监测植被恢复情况，及时调整恢复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cs="Times New Roman"/>
                <w:color w:val="auto"/>
                <w:lang w:val="en-US" w:eastAsia="zh-CN"/>
              </w:rPr>
              <w:t>8</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施工中应严格执行HSE</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健康、安全、环境</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管理，加强动土作业管理及巡查，防止环境风险事故影响</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当地生态环境在项目启动阶段应进行全面的环境基线研究，识别项目区域内的生态环境特征，包括植被类型、野生动植物种群、水文条件等。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b/>
                <w:bCs/>
                <w:color w:val="auto"/>
                <w:szCs w:val="32"/>
                <w:lang w:val="en-US" w:eastAsia="zh-CN"/>
              </w:rPr>
              <w:t>5.5.2</w:t>
            </w:r>
            <w:r>
              <w:rPr>
                <w:rFonts w:hint="eastAsia" w:ascii="Times New Roman" w:hAnsi="Times New Roman" w:eastAsia="宋体" w:cs="Times New Roman"/>
                <w:b/>
                <w:bCs/>
                <w:color w:val="auto"/>
              </w:rPr>
              <w:t>水土流失防治措施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highlight w:val="none"/>
              </w:rPr>
              <w:t>在探</w:t>
            </w:r>
            <w:r>
              <w:rPr>
                <w:rFonts w:hint="eastAsia" w:ascii="Times New Roman" w:hAnsi="Times New Roman" w:eastAsia="宋体" w:cs="Times New Roman"/>
                <w:color w:val="auto"/>
              </w:rPr>
              <w:t>矿施工过程中，应控制地表破坏程度，尽量保护原有地表植被，要严格按照施工规划尽可能少占地。工程施工时注意合理分配施工时段，避开大风天气，严禁在大风和降雨天气下进行开采，合理布设</w:t>
            </w:r>
            <w:r>
              <w:rPr>
                <w:rFonts w:hint="eastAsia" w:cs="Times New Roman"/>
                <w:color w:val="auto"/>
                <w:lang w:val="en-US" w:eastAsia="zh-CN"/>
              </w:rPr>
              <w:t>勘查</w:t>
            </w:r>
            <w:r>
              <w:rPr>
                <w:rFonts w:hint="eastAsia" w:ascii="Times New Roman" w:hAnsi="Times New Roman" w:eastAsia="宋体" w:cs="Times New Roman"/>
                <w:color w:val="auto"/>
              </w:rPr>
              <w:t>施工场地，及时处理开挖弃土，对施工中所产生的弃土应尽可能地加以利</w:t>
            </w:r>
            <w:r>
              <w:rPr>
                <w:rFonts w:hint="eastAsia" w:ascii="Times New Roman" w:hAnsi="Times New Roman" w:eastAsia="宋体" w:cs="Times New Roman"/>
                <w:color w:val="auto"/>
                <w:lang w:eastAsia="zh-CN"/>
              </w:rPr>
              <w:t>用和</w:t>
            </w:r>
            <w:r>
              <w:rPr>
                <w:rFonts w:hint="eastAsia" w:ascii="Times New Roman" w:hAnsi="Times New Roman" w:eastAsia="宋体" w:cs="Times New Roman"/>
                <w:color w:val="auto"/>
              </w:rPr>
              <w:t>回填；对开挖的土石方、开挖裸露面做好防风措施，尽量缩短暴露时间，本着谁开发，谁保护，谁造成水土流失谁负责治理的原则，在防治责任范围内，水土流失防治责任由企业单位负责承担。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在</w:t>
            </w:r>
            <w:r>
              <w:rPr>
                <w:rFonts w:hint="eastAsia" w:ascii="Times New Roman" w:hAnsi="Times New Roman" w:eastAsia="宋体" w:cs="Times New Roman"/>
                <w:color w:val="auto"/>
              </w:rPr>
              <w:t>探矿施工过程中，必须做好水土流失的预防工作，认真贯彻</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谁造成水土流失，谁投资治理，谁造成新的危害，谁负责赔偿</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治理与生产建设相结合</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的原则。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加强</w:t>
            </w:r>
            <w:r>
              <w:rPr>
                <w:rFonts w:hint="eastAsia" w:ascii="Times New Roman" w:hAnsi="Times New Roman" w:eastAsia="宋体" w:cs="Times New Roman"/>
                <w:color w:val="auto"/>
                <w:lang w:eastAsia="zh-CN"/>
              </w:rPr>
              <w:t>水土保持法</w:t>
            </w:r>
            <w:r>
              <w:rPr>
                <w:rFonts w:hint="eastAsia" w:ascii="Times New Roman" w:hAnsi="Times New Roman" w:eastAsia="宋体" w:cs="Times New Roman"/>
                <w:color w:val="auto"/>
              </w:rPr>
              <w:t>的宣传，有关部门应积极主动，加强水土保持执法管理，将其纳入依法办事的轨道上来，对施工人员进行培训和教育，自觉保持水土，宣传保护生态环境的重要性。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探矿施工时应充分考虑施工计划的合理性，合理安排工期和工程顺序，减少土壤损失和地表破坏面积。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探矿施工期间应划定施工活动范围</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开展槽探营地建设过程中严格控制和管理施工活动范围，不得离开施工区域，由专人负责，以防破坏土壤和植被，引发土壤流失。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严禁在大风天气施工，并对相关工作人员进行宣传教育。</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减少非生产生活车辆、机械进入开采区，施工中严格按照规划、设计施工占地要求，尽量减少地表形态破坏。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建设单位在探矿期间应按照工程需要，分清轻重缓急，合理安排生态保护工程的建设时间</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探矿工程结束后逐步落实生态恢复和补偿的工作，边探矿施工边恢复，通过采取废土回填等措施，可加快生态系统恢复和正向演替的过程，对探矿施工造成的生态破坏进行有效的补偿。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5.5.3</w:t>
            </w:r>
            <w:r>
              <w:rPr>
                <w:rFonts w:hint="eastAsia" w:ascii="Times New Roman" w:hAnsi="Times New Roman" w:eastAsia="宋体" w:cs="Times New Roman"/>
                <w:b/>
                <w:bCs/>
                <w:color w:val="auto"/>
              </w:rPr>
              <w:t>野生动物保护措施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为了有效保护矿区域内的野生动物资源，可以采取以下措施：</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在施工道路设置</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保护生态环境、保护野生动物</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等警示牌，加强对施工人员进行宣传教育，强化保护野生动物的观念，不得捕猎。车辆行驶过程中不得鸣笛惊吓野生动物。</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加强施工人员对野生动物的保护教育，提高施工人员对野生动物的保护意识。</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严禁乱捕滥猎野生动物</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制定管理制度，杜绝施工人员买卖和自制狩猎工具，严禁施工人员乱捕滥猎野生动物，做到违者必究</w:t>
            </w:r>
            <w:r>
              <w:rPr>
                <w:rFonts w:hint="eastAsia" w:ascii="Times New Roman" w:hAnsi="Times New Roman" w:eastAsia="宋体" w:cs="Times New Roman"/>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明确禁止食用地方重点保护野生动物，以及以食用为目的进行猎捕、交易、运输和非法购买等行为。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对于建设项目可能影响</w:t>
            </w:r>
            <w:r>
              <w:rPr>
                <w:rFonts w:hint="eastAsia" w:ascii="Times New Roman" w:hAnsi="Times New Roman" w:eastAsia="宋体" w:cs="Times New Roman"/>
                <w:color w:val="auto"/>
                <w:lang w:val="en-US" w:eastAsia="zh-CN"/>
              </w:rPr>
              <w:t>野生动物活动</w:t>
            </w:r>
            <w:r>
              <w:rPr>
                <w:rFonts w:hint="eastAsia" w:ascii="Times New Roman" w:hAnsi="Times New Roman" w:eastAsia="宋体" w:cs="Times New Roman"/>
                <w:color w:val="auto"/>
              </w:rPr>
              <w:t>的，要求予以避让或采取措施消除、减少不利影响。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Cs/>
                <w:color w:val="auto"/>
              </w:rPr>
            </w:pPr>
            <w:r>
              <w:rPr>
                <w:rFonts w:hint="eastAsia" w:ascii="Times New Roman" w:hAnsi="Times New Roman" w:eastAsia="宋体" w:cs="Times New Roman"/>
                <w:b/>
                <w:color w:val="auto"/>
                <w:lang w:val="en-US" w:eastAsia="zh-CN"/>
              </w:rPr>
              <w:t>5.5.4勘查</w:t>
            </w:r>
            <w:r>
              <w:rPr>
                <w:rFonts w:hint="eastAsia" w:ascii="Times New Roman" w:hAnsi="Times New Roman" w:eastAsia="宋体" w:cs="Times New Roman"/>
                <w:b/>
                <w:color w:val="auto"/>
              </w:rPr>
              <w:t>结束后的生态恢复措施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cs="Times New Roman"/>
                <w:color w:val="auto"/>
                <w:lang w:val="en-US" w:eastAsia="zh-CN"/>
              </w:rPr>
              <w:t>勘查</w:t>
            </w:r>
            <w:r>
              <w:rPr>
                <w:rFonts w:hint="eastAsia" w:ascii="Times New Roman" w:hAnsi="Times New Roman" w:eastAsia="宋体" w:cs="Times New Roman"/>
                <w:color w:val="auto"/>
              </w:rPr>
              <w:t>结束后的环境恢复和治理措施如下：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w:t>
            </w:r>
            <w:r>
              <w:rPr>
                <w:rFonts w:hint="eastAsia" w:cs="Times New Roman"/>
                <w:color w:val="auto"/>
                <w:lang w:val="en-US" w:eastAsia="zh-CN"/>
              </w:rPr>
              <w:t>勘查</w:t>
            </w:r>
            <w:r>
              <w:rPr>
                <w:rFonts w:hint="eastAsia" w:ascii="Times New Roman" w:hAnsi="Times New Roman" w:eastAsia="宋体" w:cs="Times New Roman"/>
                <w:color w:val="auto"/>
                <w:highlight w:val="none"/>
                <w:lang w:eastAsia="zh-CN"/>
              </w:rPr>
              <w:t>结束后</w:t>
            </w:r>
            <w:r>
              <w:rPr>
                <w:rFonts w:hint="default" w:ascii="宋体" w:hAnsi="宋体" w:eastAsia="宋体" w:cs="宋体"/>
                <w:color w:val="auto"/>
                <w:highlight w:val="none"/>
              </w:rPr>
              <w:t>须对临时占地范围进行平整，工程量即为项目所有临时占地，施工设备及时撤离，固体废物全部妥善处置，现场禁止遗留，占地应清理平整，尽量利用临时道路施工时产生的表层弃土对临时占地进行覆盖，然后开展植被恢复工作。恢复植被物种选择以工程占地周边植物物种为主，不得随意引入外来植物物种</w:t>
            </w:r>
            <w:r>
              <w:rPr>
                <w:rFonts w:hint="eastAsia" w:ascii="Times New Roman" w:hAnsi="Times New Roman" w:eastAsia="宋体" w:cs="Times New Roman"/>
                <w:color w:val="auto"/>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对区内各勘查施工器材统一收集、处理、不得遗留在区内。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）巡视检查</w:t>
            </w:r>
            <w:r>
              <w:rPr>
                <w:rFonts w:hint="eastAsia" w:ascii="Times New Roman" w:hAnsi="Times New Roman" w:eastAsia="宋体" w:cs="Times New Roman"/>
                <w:color w:val="auto"/>
              </w:rPr>
              <w:t>整个探矿区域，查看区域内施工迹地的生态恢复情况，发现问题及时采取相应的环境保护措施进行处理，不遗留问题。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）根</w:t>
            </w:r>
            <w:r>
              <w:rPr>
                <w:rFonts w:hint="eastAsia" w:ascii="Times New Roman" w:hAnsi="Times New Roman" w:eastAsia="宋体" w:cs="Times New Roman"/>
                <w:color w:val="auto"/>
              </w:rPr>
              <w:t>据环评要求，将人为活动限制在</w:t>
            </w:r>
            <w:r>
              <w:rPr>
                <w:rFonts w:hint="eastAsia"/>
                <w:color w:val="auto"/>
                <w:lang w:val="en-US" w:eastAsia="zh-CN"/>
              </w:rPr>
              <w:t>施工作业划定</w:t>
            </w:r>
            <w:r>
              <w:rPr>
                <w:rFonts w:hint="eastAsia" w:ascii="Times New Roman" w:hAnsi="Times New Roman" w:eastAsia="宋体" w:cs="Times New Roman"/>
                <w:color w:val="auto"/>
              </w:rPr>
              <w:t>范围内，不因地质工作深化而显著增加对区域生态环境的影响范围和程度。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cs="Times New Roman"/>
                <w:color w:val="auto"/>
                <w:lang w:val="en-US" w:eastAsia="zh-CN"/>
              </w:rPr>
              <w:t>勘查</w:t>
            </w:r>
            <w:r>
              <w:rPr>
                <w:rFonts w:hint="default" w:ascii="宋体" w:hAnsi="宋体" w:eastAsia="宋体" w:cs="宋体"/>
                <w:color w:val="auto"/>
              </w:rPr>
              <w:t>结束后，应立即停止探矿采样活动，严禁</w:t>
            </w:r>
            <w:r>
              <w:rPr>
                <w:rFonts w:hint="eastAsia" w:ascii="宋体" w:hAnsi="宋体" w:eastAsia="宋体" w:cs="宋体"/>
                <w:color w:val="auto"/>
                <w:lang w:eastAsia="zh-CN"/>
              </w:rPr>
              <w:t>“</w:t>
            </w:r>
            <w:r>
              <w:rPr>
                <w:rFonts w:hint="default" w:ascii="宋体" w:hAnsi="宋体" w:eastAsia="宋体" w:cs="宋体"/>
                <w:color w:val="auto"/>
              </w:rPr>
              <w:t>以探代采</w:t>
            </w:r>
            <w:r>
              <w:rPr>
                <w:rFonts w:hint="eastAsia" w:ascii="宋体" w:hAnsi="宋体" w:eastAsia="宋体" w:cs="宋体"/>
                <w:color w:val="auto"/>
                <w:lang w:eastAsia="zh-CN"/>
              </w:rPr>
              <w:t>”</w:t>
            </w:r>
            <w:r>
              <w:rPr>
                <w:rFonts w:hint="eastAsia" w:ascii="宋体" w:hAnsi="宋体" w:eastAsia="宋体" w:cs="宋体"/>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cs="Times New Roman"/>
                <w:color w:val="auto"/>
                <w:lang w:val="en-US" w:eastAsia="zh-CN"/>
              </w:rPr>
              <w:t>勘查</w:t>
            </w:r>
            <w:r>
              <w:rPr>
                <w:rFonts w:hint="eastAsia" w:ascii="Times New Roman" w:hAnsi="Times New Roman" w:eastAsia="宋体" w:cs="Times New Roman"/>
                <w:color w:val="auto"/>
              </w:rPr>
              <w:t>结束后，清理生活营地所有建筑设施，清除生活区所有垃圾，建筑设施可重复利用的重复利用，不可重复利用的一起通过封闭篷车运至垃圾转运站，交由环卫部门统一处置。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NewRomanPSMT" w:hAnsi="TimesNewRomanPSMT" w:eastAsia="宋体" w:cs="Times New Roman"/>
                <w:color w:val="auto"/>
                <w:lang w:eastAsia="zh-CN"/>
              </w:rPr>
              <w:t>（</w:t>
            </w:r>
            <w:r>
              <w:rPr>
                <w:rFonts w:hint="default" w:ascii="TimesNewRomanPSMT" w:hAnsi="TimesNewRomanPSMT" w:eastAsia="宋体" w:cs="Times New Roman"/>
                <w:color w:val="auto"/>
              </w:rPr>
              <w:t>7</w:t>
            </w:r>
            <w:r>
              <w:rPr>
                <w:rFonts w:hint="eastAsia" w:ascii="TimesNewRomanPSMT" w:hAnsi="TimesNewRomanPSMT" w:eastAsia="宋体" w:cs="Times New Roman"/>
                <w:color w:val="auto"/>
                <w:lang w:eastAsia="zh-CN"/>
              </w:rPr>
              <w:t>）</w:t>
            </w:r>
            <w:r>
              <w:rPr>
                <w:rFonts w:hint="eastAsia" w:ascii="Times New Roman" w:hAnsi="Times New Roman" w:eastAsia="宋体" w:cs="Times New Roman"/>
                <w:color w:val="auto"/>
              </w:rPr>
              <w:t>对原工作区内的生活营地、临时道路进行生态恢复，主要包括土地平整、</w:t>
            </w:r>
            <w:r>
              <w:rPr>
                <w:rFonts w:hint="default" w:ascii="Times New Roman" w:hAnsi="Times New Roman" w:eastAsia="宋体" w:cs="Times New Roman"/>
                <w:color w:val="auto"/>
              </w:rPr>
              <w:t>选择适应当地气候和土壤条件的本土植物，如耐旱、耐贫瘠的植物。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8</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项目勘查工作结束或阶段工作结束，应针对勘查活动造成的环境影响，根据国家法律法规、强制性标准和恢复治理设计要求，结合地方社会经济发展需求，及时开展环境恢复治理，消除勘查活动对生态环境造成的负面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eastAsia="宋体" w:cs="Times New Roman"/>
                <w:b/>
                <w:bCs/>
                <w:color w:val="auto"/>
              </w:rPr>
            </w:pPr>
            <w:r>
              <w:rPr>
                <w:rFonts w:hint="eastAsia" w:ascii="Times New Roman" w:hAnsi="Times New Roman" w:cs="Times New Roman"/>
                <w:b/>
                <w:bCs/>
                <w:color w:val="auto"/>
                <w:lang w:val="en-US" w:eastAsia="zh-CN"/>
              </w:rPr>
              <w:t>5.5.5</w:t>
            </w:r>
            <w:r>
              <w:rPr>
                <w:rFonts w:hint="eastAsia" w:ascii="Times New Roman" w:hAnsi="Times New Roman" w:eastAsia="宋体" w:cs="Times New Roman"/>
                <w:b/>
                <w:bCs/>
                <w:color w:val="auto"/>
                <w:lang w:val="en-US" w:eastAsia="zh-CN"/>
              </w:rPr>
              <w:t>防沙治沙</w:t>
            </w:r>
            <w:r>
              <w:rPr>
                <w:rFonts w:hint="eastAsia" w:ascii="Times New Roman" w:hAnsi="Times New Roman" w:eastAsia="宋体" w:cs="Times New Roman"/>
                <w:b/>
                <w:bCs/>
                <w:color w:val="auto"/>
              </w:rPr>
              <w:t>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①施工期间应划定施工活动范围，严格控制和管理运输车辆的运行线路和范围，不得离开运输</w:t>
            </w:r>
            <w:r>
              <w:rPr>
                <w:rFonts w:hint="eastAsia" w:ascii="Times New Roman" w:hAnsi="Times New Roman" w:eastAsia="宋体" w:cs="Times New Roman"/>
                <w:b w:val="0"/>
                <w:bCs w:val="0"/>
                <w:color w:val="auto"/>
                <w:lang w:eastAsia="zh-CN"/>
              </w:rPr>
              <w:t>道路</w:t>
            </w:r>
            <w:r>
              <w:rPr>
                <w:rFonts w:hint="eastAsia" w:ascii="Times New Roman" w:hAnsi="Times New Roman" w:eastAsia="宋体" w:cs="Times New Roman"/>
                <w:b w:val="0"/>
                <w:bCs w:val="0"/>
                <w:color w:val="auto"/>
              </w:rPr>
              <w:t>随意行驶，由专人负责，以防破坏土壤和植被，加剧土地沙化。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②施工土方全部用于回填，严禁随意堆置。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③施工期间严格执行生态保护措施，杜绝破坏植被、造成沙化的行为。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bCs/>
                <w:color w:val="auto"/>
              </w:rPr>
            </w:pPr>
            <w:r>
              <w:rPr>
                <w:rFonts w:hint="eastAsia" w:cs="Times New Roman"/>
                <w:b w:val="0"/>
                <w:bCs w:val="0"/>
                <w:color w:val="auto"/>
                <w:lang w:val="en-US" w:eastAsia="zh-CN"/>
              </w:rPr>
              <w:t>④</w:t>
            </w:r>
            <w:r>
              <w:rPr>
                <w:rFonts w:hint="eastAsia" w:ascii="Times New Roman" w:hAnsi="Times New Roman" w:eastAsia="宋体" w:cs="Times New Roman"/>
                <w:b w:val="0"/>
                <w:bCs w:val="0"/>
                <w:color w:val="auto"/>
              </w:rPr>
              <w:t>施工结</w:t>
            </w:r>
            <w:r>
              <w:rPr>
                <w:rFonts w:hint="eastAsia" w:cs="Times New Roman"/>
                <w:b w:val="0"/>
                <w:bCs w:val="0"/>
                <w:color w:val="auto"/>
                <w:lang w:eastAsia="zh-CN"/>
              </w:rPr>
              <w:t>束后</w:t>
            </w:r>
            <w:r>
              <w:rPr>
                <w:rFonts w:hint="eastAsia" w:ascii="Times New Roman" w:hAnsi="Times New Roman" w:eastAsia="宋体" w:cs="Times New Roman"/>
                <w:b w:val="0"/>
                <w:bCs w:val="0"/>
                <w:color w:val="auto"/>
              </w:rPr>
              <w:t>，对施工场地进行清理、平整。</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5.6</w:t>
            </w:r>
            <w:r>
              <w:rPr>
                <w:rFonts w:hint="eastAsia"/>
                <w:color w:val="auto"/>
              </w:rPr>
              <w:t>环境风险评价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环境风险评价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通过对项目在生产过程中使用的物质、各工艺系统的危险性进行识别，分析周边环境的敏感性，对项目的风险潜势进行初判，确定评价等级。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cs="Times New Roman"/>
                <w:color w:val="auto"/>
                <w:lang w:val="en-US" w:eastAsia="zh-CN"/>
              </w:rPr>
              <w:t>通过调查</w:t>
            </w:r>
            <w:r>
              <w:rPr>
                <w:rFonts w:hint="eastAsia" w:ascii="Times New Roman" w:hAnsi="Times New Roman" w:cs="Times New Roman"/>
                <w:color w:val="auto"/>
              </w:rPr>
              <w:t>本项目</w:t>
            </w:r>
            <w:r>
              <w:rPr>
                <w:rFonts w:hint="eastAsia" w:cs="Times New Roman"/>
                <w:color w:val="auto"/>
                <w:lang w:val="en-US" w:eastAsia="zh-CN"/>
              </w:rPr>
              <w:t>施工过程中无风险物质</w:t>
            </w:r>
            <w:r>
              <w:rPr>
                <w:rFonts w:hint="eastAsia" w:ascii="Times New Roman" w:hAnsi="Times New Roman" w:cs="Times New Roman"/>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2" w:hRule="atLeast"/>
        </w:trPr>
        <w:tc>
          <w:tcPr>
            <w:tcW w:w="746"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leftChars="0" w:right="0" w:firstLine="0" w:firstLineChars="0"/>
              <w:jc w:val="both"/>
              <w:rPr>
                <w:rFonts w:hint="default" w:ascii="宋体" w:hAnsi="宋体" w:cs="宋体"/>
                <w:bCs/>
                <w:color w:val="auto"/>
                <w:szCs w:val="21"/>
              </w:rPr>
            </w:pPr>
            <w:r>
              <w:rPr>
                <w:rFonts w:hint="eastAsia" w:ascii="Times New Roman" w:hAnsi="Times New Roman" w:cs="宋体"/>
                <w:color w:val="auto"/>
                <w:sz w:val="21"/>
                <w:szCs w:val="21"/>
              </w:rPr>
              <w:t>运营期生态环境保护措施</w:t>
            </w:r>
          </w:p>
        </w:tc>
        <w:tc>
          <w:tcPr>
            <w:tcW w:w="8354" w:type="dxa"/>
            <w:noWrap w:val="0"/>
            <w:vAlign w:val="center"/>
          </w:tcPr>
          <w:p>
            <w:pPr>
              <w:keepNext w:val="0"/>
              <w:keepLines w:val="0"/>
              <w:suppressLineNumbers w:val="0"/>
              <w:spacing w:before="0" w:beforeAutospacing="0" w:after="0" w:afterAutospacing="0"/>
              <w:ind w:left="0" w:right="0" w:firstLine="480"/>
              <w:rPr>
                <w:rFonts w:hint="eastAsia" w:ascii="Times New Roman" w:hAnsi="Times New Roman" w:cs="Times New Roman"/>
                <w:color w:val="auto"/>
              </w:rPr>
            </w:pPr>
            <w:r>
              <w:rPr>
                <w:rFonts w:hint="eastAsia" w:ascii="Times New Roman" w:hAnsi="Times New Roman" w:cs="Times New Roman"/>
                <w:color w:val="auto"/>
              </w:rPr>
              <w:t>本项目仅涉及</w:t>
            </w:r>
            <w:r>
              <w:rPr>
                <w:rFonts w:hint="eastAsia" w:ascii="Times New Roman" w:hAnsi="Times New Roman" w:cs="Times New Roman"/>
                <w:color w:val="auto"/>
                <w:lang w:val="en-US" w:eastAsia="zh-CN"/>
              </w:rPr>
              <w:t>矿山</w:t>
            </w:r>
            <w:r>
              <w:rPr>
                <w:rFonts w:hint="eastAsia" w:cs="Times New Roman"/>
                <w:color w:val="auto"/>
                <w:lang w:val="en-US" w:eastAsia="zh-CN"/>
              </w:rPr>
              <w:t>勘查</w:t>
            </w:r>
            <w:r>
              <w:rPr>
                <w:rFonts w:hint="eastAsia" w:ascii="Times New Roman" w:hAnsi="Times New Roman" w:cs="Times New Roman"/>
                <w:color w:val="auto"/>
              </w:rPr>
              <w:t>，不涉及采矿，</w:t>
            </w:r>
            <w:r>
              <w:rPr>
                <w:rFonts w:hint="eastAsia" w:ascii="Times New Roman" w:hAnsi="Times New Roman" w:cs="Times New Roman"/>
                <w:color w:val="auto"/>
                <w:lang w:val="en-US" w:eastAsia="zh-CN"/>
              </w:rPr>
              <w:t>无</w:t>
            </w:r>
            <w:r>
              <w:rPr>
                <w:rFonts w:hint="eastAsia" w:ascii="Times New Roman" w:hAnsi="Times New Roman" w:cs="Times New Roman"/>
                <w:color w:val="auto"/>
              </w:rPr>
              <w:t>运营期。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6"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8354" w:type="dxa"/>
            <w:noWrap w:val="0"/>
            <w:vAlign w:val="center"/>
          </w:tcPr>
          <w:p>
            <w:pPr>
              <w:pStyle w:val="2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5.7</w:t>
            </w:r>
            <w:r>
              <w:rPr>
                <w:rFonts w:hint="default"/>
                <w:color w:val="auto"/>
              </w:rPr>
              <w:t>环境管理建议</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施工期环境保护管理计划</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施工期环保管理的中心工作是：在抓好工程施工建设的同时，防止和控制施工活动对环境可能造成的污染或破坏，具体内容是：</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default" w:ascii="Times New Roman" w:hAnsi="Times New Roman" w:cs="Times New Roman"/>
                <w:color w:val="auto"/>
              </w:rPr>
              <w:t>制定工程建设过程中的污染防治措施、环保管理措施和实施办法，负责施工过程中的环保工作，督促和检查施工过程中环保措施的执行情况，发现问题，及时解决。</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default" w:ascii="Times New Roman" w:hAnsi="Times New Roman" w:cs="Times New Roman"/>
                <w:color w:val="auto"/>
              </w:rPr>
              <w:t>负责对施工过程中的污染源管理，合理安排施工机械的运行及施工作业时间，最大限度地减少施工作业产生的噪声、扬尘对环境的影响。</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落实源头分类。产废单位应按固废类别进行分类贮存，禁止将一般工业固体废物投放到生活垃圾收集设施。</w:t>
            </w:r>
            <w:r>
              <w:rPr>
                <w:rFonts w:hint="default" w:ascii="Times New Roman" w:hAnsi="Times New Roman" w:cs="Times New Roman"/>
                <w:color w:val="auto"/>
              </w:rPr>
              <w:t>对施工过程中产生的废料、生活垃圾及生活污水等进行集中统一处置，防止对环境造成不利影响。</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4</w:t>
            </w:r>
            <w:r>
              <w:rPr>
                <w:rFonts w:hint="eastAsia" w:ascii="Times New Roman" w:hAnsi="Times New Roman" w:cs="Times New Roman"/>
                <w:color w:val="auto"/>
                <w:lang w:eastAsia="zh-CN"/>
              </w:rPr>
              <w:t>）</w:t>
            </w:r>
            <w:r>
              <w:rPr>
                <w:rFonts w:hint="default" w:ascii="Times New Roman" w:hAnsi="Times New Roman" w:cs="Times New Roman"/>
                <w:color w:val="auto"/>
              </w:rPr>
              <w:t>参与施工作业管理及计划安排，防止施工造成长时间的交通中断、交通堵塞，以及公共服务设施如水、电、气、</w:t>
            </w:r>
            <w:r>
              <w:rPr>
                <w:rFonts w:hint="eastAsia" w:ascii="Times New Roman" w:hAnsi="Times New Roman" w:cs="Times New Roman"/>
                <w:color w:val="auto"/>
                <w:lang w:eastAsia="zh-CN"/>
              </w:rPr>
              <w:t>通信等</w:t>
            </w:r>
            <w:r>
              <w:rPr>
                <w:rFonts w:hint="default" w:ascii="Times New Roman" w:hAnsi="Times New Roman" w:cs="Times New Roman"/>
                <w:color w:val="auto"/>
              </w:rPr>
              <w:t>的中断。</w:t>
            </w:r>
          </w:p>
          <w:p>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sz w:val="24"/>
                <w:szCs w:val="24"/>
              </w:rPr>
              <w:t>5</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kern w:val="2"/>
                <w:sz w:val="24"/>
                <w:szCs w:val="24"/>
                <w:lang w:val="en-US" w:eastAsia="zh-CN" w:bidi="ar-SA"/>
              </w:rPr>
              <w:t>勘查责任主体应</w:t>
            </w:r>
            <w:r>
              <w:rPr>
                <w:rFonts w:hint="eastAsia" w:ascii="宋体" w:hAnsi="宋体" w:eastAsia="宋体" w:cs="宋体"/>
                <w:b w:val="0"/>
                <w:bCs w:val="0"/>
                <w:color w:val="auto"/>
                <w:kern w:val="2"/>
                <w:sz w:val="24"/>
                <w:szCs w:val="24"/>
                <w:lang w:val="en-US" w:eastAsia="zh-CN" w:bidi="ar-SA"/>
              </w:rPr>
              <w:t>建立绿色勘查监管制度，由绿色勘查监督管理机构或责任部门，对涉及本标准内容的设计、施工和成果进行审查、检查监督及验收评价。勘查过程中，责任主体应及时对绿色勘查工作进行动态监管，督促勘查施工单位认真执行绿色勘查设计要求及规范标准。绿色勘查工作中，施工单位应及时做好相关施工技术及管理工</w:t>
            </w:r>
            <w:r>
              <w:rPr>
                <w:rFonts w:hint="default" w:ascii="Times New Roman" w:hAnsi="Times New Roman" w:eastAsia="宋体" w:cs="Times New Roman"/>
                <w:b w:val="0"/>
                <w:bCs w:val="0"/>
                <w:color w:val="auto"/>
                <w:kern w:val="2"/>
                <w:sz w:val="24"/>
                <w:szCs w:val="24"/>
                <w:lang w:val="en-US" w:eastAsia="zh-CN" w:bidi="ar-SA"/>
              </w:rPr>
              <w:t>作资料的记录、收集、整理及编制归档工作，并做到真实、齐全、规范。对阶段性工作及竣工成果，应按照规定</w:t>
            </w:r>
            <w:r>
              <w:rPr>
                <w:rFonts w:hint="eastAsia" w:ascii="Times New Roman" w:hAnsi="Times New Roman" w:eastAsia="宋体" w:cs="Times New Roman"/>
                <w:b w:val="0"/>
                <w:bCs w:val="0"/>
                <w:color w:val="auto"/>
                <w:kern w:val="2"/>
                <w:sz w:val="24"/>
                <w:szCs w:val="24"/>
                <w:lang w:val="en-US" w:eastAsia="zh-CN" w:bidi="ar-SA"/>
              </w:rPr>
              <w:t>作出</w:t>
            </w:r>
            <w:r>
              <w:rPr>
                <w:rFonts w:hint="default" w:ascii="Times New Roman" w:hAnsi="Times New Roman" w:eastAsia="宋体" w:cs="Times New Roman"/>
                <w:b w:val="0"/>
                <w:bCs w:val="0"/>
                <w:color w:val="auto"/>
                <w:kern w:val="2"/>
                <w:sz w:val="24"/>
                <w:szCs w:val="24"/>
                <w:lang w:val="en-US" w:eastAsia="zh-CN" w:bidi="ar-SA"/>
              </w:rPr>
              <w:t>检验评价。</w:t>
            </w:r>
          </w:p>
          <w:p>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6）工程施工</w:t>
            </w:r>
            <w:r>
              <w:rPr>
                <w:rFonts w:hint="eastAsia" w:ascii="Times New Roman" w:hAnsi="Times New Roman" w:eastAsia="宋体" w:cs="Times New Roman"/>
                <w:b w:val="0"/>
                <w:bCs w:val="0"/>
                <w:color w:val="auto"/>
                <w:kern w:val="2"/>
                <w:sz w:val="24"/>
                <w:szCs w:val="24"/>
                <w:lang w:val="en-US" w:eastAsia="zh-CN" w:bidi="ar-SA"/>
              </w:rPr>
              <w:t>期间</w:t>
            </w:r>
            <w:r>
              <w:rPr>
                <w:rFonts w:hint="default" w:ascii="Times New Roman" w:hAnsi="Times New Roman" w:eastAsia="宋体" w:cs="Times New Roman"/>
                <w:b w:val="0"/>
                <w:bCs w:val="0"/>
                <w:color w:val="auto"/>
                <w:kern w:val="2"/>
                <w:sz w:val="24"/>
                <w:szCs w:val="24"/>
                <w:lang w:val="en-US" w:eastAsia="zh-CN" w:bidi="ar-SA"/>
              </w:rPr>
              <w:t>应首先计划安排好</w:t>
            </w:r>
            <w:r>
              <w:rPr>
                <w:rFonts w:hint="eastAsia" w:cs="Times New Roman"/>
                <w:b w:val="0"/>
                <w:bCs w:val="0"/>
                <w:color w:val="auto"/>
                <w:kern w:val="2"/>
                <w:sz w:val="24"/>
                <w:szCs w:val="24"/>
                <w:lang w:val="en-US" w:eastAsia="zh-CN" w:bidi="ar-SA"/>
              </w:rPr>
              <w:t>工程量</w:t>
            </w:r>
            <w:r>
              <w:rPr>
                <w:rFonts w:hint="default" w:ascii="Times New Roman" w:hAnsi="Times New Roman" w:eastAsia="宋体" w:cs="Times New Roman"/>
                <w:b w:val="0"/>
                <w:bCs w:val="0"/>
                <w:color w:val="auto"/>
                <w:kern w:val="2"/>
                <w:sz w:val="24"/>
                <w:szCs w:val="24"/>
                <w:lang w:val="en-US" w:eastAsia="zh-CN" w:bidi="ar-SA"/>
              </w:rPr>
              <w:t>，及时进行回填，铺平压实，并</w:t>
            </w:r>
            <w:r>
              <w:rPr>
                <w:rFonts w:hint="eastAsia" w:ascii="Times New Roman" w:hAnsi="Times New Roman" w:eastAsia="宋体" w:cs="Times New Roman"/>
                <w:b w:val="0"/>
                <w:bCs w:val="0"/>
                <w:color w:val="auto"/>
                <w:kern w:val="2"/>
                <w:sz w:val="24"/>
                <w:szCs w:val="24"/>
                <w:lang w:val="en-US" w:eastAsia="zh-CN" w:bidi="ar-SA"/>
              </w:rPr>
              <w:t>撒播</w:t>
            </w:r>
            <w:r>
              <w:rPr>
                <w:rFonts w:hint="default" w:ascii="Times New Roman" w:hAnsi="Times New Roman" w:eastAsia="宋体" w:cs="Times New Roman"/>
                <w:b w:val="0"/>
                <w:bCs w:val="0"/>
                <w:color w:val="auto"/>
                <w:kern w:val="2"/>
                <w:sz w:val="24"/>
                <w:szCs w:val="24"/>
                <w:lang w:val="en-US" w:eastAsia="zh-CN" w:bidi="ar-SA"/>
              </w:rPr>
              <w:t>草籽、长草护坡，以免发生风蚀、水蚀。</w:t>
            </w:r>
          </w:p>
          <w:p>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7）穿行普查区域无道路时，车辆应尽量避开植被行驶；</w:t>
            </w:r>
            <w:r>
              <w:rPr>
                <w:rFonts w:hint="eastAsia" w:ascii="Times New Roman" w:hAnsi="Times New Roman" w:eastAsia="宋体" w:cs="Times New Roman"/>
                <w:b w:val="0"/>
                <w:bCs w:val="0"/>
                <w:color w:val="auto"/>
                <w:kern w:val="2"/>
                <w:sz w:val="24"/>
                <w:szCs w:val="24"/>
                <w:lang w:val="en-US" w:eastAsia="zh-CN" w:bidi="ar-SA"/>
              </w:rPr>
              <w:t>通</w:t>
            </w:r>
            <w:r>
              <w:rPr>
                <w:rFonts w:hint="default" w:ascii="Times New Roman" w:hAnsi="Times New Roman" w:eastAsia="宋体" w:cs="Times New Roman"/>
                <w:b w:val="0"/>
                <w:bCs w:val="0"/>
                <w:color w:val="auto"/>
                <w:kern w:val="2"/>
                <w:sz w:val="24"/>
                <w:szCs w:val="24"/>
                <w:lang w:val="en-US" w:eastAsia="zh-CN" w:bidi="ar-SA"/>
              </w:rPr>
              <w:t>行人或车辆应走同一条道路，减少对地表的破坏。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8）在满足地质勘查</w:t>
            </w:r>
            <w:r>
              <w:rPr>
                <w:rFonts w:hint="eastAsia" w:ascii="Times New Roman" w:hAnsi="Times New Roman" w:eastAsia="宋体" w:cs="Times New Roman"/>
                <w:b w:val="0"/>
                <w:bCs w:val="0"/>
                <w:color w:val="auto"/>
                <w:kern w:val="2"/>
                <w:sz w:val="24"/>
                <w:szCs w:val="24"/>
                <w:lang w:val="en-US" w:eastAsia="zh-CN" w:bidi="ar-SA"/>
              </w:rPr>
              <w:t>目标</w:t>
            </w:r>
            <w:r>
              <w:rPr>
                <w:rFonts w:hint="default" w:ascii="Times New Roman" w:hAnsi="Times New Roman" w:eastAsia="宋体" w:cs="Times New Roman"/>
                <w:b w:val="0"/>
                <w:bCs w:val="0"/>
                <w:color w:val="auto"/>
                <w:kern w:val="2"/>
                <w:sz w:val="24"/>
                <w:szCs w:val="24"/>
                <w:lang w:val="en-US" w:eastAsia="zh-CN" w:bidi="ar-SA"/>
              </w:rPr>
              <w:t>的前提下，应控制施工规格，减少对土壤和植被的扰动。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kern w:val="2"/>
                <w:sz w:val="24"/>
                <w:szCs w:val="24"/>
                <w:lang w:val="en-US" w:eastAsia="zh-CN" w:bidi="ar-SA"/>
              </w:rPr>
              <w:t>9）交通方便，不需新修施工运输道路的地段，可采用机械化施工；交通不便、植被茂密的地段，宜采用人工开挖施工，以避免修路及机械施工造成土地、植被景观的破坏。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环境管理任务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施工筹建期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①审核工程环境影响评价成果，保证环境影响报告中有关环境保护的措施列入工程最终设计文件。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根据环境影响报告和环境保护设计报告，负责工程招投标文件及合同文件中相关环境保护条款的编制。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 MERGEFORMAT </w:instrText>
            </w:r>
            <w:r>
              <w:rPr>
                <w:rFonts w:hint="default" w:ascii="Times New Roman" w:hAnsi="Times New Roman" w:cs="Times New Roman"/>
                <w:color w:val="auto"/>
              </w:rPr>
              <w:fldChar w:fldCharType="separate"/>
            </w:r>
            <w:r>
              <w:rPr>
                <w:rFonts w:hint="eastAsia" w:ascii="宋体" w:hAnsi="宋体" w:cs="宋体"/>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筹建环境管理机构，进行环境管理人员培训。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eastAsia" w:ascii="Times New Roman" w:hAnsi="Times New Roman" w:cs="Times New Roman"/>
                <w:color w:val="auto"/>
              </w:rPr>
            </w:pP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施工工区环境管理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①</w:t>
            </w:r>
            <w:r>
              <w:rPr>
                <w:rFonts w:hint="default" w:ascii="Times New Roman" w:hAnsi="Times New Roman" w:cs="Times New Roman"/>
                <w:color w:val="auto"/>
              </w:rPr>
              <w:t>贯彻执行国家有关环境保护方针、政策及法规条例，制订工程环境保护管理具体规定与管理办法。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按照国家有关环境保护法规和工程的环境保护规定，统一管理施工工区环境保护工作。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 MERGEFORMAT </w:instrText>
            </w:r>
            <w:r>
              <w:rPr>
                <w:rFonts w:hint="default" w:ascii="Times New Roman" w:hAnsi="Times New Roman" w:cs="Times New Roman"/>
                <w:color w:val="auto"/>
              </w:rPr>
              <w:fldChar w:fldCharType="separate"/>
            </w:r>
            <w:r>
              <w:rPr>
                <w:rFonts w:hint="eastAsia" w:ascii="宋体" w:hAnsi="宋体" w:cs="宋体"/>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编制环境管理工作计划，整编监测资料，建立工程的生态与环境信息库，编制工程年度环境质量报告，并报上级主管部门和地方</w:t>
            </w:r>
            <w:r>
              <w:rPr>
                <w:rFonts w:hint="eastAsia" w:ascii="Times New Roman" w:hAnsi="Times New Roman" w:cs="Times New Roman"/>
                <w:color w:val="auto"/>
                <w:lang w:val="en-US" w:eastAsia="zh-CN"/>
              </w:rPr>
              <w:t>生态环境</w:t>
            </w:r>
            <w:r>
              <w:rPr>
                <w:rFonts w:hint="default" w:ascii="Times New Roman" w:hAnsi="Times New Roman" w:cs="Times New Roman"/>
                <w:color w:val="auto"/>
              </w:rPr>
              <w:t>部门。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4 \* GB3 \* MERGEFORMAT </w:instrText>
            </w:r>
            <w:r>
              <w:rPr>
                <w:rFonts w:hint="default" w:ascii="Times New Roman" w:hAnsi="Times New Roman" w:cs="Times New Roman"/>
                <w:color w:val="auto"/>
              </w:rPr>
              <w:fldChar w:fldCharType="separate"/>
            </w:r>
            <w:r>
              <w:rPr>
                <w:rFonts w:hint="eastAsia" w:ascii="宋体" w:hAnsi="宋体" w:cs="宋体"/>
                <w:color w:val="auto"/>
              </w:rPr>
              <w:t>④</w:t>
            </w:r>
            <w:r>
              <w:rPr>
                <w:rFonts w:hint="default" w:ascii="Times New Roman" w:hAnsi="Times New Roman" w:cs="Times New Roman"/>
                <w:color w:val="auto"/>
              </w:rPr>
              <w:fldChar w:fldCharType="end"/>
            </w:r>
            <w:r>
              <w:rPr>
                <w:rFonts w:hint="default" w:ascii="Times New Roman" w:hAnsi="Times New Roman" w:cs="Times New Roman"/>
                <w:color w:val="auto"/>
              </w:rPr>
              <w:t>加强环境监测管理，制订环境监测计划，委托有相应资质等级的环境、卫生监测等专业部门开展环境监测工作。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⑤</w:t>
            </w:r>
            <w:r>
              <w:rPr>
                <w:rFonts w:hint="default" w:ascii="Times New Roman" w:hAnsi="Times New Roman" w:cs="Times New Roman"/>
                <w:color w:val="auto"/>
              </w:rPr>
              <w:t>会同地方</w:t>
            </w:r>
            <w:r>
              <w:rPr>
                <w:rFonts w:hint="eastAsia" w:ascii="Times New Roman" w:hAnsi="Times New Roman" w:cs="Times New Roman"/>
                <w:color w:val="auto"/>
                <w:lang w:val="en-US" w:eastAsia="zh-CN"/>
              </w:rPr>
              <w:t>生态环境</w:t>
            </w:r>
            <w:r>
              <w:rPr>
                <w:rFonts w:hint="default" w:ascii="Times New Roman" w:hAnsi="Times New Roman" w:cs="Times New Roman"/>
                <w:color w:val="auto"/>
              </w:rPr>
              <w:t>部门检查、监督工程承包商执行环境保护条款的情况。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⑥</w:t>
            </w:r>
            <w:r>
              <w:rPr>
                <w:rFonts w:hint="default" w:ascii="Times New Roman" w:hAnsi="Times New Roman" w:cs="Times New Roman"/>
                <w:color w:val="auto"/>
              </w:rPr>
              <w:t>负责协调处理工程引起的环境纠纷和环境污染事故。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⑦</w:t>
            </w:r>
            <w:r>
              <w:rPr>
                <w:rFonts w:hint="default" w:ascii="Times New Roman" w:hAnsi="Times New Roman" w:cs="Times New Roman"/>
                <w:color w:val="auto"/>
              </w:rPr>
              <w:t>加强环境保护的宣传教育，负责组织实施环境管理培训工作，提高工程环境管理人员的技术水平。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cs="Times New Roman"/>
                <w:color w:val="auto"/>
                <w:lang w:val="en-US" w:eastAsia="zh-CN"/>
              </w:rPr>
              <w:t>勘查</w:t>
            </w:r>
            <w:r>
              <w:rPr>
                <w:rFonts w:hint="eastAsia" w:ascii="Times New Roman" w:hAnsi="Times New Roman" w:cs="Times New Roman"/>
                <w:color w:val="auto"/>
              </w:rPr>
              <w:t>期结束后环境管理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cs="Times New Roman"/>
                <w:color w:val="auto"/>
                <w:lang w:val="en-US" w:eastAsia="zh-CN"/>
              </w:rPr>
              <w:t>勘查</w:t>
            </w:r>
            <w:r>
              <w:rPr>
                <w:rFonts w:hint="eastAsia" w:ascii="Times New Roman" w:hAnsi="Times New Roman" w:cs="Times New Roman"/>
                <w:color w:val="auto"/>
              </w:rPr>
              <w:t>期结束后，各产污设备将停止运行，</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等排放也将停止，基本不存在</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等污染问题。主要环境问题为探矿造成的生态环境影响。</w:t>
            </w:r>
            <w:r>
              <w:rPr>
                <w:rFonts w:hint="default" w:ascii="Times New Roman" w:hAnsi="Times New Roman" w:cs="Times New Roman"/>
                <w:color w:val="auto"/>
              </w:rPr>
              <w:t>服务期满后环境管理具体要求见表</w:t>
            </w:r>
            <w:r>
              <w:rPr>
                <w:rFonts w:hint="eastAsia" w:ascii="Times New Roman" w:hAnsi="Times New Roman" w:cs="Times New Roman"/>
                <w:color w:val="auto"/>
                <w:lang w:val="en-US" w:eastAsia="zh-CN"/>
              </w:rPr>
              <w:t>5.7-1</w:t>
            </w:r>
            <w:r>
              <w:rPr>
                <w:rFonts w:hint="default" w:ascii="Times New Roman" w:hAnsi="Times New Roman" w:cs="Times New Roman"/>
                <w:color w:val="auto"/>
              </w:rPr>
              <w:t>。</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color w:val="auto"/>
              </w:rPr>
            </w:pPr>
            <w:r>
              <w:rPr>
                <w:rFonts w:hint="eastAsia" w:cs="Times New Roman"/>
                <w:color w:val="auto"/>
              </w:rPr>
              <w:t>表</w:t>
            </w:r>
            <w:r>
              <w:rPr>
                <w:rFonts w:hint="eastAsia" w:cs="Times New Roman"/>
                <w:color w:val="auto"/>
                <w:lang w:val="en-US" w:eastAsia="zh-CN"/>
              </w:rPr>
              <w:t>5.7-1</w:t>
            </w:r>
            <w:r>
              <w:rPr>
                <w:rFonts w:hint="default" w:cs="Times New Roman"/>
                <w:color w:val="auto"/>
              </w:rPr>
              <w:t xml:space="preserve">   </w:t>
            </w:r>
            <w:r>
              <w:rPr>
                <w:rFonts w:hint="eastAsia" w:cs="Times New Roman"/>
                <w:color w:val="auto"/>
                <w:lang w:val="en-US" w:eastAsia="zh-CN"/>
              </w:rPr>
              <w:t>勘查</w:t>
            </w:r>
            <w:r>
              <w:rPr>
                <w:rFonts w:hint="eastAsia" w:cs="Times New Roman"/>
                <w:color w:val="auto"/>
              </w:rPr>
              <w:t>期结束后环境管理要求</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25"/>
              <w:gridCol w:w="71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pPr>
                    <w:pStyle w:val="68"/>
                    <w:keepNext w:val="0"/>
                    <w:keepLines w:val="0"/>
                    <w:suppressLineNumbers w:val="0"/>
                    <w:spacing w:before="0" w:beforeAutospacing="0" w:after="0" w:afterAutospacing="0"/>
                    <w:ind w:right="0" w:firstLine="480"/>
                    <w:rPr>
                      <w:rFonts w:hint="default" w:ascii="Times New Roman" w:hAnsi="Times New Roman" w:cs="Times New Roman"/>
                      <w:color w:val="auto"/>
                    </w:rPr>
                  </w:pPr>
                  <w:r>
                    <w:rPr>
                      <w:rFonts w:hint="default" w:ascii="Times New Roman" w:hAnsi="Times New Roman" w:cs="Times New Roman"/>
                      <w:color w:val="auto"/>
                    </w:rPr>
                    <w:t>环境影响</w:t>
                  </w:r>
                </w:p>
              </w:tc>
              <w:tc>
                <w:tcPr>
                  <w:tcW w:w="0" w:type="auto"/>
                  <w:tcBorders>
                    <w:tl2br w:val="nil"/>
                    <w:tr2bl w:val="nil"/>
                  </w:tcBorders>
                  <w:noWrap w:val="0"/>
                  <w:vAlign w:val="center"/>
                </w:tcPr>
                <w:p>
                  <w:pPr>
                    <w:pStyle w:val="68"/>
                    <w:keepNext w:val="0"/>
                    <w:keepLines w:val="0"/>
                    <w:suppressLineNumbers w:val="0"/>
                    <w:spacing w:before="0" w:beforeAutospacing="0" w:after="0" w:afterAutospacing="0"/>
                    <w:ind w:right="0" w:firstLine="480"/>
                    <w:rPr>
                      <w:rFonts w:hint="default" w:ascii="Times New Roman" w:hAnsi="Times New Roman" w:cs="Times New Roman"/>
                      <w:color w:val="auto"/>
                    </w:rPr>
                  </w:pPr>
                  <w:r>
                    <w:rPr>
                      <w:rFonts w:hint="default" w:ascii="Times New Roman" w:hAnsi="Times New Roman" w:cs="Times New Roman"/>
                      <w:color w:val="auto"/>
                    </w:rPr>
                    <w:t>环境管理具体要求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eastAsia" w:ascii="Times New Roman" w:hAnsi="Times New Roman" w:cs="Times New Roman"/>
                      <w:color w:val="auto"/>
                    </w:rPr>
                    <w:t>废水、废气、噪声、固废</w:t>
                  </w:r>
                </w:p>
              </w:tc>
              <w:tc>
                <w:tcPr>
                  <w:tcW w:w="0" w:type="auto"/>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（1）对场内临时工程的拆除、清理及场地平整情况进行监督管理，做到工完场清，无遗留建筑垃圾与生活垃圾；</w:t>
                  </w:r>
                </w:p>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2</w:t>
                  </w:r>
                  <w:r>
                    <w:rPr>
                      <w:rFonts w:hint="default" w:ascii="Times New Roman" w:hAnsi="Times New Roman" w:cs="Times New Roman"/>
                      <w:color w:val="auto"/>
                    </w:rPr>
                    <w:t>）对勘查期产生的各类固体废物的清运、处置情况进行监督管理，确保全部按规范要求处置到位，无随意丢弃、堆存现象；</w:t>
                  </w:r>
                </w:p>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3</w:t>
                  </w:r>
                  <w:r>
                    <w:rPr>
                      <w:rFonts w:hint="default" w:ascii="Times New Roman" w:hAnsi="Times New Roman" w:cs="Times New Roman"/>
                      <w:color w:val="auto"/>
                    </w:rPr>
                    <w:t>）对生活污水的处理、排放情况进行监督管理，确保废水经处理达标后排放，无未经处理直接外排现象；</w:t>
                  </w:r>
                </w:p>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4</w:t>
                  </w:r>
                  <w:r>
                    <w:rPr>
                      <w:rFonts w:hint="default" w:ascii="Times New Roman" w:hAnsi="Times New Roman" w:cs="Times New Roman"/>
                      <w:color w:val="auto"/>
                    </w:rPr>
                    <w:t>）对勘查期废气、噪声排放的管控措施落实情况进行核查，确保无遗留废气、噪声污染问题，周边环境不受影响。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pPr>
                    <w:pStyle w:val="68"/>
                    <w:keepNext w:val="0"/>
                    <w:keepLines w:val="0"/>
                    <w:suppressLineNumbers w:val="0"/>
                    <w:spacing w:before="0" w:beforeAutospacing="0" w:after="0" w:afterAutospacing="0"/>
                    <w:ind w:right="0"/>
                    <w:jc w:val="center"/>
                    <w:rPr>
                      <w:rFonts w:hint="eastAsia" w:ascii="Times New Roman" w:hAnsi="Times New Roman" w:cs="Times New Roman"/>
                      <w:color w:val="auto"/>
                    </w:rPr>
                  </w:pPr>
                  <w:r>
                    <w:rPr>
                      <w:rFonts w:hint="eastAsia" w:ascii="Times New Roman" w:hAnsi="Times New Roman" w:cs="Times New Roman"/>
                      <w:color w:val="auto"/>
                    </w:rPr>
                    <w:t>生态环境影响</w:t>
                  </w:r>
                </w:p>
              </w:tc>
              <w:tc>
                <w:tcPr>
                  <w:tcW w:w="0" w:type="auto"/>
                  <w:tcBorders>
                    <w:tl2br w:val="nil"/>
                    <w:tr2bl w:val="nil"/>
                  </w:tcBorders>
                  <w:noWrap w:val="0"/>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对场地生态恢复措施落实情况进行监督管理；</w:t>
                  </w:r>
                </w:p>
                <w:p>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在</w:t>
                  </w:r>
                  <w:r>
                    <w:rPr>
                      <w:rFonts w:hint="eastAsia" w:cs="Times New Roman"/>
                      <w:color w:val="auto"/>
                      <w:lang w:val="en-US" w:eastAsia="zh-CN"/>
                    </w:rPr>
                    <w:t>勘查</w:t>
                  </w:r>
                  <w:r>
                    <w:rPr>
                      <w:rFonts w:hint="eastAsia" w:ascii="Times New Roman" w:hAnsi="Times New Roman" w:cs="Times New Roman"/>
                      <w:color w:val="auto"/>
                    </w:rPr>
                    <w:t>期满前落实闭坑计划的编制情况；</w:t>
                  </w:r>
                </w:p>
                <w:p>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严格按照土地复垦要求，对探矿区复垦情况进行监督管理；</w:t>
                  </w:r>
                </w:p>
              </w:tc>
            </w:tr>
          </w:tbl>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①</w:t>
            </w:r>
            <w:r>
              <w:rPr>
                <w:rFonts w:hint="default" w:ascii="宋体" w:hAnsi="宋体" w:eastAsia="宋体" w:cs="Times New Roman"/>
                <w:b w:val="0"/>
                <w:bCs w:val="0"/>
                <w:color w:val="auto"/>
                <w:kern w:val="0"/>
                <w:sz w:val="24"/>
                <w:szCs w:val="24"/>
                <w:lang w:val="en-US" w:eastAsia="zh-CN" w:bidi="ar-SA"/>
              </w:rPr>
              <w:t>场地清理</w:t>
            </w:r>
          </w:p>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勘查施工区</w:t>
            </w:r>
            <w:r>
              <w:rPr>
                <w:rFonts w:hint="eastAsia" w:ascii="宋体" w:hAnsi="宋体" w:eastAsia="宋体" w:cs="Times New Roman"/>
                <w:b w:val="0"/>
                <w:bCs w:val="0"/>
                <w:color w:val="auto"/>
                <w:kern w:val="0"/>
                <w:sz w:val="24"/>
                <w:szCs w:val="24"/>
                <w:lang w:val="en-US" w:eastAsia="zh-CN" w:bidi="ar-SA"/>
              </w:rPr>
              <w:t>（</w:t>
            </w:r>
            <w:r>
              <w:rPr>
                <w:rFonts w:hint="default" w:ascii="宋体" w:hAnsi="宋体" w:eastAsia="宋体" w:cs="Times New Roman"/>
                <w:b w:val="0"/>
                <w:bCs w:val="0"/>
                <w:color w:val="auto"/>
                <w:kern w:val="0"/>
                <w:sz w:val="24"/>
                <w:szCs w:val="24"/>
                <w:lang w:val="en-US" w:eastAsia="zh-CN" w:bidi="ar-SA"/>
              </w:rPr>
              <w:t>点</w:t>
            </w:r>
            <w:r>
              <w:rPr>
                <w:rFonts w:hint="eastAsia" w:ascii="宋体" w:hAnsi="宋体" w:eastAsia="宋体" w:cs="Times New Roman"/>
                <w:b w:val="0"/>
                <w:bCs w:val="0"/>
                <w:color w:val="auto"/>
                <w:kern w:val="0"/>
                <w:sz w:val="24"/>
                <w:szCs w:val="24"/>
                <w:lang w:val="en-US" w:eastAsia="zh-CN" w:bidi="ar-SA"/>
              </w:rPr>
              <w:t>）</w:t>
            </w:r>
            <w:r>
              <w:rPr>
                <w:rFonts w:hint="default" w:ascii="宋体" w:hAnsi="宋体" w:eastAsia="宋体" w:cs="Times New Roman"/>
                <w:b w:val="0"/>
                <w:bCs w:val="0"/>
                <w:color w:val="auto"/>
                <w:kern w:val="0"/>
                <w:sz w:val="24"/>
                <w:szCs w:val="24"/>
                <w:lang w:val="en-US" w:eastAsia="zh-CN" w:bidi="ar-SA"/>
              </w:rPr>
              <w:t>工作结束后，应及时拆除现场施工设备、物资和临时设施，清除现场各类杂物、垃圾及污染物。</w:t>
            </w:r>
          </w:p>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②</w:t>
            </w:r>
            <w:r>
              <w:rPr>
                <w:rFonts w:hint="default" w:ascii="宋体" w:hAnsi="宋体" w:eastAsia="宋体" w:cs="Times New Roman"/>
                <w:b w:val="0"/>
                <w:bCs w:val="0"/>
                <w:color w:val="auto"/>
                <w:kern w:val="0"/>
                <w:sz w:val="24"/>
                <w:szCs w:val="24"/>
                <w:lang w:val="en-US" w:eastAsia="zh-CN" w:bidi="ar-SA"/>
              </w:rPr>
              <w:t>场地恢复平整</w:t>
            </w:r>
          </w:p>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场地恢复平整应根据恢复治理设计要求，结合现场情况，尽可能按原始地形地貌平整。难以复原的地段，应按恢复治理设计场地平整标高进行平整，尽可能与自然环境相协调。</w:t>
            </w:r>
          </w:p>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场地平整工作不应产生新的挖损破坏，应彻底清除场地上污染物。</w:t>
            </w:r>
          </w:p>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③</w:t>
            </w:r>
            <w:r>
              <w:rPr>
                <w:rFonts w:hint="default" w:ascii="宋体" w:hAnsi="宋体" w:eastAsia="宋体" w:cs="Times New Roman"/>
                <w:b w:val="0"/>
                <w:bCs w:val="0"/>
                <w:color w:val="auto"/>
                <w:kern w:val="0"/>
                <w:sz w:val="24"/>
                <w:szCs w:val="24"/>
                <w:lang w:val="en-US" w:eastAsia="zh-CN" w:bidi="ar-SA"/>
              </w:rPr>
              <w:t>场地覆土</w:t>
            </w:r>
          </w:p>
          <w:p>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snapToGrid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场地的覆土厚度及土质应符合恢复地类的复绿设计及相关行业的规</w:t>
            </w:r>
            <w:r>
              <w:rPr>
                <w:rFonts w:hint="eastAsia" w:ascii="宋体" w:hAnsi="宋体" w:eastAsia="宋体" w:cs="Times New Roman"/>
                <w:b w:val="0"/>
                <w:bCs w:val="0"/>
                <w:color w:val="auto"/>
                <w:kern w:val="0"/>
                <w:sz w:val="24"/>
                <w:szCs w:val="24"/>
                <w:lang w:val="en-US" w:eastAsia="zh-CN" w:bidi="ar-SA"/>
              </w:rPr>
              <w:t>范和</w:t>
            </w:r>
            <w:r>
              <w:rPr>
                <w:rFonts w:hint="default" w:ascii="宋体" w:hAnsi="宋体" w:eastAsia="宋体" w:cs="Times New Roman"/>
                <w:b w:val="0"/>
                <w:bCs w:val="0"/>
                <w:color w:val="auto"/>
                <w:kern w:val="0"/>
                <w:sz w:val="24"/>
                <w:szCs w:val="24"/>
                <w:lang w:val="en-US" w:eastAsia="zh-CN" w:bidi="ar-SA"/>
              </w:rPr>
              <w:t>标准要求。仅压占未挖损及污染的场地，满足相关规定和设计恢复治理要求。</w:t>
            </w:r>
          </w:p>
          <w:p>
            <w:pPr>
              <w:pStyle w:val="26"/>
              <w:keepNext w:val="0"/>
              <w:keepLines w:val="0"/>
              <w:pageBreakBefore w:val="0"/>
              <w:suppressLineNumbers w:val="0"/>
              <w:kinsoku/>
              <w:wordWrap/>
              <w:overflowPunct/>
              <w:topLinePunct w:val="0"/>
              <w:bidi w:val="0"/>
              <w:snapToGrid/>
              <w:spacing w:before="0" w:beforeAutospacing="0" w:after="0" w:afterAutospacing="0" w:line="500" w:lineRule="exact"/>
              <w:ind w:left="0" w:right="0"/>
              <w:jc w:val="both"/>
              <w:textAlignment w:val="auto"/>
              <w:outlineLvl w:val="9"/>
              <w:rPr>
                <w:rFonts w:hint="eastAsia" w:eastAsia="宋体"/>
                <w:color w:val="auto"/>
                <w:lang w:eastAsia="zh-CN"/>
              </w:rPr>
            </w:pPr>
            <w:r>
              <w:rPr>
                <w:rFonts w:hint="eastAsia"/>
                <w:color w:val="auto"/>
                <w:lang w:val="en-US" w:eastAsia="zh-CN"/>
              </w:rPr>
              <w:t>5.8</w:t>
            </w:r>
            <w:r>
              <w:rPr>
                <w:rFonts w:hint="eastAsia"/>
                <w:color w:val="auto"/>
              </w:rPr>
              <w:t>环境保护</w:t>
            </w:r>
            <w:r>
              <w:rPr>
                <w:rFonts w:hint="eastAsia"/>
                <w:color w:val="auto"/>
                <w:lang w:eastAsia="zh-CN"/>
              </w:rPr>
              <w:t>“</w:t>
            </w:r>
            <w:r>
              <w:rPr>
                <w:rFonts w:hint="eastAsia"/>
                <w:color w:val="auto"/>
              </w:rPr>
              <w:t>三同时</w:t>
            </w:r>
            <w:r>
              <w:rPr>
                <w:rFonts w:hint="eastAsia"/>
                <w:color w:val="auto"/>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szCs w:val="32"/>
              </w:rPr>
            </w:pPr>
            <w:r>
              <w:rPr>
                <w:rFonts w:hint="eastAsia" w:ascii="Times New Roman" w:hAnsi="Times New Roman" w:cs="Times New Roman"/>
                <w:color w:val="auto"/>
                <w:szCs w:val="32"/>
              </w:rPr>
              <w:t>落实环境保护</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三同时</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w:t>
            </w:r>
            <w:r>
              <w:rPr>
                <w:rFonts w:hint="eastAsia" w:cs="Times New Roman"/>
                <w:color w:val="auto"/>
                <w:lang w:val="en-US" w:eastAsia="zh-CN"/>
              </w:rPr>
              <w:t>勘查</w:t>
            </w:r>
            <w:r>
              <w:rPr>
                <w:rFonts w:hint="eastAsia" w:ascii="Times New Roman" w:hAnsi="Times New Roman" w:cs="Times New Roman"/>
                <w:color w:val="auto"/>
                <w:szCs w:val="32"/>
              </w:rPr>
              <w:t>项目应同时配套建设环境保护措施，环境保护措施均已正常运行后，方可开展</w:t>
            </w:r>
            <w:r>
              <w:rPr>
                <w:rFonts w:hint="eastAsia" w:cs="Times New Roman"/>
                <w:color w:val="auto"/>
                <w:lang w:val="en-US" w:eastAsia="zh-CN"/>
              </w:rPr>
              <w:t>勘查</w:t>
            </w:r>
            <w:r>
              <w:rPr>
                <w:rFonts w:hint="eastAsia" w:ascii="Times New Roman" w:hAnsi="Times New Roman" w:cs="Times New Roman"/>
                <w:color w:val="auto"/>
                <w:szCs w:val="32"/>
              </w:rPr>
              <w:t>工作。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6" w:type="dxa"/>
            <w:noWrap w:val="0"/>
            <w:tcMar>
              <w:left w:w="28" w:type="dxa"/>
              <w:right w:w="28"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环保</w:t>
            </w:r>
          </w:p>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投资</w:t>
            </w:r>
          </w:p>
        </w:tc>
        <w:tc>
          <w:tcPr>
            <w:tcW w:w="8354" w:type="dxa"/>
            <w:noWrap w:val="0"/>
            <w:vAlign w:val="center"/>
          </w:tcPr>
          <w:p>
            <w:pPr>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5.9环保投资</w:t>
            </w:r>
          </w:p>
          <w:p>
            <w:pPr>
              <w:keepNext w:val="0"/>
              <w:keepLines w:val="0"/>
              <w:suppressLineNumbers w:val="0"/>
              <w:spacing w:before="0" w:beforeAutospacing="0" w:after="0" w:afterAutospacing="0"/>
              <w:ind w:left="0" w:right="0" w:firstLine="480"/>
              <w:rPr>
                <w:rFonts w:hint="default" w:ascii="Times New Roman" w:hAnsi="Times New Roman" w:cs="Times New Roman"/>
                <w:b/>
                <w:bCs/>
                <w:color w:val="auto"/>
                <w:szCs w:val="32"/>
              </w:rPr>
            </w:pPr>
            <w:r>
              <w:rPr>
                <w:rFonts w:hint="default" w:ascii="Times New Roman" w:hAnsi="Times New Roman" w:cs="Times New Roman"/>
                <w:color w:val="auto"/>
              </w:rPr>
              <w:t>项目环境保护投资总计</w:t>
            </w:r>
            <w:r>
              <w:rPr>
                <w:rFonts w:hint="eastAsia" w:cs="Times New Roman"/>
                <w:color w:val="auto"/>
                <w:lang w:val="en-US" w:eastAsia="zh-CN"/>
              </w:rPr>
              <w:t>13</w:t>
            </w:r>
            <w:r>
              <w:rPr>
                <w:rFonts w:hint="default" w:ascii="Times New Roman" w:hAnsi="Times New Roman" w:cs="Times New Roman"/>
                <w:color w:val="auto"/>
              </w:rPr>
              <w:t>万元，占总投资</w:t>
            </w:r>
            <w:r>
              <w:rPr>
                <w:rFonts w:hint="eastAsia" w:cs="Times New Roman"/>
                <w:color w:val="auto"/>
                <w:lang w:val="en-US" w:eastAsia="zh-CN"/>
              </w:rPr>
              <w:t>78.93</w:t>
            </w:r>
            <w:r>
              <w:rPr>
                <w:rFonts w:hint="default" w:ascii="Times New Roman" w:hAnsi="Times New Roman" w:cs="Times New Roman"/>
                <w:color w:val="auto"/>
              </w:rPr>
              <w:t>万元的</w:t>
            </w:r>
            <w:r>
              <w:rPr>
                <w:rFonts w:hint="eastAsia" w:cs="Times New Roman"/>
                <w:color w:val="auto"/>
                <w:lang w:val="en-US" w:eastAsia="zh-CN"/>
              </w:rPr>
              <w:t>16.47</w:t>
            </w:r>
            <w:r>
              <w:rPr>
                <w:rFonts w:hint="default" w:ascii="Times New Roman" w:hAnsi="Times New Roman" w:cs="Times New Roman"/>
                <w:color w:val="auto"/>
              </w:rPr>
              <w:t>%，项目环保措施及投资见</w:t>
            </w:r>
            <w:r>
              <w:rPr>
                <w:rFonts w:hint="eastAsia" w:ascii="Times New Roman" w:hAnsi="Times New Roman" w:cs="Times New Roman"/>
                <w:color w:val="auto"/>
              </w:rPr>
              <w:t>下表。</w:t>
            </w:r>
          </w:p>
          <w:p>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default" w:cs="Times New Roman"/>
                <w:color w:val="auto"/>
              </w:rPr>
              <w:t>表</w:t>
            </w:r>
            <w:r>
              <w:rPr>
                <w:rFonts w:hint="eastAsia" w:cs="Times New Roman"/>
                <w:color w:val="auto"/>
                <w:lang w:val="en-US" w:eastAsia="zh-CN"/>
              </w:rPr>
              <w:t>5.9-1</w:t>
            </w:r>
            <w:r>
              <w:rPr>
                <w:rFonts w:hint="default" w:cs="Times New Roman"/>
                <w:color w:val="auto"/>
              </w:rPr>
              <w:t xml:space="preserve">   环保</w:t>
            </w:r>
            <w:r>
              <w:rPr>
                <w:rFonts w:hint="eastAsia" w:cs="Times New Roman"/>
                <w:color w:val="auto"/>
              </w:rPr>
              <w:t>措施及</w:t>
            </w:r>
            <w:r>
              <w:rPr>
                <w:rFonts w:hint="default" w:cs="Times New Roman"/>
                <w:color w:val="auto"/>
              </w:rPr>
              <w:t>投资估算一览表</w:t>
            </w:r>
          </w:p>
          <w:tbl>
            <w:tblPr>
              <w:tblStyle w:val="2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582"/>
              <w:gridCol w:w="1029"/>
              <w:gridCol w:w="5815"/>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tblHeader/>
                <w:jc w:val="center"/>
              </w:trPr>
              <w:tc>
                <w:tcPr>
                  <w:tcW w:w="1611" w:type="dxa"/>
                  <w:gridSpan w:val="2"/>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项目</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环保措施</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环保费用</w:t>
                  </w:r>
                  <w:r>
                    <w:rPr>
                      <w:rFonts w:hint="eastAsia" w:ascii="Times New Roman" w:hAnsi="Times New Roman" w:cs="Times New Roman"/>
                      <w:color w:val="auto"/>
                      <w:lang w:eastAsia="zh-CN"/>
                    </w:rPr>
                    <w:t>（</w:t>
                  </w:r>
                  <w:r>
                    <w:rPr>
                      <w:rFonts w:hint="eastAsia" w:ascii="Times New Roman" w:hAnsi="Times New Roman" w:cs="Times New Roman"/>
                      <w:color w:val="auto"/>
                    </w:rPr>
                    <w:t>万元</w:t>
                  </w:r>
                  <w:r>
                    <w:rPr>
                      <w:rFonts w:hint="eastAsia" w:ascii="Times New Roman" w:hAnsi="Times New Roman" w:cs="Times New Roman"/>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废气</w:t>
                  </w:r>
                </w:p>
              </w:tc>
              <w:tc>
                <w:tcPr>
                  <w:tcW w:w="1029" w:type="dxa"/>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扬尘</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对</w:t>
                  </w:r>
                  <w:r>
                    <w:rPr>
                      <w:rFonts w:hint="eastAsia" w:ascii="Times New Roman" w:hAnsi="Times New Roman" w:cs="Times New Roman"/>
                      <w:color w:val="auto"/>
                      <w:lang w:val="en-US" w:eastAsia="zh-CN"/>
                    </w:rPr>
                    <w:t>土方</w:t>
                  </w:r>
                  <w:r>
                    <w:rPr>
                      <w:rFonts w:hint="eastAsia" w:ascii="Times New Roman" w:hAnsi="Times New Roman" w:cs="Times New Roman"/>
                      <w:color w:val="auto"/>
                    </w:rPr>
                    <w:t>堆</w:t>
                  </w:r>
                  <w:r>
                    <w:rPr>
                      <w:rFonts w:hint="default" w:ascii="Times New Roman" w:hAnsi="Times New Roman" w:cs="Times New Roman"/>
                      <w:color w:val="auto"/>
                    </w:rPr>
                    <w:t>表面</w:t>
                  </w:r>
                  <w:r>
                    <w:rPr>
                      <w:rFonts w:hint="eastAsia" w:ascii="Times New Roman" w:hAnsi="Times New Roman" w:cs="Times New Roman"/>
                      <w:color w:val="auto"/>
                    </w:rPr>
                    <w:t>压实</w:t>
                  </w:r>
                  <w:r>
                    <w:rPr>
                      <w:rFonts w:hint="default" w:ascii="Times New Roman" w:hAnsi="Times New Roman" w:cs="Times New Roman"/>
                      <w:color w:val="auto"/>
                    </w:rPr>
                    <w:t>、覆盖</w:t>
                  </w:r>
                  <w:r>
                    <w:rPr>
                      <w:rFonts w:hint="eastAsia" w:ascii="Times New Roman" w:hAnsi="Times New Roman" w:cs="Times New Roman"/>
                      <w:color w:val="auto"/>
                    </w:rPr>
                    <w:t>、洒水降尘</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废水</w:t>
                  </w:r>
                </w:p>
              </w:tc>
              <w:tc>
                <w:tcPr>
                  <w:tcW w:w="1029"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rPr>
                  </w:pPr>
                  <w:r>
                    <w:rPr>
                      <w:rFonts w:hint="eastAsia" w:ascii="Times New Roman" w:hAnsi="Times New Roman" w:cs="Times New Roman"/>
                      <w:color w:val="auto"/>
                    </w:rPr>
                    <w:t>生活</w:t>
                  </w:r>
                  <w:r>
                    <w:rPr>
                      <w:rFonts w:hint="eastAsia" w:ascii="Times New Roman" w:hAnsi="Times New Roman" w:cs="Times New Roman"/>
                      <w:color w:val="auto"/>
                      <w:lang w:val="en-US" w:eastAsia="zh-CN"/>
                    </w:rPr>
                    <w:t>污水</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噪声</w:t>
                  </w:r>
                </w:p>
              </w:tc>
              <w:tc>
                <w:tcPr>
                  <w:tcW w:w="1029" w:type="dxa"/>
                  <w:tcBorders>
                    <w:tl2br w:val="nil"/>
                    <w:tr2bl w:val="nil"/>
                  </w:tcBorders>
                  <w:noWrap w:val="0"/>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机械噪声</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cs="Times New Roman"/>
                      <w:color w:val="auto"/>
                      <w:lang w:val="en-US" w:eastAsia="zh-CN"/>
                    </w:rPr>
                    <w:t>低噪声设备及时保养和维修，使设备处于良好的技术状态</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restart"/>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固体</w:t>
                  </w:r>
                </w:p>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废物</w:t>
                  </w:r>
                </w:p>
              </w:tc>
              <w:tc>
                <w:tcPr>
                  <w:tcW w:w="1029" w:type="dxa"/>
                  <w:tcBorders>
                    <w:tl2br w:val="nil"/>
                    <w:tr2bl w:val="nil"/>
                  </w:tcBorders>
                  <w:shd w:val="clear" w:color="auto" w:fill="auto"/>
                  <w:noWrap w:val="0"/>
                  <w:vAlign w:val="center"/>
                </w:tcPr>
                <w:p>
                  <w:pPr>
                    <w:pStyle w:val="68"/>
                    <w:keepNext w:val="0"/>
                    <w:keepLines w:val="0"/>
                    <w:suppressLineNumbers w:val="0"/>
                    <w:spacing w:before="0" w:beforeAutospacing="0" w:after="0" w:afterAutospacing="0"/>
                    <w:ind w:left="0" w:leftChars="0" w:right="0" w:rightChars="0" w:firstLine="0" w:firstLineChars="0"/>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rPr>
                    <w:t>生活垃圾</w:t>
                  </w:r>
                </w:p>
              </w:tc>
              <w:tc>
                <w:tcPr>
                  <w:tcW w:w="5815" w:type="dxa"/>
                  <w:tcBorders>
                    <w:tl2br w:val="nil"/>
                    <w:tr2bl w:val="nil"/>
                  </w:tcBorders>
                  <w:shd w:val="clear" w:color="auto" w:fill="auto"/>
                  <w:noWrap w:val="0"/>
                  <w:tcMar>
                    <w:top w:w="57" w:type="dxa"/>
                    <w:bottom w:w="57" w:type="dxa"/>
                  </w:tcMar>
                  <w:vAlign w:val="center"/>
                </w:tcPr>
                <w:p>
                  <w:pPr>
                    <w:pStyle w:val="68"/>
                    <w:keepNext w:val="0"/>
                    <w:keepLines w:val="0"/>
                    <w:suppressLineNumbers w:val="0"/>
                    <w:spacing w:before="0" w:beforeAutospacing="0" w:after="0" w:afterAutospacing="0"/>
                    <w:ind w:left="0" w:leftChars="0" w:right="0" w:rightChars="0" w:firstLine="0" w:firstLineChars="0"/>
                    <w:jc w:val="both"/>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kern w:val="0"/>
                      <w:szCs w:val="21"/>
                      <w:lang w:val="en-US" w:eastAsia="zh-CN"/>
                    </w:rPr>
                    <w:t>生活垃圾采用垃圾袋集中收集后定期清运至最近垃圾收集点</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continue"/>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029" w:type="dxa"/>
                  <w:tcBorders>
                    <w:tl2br w:val="nil"/>
                    <w:tr2bl w:val="nil"/>
                  </w:tcBorders>
                  <w:noWrap w:val="0"/>
                  <w:vAlign w:val="center"/>
                </w:tcPr>
                <w:p>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底泥</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left="0" w:leftChars="0" w:right="0" w:firstLine="0" w:firstLineChars="0"/>
                    <w:jc w:val="both"/>
                    <w:rPr>
                      <w:rFonts w:hint="eastAsia" w:ascii="Times New Roman" w:hAnsi="Times New Roman" w:cs="Times New Roman"/>
                      <w:color w:val="auto"/>
                    </w:rPr>
                  </w:pP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shd w:val="clear" w:color="auto" w:fill="FFFFFF"/>
                      <w:lang w:val="en-US" w:eastAsia="zh-CN"/>
                    </w:rPr>
                  </w:pPr>
                  <w:r>
                    <w:rPr>
                      <w:rFonts w:hint="eastAsia" w:ascii="Times New Roman" w:hAnsi="Times New Roman" w:cs="Times New Roman"/>
                      <w:color w:val="auto"/>
                      <w:highlight w:val="none"/>
                      <w:shd w:val="clear" w:color="auto" w:fill="FFFFFF"/>
                      <w:lang w:val="en-US" w:eastAsia="zh-CN"/>
                    </w:rPr>
                    <w:t>环境风险预防措施</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rPr>
                    <w:t>加强对风险物质的管理，</w:t>
                  </w:r>
                  <w:r>
                    <w:rPr>
                      <w:rFonts w:hint="eastAsia" w:ascii="Times New Roman" w:hAnsi="Times New Roman" w:cs="Times New Roman"/>
                      <w:color w:val="auto"/>
                      <w:lang w:val="en-US" w:eastAsia="zh-CN"/>
                    </w:rPr>
                    <w:t>配备防泄漏工具</w:t>
                  </w:r>
                  <w:r>
                    <w:rPr>
                      <w:rFonts w:hint="eastAsia" w:cs="Times New Roman"/>
                      <w:color w:val="auto"/>
                      <w:lang w:val="en-US" w:eastAsia="zh-CN"/>
                    </w:rPr>
                    <w:t>，</w:t>
                  </w:r>
                  <w:r>
                    <w:rPr>
                      <w:rFonts w:hint="eastAsia" w:ascii="Times New Roman" w:hAnsi="Times New Roman" w:cs="Times New Roman"/>
                      <w:color w:val="auto"/>
                    </w:rPr>
                    <w:t>规范员工的操作规程</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定期巡检</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shd w:val="clear" w:color="auto" w:fill="FFFFFF"/>
                      <w:lang w:val="en-US" w:eastAsia="zh-CN"/>
                    </w:rPr>
                  </w:pPr>
                  <w:r>
                    <w:rPr>
                      <w:rFonts w:hint="eastAsia" w:ascii="Times New Roman" w:hAnsi="Times New Roman" w:cs="Times New Roman"/>
                      <w:color w:val="auto"/>
                      <w:lang w:val="en-US" w:eastAsia="zh-CN"/>
                    </w:rPr>
                    <w:t>服务期满后，土地复垦等措施</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cs="Times New Roman"/>
                      <w:color w:val="auto"/>
                      <w:highlight w:val="none"/>
                    </w:rPr>
                  </w:pPr>
                  <w:r>
                    <w:rPr>
                      <w:rFonts w:hint="eastAsia" w:ascii="Times New Roman" w:hAnsi="Times New Roman" w:cs="Times New Roman"/>
                      <w:color w:val="auto"/>
                    </w:rPr>
                    <w:t>严格按照土地复垦要求，</w:t>
                  </w:r>
                  <w:r>
                    <w:rPr>
                      <w:rFonts w:hint="default" w:ascii="Times New Roman" w:hAnsi="Times New Roman" w:cs="Times New Roman"/>
                      <w:color w:val="auto"/>
                    </w:rPr>
                    <w:t>对场内临时工程拆除、清理及场地平整</w:t>
                  </w:r>
                  <w:r>
                    <w:rPr>
                      <w:rFonts w:hint="eastAsia" w:cs="Times New Roman"/>
                      <w:color w:val="auto"/>
                      <w:lang w:eastAsia="zh-CN"/>
                    </w:rPr>
                    <w:t>，</w:t>
                  </w:r>
                  <w:r>
                    <w:rPr>
                      <w:rFonts w:hint="eastAsia" w:ascii="Times New Roman" w:hAnsi="Times New Roman" w:cs="Times New Roman"/>
                      <w:color w:val="auto"/>
                    </w:rPr>
                    <w:t>对探矿区复垦情况进行监督管理</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其它</w:t>
                  </w:r>
                </w:p>
              </w:tc>
              <w:tc>
                <w:tcPr>
                  <w:tcW w:w="5815"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加强环境管理，对作业人员开展生态环境保护宣传教育</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7426" w:type="dxa"/>
                  <w:gridSpan w:val="3"/>
                  <w:tcBorders>
                    <w:tl2br w:val="nil"/>
                    <w:tr2bl w:val="nil"/>
                  </w:tcBorders>
                  <w:noWrap w:val="0"/>
                  <w:vAlign w:val="top"/>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合计</w:t>
                  </w:r>
                </w:p>
              </w:tc>
              <w:tc>
                <w:tcPr>
                  <w:tcW w:w="1533" w:type="dxa"/>
                  <w:tcBorders>
                    <w:tl2br w:val="nil"/>
                    <w:tr2bl w:val="nil"/>
                  </w:tcBorders>
                  <w:noWrap w:val="0"/>
                  <w:tcMar>
                    <w:top w:w="57" w:type="dxa"/>
                    <w:bottom w:w="57" w:type="dxa"/>
                  </w:tcMar>
                  <w:vAlign w:val="center"/>
                </w:tcPr>
                <w:p>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13</w:t>
                  </w:r>
                </w:p>
              </w:tc>
            </w:tr>
          </w:tbl>
          <w:p>
            <w:pPr>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szCs w:val="32"/>
              </w:rPr>
            </w:pPr>
          </w:p>
        </w:tc>
      </w:tr>
    </w:tbl>
    <w:p>
      <w:pPr>
        <w:pStyle w:val="7"/>
        <w:rPr>
          <w:rFonts w:hint="eastAsia"/>
          <w:snapToGrid w:val="0"/>
          <w:color w:val="auto"/>
        </w:rPr>
        <w:sectPr>
          <w:footerReference r:id="rId12"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7"/>
        <w:rPr>
          <w:snapToGrid w:val="0"/>
          <w:color w:val="auto"/>
        </w:rPr>
      </w:pPr>
      <w:r>
        <w:rPr>
          <w:rFonts w:hint="eastAsia"/>
          <w:snapToGrid w:val="0"/>
          <w:color w:val="auto"/>
        </w:rPr>
        <w:t>六、</w:t>
      </w:r>
      <w:bookmarkStart w:id="4" w:name="_Hlk54167917"/>
      <w:r>
        <w:rPr>
          <w:rFonts w:hint="eastAsia"/>
          <w:snapToGrid w:val="0"/>
          <w:color w:val="auto"/>
        </w:rPr>
        <w:t>生态环境保护措施监督检查清单</w:t>
      </w:r>
      <w:bookmarkEnd w:id="4"/>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2126"/>
        <w:gridCol w:w="2268"/>
        <w:gridCol w:w="1559"/>
        <w:gridCol w:w="13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38" w:type="dxa"/>
            <w:vMerge w:val="restart"/>
            <w:tcBorders>
              <w:tl2br w:val="single" w:color="auto" w:sz="4" w:space="0"/>
            </w:tcBorders>
            <w:noWrap w:val="0"/>
            <w:vAlign w:val="top"/>
          </w:tcPr>
          <w:p>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 xml:space="preserve"> </w:t>
            </w:r>
            <w:r>
              <w:rPr>
                <w:rFonts w:hint="default" w:ascii="Times New Roman" w:hAnsi="Times New Roman" w:cs="Times New Roman"/>
                <w:color w:val="auto"/>
              </w:rPr>
              <w:t xml:space="preserve">    </w:t>
            </w:r>
            <w:r>
              <w:rPr>
                <w:rFonts w:hint="eastAsia" w:ascii="Times New Roman" w:hAnsi="Times New Roman" w:cs="Times New Roman"/>
                <w:color w:val="auto"/>
              </w:rPr>
              <w:t>内容</w:t>
            </w:r>
          </w:p>
          <w:p>
            <w:pPr>
              <w:pStyle w:val="68"/>
              <w:keepNext w:val="0"/>
              <w:keepLines w:val="0"/>
              <w:suppressLineNumbers w:val="0"/>
              <w:spacing w:before="0" w:beforeAutospacing="0" w:after="0" w:afterAutospacing="0"/>
              <w:ind w:right="0"/>
              <w:rPr>
                <w:rFonts w:hint="default" w:ascii="Times New Roman" w:hAnsi="Times New Roman" w:cs="Times New Roman"/>
                <w:color w:val="auto"/>
              </w:rPr>
            </w:pPr>
          </w:p>
          <w:p>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要素</w:t>
            </w:r>
          </w:p>
        </w:tc>
        <w:tc>
          <w:tcPr>
            <w:tcW w:w="4394" w:type="dxa"/>
            <w:gridSpan w:val="2"/>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施工期</w:t>
            </w:r>
          </w:p>
        </w:tc>
        <w:tc>
          <w:tcPr>
            <w:tcW w:w="2868" w:type="dxa"/>
            <w:gridSpan w:val="2"/>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运营期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538" w:type="dxa"/>
            <w:vMerge w:val="continue"/>
            <w:tcBorders>
              <w:tl2br w:val="single" w:color="auto" w:sz="4" w:space="0"/>
            </w:tcBorders>
            <w:noWrap w:val="0"/>
            <w:vAlign w:val="top"/>
          </w:tcPr>
          <w:p>
            <w:pPr>
              <w:pStyle w:val="68"/>
              <w:keepNext w:val="0"/>
              <w:keepLines w:val="0"/>
              <w:suppressLineNumbers w:val="0"/>
              <w:spacing w:before="0" w:beforeAutospacing="0" w:after="0" w:afterAutospacing="0"/>
              <w:ind w:right="0"/>
              <w:rPr>
                <w:rFonts w:hint="eastAsia" w:ascii="宋体" w:hAnsi="宋体" w:cs="宋体"/>
                <w:color w:val="auto"/>
                <w:szCs w:val="21"/>
              </w:rPr>
            </w:pPr>
          </w:p>
        </w:tc>
        <w:tc>
          <w:tcPr>
            <w:tcW w:w="2126"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环境保护措施</w:t>
            </w:r>
          </w:p>
        </w:tc>
        <w:tc>
          <w:tcPr>
            <w:tcW w:w="226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验收要求</w:t>
            </w:r>
          </w:p>
        </w:tc>
        <w:tc>
          <w:tcPr>
            <w:tcW w:w="1559"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环境保护措施</w:t>
            </w:r>
          </w:p>
        </w:tc>
        <w:tc>
          <w:tcPr>
            <w:tcW w:w="1309"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陆生生态</w:t>
            </w:r>
          </w:p>
        </w:tc>
        <w:tc>
          <w:tcPr>
            <w:tcW w:w="2126"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default" w:ascii="Times New Roman" w:hAnsi="Times New Roman" w:cs="Times New Roman"/>
                <w:color w:val="auto"/>
              </w:rPr>
              <w:t>施工期间在项目用地范围内施工，严禁超范围施工，注意对</w:t>
            </w:r>
            <w:r>
              <w:rPr>
                <w:rFonts w:hint="eastAsia" w:ascii="Times New Roman" w:hAnsi="Times New Roman" w:cs="Times New Roman"/>
                <w:color w:val="auto"/>
              </w:rPr>
              <w:t>项目周围</w:t>
            </w:r>
            <w:r>
              <w:rPr>
                <w:rFonts w:hint="default" w:ascii="Times New Roman" w:hAnsi="Times New Roman" w:cs="Times New Roman"/>
                <w:color w:val="auto"/>
              </w:rPr>
              <w:t>植被的保护，施工结束后及时采取工程和植物措施对临时用地进行迹地恢复</w:t>
            </w:r>
          </w:p>
        </w:tc>
        <w:tc>
          <w:tcPr>
            <w:tcW w:w="226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宋体"/>
                <w:color w:val="auto"/>
              </w:rPr>
            </w:pPr>
            <w:r>
              <w:rPr>
                <w:rFonts w:hint="default" w:ascii="Times New Roman" w:hAnsi="Times New Roman" w:cs="Times New Roman"/>
                <w:color w:val="auto"/>
              </w:rPr>
              <w:t>严格限制施工作业范围，禁止破坏施工作业外的地表植被，临时占地复垦到原状态</w:t>
            </w:r>
          </w:p>
        </w:tc>
        <w:tc>
          <w:tcPr>
            <w:tcW w:w="1559"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水生生态</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地表水环境</w:t>
            </w:r>
          </w:p>
        </w:tc>
        <w:tc>
          <w:tcPr>
            <w:tcW w:w="2126" w:type="dxa"/>
            <w:noWrap w:val="0"/>
            <w:vAlign w:val="center"/>
          </w:tcPr>
          <w:p>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lang w:val="en-US" w:eastAsia="zh-CN"/>
              </w:rPr>
              <w:t>生活污水一体化处理设施</w:t>
            </w:r>
          </w:p>
        </w:tc>
        <w:tc>
          <w:tcPr>
            <w:tcW w:w="2268" w:type="dxa"/>
            <w:noWrap w:val="0"/>
            <w:vAlign w:val="center"/>
          </w:tcPr>
          <w:p>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color w:val="auto"/>
                <w:lang w:val="en-US" w:eastAsia="zh-CN"/>
              </w:rPr>
              <w:t>生活污水进入</w:t>
            </w:r>
            <w:r>
              <w:rPr>
                <w:rFonts w:hint="eastAsia" w:ascii="Times New Roman" w:hAnsi="Times New Roman" w:cs="Times New Roman"/>
                <w:color w:val="auto"/>
                <w:lang w:val="en-US" w:eastAsia="zh-CN"/>
              </w:rPr>
              <w:t>一体化处理设施</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lang w:val="en-US" w:eastAsia="zh-CN"/>
              </w:rPr>
              <w:t>处理</w:t>
            </w:r>
            <w:r>
              <w:rPr>
                <w:rFonts w:hint="eastAsia" w:ascii="Times New Roman" w:hAnsi="Times New Roman" w:cs="Times New Roman"/>
                <w:color w:val="auto"/>
                <w:highlight w:val="none"/>
                <w:lang w:val="en-US" w:eastAsia="zh-CN"/>
              </w:rPr>
              <w:t>后用于草地灌溉</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地下水及土壤环境</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声环境</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Times New Roman" w:hAnsi="Times New Roman" w:cs="Times New Roman"/>
                <w:color w:val="auto"/>
                <w:szCs w:val="21"/>
              </w:rPr>
              <w:t>夜间应禁止施工作业；合理进行施工总平</w:t>
            </w:r>
            <w:r>
              <w:rPr>
                <w:rFonts w:hint="eastAsia" w:cs="Times New Roman"/>
                <w:color w:val="auto"/>
                <w:szCs w:val="21"/>
                <w:lang w:val="en-US" w:eastAsia="zh-CN"/>
              </w:rPr>
              <w:t>面</w:t>
            </w:r>
            <w:r>
              <w:rPr>
                <w:rFonts w:hint="eastAsia" w:ascii="Times New Roman" w:hAnsi="Times New Roman" w:cs="Times New Roman"/>
                <w:color w:val="auto"/>
                <w:szCs w:val="21"/>
              </w:rPr>
              <w:t>布置；采用低噪声设备并做好施工机械的保养和维护；对高噪声设备采取隔声措施</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rPr>
              <w:t>《</w:t>
            </w:r>
            <w:r>
              <w:rPr>
                <w:rFonts w:hint="eastAsia" w:ascii="Times New Roman" w:hAnsi="Times New Roman" w:cs="Times New Roman"/>
                <w:color w:val="auto"/>
              </w:rPr>
              <w:t>工业企业厂界环境噪声排放标准</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GB</w:t>
            </w:r>
            <w:r>
              <w:rPr>
                <w:rFonts w:hint="eastAsia" w:ascii="Times New Roman" w:hAnsi="Times New Roman" w:cs="Times New Roman"/>
                <w:color w:val="auto"/>
              </w:rPr>
              <w:t>12348</w:t>
            </w:r>
            <w:r>
              <w:rPr>
                <w:rFonts w:hint="default" w:ascii="Times New Roman" w:hAnsi="Times New Roman" w:cs="Times New Roman"/>
                <w:color w:val="auto"/>
              </w:rPr>
              <w:t>-2008</w:t>
            </w:r>
            <w:r>
              <w:rPr>
                <w:rFonts w:hint="eastAsia" w:ascii="Times New Roman" w:hAnsi="Times New Roman" w:cs="Times New Roman"/>
                <w:color w:val="auto"/>
                <w:lang w:eastAsia="zh-CN"/>
              </w:rPr>
              <w:t>）</w:t>
            </w:r>
            <w:r>
              <w:rPr>
                <w:rFonts w:hint="default" w:ascii="Times New Roman" w:hAnsi="Times New Roman" w:cs="Times New Roman"/>
                <w:color w:val="auto"/>
              </w:rPr>
              <w:t>中的</w:t>
            </w:r>
            <w:r>
              <w:rPr>
                <w:rFonts w:hint="eastAsia" w:ascii="Times New Roman" w:hAnsi="Times New Roman" w:cs="Times New Roman"/>
                <w:color w:val="auto"/>
              </w:rPr>
              <w:t>2类</w:t>
            </w:r>
            <w:r>
              <w:rPr>
                <w:rFonts w:hint="default" w:ascii="Times New Roman" w:hAnsi="Times New Roman" w:cs="Times New Roman"/>
                <w:color w:val="auto"/>
              </w:rPr>
              <w:t>标准</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振动</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大气环境</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施工扬尘洒水降尘</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宋体" w:hAnsi="宋体" w:cs="宋体"/>
                <w:color w:val="auto"/>
                <w:szCs w:val="21"/>
              </w:rPr>
              <w:t>《大气污染物排放标准》</w:t>
            </w:r>
            <w:r>
              <w:rPr>
                <w:rFonts w:hint="eastAsia" w:ascii="宋体" w:hAnsi="宋体" w:cs="宋体"/>
                <w:color w:val="auto"/>
                <w:szCs w:val="21"/>
                <w:lang w:eastAsia="zh-CN"/>
              </w:rPr>
              <w:t>（</w:t>
            </w:r>
            <w:r>
              <w:rPr>
                <w:rFonts w:hint="default" w:ascii="Times New Roman" w:hAnsi="Times New Roman" w:cs="Times New Roman"/>
                <w:color w:val="auto"/>
                <w:szCs w:val="21"/>
              </w:rPr>
              <w:t>GB16297-1996</w:t>
            </w:r>
            <w:r>
              <w:rPr>
                <w:rFonts w:hint="eastAsia" w:ascii="宋体" w:hAnsi="宋体" w:cs="宋体"/>
                <w:color w:val="auto"/>
                <w:szCs w:val="21"/>
                <w:lang w:eastAsia="zh-CN"/>
              </w:rPr>
              <w:t>）</w:t>
            </w:r>
            <w:r>
              <w:rPr>
                <w:rFonts w:hint="eastAsia" w:ascii="宋体" w:hAnsi="宋体" w:cs="宋体"/>
                <w:color w:val="auto"/>
                <w:szCs w:val="21"/>
              </w:rPr>
              <w:t>表</w:t>
            </w:r>
            <w:r>
              <w:rPr>
                <w:rFonts w:hint="default" w:ascii="Times New Roman" w:hAnsi="Times New Roman" w:cs="Times New Roman"/>
                <w:color w:val="auto"/>
                <w:szCs w:val="21"/>
              </w:rPr>
              <w:t>2</w:t>
            </w:r>
            <w:r>
              <w:rPr>
                <w:rFonts w:hint="eastAsia" w:ascii="宋体" w:hAnsi="宋体" w:cs="宋体"/>
                <w:color w:val="auto"/>
                <w:szCs w:val="21"/>
              </w:rPr>
              <w:t>无组织排放监控浓度限值</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固体废物</w:t>
            </w:r>
          </w:p>
        </w:tc>
        <w:tc>
          <w:tcPr>
            <w:tcW w:w="2126" w:type="dxa"/>
            <w:noWrap w:val="0"/>
            <w:vAlign w:val="center"/>
          </w:tcPr>
          <w:p>
            <w:pPr>
              <w:pStyle w:val="68"/>
              <w:keepNext w:val="0"/>
              <w:keepLines w:val="0"/>
              <w:suppressLineNumbers w:val="0"/>
              <w:spacing w:before="0" w:beforeAutospacing="0" w:after="0" w:afterAutospacing="0"/>
              <w:ind w:right="0"/>
              <w:rPr>
                <w:rFonts w:hint="default" w:ascii="宋体" w:hAnsi="宋体" w:cs="宋体"/>
                <w:color w:val="auto"/>
                <w:szCs w:val="21"/>
                <w:lang w:val="en-US"/>
              </w:rPr>
            </w:pPr>
            <w:r>
              <w:rPr>
                <w:rFonts w:hint="eastAsia" w:ascii="Times New Roman" w:hAnsi="Times New Roman" w:cs="Times New Roman"/>
                <w:color w:val="auto"/>
                <w:szCs w:val="21"/>
              </w:rPr>
              <w:t>剥离的表土用于回填和土地恢复</w:t>
            </w:r>
            <w:r>
              <w:rPr>
                <w:rFonts w:hint="default" w:ascii="Times New Roman" w:hAnsi="Times New Roman" w:cs="Times New Roman"/>
                <w:color w:val="auto"/>
              </w:rPr>
              <w:t>；</w:t>
            </w:r>
            <w:r>
              <w:rPr>
                <w:rFonts w:hint="eastAsia" w:ascii="Times New Roman" w:hAnsi="Times New Roman" w:cs="Times New Roman"/>
                <w:color w:val="auto"/>
                <w:kern w:val="0"/>
                <w:szCs w:val="21"/>
                <w:lang w:val="en-US" w:eastAsia="zh-CN"/>
              </w:rPr>
              <w:t>生活垃圾采用垃圾袋集中收集后定期清运至最近垃圾收集点；</w:t>
            </w: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szCs w:val="21"/>
              </w:rPr>
              <w:t>施工期的</w:t>
            </w:r>
            <w:r>
              <w:rPr>
                <w:rFonts w:hint="eastAsia" w:ascii="Times New Roman" w:hAnsi="Times New Roman" w:cs="Times New Roman"/>
                <w:color w:val="auto"/>
                <w:szCs w:val="21"/>
                <w:lang w:val="en-US" w:eastAsia="zh-CN"/>
              </w:rPr>
              <w:t>固体废物</w:t>
            </w:r>
            <w:r>
              <w:rPr>
                <w:rFonts w:hint="default" w:ascii="Times New Roman" w:hAnsi="Times New Roman" w:cs="Times New Roman"/>
                <w:color w:val="auto"/>
                <w:szCs w:val="21"/>
              </w:rPr>
              <w:t>妥善</w:t>
            </w:r>
            <w:r>
              <w:rPr>
                <w:rFonts w:hint="eastAsia" w:ascii="Times New Roman" w:hAnsi="Times New Roman" w:cs="Times New Roman"/>
                <w:color w:val="auto"/>
                <w:szCs w:val="21"/>
                <w:lang w:eastAsia="zh-CN"/>
              </w:rPr>
              <w:t>地</w:t>
            </w:r>
            <w:r>
              <w:rPr>
                <w:rFonts w:hint="default" w:ascii="Times New Roman" w:hAnsi="Times New Roman" w:cs="Times New Roman"/>
                <w:color w:val="auto"/>
                <w:szCs w:val="21"/>
              </w:rPr>
              <w:t>处理</w:t>
            </w:r>
            <w:r>
              <w:rPr>
                <w:rFonts w:hint="eastAsia" w:ascii="Times New Roman" w:hAnsi="Times New Roman" w:cs="Times New Roman"/>
                <w:color w:val="auto"/>
                <w:szCs w:val="21"/>
              </w:rPr>
              <w:t>，不随意堆弃</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电磁环境</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环境风险</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eastAsia="宋体" w:cs="宋体"/>
                <w:color w:val="auto"/>
                <w:szCs w:val="21"/>
                <w:lang w:eastAsia="zh-CN"/>
              </w:rPr>
            </w:pPr>
            <w:r>
              <w:rPr>
                <w:rFonts w:hint="eastAsia" w:cs="Times New Roman"/>
                <w:color w:val="auto"/>
                <w:szCs w:val="21"/>
                <w:lang w:val="en-US" w:eastAsia="zh-CN"/>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加强劳动安全管理，制定完备、有效的安全防范措施</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环境监测</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2126"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bl>
    <w:p>
      <w:pPr>
        <w:ind w:left="0" w:leftChars="0" w:firstLine="0" w:firstLineChars="0"/>
        <w:rPr>
          <w:snapToGrid w:val="0"/>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ind w:left="0" w:leftChars="0" w:firstLine="0" w:firstLineChars="0"/>
        <w:rPr>
          <w:snapToGrid w:val="0"/>
          <w:color w:val="auto"/>
        </w:rPr>
      </w:pPr>
    </w:p>
    <w:p>
      <w:pPr>
        <w:pStyle w:val="7"/>
        <w:rPr>
          <w:snapToGrid w:val="0"/>
          <w:color w:val="auto"/>
        </w:rPr>
      </w:pPr>
      <w:r>
        <w:rPr>
          <w:rFonts w:hint="eastAsia"/>
          <w:snapToGrid w:val="0"/>
          <w:color w:val="auto"/>
        </w:rPr>
        <w:t>七、结论</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88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eastAsia" w:ascii="Times New Roman" w:hAnsi="Times New Roman" w:cs="Times New Roman"/>
                <w:b/>
                <w:bCs/>
                <w:color w:val="auto"/>
                <w:szCs w:val="32"/>
                <w:lang w:val="en-US" w:eastAsia="zh-CN"/>
              </w:rPr>
              <w:t>7.1</w:t>
            </w:r>
            <w:r>
              <w:rPr>
                <w:rFonts w:hint="eastAsia" w:ascii="Times New Roman" w:hAnsi="Times New Roman" w:cs="Times New Roman"/>
                <w:b/>
                <w:bCs/>
                <w:color w:val="auto"/>
                <w:szCs w:val="32"/>
              </w:rPr>
              <w:t>建设项目环境可行性结论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本项目符合国家产业政策。该项目工程区内不涉及集中式饮用水源保护区、不涉及保护文物、不涉及风景名胜区及生态敏感区，不会对当地城镇发展规划造成影响。项目拟采取的三废治理措施有效可行。该</w:t>
            </w:r>
            <w:r>
              <w:rPr>
                <w:rFonts w:hint="eastAsia" w:ascii="Times New Roman" w:hAnsi="Times New Roman" w:cs="Times New Roman"/>
                <w:color w:val="auto"/>
                <w:lang w:val="en-US" w:eastAsia="zh-CN"/>
              </w:rPr>
              <w:t>项目</w:t>
            </w:r>
            <w:r>
              <w:rPr>
                <w:rFonts w:hint="eastAsia" w:ascii="Times New Roman" w:hAnsi="Times New Roman" w:cs="Times New Roman"/>
                <w:color w:val="auto"/>
              </w:rPr>
              <w:t>采取的环境风险措施切实可行。在落实风险防范措施后，环境风险达到可以接受水平。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综上所述，在施工过程中强化环保管理，落实各项环保措施，保证各项设施正常运行，从环境保护角度分析，本项目建设是可行的。</w:t>
            </w:r>
          </w:p>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color w:val="auto"/>
              </w:rPr>
            </w:pPr>
            <w:r>
              <w:rPr>
                <w:rFonts w:hint="eastAsia"/>
                <w:color w:val="auto"/>
                <w:lang w:val="en-US" w:eastAsia="zh-CN"/>
              </w:rPr>
              <w:t>7.2</w:t>
            </w:r>
            <w:r>
              <w:rPr>
                <w:rFonts w:hint="eastAsia"/>
                <w:color w:val="auto"/>
              </w:rPr>
              <w:t>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认真落实</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及噪声等环保措施，确保固体废物得到有效处置，设备噪声得到有效控制，以保护环境不受影响。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加强废水、固体废物储运过程管理，建立相应的管理制度。</w:t>
            </w: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right="0" w:firstLine="480"/>
              <w:rPr>
                <w:rFonts w:hint="default" w:ascii="宋体" w:hAnsi="Times New Roman" w:cs="宋体"/>
                <w:color w:val="auto"/>
              </w:rPr>
            </w:pPr>
          </w:p>
          <w:p>
            <w:pPr>
              <w:keepNext w:val="0"/>
              <w:keepLines w:val="0"/>
              <w:suppressLineNumbers w:val="0"/>
              <w:spacing w:before="0" w:beforeAutospacing="0" w:after="0" w:afterAutospacing="0"/>
              <w:ind w:left="0" w:leftChars="0" w:right="0" w:firstLine="0" w:firstLineChars="0"/>
              <w:rPr>
                <w:rFonts w:hint="eastAsia" w:ascii="宋体" w:hAnsi="Times New Roman" w:cs="宋体"/>
                <w:color w:val="auto"/>
              </w:rPr>
            </w:pPr>
          </w:p>
        </w:tc>
      </w:tr>
    </w:tbl>
    <w:p>
      <w:pPr>
        <w:ind w:firstLine="480"/>
        <w:rPr>
          <w:rFonts w:hint="eastAsia" w:ascii="宋体" w:cs="宋体"/>
          <w:color w:val="auto"/>
        </w:rPr>
      </w:pPr>
    </w:p>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494078-12DD-4C59-937D-6F5FA38370A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AD5A4FFB-7770-49F8-9930-E90B7D9C4839}"/>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3" w:fontKey="{3F0F4F67-0CA2-41F0-9D2F-90AEBE3F8EA2}"/>
  </w:font>
  <w:font w:name="方正小标宋_GBK">
    <w:panose1 w:val="03000509000000000000"/>
    <w:charset w:val="86"/>
    <w:family w:val="auto"/>
    <w:pitch w:val="default"/>
    <w:sig w:usb0="00000001" w:usb1="080E0000" w:usb2="00000000" w:usb3="00000000" w:csb0="00040000" w:csb1="00000000"/>
    <w:embedRegular r:id="rId4" w:fontKey="{797608BC-46B0-4C58-8100-A9D542027714}"/>
  </w:font>
  <w:font w:name="楷体_GB2312">
    <w:panose1 w:val="02010609030101010101"/>
    <w:charset w:val="86"/>
    <w:family w:val="modern"/>
    <w:pitch w:val="default"/>
    <w:sig w:usb0="00000001" w:usb1="080E0000" w:usb2="00000000" w:usb3="00000000" w:csb0="00040000" w:csb1="00000000"/>
    <w:embedRegular r:id="rId5" w:fontKey="{89647CCE-8D26-40D4-9964-8AA94917535D}"/>
  </w:font>
  <w:font w:name="Wingdings 2">
    <w:panose1 w:val="05020102010507070707"/>
    <w:charset w:val="02"/>
    <w:family w:val="roman"/>
    <w:pitch w:val="default"/>
    <w:sig w:usb0="00000000" w:usb1="00000000" w:usb2="00000000" w:usb3="00000000" w:csb0="80000000" w:csb1="00000000"/>
    <w:embedRegular r:id="rId6" w:fontKey="{7DEF135D-D3F0-4E0E-9424-952A038AB22C}"/>
  </w:font>
  <w:font w:name="Cambria Math">
    <w:panose1 w:val="02040503050406030204"/>
    <w:charset w:val="00"/>
    <w:family w:val="auto"/>
    <w:pitch w:val="default"/>
    <w:sig w:usb0="E00002FF" w:usb1="420024FF" w:usb2="00000000" w:usb3="00000000" w:csb0="2000019F" w:csb1="00000000"/>
    <w:embedRegular r:id="rId7" w:fontKey="{6A9D6AF6-4A85-4672-83C5-C114996D3B73}"/>
  </w:font>
  <w:font w:name="TimesNewRomanPSMT">
    <w:altName w:val="Times New Roman"/>
    <w:panose1 w:val="00000000000000000000"/>
    <w:charset w:val="00"/>
    <w:family w:val="roman"/>
    <w:pitch w:val="default"/>
    <w:sig w:usb0="00000000" w:usb1="00000000" w:usb2="00000000" w:usb3="00000000" w:csb0="00040001" w:csb1="00000000"/>
    <w:embedRegular r:id="rId8" w:fontKey="{5E6A0279-0510-4EE3-9B26-2B2BA8E097C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ind w:firstLine="360"/>
      <w:rPr>
        <w:rStyle w:val="32"/>
      </w:rPr>
    </w:pPr>
    <w:r>
      <w:fldChar w:fldCharType="begin"/>
    </w:r>
    <w:r>
      <w:rPr>
        <w:rStyle w:val="32"/>
      </w:rPr>
      <w:instrText xml:space="preserve">PAGE  </w:instrText>
    </w:r>
    <w:r>
      <w:fldChar w:fldCharType="end"/>
    </w:r>
  </w:p>
  <w:p>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ww/a98BAADBAwAADgAAAAAA&#10;AAABACAAAAAeAQAAZHJzL2Uyb0RvYy54bWxQSwUGAAAAAAYABgBZAQAAbwU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0" w:leftChars="0" w:right="360" w:firstLine="0" w:firstLineChars="0"/>
      <w:jc w:val="both"/>
    </w:pPr>
    <w:r>
      <w:rPr>
        <w:sz w:val="18"/>
      </w:rPr>
      <mc:AlternateContent>
        <mc:Choice Requires="wps">
          <w:drawing>
            <wp:anchor distT="0" distB="0" distL="114300" distR="114300" simplePos="0" relativeHeight="251660288" behindDoc="0" locked="0" layoutInCell="1" allowOverlap="1">
              <wp:simplePos x="0" y="0"/>
              <wp:positionH relativeFrom="margin">
                <wp:posOffset>2575560</wp:posOffset>
              </wp:positionH>
              <wp:positionV relativeFrom="paragraph">
                <wp:posOffset>-98425</wp:posOffset>
              </wp:positionV>
              <wp:extent cx="350520" cy="234950"/>
              <wp:effectExtent l="0" t="0" r="0" b="0"/>
              <wp:wrapNone/>
              <wp:docPr id="3" name="文本框 2051"/>
              <wp:cNvGraphicFramePr/>
              <a:graphic xmlns:a="http://schemas.openxmlformats.org/drawingml/2006/main">
                <a:graphicData uri="http://schemas.microsoft.com/office/word/2010/wordprocessingShape">
                  <wps:wsp>
                    <wps:cNvSpPr txBox="1"/>
                    <wps:spPr>
                      <a:xfrm>
                        <a:off x="0" y="0"/>
                        <a:ext cx="350520" cy="234950"/>
                      </a:xfrm>
                      <a:prstGeom prst="rect">
                        <a:avLst/>
                      </a:prstGeom>
                      <a:noFill/>
                      <a:ln>
                        <a:noFill/>
                      </a:ln>
                    </wps:spPr>
                    <wps:txbx>
                      <w:txbxContent>
                        <w:p>
                          <w:pPr>
                            <w:pStyle w:val="18"/>
                            <w:ind w:left="0" w:leftChars="0" w:firstLine="0" w:firstLineChars="0"/>
                          </w:pPr>
                          <w:r>
                            <w:fldChar w:fldCharType="begin"/>
                          </w:r>
                          <w:r>
                            <w:instrText xml:space="preserve"> PAGE  \* MERGEFORMAT </w:instrText>
                          </w:r>
                          <w:r>
                            <w:fldChar w:fldCharType="separate"/>
                          </w:r>
                          <w:r>
                            <w:t>37</w:t>
                          </w:r>
                          <w:r>
                            <w:fldChar w:fldCharType="end"/>
                          </w:r>
                        </w:p>
                      </w:txbxContent>
                    </wps:txbx>
                    <wps:bodyPr vert="horz" wrap="square" lIns="0" tIns="0" rIns="0" bIns="0" anchor="t" anchorCtr="0" upright="0"/>
                  </wps:wsp>
                </a:graphicData>
              </a:graphic>
            </wp:anchor>
          </w:drawing>
        </mc:Choice>
        <mc:Fallback>
          <w:pict>
            <v:shape id="文本框 2051" o:spid="_x0000_s1026" o:spt="202" type="#_x0000_t202" style="position:absolute;left:0pt;margin-left:202.8pt;margin-top:-7.75pt;height:18.5pt;width:27.6pt;mso-position-horizontal-relative:margin;z-index:251660288;mso-width-relative:page;mso-height-relative:page;" filled="f" stroked="f" coordsize="21600,21600" o:gfxdata="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Y+XgNkAAAAKAQAADwAA&#10;AAAAAAABACAAAAAiAAAAZHJzL2Rvd25yZXYueG1sUEsBAhQAFAAAAAgAh07iQEnWSaDcAQAApwMA&#10;AA4AAAAAAAAAAQAgAAAAKAEAAGRycy9lMm9Eb2MueG1sUEsFBgAAAAAGAAYAWQEAAHYFAAAAAA==&#10;">
              <v:fill on="f" focussize="0,0"/>
              <v:stroke on="f"/>
              <v:imagedata o:title=""/>
              <o:lock v:ext="edit" aspectratio="f"/>
              <v:textbox inset="0mm,0mm,0mm,0mm">
                <w:txbxContent>
                  <w:p>
                    <w:pPr>
                      <w:pStyle w:val="18"/>
                      <w:ind w:left="0" w:leftChars="0" w:firstLine="0" w:firstLineChars="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EE58A4"/>
    <w:multiLevelType w:val="singleLevel"/>
    <w:tmpl w:val="21EE58A4"/>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哦">
    <w15:presenceInfo w15:providerId="None" w15:userId="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Nzc2ZTJkNzU3Mjg2ZmFjNWJmZGJjNWExZTQxODEifQ=="/>
  </w:docVars>
  <w:rsids>
    <w:rsidRoot w:val="00A14947"/>
    <w:rsid w:val="000051F2"/>
    <w:rsid w:val="000060B3"/>
    <w:rsid w:val="00007708"/>
    <w:rsid w:val="00013A4F"/>
    <w:rsid w:val="00016C72"/>
    <w:rsid w:val="00024A6A"/>
    <w:rsid w:val="00024F91"/>
    <w:rsid w:val="00031899"/>
    <w:rsid w:val="00032D5B"/>
    <w:rsid w:val="000371EC"/>
    <w:rsid w:val="00037D03"/>
    <w:rsid w:val="00041573"/>
    <w:rsid w:val="0004197C"/>
    <w:rsid w:val="0004364B"/>
    <w:rsid w:val="000439DC"/>
    <w:rsid w:val="000465AA"/>
    <w:rsid w:val="00051FEB"/>
    <w:rsid w:val="00054525"/>
    <w:rsid w:val="00055D78"/>
    <w:rsid w:val="000600A1"/>
    <w:rsid w:val="00061B1F"/>
    <w:rsid w:val="00063FFB"/>
    <w:rsid w:val="000641BE"/>
    <w:rsid w:val="00067299"/>
    <w:rsid w:val="0007245A"/>
    <w:rsid w:val="000733C4"/>
    <w:rsid w:val="00074783"/>
    <w:rsid w:val="00075E8F"/>
    <w:rsid w:val="0008070B"/>
    <w:rsid w:val="00080B6B"/>
    <w:rsid w:val="000810AC"/>
    <w:rsid w:val="00081A02"/>
    <w:rsid w:val="00082231"/>
    <w:rsid w:val="00084E16"/>
    <w:rsid w:val="00086269"/>
    <w:rsid w:val="000873A9"/>
    <w:rsid w:val="00087989"/>
    <w:rsid w:val="00092D38"/>
    <w:rsid w:val="0009377B"/>
    <w:rsid w:val="000966F1"/>
    <w:rsid w:val="000A0DFB"/>
    <w:rsid w:val="000A20C9"/>
    <w:rsid w:val="000A296A"/>
    <w:rsid w:val="000A47AB"/>
    <w:rsid w:val="000A7D81"/>
    <w:rsid w:val="000B04E9"/>
    <w:rsid w:val="000B058F"/>
    <w:rsid w:val="000B3906"/>
    <w:rsid w:val="000B4467"/>
    <w:rsid w:val="000B4DB9"/>
    <w:rsid w:val="000B5238"/>
    <w:rsid w:val="000C09AC"/>
    <w:rsid w:val="000C1F86"/>
    <w:rsid w:val="000C767F"/>
    <w:rsid w:val="000D5A44"/>
    <w:rsid w:val="000D6769"/>
    <w:rsid w:val="000E16CA"/>
    <w:rsid w:val="000E334F"/>
    <w:rsid w:val="000E3ED2"/>
    <w:rsid w:val="000E4E11"/>
    <w:rsid w:val="000E7167"/>
    <w:rsid w:val="000F1021"/>
    <w:rsid w:val="0010690F"/>
    <w:rsid w:val="00110DA0"/>
    <w:rsid w:val="0011118E"/>
    <w:rsid w:val="00112A0C"/>
    <w:rsid w:val="00112DFF"/>
    <w:rsid w:val="001143FF"/>
    <w:rsid w:val="001225EE"/>
    <w:rsid w:val="00123BFC"/>
    <w:rsid w:val="00124D27"/>
    <w:rsid w:val="00125FEB"/>
    <w:rsid w:val="00127413"/>
    <w:rsid w:val="00131F42"/>
    <w:rsid w:val="00132258"/>
    <w:rsid w:val="0013341D"/>
    <w:rsid w:val="001357F1"/>
    <w:rsid w:val="00140FA8"/>
    <w:rsid w:val="00142FEB"/>
    <w:rsid w:val="00143A2D"/>
    <w:rsid w:val="001448F1"/>
    <w:rsid w:val="00145A41"/>
    <w:rsid w:val="00151675"/>
    <w:rsid w:val="00154859"/>
    <w:rsid w:val="00154C45"/>
    <w:rsid w:val="00157435"/>
    <w:rsid w:val="0016102D"/>
    <w:rsid w:val="00161A03"/>
    <w:rsid w:val="00162BA9"/>
    <w:rsid w:val="001645D7"/>
    <w:rsid w:val="00165BDC"/>
    <w:rsid w:val="00165BE1"/>
    <w:rsid w:val="00167E64"/>
    <w:rsid w:val="00172F21"/>
    <w:rsid w:val="0017348B"/>
    <w:rsid w:val="00174465"/>
    <w:rsid w:val="0017504D"/>
    <w:rsid w:val="00175614"/>
    <w:rsid w:val="001761B3"/>
    <w:rsid w:val="0017671A"/>
    <w:rsid w:val="00177422"/>
    <w:rsid w:val="0017799B"/>
    <w:rsid w:val="00181908"/>
    <w:rsid w:val="0018345F"/>
    <w:rsid w:val="00183A97"/>
    <w:rsid w:val="00184590"/>
    <w:rsid w:val="00184C62"/>
    <w:rsid w:val="0018582C"/>
    <w:rsid w:val="001870D1"/>
    <w:rsid w:val="0018781E"/>
    <w:rsid w:val="0019262D"/>
    <w:rsid w:val="00192F0F"/>
    <w:rsid w:val="00193F1F"/>
    <w:rsid w:val="00195386"/>
    <w:rsid w:val="001A1B35"/>
    <w:rsid w:val="001A36FC"/>
    <w:rsid w:val="001A3B70"/>
    <w:rsid w:val="001A48A2"/>
    <w:rsid w:val="001A522B"/>
    <w:rsid w:val="001A5431"/>
    <w:rsid w:val="001A6F61"/>
    <w:rsid w:val="001B25F8"/>
    <w:rsid w:val="001B2A04"/>
    <w:rsid w:val="001B2DD2"/>
    <w:rsid w:val="001B46E5"/>
    <w:rsid w:val="001B5108"/>
    <w:rsid w:val="001B72B8"/>
    <w:rsid w:val="001B752B"/>
    <w:rsid w:val="001C1144"/>
    <w:rsid w:val="001C1F3A"/>
    <w:rsid w:val="001C4AAB"/>
    <w:rsid w:val="001C52E3"/>
    <w:rsid w:val="001C69B3"/>
    <w:rsid w:val="001D0962"/>
    <w:rsid w:val="001D5595"/>
    <w:rsid w:val="001D5D4C"/>
    <w:rsid w:val="001D7874"/>
    <w:rsid w:val="001D7F22"/>
    <w:rsid w:val="001E0FDD"/>
    <w:rsid w:val="001F0124"/>
    <w:rsid w:val="001F0F17"/>
    <w:rsid w:val="001F3347"/>
    <w:rsid w:val="001F510E"/>
    <w:rsid w:val="001F69C0"/>
    <w:rsid w:val="001F69E4"/>
    <w:rsid w:val="001F7056"/>
    <w:rsid w:val="001F7F24"/>
    <w:rsid w:val="00200F13"/>
    <w:rsid w:val="00201BE9"/>
    <w:rsid w:val="00203724"/>
    <w:rsid w:val="00206823"/>
    <w:rsid w:val="00210DC0"/>
    <w:rsid w:val="00211E42"/>
    <w:rsid w:val="002125B4"/>
    <w:rsid w:val="00212E6E"/>
    <w:rsid w:val="00212EBD"/>
    <w:rsid w:val="002155B8"/>
    <w:rsid w:val="0021582C"/>
    <w:rsid w:val="00215865"/>
    <w:rsid w:val="002200E4"/>
    <w:rsid w:val="00224839"/>
    <w:rsid w:val="002249B2"/>
    <w:rsid w:val="00224D3B"/>
    <w:rsid w:val="00226574"/>
    <w:rsid w:val="002278EC"/>
    <w:rsid w:val="00232419"/>
    <w:rsid w:val="0023280E"/>
    <w:rsid w:val="002377D1"/>
    <w:rsid w:val="002379E4"/>
    <w:rsid w:val="00241044"/>
    <w:rsid w:val="00242F29"/>
    <w:rsid w:val="00243371"/>
    <w:rsid w:val="0024789E"/>
    <w:rsid w:val="002506BC"/>
    <w:rsid w:val="002509BA"/>
    <w:rsid w:val="00254345"/>
    <w:rsid w:val="00254FDB"/>
    <w:rsid w:val="00255A3E"/>
    <w:rsid w:val="00264557"/>
    <w:rsid w:val="00266A1D"/>
    <w:rsid w:val="00266F1E"/>
    <w:rsid w:val="00267E36"/>
    <w:rsid w:val="00270352"/>
    <w:rsid w:val="002718E0"/>
    <w:rsid w:val="002805AB"/>
    <w:rsid w:val="00282B9E"/>
    <w:rsid w:val="00284204"/>
    <w:rsid w:val="002857C5"/>
    <w:rsid w:val="0028751D"/>
    <w:rsid w:val="00291048"/>
    <w:rsid w:val="00291773"/>
    <w:rsid w:val="00296179"/>
    <w:rsid w:val="0029743A"/>
    <w:rsid w:val="002A168C"/>
    <w:rsid w:val="002A200B"/>
    <w:rsid w:val="002A37B5"/>
    <w:rsid w:val="002A3DC7"/>
    <w:rsid w:val="002A6818"/>
    <w:rsid w:val="002B49E2"/>
    <w:rsid w:val="002B54AC"/>
    <w:rsid w:val="002B60AF"/>
    <w:rsid w:val="002B7B00"/>
    <w:rsid w:val="002B7C44"/>
    <w:rsid w:val="002C2B17"/>
    <w:rsid w:val="002C5E51"/>
    <w:rsid w:val="002C62AA"/>
    <w:rsid w:val="002D214E"/>
    <w:rsid w:val="002D3DD0"/>
    <w:rsid w:val="002D5B3D"/>
    <w:rsid w:val="002D661C"/>
    <w:rsid w:val="002E1F3A"/>
    <w:rsid w:val="002E298A"/>
    <w:rsid w:val="002E2A03"/>
    <w:rsid w:val="002E3E13"/>
    <w:rsid w:val="002E5012"/>
    <w:rsid w:val="002F1A84"/>
    <w:rsid w:val="002F1B0B"/>
    <w:rsid w:val="002F3459"/>
    <w:rsid w:val="002F4B8B"/>
    <w:rsid w:val="002F4E3E"/>
    <w:rsid w:val="00301978"/>
    <w:rsid w:val="0030332C"/>
    <w:rsid w:val="003035DD"/>
    <w:rsid w:val="003051C2"/>
    <w:rsid w:val="0030524F"/>
    <w:rsid w:val="00312296"/>
    <w:rsid w:val="00314F0E"/>
    <w:rsid w:val="003158C4"/>
    <w:rsid w:val="00320844"/>
    <w:rsid w:val="00321D8E"/>
    <w:rsid w:val="00321EBE"/>
    <w:rsid w:val="00325928"/>
    <w:rsid w:val="00327135"/>
    <w:rsid w:val="00330FCF"/>
    <w:rsid w:val="00331A03"/>
    <w:rsid w:val="00332818"/>
    <w:rsid w:val="00332863"/>
    <w:rsid w:val="00333A74"/>
    <w:rsid w:val="0033684D"/>
    <w:rsid w:val="00337AFE"/>
    <w:rsid w:val="00337B42"/>
    <w:rsid w:val="00341B42"/>
    <w:rsid w:val="0034241B"/>
    <w:rsid w:val="00342E03"/>
    <w:rsid w:val="0034338E"/>
    <w:rsid w:val="0034348F"/>
    <w:rsid w:val="00346BEC"/>
    <w:rsid w:val="003513C6"/>
    <w:rsid w:val="003528F7"/>
    <w:rsid w:val="0035432F"/>
    <w:rsid w:val="00354DD0"/>
    <w:rsid w:val="0035512B"/>
    <w:rsid w:val="00356653"/>
    <w:rsid w:val="0035743F"/>
    <w:rsid w:val="00357BE2"/>
    <w:rsid w:val="0036170C"/>
    <w:rsid w:val="00363DC9"/>
    <w:rsid w:val="00366E0F"/>
    <w:rsid w:val="003737F2"/>
    <w:rsid w:val="0037663B"/>
    <w:rsid w:val="00377CD1"/>
    <w:rsid w:val="0038065D"/>
    <w:rsid w:val="00381A72"/>
    <w:rsid w:val="00384676"/>
    <w:rsid w:val="00386A98"/>
    <w:rsid w:val="003903D5"/>
    <w:rsid w:val="00390857"/>
    <w:rsid w:val="00391BE9"/>
    <w:rsid w:val="003965A3"/>
    <w:rsid w:val="003A4BF3"/>
    <w:rsid w:val="003B0ADA"/>
    <w:rsid w:val="003B3549"/>
    <w:rsid w:val="003B420D"/>
    <w:rsid w:val="003B4573"/>
    <w:rsid w:val="003B7388"/>
    <w:rsid w:val="003C59FF"/>
    <w:rsid w:val="003C6C16"/>
    <w:rsid w:val="003C71E5"/>
    <w:rsid w:val="003C749B"/>
    <w:rsid w:val="003D1B47"/>
    <w:rsid w:val="003D5B47"/>
    <w:rsid w:val="003D5D26"/>
    <w:rsid w:val="003D794D"/>
    <w:rsid w:val="003E24A7"/>
    <w:rsid w:val="003E3058"/>
    <w:rsid w:val="003E49BF"/>
    <w:rsid w:val="003E76A9"/>
    <w:rsid w:val="003F0809"/>
    <w:rsid w:val="003F4BF8"/>
    <w:rsid w:val="003F6301"/>
    <w:rsid w:val="003F6A8C"/>
    <w:rsid w:val="003F755C"/>
    <w:rsid w:val="004054D0"/>
    <w:rsid w:val="00406F01"/>
    <w:rsid w:val="0040710E"/>
    <w:rsid w:val="004072C6"/>
    <w:rsid w:val="00410DC9"/>
    <w:rsid w:val="00415892"/>
    <w:rsid w:val="00415D10"/>
    <w:rsid w:val="00416D50"/>
    <w:rsid w:val="00416FD5"/>
    <w:rsid w:val="00417772"/>
    <w:rsid w:val="00420E6A"/>
    <w:rsid w:val="00425A9E"/>
    <w:rsid w:val="00426D6B"/>
    <w:rsid w:val="00430030"/>
    <w:rsid w:val="0043180D"/>
    <w:rsid w:val="00431E6C"/>
    <w:rsid w:val="00432918"/>
    <w:rsid w:val="00433CE7"/>
    <w:rsid w:val="00442631"/>
    <w:rsid w:val="00445863"/>
    <w:rsid w:val="00447F0F"/>
    <w:rsid w:val="00452738"/>
    <w:rsid w:val="00452D11"/>
    <w:rsid w:val="00455260"/>
    <w:rsid w:val="00455CF8"/>
    <w:rsid w:val="00456091"/>
    <w:rsid w:val="00456F24"/>
    <w:rsid w:val="00460E7B"/>
    <w:rsid w:val="0046301B"/>
    <w:rsid w:val="00466321"/>
    <w:rsid w:val="0047025F"/>
    <w:rsid w:val="00470B1D"/>
    <w:rsid w:val="00473955"/>
    <w:rsid w:val="004741C8"/>
    <w:rsid w:val="0048034C"/>
    <w:rsid w:val="00483B58"/>
    <w:rsid w:val="004849C0"/>
    <w:rsid w:val="00484B9B"/>
    <w:rsid w:val="004855F6"/>
    <w:rsid w:val="0048661E"/>
    <w:rsid w:val="004876BC"/>
    <w:rsid w:val="0049146C"/>
    <w:rsid w:val="00493B9A"/>
    <w:rsid w:val="00494670"/>
    <w:rsid w:val="00496BD0"/>
    <w:rsid w:val="004A105C"/>
    <w:rsid w:val="004A3823"/>
    <w:rsid w:val="004A6EDB"/>
    <w:rsid w:val="004B531F"/>
    <w:rsid w:val="004B6DDD"/>
    <w:rsid w:val="004C033F"/>
    <w:rsid w:val="004C0EDE"/>
    <w:rsid w:val="004C3AFC"/>
    <w:rsid w:val="004C41D7"/>
    <w:rsid w:val="004C7AC9"/>
    <w:rsid w:val="004C7C1F"/>
    <w:rsid w:val="004C7DAA"/>
    <w:rsid w:val="004E139B"/>
    <w:rsid w:val="004E2A36"/>
    <w:rsid w:val="004E2B2D"/>
    <w:rsid w:val="004E3632"/>
    <w:rsid w:val="004E66DB"/>
    <w:rsid w:val="004E6946"/>
    <w:rsid w:val="004F18C9"/>
    <w:rsid w:val="004F1AD8"/>
    <w:rsid w:val="004F1BCC"/>
    <w:rsid w:val="004F2597"/>
    <w:rsid w:val="004F39C2"/>
    <w:rsid w:val="004F5B1A"/>
    <w:rsid w:val="00501F69"/>
    <w:rsid w:val="00502262"/>
    <w:rsid w:val="005039CB"/>
    <w:rsid w:val="0050558F"/>
    <w:rsid w:val="005058B5"/>
    <w:rsid w:val="00506286"/>
    <w:rsid w:val="00510813"/>
    <w:rsid w:val="00511990"/>
    <w:rsid w:val="00511DE0"/>
    <w:rsid w:val="005138DF"/>
    <w:rsid w:val="00513D3D"/>
    <w:rsid w:val="00514870"/>
    <w:rsid w:val="00514B9B"/>
    <w:rsid w:val="005161F4"/>
    <w:rsid w:val="005163C7"/>
    <w:rsid w:val="00517F02"/>
    <w:rsid w:val="00524303"/>
    <w:rsid w:val="005257CF"/>
    <w:rsid w:val="005258A2"/>
    <w:rsid w:val="00527780"/>
    <w:rsid w:val="00527FCB"/>
    <w:rsid w:val="005304F9"/>
    <w:rsid w:val="0053489C"/>
    <w:rsid w:val="00534F4F"/>
    <w:rsid w:val="005401AE"/>
    <w:rsid w:val="00541C3B"/>
    <w:rsid w:val="00542929"/>
    <w:rsid w:val="00542E07"/>
    <w:rsid w:val="005436AA"/>
    <w:rsid w:val="0054478F"/>
    <w:rsid w:val="00545410"/>
    <w:rsid w:val="00545424"/>
    <w:rsid w:val="0054744C"/>
    <w:rsid w:val="00552521"/>
    <w:rsid w:val="00554A7B"/>
    <w:rsid w:val="00554C0A"/>
    <w:rsid w:val="0055572C"/>
    <w:rsid w:val="0056089C"/>
    <w:rsid w:val="0056106A"/>
    <w:rsid w:val="00562069"/>
    <w:rsid w:val="005624AC"/>
    <w:rsid w:val="0056282F"/>
    <w:rsid w:val="00565EED"/>
    <w:rsid w:val="00566AE5"/>
    <w:rsid w:val="0057166E"/>
    <w:rsid w:val="005720AE"/>
    <w:rsid w:val="005749E6"/>
    <w:rsid w:val="00576055"/>
    <w:rsid w:val="00587BE3"/>
    <w:rsid w:val="0059018E"/>
    <w:rsid w:val="00590E5F"/>
    <w:rsid w:val="0059232B"/>
    <w:rsid w:val="00592FF8"/>
    <w:rsid w:val="00593368"/>
    <w:rsid w:val="0059470D"/>
    <w:rsid w:val="00594D77"/>
    <w:rsid w:val="00594F4D"/>
    <w:rsid w:val="0059568B"/>
    <w:rsid w:val="005969E4"/>
    <w:rsid w:val="00597EC5"/>
    <w:rsid w:val="005A06B7"/>
    <w:rsid w:val="005A1759"/>
    <w:rsid w:val="005A5081"/>
    <w:rsid w:val="005A68A7"/>
    <w:rsid w:val="005B037D"/>
    <w:rsid w:val="005B3B91"/>
    <w:rsid w:val="005C030D"/>
    <w:rsid w:val="005C0C36"/>
    <w:rsid w:val="005C530A"/>
    <w:rsid w:val="005D069B"/>
    <w:rsid w:val="005D1B40"/>
    <w:rsid w:val="005D36AB"/>
    <w:rsid w:val="005D4007"/>
    <w:rsid w:val="005E3933"/>
    <w:rsid w:val="005E40FD"/>
    <w:rsid w:val="005F2C8C"/>
    <w:rsid w:val="005F518D"/>
    <w:rsid w:val="005F7D0F"/>
    <w:rsid w:val="005F7DF2"/>
    <w:rsid w:val="0060073A"/>
    <w:rsid w:val="00602194"/>
    <w:rsid w:val="006039BF"/>
    <w:rsid w:val="00603CB3"/>
    <w:rsid w:val="00603D15"/>
    <w:rsid w:val="0061138B"/>
    <w:rsid w:val="00612C82"/>
    <w:rsid w:val="006130C1"/>
    <w:rsid w:val="00617CC3"/>
    <w:rsid w:val="00625076"/>
    <w:rsid w:val="006277A0"/>
    <w:rsid w:val="00627B0C"/>
    <w:rsid w:val="0063705D"/>
    <w:rsid w:val="006377A6"/>
    <w:rsid w:val="00637A3D"/>
    <w:rsid w:val="006411EF"/>
    <w:rsid w:val="00645A82"/>
    <w:rsid w:val="006546A5"/>
    <w:rsid w:val="00654A5B"/>
    <w:rsid w:val="006642AA"/>
    <w:rsid w:val="00666AAC"/>
    <w:rsid w:val="0066775E"/>
    <w:rsid w:val="0067174A"/>
    <w:rsid w:val="006742BC"/>
    <w:rsid w:val="006748B8"/>
    <w:rsid w:val="00674B99"/>
    <w:rsid w:val="006775C3"/>
    <w:rsid w:val="0068253A"/>
    <w:rsid w:val="00682F97"/>
    <w:rsid w:val="00683063"/>
    <w:rsid w:val="0068307F"/>
    <w:rsid w:val="00686BFC"/>
    <w:rsid w:val="0069093A"/>
    <w:rsid w:val="0069290A"/>
    <w:rsid w:val="00697619"/>
    <w:rsid w:val="0069775A"/>
    <w:rsid w:val="00697813"/>
    <w:rsid w:val="00697B1F"/>
    <w:rsid w:val="006A0A1E"/>
    <w:rsid w:val="006A3EE8"/>
    <w:rsid w:val="006A72BF"/>
    <w:rsid w:val="006B03F2"/>
    <w:rsid w:val="006B37DC"/>
    <w:rsid w:val="006B4F68"/>
    <w:rsid w:val="006C0592"/>
    <w:rsid w:val="006C272E"/>
    <w:rsid w:val="006C5323"/>
    <w:rsid w:val="006C5479"/>
    <w:rsid w:val="006D13B5"/>
    <w:rsid w:val="006D4A3C"/>
    <w:rsid w:val="006D4AD9"/>
    <w:rsid w:val="006D4B08"/>
    <w:rsid w:val="006D5271"/>
    <w:rsid w:val="006D64C0"/>
    <w:rsid w:val="006D7BD2"/>
    <w:rsid w:val="006E0154"/>
    <w:rsid w:val="006E0D5F"/>
    <w:rsid w:val="006E0F13"/>
    <w:rsid w:val="006E1080"/>
    <w:rsid w:val="006E12FF"/>
    <w:rsid w:val="006E4410"/>
    <w:rsid w:val="006E4FA1"/>
    <w:rsid w:val="006E607E"/>
    <w:rsid w:val="006E7A2D"/>
    <w:rsid w:val="006E7F2C"/>
    <w:rsid w:val="006F2DB0"/>
    <w:rsid w:val="006F4B10"/>
    <w:rsid w:val="006F5D24"/>
    <w:rsid w:val="00702423"/>
    <w:rsid w:val="00705E0B"/>
    <w:rsid w:val="00706B64"/>
    <w:rsid w:val="00706C5D"/>
    <w:rsid w:val="0070705F"/>
    <w:rsid w:val="00707DF5"/>
    <w:rsid w:val="00713B82"/>
    <w:rsid w:val="00716C6D"/>
    <w:rsid w:val="007176CB"/>
    <w:rsid w:val="007242AD"/>
    <w:rsid w:val="0072576F"/>
    <w:rsid w:val="007259B2"/>
    <w:rsid w:val="00726BE1"/>
    <w:rsid w:val="00727D49"/>
    <w:rsid w:val="00731061"/>
    <w:rsid w:val="007318A1"/>
    <w:rsid w:val="00732922"/>
    <w:rsid w:val="00733F73"/>
    <w:rsid w:val="0073634F"/>
    <w:rsid w:val="00736361"/>
    <w:rsid w:val="00744F0D"/>
    <w:rsid w:val="007513F9"/>
    <w:rsid w:val="007514AB"/>
    <w:rsid w:val="00751562"/>
    <w:rsid w:val="007515C4"/>
    <w:rsid w:val="0075162E"/>
    <w:rsid w:val="00754034"/>
    <w:rsid w:val="007543B8"/>
    <w:rsid w:val="00756364"/>
    <w:rsid w:val="00756556"/>
    <w:rsid w:val="0076110A"/>
    <w:rsid w:val="007618C4"/>
    <w:rsid w:val="0076585E"/>
    <w:rsid w:val="00767474"/>
    <w:rsid w:val="00767980"/>
    <w:rsid w:val="00770B19"/>
    <w:rsid w:val="007736A6"/>
    <w:rsid w:val="007740D1"/>
    <w:rsid w:val="0077463F"/>
    <w:rsid w:val="00776829"/>
    <w:rsid w:val="00780921"/>
    <w:rsid w:val="007836EA"/>
    <w:rsid w:val="00784CDA"/>
    <w:rsid w:val="00787185"/>
    <w:rsid w:val="007902FF"/>
    <w:rsid w:val="0079054A"/>
    <w:rsid w:val="007906C4"/>
    <w:rsid w:val="007940EA"/>
    <w:rsid w:val="007967E8"/>
    <w:rsid w:val="00797ACA"/>
    <w:rsid w:val="007A178C"/>
    <w:rsid w:val="007A2170"/>
    <w:rsid w:val="007A22BF"/>
    <w:rsid w:val="007A3323"/>
    <w:rsid w:val="007A397E"/>
    <w:rsid w:val="007B1B91"/>
    <w:rsid w:val="007B20C7"/>
    <w:rsid w:val="007B2B66"/>
    <w:rsid w:val="007B2DF1"/>
    <w:rsid w:val="007B72B8"/>
    <w:rsid w:val="007B7A58"/>
    <w:rsid w:val="007C18BA"/>
    <w:rsid w:val="007C21B5"/>
    <w:rsid w:val="007C2610"/>
    <w:rsid w:val="007C28D6"/>
    <w:rsid w:val="007C5FEC"/>
    <w:rsid w:val="007C77A0"/>
    <w:rsid w:val="007D1AED"/>
    <w:rsid w:val="007D3C5F"/>
    <w:rsid w:val="007D3F7C"/>
    <w:rsid w:val="007D4E34"/>
    <w:rsid w:val="007D5BB2"/>
    <w:rsid w:val="007D6F02"/>
    <w:rsid w:val="007E4BD2"/>
    <w:rsid w:val="007F1F1E"/>
    <w:rsid w:val="007F3AC2"/>
    <w:rsid w:val="007F631A"/>
    <w:rsid w:val="007F78BA"/>
    <w:rsid w:val="00801393"/>
    <w:rsid w:val="00802F88"/>
    <w:rsid w:val="008035D8"/>
    <w:rsid w:val="00804BF3"/>
    <w:rsid w:val="00810D7B"/>
    <w:rsid w:val="0081293E"/>
    <w:rsid w:val="00815465"/>
    <w:rsid w:val="0081774B"/>
    <w:rsid w:val="00817E9A"/>
    <w:rsid w:val="00821002"/>
    <w:rsid w:val="008256C9"/>
    <w:rsid w:val="008306BD"/>
    <w:rsid w:val="00831A80"/>
    <w:rsid w:val="00833743"/>
    <w:rsid w:val="008340A4"/>
    <w:rsid w:val="008369DD"/>
    <w:rsid w:val="0084362B"/>
    <w:rsid w:val="0084378A"/>
    <w:rsid w:val="00850F20"/>
    <w:rsid w:val="0085281E"/>
    <w:rsid w:val="008547F6"/>
    <w:rsid w:val="00856662"/>
    <w:rsid w:val="00857962"/>
    <w:rsid w:val="008659E9"/>
    <w:rsid w:val="00870E06"/>
    <w:rsid w:val="0087135F"/>
    <w:rsid w:val="00871E0C"/>
    <w:rsid w:val="00872A7B"/>
    <w:rsid w:val="00872D94"/>
    <w:rsid w:val="00876600"/>
    <w:rsid w:val="008779BB"/>
    <w:rsid w:val="00880364"/>
    <w:rsid w:val="0088343E"/>
    <w:rsid w:val="00883FFA"/>
    <w:rsid w:val="008909E1"/>
    <w:rsid w:val="00891592"/>
    <w:rsid w:val="00891E9E"/>
    <w:rsid w:val="008927BA"/>
    <w:rsid w:val="008932D9"/>
    <w:rsid w:val="008A2F68"/>
    <w:rsid w:val="008A3B24"/>
    <w:rsid w:val="008A5290"/>
    <w:rsid w:val="008B021A"/>
    <w:rsid w:val="008B1305"/>
    <w:rsid w:val="008B29FC"/>
    <w:rsid w:val="008B2E44"/>
    <w:rsid w:val="008B4FA6"/>
    <w:rsid w:val="008B5282"/>
    <w:rsid w:val="008B7C17"/>
    <w:rsid w:val="008C0FE9"/>
    <w:rsid w:val="008C2C10"/>
    <w:rsid w:val="008C2D01"/>
    <w:rsid w:val="008C40E6"/>
    <w:rsid w:val="008C54EC"/>
    <w:rsid w:val="008C5EF5"/>
    <w:rsid w:val="008D0D25"/>
    <w:rsid w:val="008D0E81"/>
    <w:rsid w:val="008D0F7A"/>
    <w:rsid w:val="008D2662"/>
    <w:rsid w:val="008D2FC5"/>
    <w:rsid w:val="008D3291"/>
    <w:rsid w:val="008D3744"/>
    <w:rsid w:val="008D68E4"/>
    <w:rsid w:val="008E0190"/>
    <w:rsid w:val="008E0506"/>
    <w:rsid w:val="008E0CFF"/>
    <w:rsid w:val="008E2723"/>
    <w:rsid w:val="008E44C3"/>
    <w:rsid w:val="008E5D6B"/>
    <w:rsid w:val="008E76F0"/>
    <w:rsid w:val="008E7F79"/>
    <w:rsid w:val="008F15FE"/>
    <w:rsid w:val="008F2D29"/>
    <w:rsid w:val="008F5187"/>
    <w:rsid w:val="008F60D8"/>
    <w:rsid w:val="008F77F0"/>
    <w:rsid w:val="00902727"/>
    <w:rsid w:val="0090312B"/>
    <w:rsid w:val="00910DEF"/>
    <w:rsid w:val="00912C88"/>
    <w:rsid w:val="00914036"/>
    <w:rsid w:val="00914794"/>
    <w:rsid w:val="0091736D"/>
    <w:rsid w:val="00921D0D"/>
    <w:rsid w:val="00922E73"/>
    <w:rsid w:val="009232C2"/>
    <w:rsid w:val="009250F5"/>
    <w:rsid w:val="0093037A"/>
    <w:rsid w:val="0093395A"/>
    <w:rsid w:val="00936304"/>
    <w:rsid w:val="00940319"/>
    <w:rsid w:val="0094154D"/>
    <w:rsid w:val="00945EC8"/>
    <w:rsid w:val="00946321"/>
    <w:rsid w:val="0095155F"/>
    <w:rsid w:val="00951F9F"/>
    <w:rsid w:val="00953C54"/>
    <w:rsid w:val="00954429"/>
    <w:rsid w:val="00955D9F"/>
    <w:rsid w:val="00955F5F"/>
    <w:rsid w:val="009563CE"/>
    <w:rsid w:val="00960B34"/>
    <w:rsid w:val="00966DEA"/>
    <w:rsid w:val="0097172A"/>
    <w:rsid w:val="00971B84"/>
    <w:rsid w:val="00972C74"/>
    <w:rsid w:val="00976328"/>
    <w:rsid w:val="0097680D"/>
    <w:rsid w:val="009801BE"/>
    <w:rsid w:val="0098030F"/>
    <w:rsid w:val="00982438"/>
    <w:rsid w:val="0098404C"/>
    <w:rsid w:val="00985283"/>
    <w:rsid w:val="009862EC"/>
    <w:rsid w:val="00987FC2"/>
    <w:rsid w:val="0099293D"/>
    <w:rsid w:val="00993534"/>
    <w:rsid w:val="00995992"/>
    <w:rsid w:val="009A03E5"/>
    <w:rsid w:val="009A0F3B"/>
    <w:rsid w:val="009A1BB4"/>
    <w:rsid w:val="009A2628"/>
    <w:rsid w:val="009A3200"/>
    <w:rsid w:val="009A5AD3"/>
    <w:rsid w:val="009A7BFB"/>
    <w:rsid w:val="009B0897"/>
    <w:rsid w:val="009B3A0E"/>
    <w:rsid w:val="009B776C"/>
    <w:rsid w:val="009B7BD9"/>
    <w:rsid w:val="009C4248"/>
    <w:rsid w:val="009C6DD0"/>
    <w:rsid w:val="009C7DD5"/>
    <w:rsid w:val="009D1409"/>
    <w:rsid w:val="009D3FF4"/>
    <w:rsid w:val="009D77B3"/>
    <w:rsid w:val="009E14FD"/>
    <w:rsid w:val="009E205C"/>
    <w:rsid w:val="009E227D"/>
    <w:rsid w:val="009E37CE"/>
    <w:rsid w:val="009E5019"/>
    <w:rsid w:val="009F09A4"/>
    <w:rsid w:val="009F09EC"/>
    <w:rsid w:val="009F158C"/>
    <w:rsid w:val="009F17EC"/>
    <w:rsid w:val="009F2BBA"/>
    <w:rsid w:val="009F4308"/>
    <w:rsid w:val="009F6CDA"/>
    <w:rsid w:val="009F7246"/>
    <w:rsid w:val="00A0106D"/>
    <w:rsid w:val="00A04F1B"/>
    <w:rsid w:val="00A0501B"/>
    <w:rsid w:val="00A067F0"/>
    <w:rsid w:val="00A101D9"/>
    <w:rsid w:val="00A14947"/>
    <w:rsid w:val="00A15FA2"/>
    <w:rsid w:val="00A16041"/>
    <w:rsid w:val="00A17447"/>
    <w:rsid w:val="00A2408E"/>
    <w:rsid w:val="00A25376"/>
    <w:rsid w:val="00A27E94"/>
    <w:rsid w:val="00A32295"/>
    <w:rsid w:val="00A32A83"/>
    <w:rsid w:val="00A3309C"/>
    <w:rsid w:val="00A33CBB"/>
    <w:rsid w:val="00A368DB"/>
    <w:rsid w:val="00A3696D"/>
    <w:rsid w:val="00A423AA"/>
    <w:rsid w:val="00A42F5B"/>
    <w:rsid w:val="00A4641D"/>
    <w:rsid w:val="00A53CBE"/>
    <w:rsid w:val="00A53EC6"/>
    <w:rsid w:val="00A5495E"/>
    <w:rsid w:val="00A55C0F"/>
    <w:rsid w:val="00A62C4D"/>
    <w:rsid w:val="00A63667"/>
    <w:rsid w:val="00A65F3B"/>
    <w:rsid w:val="00A664E5"/>
    <w:rsid w:val="00A67F0A"/>
    <w:rsid w:val="00A805CF"/>
    <w:rsid w:val="00A81CAC"/>
    <w:rsid w:val="00A821F1"/>
    <w:rsid w:val="00A836F8"/>
    <w:rsid w:val="00A84712"/>
    <w:rsid w:val="00A84CE8"/>
    <w:rsid w:val="00A8567F"/>
    <w:rsid w:val="00A862DE"/>
    <w:rsid w:val="00A86850"/>
    <w:rsid w:val="00A8713F"/>
    <w:rsid w:val="00A90BA1"/>
    <w:rsid w:val="00A9110C"/>
    <w:rsid w:val="00A97A9A"/>
    <w:rsid w:val="00A97DDA"/>
    <w:rsid w:val="00AA0671"/>
    <w:rsid w:val="00AA2531"/>
    <w:rsid w:val="00AA4F99"/>
    <w:rsid w:val="00AB1E09"/>
    <w:rsid w:val="00AB297A"/>
    <w:rsid w:val="00AB3E9C"/>
    <w:rsid w:val="00AB5330"/>
    <w:rsid w:val="00AB7747"/>
    <w:rsid w:val="00AB7C27"/>
    <w:rsid w:val="00AC14CE"/>
    <w:rsid w:val="00AC2A56"/>
    <w:rsid w:val="00AC4E5B"/>
    <w:rsid w:val="00AC4EEC"/>
    <w:rsid w:val="00AD055E"/>
    <w:rsid w:val="00AD47A7"/>
    <w:rsid w:val="00AD78DD"/>
    <w:rsid w:val="00AD7FB9"/>
    <w:rsid w:val="00AE1057"/>
    <w:rsid w:val="00AE6439"/>
    <w:rsid w:val="00AF0CBF"/>
    <w:rsid w:val="00AF257F"/>
    <w:rsid w:val="00AF268C"/>
    <w:rsid w:val="00AF33CF"/>
    <w:rsid w:val="00AF3F88"/>
    <w:rsid w:val="00AF4D50"/>
    <w:rsid w:val="00AF6179"/>
    <w:rsid w:val="00B02F98"/>
    <w:rsid w:val="00B03D58"/>
    <w:rsid w:val="00B11A38"/>
    <w:rsid w:val="00B11EC1"/>
    <w:rsid w:val="00B1295A"/>
    <w:rsid w:val="00B14850"/>
    <w:rsid w:val="00B16AAB"/>
    <w:rsid w:val="00B20A45"/>
    <w:rsid w:val="00B211DE"/>
    <w:rsid w:val="00B21CB0"/>
    <w:rsid w:val="00B22B9F"/>
    <w:rsid w:val="00B22C5C"/>
    <w:rsid w:val="00B24F30"/>
    <w:rsid w:val="00B31ABF"/>
    <w:rsid w:val="00B31F5C"/>
    <w:rsid w:val="00B3227C"/>
    <w:rsid w:val="00B32D35"/>
    <w:rsid w:val="00B33BE3"/>
    <w:rsid w:val="00B341E1"/>
    <w:rsid w:val="00B417BD"/>
    <w:rsid w:val="00B41F3E"/>
    <w:rsid w:val="00B42E76"/>
    <w:rsid w:val="00B4424D"/>
    <w:rsid w:val="00B453F1"/>
    <w:rsid w:val="00B46409"/>
    <w:rsid w:val="00B5016D"/>
    <w:rsid w:val="00B5105C"/>
    <w:rsid w:val="00B5348E"/>
    <w:rsid w:val="00B536E2"/>
    <w:rsid w:val="00B53A5C"/>
    <w:rsid w:val="00B53B5D"/>
    <w:rsid w:val="00B5536E"/>
    <w:rsid w:val="00B55961"/>
    <w:rsid w:val="00B55A6D"/>
    <w:rsid w:val="00B5656A"/>
    <w:rsid w:val="00B57677"/>
    <w:rsid w:val="00B6055E"/>
    <w:rsid w:val="00B60E80"/>
    <w:rsid w:val="00B62D69"/>
    <w:rsid w:val="00B6317D"/>
    <w:rsid w:val="00B651F1"/>
    <w:rsid w:val="00B67C2F"/>
    <w:rsid w:val="00B7678E"/>
    <w:rsid w:val="00B7723F"/>
    <w:rsid w:val="00B774D1"/>
    <w:rsid w:val="00B775F4"/>
    <w:rsid w:val="00B80534"/>
    <w:rsid w:val="00B8433C"/>
    <w:rsid w:val="00B84673"/>
    <w:rsid w:val="00B84886"/>
    <w:rsid w:val="00B84FD1"/>
    <w:rsid w:val="00B87491"/>
    <w:rsid w:val="00B87ADF"/>
    <w:rsid w:val="00B93CFC"/>
    <w:rsid w:val="00B9487E"/>
    <w:rsid w:val="00B9517D"/>
    <w:rsid w:val="00B95328"/>
    <w:rsid w:val="00BA20A9"/>
    <w:rsid w:val="00BA29E9"/>
    <w:rsid w:val="00BA5AEA"/>
    <w:rsid w:val="00BA5FDF"/>
    <w:rsid w:val="00BA7142"/>
    <w:rsid w:val="00BB1C0C"/>
    <w:rsid w:val="00BB237C"/>
    <w:rsid w:val="00BB2EC5"/>
    <w:rsid w:val="00BB41A3"/>
    <w:rsid w:val="00BB758B"/>
    <w:rsid w:val="00BB7BAD"/>
    <w:rsid w:val="00BC32DC"/>
    <w:rsid w:val="00BC35B6"/>
    <w:rsid w:val="00BD1131"/>
    <w:rsid w:val="00BD1B51"/>
    <w:rsid w:val="00BD2EAE"/>
    <w:rsid w:val="00BD4596"/>
    <w:rsid w:val="00BD5FB8"/>
    <w:rsid w:val="00BE0E18"/>
    <w:rsid w:val="00BE1405"/>
    <w:rsid w:val="00BE312D"/>
    <w:rsid w:val="00BE577E"/>
    <w:rsid w:val="00BF043E"/>
    <w:rsid w:val="00BF1C20"/>
    <w:rsid w:val="00BF2582"/>
    <w:rsid w:val="00BF6B50"/>
    <w:rsid w:val="00C00E9A"/>
    <w:rsid w:val="00C05C41"/>
    <w:rsid w:val="00C10578"/>
    <w:rsid w:val="00C11750"/>
    <w:rsid w:val="00C12E0B"/>
    <w:rsid w:val="00C12F12"/>
    <w:rsid w:val="00C135BC"/>
    <w:rsid w:val="00C15C95"/>
    <w:rsid w:val="00C22037"/>
    <w:rsid w:val="00C25345"/>
    <w:rsid w:val="00C2596A"/>
    <w:rsid w:val="00C27537"/>
    <w:rsid w:val="00C2792C"/>
    <w:rsid w:val="00C303F7"/>
    <w:rsid w:val="00C326F1"/>
    <w:rsid w:val="00C328FE"/>
    <w:rsid w:val="00C33507"/>
    <w:rsid w:val="00C35065"/>
    <w:rsid w:val="00C3689D"/>
    <w:rsid w:val="00C378B3"/>
    <w:rsid w:val="00C4059E"/>
    <w:rsid w:val="00C4409D"/>
    <w:rsid w:val="00C44406"/>
    <w:rsid w:val="00C44E72"/>
    <w:rsid w:val="00C45A06"/>
    <w:rsid w:val="00C473BA"/>
    <w:rsid w:val="00C47E5B"/>
    <w:rsid w:val="00C5044F"/>
    <w:rsid w:val="00C53302"/>
    <w:rsid w:val="00C53E1D"/>
    <w:rsid w:val="00C61E4B"/>
    <w:rsid w:val="00C64BFF"/>
    <w:rsid w:val="00C704E9"/>
    <w:rsid w:val="00C7094E"/>
    <w:rsid w:val="00C70D88"/>
    <w:rsid w:val="00C718CB"/>
    <w:rsid w:val="00C763C9"/>
    <w:rsid w:val="00C77804"/>
    <w:rsid w:val="00C80057"/>
    <w:rsid w:val="00C82232"/>
    <w:rsid w:val="00C82913"/>
    <w:rsid w:val="00C84AB7"/>
    <w:rsid w:val="00C90BB9"/>
    <w:rsid w:val="00C972B1"/>
    <w:rsid w:val="00CA0D3D"/>
    <w:rsid w:val="00CA2CCE"/>
    <w:rsid w:val="00CA43FD"/>
    <w:rsid w:val="00CA759C"/>
    <w:rsid w:val="00CA7EF8"/>
    <w:rsid w:val="00CB150E"/>
    <w:rsid w:val="00CB1BF9"/>
    <w:rsid w:val="00CB6832"/>
    <w:rsid w:val="00CC0C47"/>
    <w:rsid w:val="00CC35F8"/>
    <w:rsid w:val="00CC489B"/>
    <w:rsid w:val="00CD2BCD"/>
    <w:rsid w:val="00CD35A9"/>
    <w:rsid w:val="00CD3A4C"/>
    <w:rsid w:val="00CD56F8"/>
    <w:rsid w:val="00CD5C85"/>
    <w:rsid w:val="00CE10E9"/>
    <w:rsid w:val="00CE1668"/>
    <w:rsid w:val="00CE2910"/>
    <w:rsid w:val="00CE32F8"/>
    <w:rsid w:val="00CE442E"/>
    <w:rsid w:val="00CE4AFB"/>
    <w:rsid w:val="00CE5393"/>
    <w:rsid w:val="00CE5651"/>
    <w:rsid w:val="00CF2C56"/>
    <w:rsid w:val="00CF2CDF"/>
    <w:rsid w:val="00CF36BE"/>
    <w:rsid w:val="00CF4901"/>
    <w:rsid w:val="00CF6000"/>
    <w:rsid w:val="00D003F3"/>
    <w:rsid w:val="00D01E7E"/>
    <w:rsid w:val="00D034C6"/>
    <w:rsid w:val="00D0364F"/>
    <w:rsid w:val="00D03E27"/>
    <w:rsid w:val="00D04E68"/>
    <w:rsid w:val="00D06834"/>
    <w:rsid w:val="00D14D0B"/>
    <w:rsid w:val="00D205AD"/>
    <w:rsid w:val="00D21E38"/>
    <w:rsid w:val="00D22867"/>
    <w:rsid w:val="00D308ED"/>
    <w:rsid w:val="00D36D86"/>
    <w:rsid w:val="00D40499"/>
    <w:rsid w:val="00D428AA"/>
    <w:rsid w:val="00D47A98"/>
    <w:rsid w:val="00D50A34"/>
    <w:rsid w:val="00D52D51"/>
    <w:rsid w:val="00D530D9"/>
    <w:rsid w:val="00D53EFA"/>
    <w:rsid w:val="00D57124"/>
    <w:rsid w:val="00D6058C"/>
    <w:rsid w:val="00D64A95"/>
    <w:rsid w:val="00D65AF8"/>
    <w:rsid w:val="00D66063"/>
    <w:rsid w:val="00D71274"/>
    <w:rsid w:val="00D712F2"/>
    <w:rsid w:val="00D720D7"/>
    <w:rsid w:val="00D75733"/>
    <w:rsid w:val="00D75FDB"/>
    <w:rsid w:val="00D7626F"/>
    <w:rsid w:val="00D764A2"/>
    <w:rsid w:val="00D804BD"/>
    <w:rsid w:val="00D8172D"/>
    <w:rsid w:val="00D84CE4"/>
    <w:rsid w:val="00D874C5"/>
    <w:rsid w:val="00D94A7C"/>
    <w:rsid w:val="00D95896"/>
    <w:rsid w:val="00D96690"/>
    <w:rsid w:val="00DA0043"/>
    <w:rsid w:val="00DA01B4"/>
    <w:rsid w:val="00DA5D07"/>
    <w:rsid w:val="00DA68C5"/>
    <w:rsid w:val="00DB2955"/>
    <w:rsid w:val="00DB2983"/>
    <w:rsid w:val="00DB490C"/>
    <w:rsid w:val="00DB5378"/>
    <w:rsid w:val="00DB57B3"/>
    <w:rsid w:val="00DC1257"/>
    <w:rsid w:val="00DC3DC0"/>
    <w:rsid w:val="00DC5B2B"/>
    <w:rsid w:val="00DD033C"/>
    <w:rsid w:val="00DD318D"/>
    <w:rsid w:val="00DD4A8B"/>
    <w:rsid w:val="00DD4B20"/>
    <w:rsid w:val="00DD6BED"/>
    <w:rsid w:val="00DE5D5F"/>
    <w:rsid w:val="00DE7C65"/>
    <w:rsid w:val="00DF2E12"/>
    <w:rsid w:val="00DF2E41"/>
    <w:rsid w:val="00DF514A"/>
    <w:rsid w:val="00DF6690"/>
    <w:rsid w:val="00DF6804"/>
    <w:rsid w:val="00DF7BAB"/>
    <w:rsid w:val="00E0358D"/>
    <w:rsid w:val="00E04323"/>
    <w:rsid w:val="00E067BD"/>
    <w:rsid w:val="00E070A2"/>
    <w:rsid w:val="00E07B5F"/>
    <w:rsid w:val="00E1598B"/>
    <w:rsid w:val="00E15F00"/>
    <w:rsid w:val="00E167D1"/>
    <w:rsid w:val="00E20BA8"/>
    <w:rsid w:val="00E21F4C"/>
    <w:rsid w:val="00E2283B"/>
    <w:rsid w:val="00E23418"/>
    <w:rsid w:val="00E2656A"/>
    <w:rsid w:val="00E374B7"/>
    <w:rsid w:val="00E4001A"/>
    <w:rsid w:val="00E412D0"/>
    <w:rsid w:val="00E43270"/>
    <w:rsid w:val="00E459E5"/>
    <w:rsid w:val="00E46439"/>
    <w:rsid w:val="00E4670C"/>
    <w:rsid w:val="00E51F8E"/>
    <w:rsid w:val="00E56322"/>
    <w:rsid w:val="00E5757D"/>
    <w:rsid w:val="00E6079A"/>
    <w:rsid w:val="00E60982"/>
    <w:rsid w:val="00E60A9C"/>
    <w:rsid w:val="00E62C62"/>
    <w:rsid w:val="00E654C1"/>
    <w:rsid w:val="00E65D97"/>
    <w:rsid w:val="00E6742E"/>
    <w:rsid w:val="00E719F4"/>
    <w:rsid w:val="00E72329"/>
    <w:rsid w:val="00E724DB"/>
    <w:rsid w:val="00E72A5A"/>
    <w:rsid w:val="00E73341"/>
    <w:rsid w:val="00E73354"/>
    <w:rsid w:val="00E74B40"/>
    <w:rsid w:val="00E8047F"/>
    <w:rsid w:val="00E81D19"/>
    <w:rsid w:val="00E87ADA"/>
    <w:rsid w:val="00E9242D"/>
    <w:rsid w:val="00E96CB5"/>
    <w:rsid w:val="00EA0021"/>
    <w:rsid w:val="00EA238E"/>
    <w:rsid w:val="00EA2F1C"/>
    <w:rsid w:val="00EA34DB"/>
    <w:rsid w:val="00EA48CE"/>
    <w:rsid w:val="00EA6D59"/>
    <w:rsid w:val="00EB06A9"/>
    <w:rsid w:val="00EB5255"/>
    <w:rsid w:val="00EB5C47"/>
    <w:rsid w:val="00EB6479"/>
    <w:rsid w:val="00EB6E3E"/>
    <w:rsid w:val="00EB7831"/>
    <w:rsid w:val="00EC06C4"/>
    <w:rsid w:val="00EC14F2"/>
    <w:rsid w:val="00EC1B3A"/>
    <w:rsid w:val="00EC5C34"/>
    <w:rsid w:val="00ED0639"/>
    <w:rsid w:val="00ED1FD1"/>
    <w:rsid w:val="00ED5632"/>
    <w:rsid w:val="00EE46DA"/>
    <w:rsid w:val="00EF45D7"/>
    <w:rsid w:val="00EF4755"/>
    <w:rsid w:val="00EF7135"/>
    <w:rsid w:val="00F0087F"/>
    <w:rsid w:val="00F00EA7"/>
    <w:rsid w:val="00F027DB"/>
    <w:rsid w:val="00F0494B"/>
    <w:rsid w:val="00F051FC"/>
    <w:rsid w:val="00F068AC"/>
    <w:rsid w:val="00F14239"/>
    <w:rsid w:val="00F14A7A"/>
    <w:rsid w:val="00F22985"/>
    <w:rsid w:val="00F24524"/>
    <w:rsid w:val="00F263E0"/>
    <w:rsid w:val="00F306DC"/>
    <w:rsid w:val="00F3383E"/>
    <w:rsid w:val="00F40FE3"/>
    <w:rsid w:val="00F465A7"/>
    <w:rsid w:val="00F50B7C"/>
    <w:rsid w:val="00F5242A"/>
    <w:rsid w:val="00F550E6"/>
    <w:rsid w:val="00F62D90"/>
    <w:rsid w:val="00F62E2D"/>
    <w:rsid w:val="00F62EA6"/>
    <w:rsid w:val="00F6399B"/>
    <w:rsid w:val="00F63E1A"/>
    <w:rsid w:val="00F65E5E"/>
    <w:rsid w:val="00F7050F"/>
    <w:rsid w:val="00F716F1"/>
    <w:rsid w:val="00F741C5"/>
    <w:rsid w:val="00F74345"/>
    <w:rsid w:val="00F74724"/>
    <w:rsid w:val="00F77D3F"/>
    <w:rsid w:val="00F80A0A"/>
    <w:rsid w:val="00F82B19"/>
    <w:rsid w:val="00F833D9"/>
    <w:rsid w:val="00F84318"/>
    <w:rsid w:val="00F85B73"/>
    <w:rsid w:val="00F85E1F"/>
    <w:rsid w:val="00F8662C"/>
    <w:rsid w:val="00F9212D"/>
    <w:rsid w:val="00F928A9"/>
    <w:rsid w:val="00F96497"/>
    <w:rsid w:val="00F965DA"/>
    <w:rsid w:val="00FA1855"/>
    <w:rsid w:val="00FA2703"/>
    <w:rsid w:val="00FA27EB"/>
    <w:rsid w:val="00FA406A"/>
    <w:rsid w:val="00FA42B4"/>
    <w:rsid w:val="00FA5B91"/>
    <w:rsid w:val="00FB503A"/>
    <w:rsid w:val="00FB516C"/>
    <w:rsid w:val="00FB62C4"/>
    <w:rsid w:val="00FB7F99"/>
    <w:rsid w:val="00FC04D2"/>
    <w:rsid w:val="00FD0236"/>
    <w:rsid w:val="00FD17DB"/>
    <w:rsid w:val="00FD18F4"/>
    <w:rsid w:val="00FD22D7"/>
    <w:rsid w:val="00FD54DB"/>
    <w:rsid w:val="00FD619F"/>
    <w:rsid w:val="00FE1FE0"/>
    <w:rsid w:val="00FE2306"/>
    <w:rsid w:val="00FE4B0C"/>
    <w:rsid w:val="00FE4D37"/>
    <w:rsid w:val="00FE657F"/>
    <w:rsid w:val="00FF45B6"/>
    <w:rsid w:val="00FF529C"/>
    <w:rsid w:val="00FF68D5"/>
    <w:rsid w:val="01290F7E"/>
    <w:rsid w:val="01321144"/>
    <w:rsid w:val="015D1E09"/>
    <w:rsid w:val="0200389B"/>
    <w:rsid w:val="02524E16"/>
    <w:rsid w:val="02581525"/>
    <w:rsid w:val="02697903"/>
    <w:rsid w:val="02C95AD7"/>
    <w:rsid w:val="02F96569"/>
    <w:rsid w:val="034F4BFC"/>
    <w:rsid w:val="03BB7FBE"/>
    <w:rsid w:val="03DA77B6"/>
    <w:rsid w:val="03EA7B21"/>
    <w:rsid w:val="040B68C0"/>
    <w:rsid w:val="04BA0275"/>
    <w:rsid w:val="04E76AA2"/>
    <w:rsid w:val="051E3A90"/>
    <w:rsid w:val="05236321"/>
    <w:rsid w:val="054A6D5C"/>
    <w:rsid w:val="05C200C5"/>
    <w:rsid w:val="05E5281B"/>
    <w:rsid w:val="05F83EAE"/>
    <w:rsid w:val="061B2869"/>
    <w:rsid w:val="063E7D85"/>
    <w:rsid w:val="065C6A89"/>
    <w:rsid w:val="069933FC"/>
    <w:rsid w:val="06D53145"/>
    <w:rsid w:val="06E20753"/>
    <w:rsid w:val="07032AE5"/>
    <w:rsid w:val="07293586"/>
    <w:rsid w:val="07295285"/>
    <w:rsid w:val="073F0403"/>
    <w:rsid w:val="075C75B8"/>
    <w:rsid w:val="07636392"/>
    <w:rsid w:val="07770C56"/>
    <w:rsid w:val="07A764F7"/>
    <w:rsid w:val="07D61CA0"/>
    <w:rsid w:val="07E6312F"/>
    <w:rsid w:val="07E85AF8"/>
    <w:rsid w:val="08F560BD"/>
    <w:rsid w:val="092217DD"/>
    <w:rsid w:val="092959CA"/>
    <w:rsid w:val="0934787D"/>
    <w:rsid w:val="093A7294"/>
    <w:rsid w:val="096856B8"/>
    <w:rsid w:val="09B71227"/>
    <w:rsid w:val="09D708EF"/>
    <w:rsid w:val="09DF2739"/>
    <w:rsid w:val="0A234099"/>
    <w:rsid w:val="0A263993"/>
    <w:rsid w:val="0A2D3AC2"/>
    <w:rsid w:val="0A4C5E14"/>
    <w:rsid w:val="0A4E0F72"/>
    <w:rsid w:val="0A816F70"/>
    <w:rsid w:val="0A8C6210"/>
    <w:rsid w:val="0A9756DA"/>
    <w:rsid w:val="0A9F4EBB"/>
    <w:rsid w:val="0AA755DF"/>
    <w:rsid w:val="0ACE0DDF"/>
    <w:rsid w:val="0B0853A8"/>
    <w:rsid w:val="0B120D44"/>
    <w:rsid w:val="0B4A7C52"/>
    <w:rsid w:val="0BAF5E50"/>
    <w:rsid w:val="0BD27BF6"/>
    <w:rsid w:val="0C3B3C7D"/>
    <w:rsid w:val="0C974DEB"/>
    <w:rsid w:val="0CAB2EAE"/>
    <w:rsid w:val="0CF00476"/>
    <w:rsid w:val="0CFB70C7"/>
    <w:rsid w:val="0D105365"/>
    <w:rsid w:val="0D277019"/>
    <w:rsid w:val="0D621C7D"/>
    <w:rsid w:val="0D774F56"/>
    <w:rsid w:val="0DA22D17"/>
    <w:rsid w:val="0DA835BB"/>
    <w:rsid w:val="0DB02216"/>
    <w:rsid w:val="0DF77E44"/>
    <w:rsid w:val="0E142854"/>
    <w:rsid w:val="0E73034D"/>
    <w:rsid w:val="0E810F76"/>
    <w:rsid w:val="0EC8358F"/>
    <w:rsid w:val="0F13775A"/>
    <w:rsid w:val="0F216FC8"/>
    <w:rsid w:val="0F5F45FE"/>
    <w:rsid w:val="0F6459AD"/>
    <w:rsid w:val="0F9A112B"/>
    <w:rsid w:val="0FED59A3"/>
    <w:rsid w:val="105759AF"/>
    <w:rsid w:val="106D2F64"/>
    <w:rsid w:val="10B63710"/>
    <w:rsid w:val="10EF12A7"/>
    <w:rsid w:val="10F10820"/>
    <w:rsid w:val="110A60E1"/>
    <w:rsid w:val="111C2F7A"/>
    <w:rsid w:val="11665CA1"/>
    <w:rsid w:val="1183691A"/>
    <w:rsid w:val="118E3A13"/>
    <w:rsid w:val="119A56B6"/>
    <w:rsid w:val="11A27578"/>
    <w:rsid w:val="11E626AA"/>
    <w:rsid w:val="124E6A14"/>
    <w:rsid w:val="126857B5"/>
    <w:rsid w:val="12931AF8"/>
    <w:rsid w:val="129904C8"/>
    <w:rsid w:val="13232C54"/>
    <w:rsid w:val="132C79A5"/>
    <w:rsid w:val="13371E98"/>
    <w:rsid w:val="13896222"/>
    <w:rsid w:val="13951726"/>
    <w:rsid w:val="139606BE"/>
    <w:rsid w:val="13D36C5E"/>
    <w:rsid w:val="140D6DBC"/>
    <w:rsid w:val="14396509"/>
    <w:rsid w:val="14B06F9F"/>
    <w:rsid w:val="14DD2C3C"/>
    <w:rsid w:val="154067D4"/>
    <w:rsid w:val="1559567A"/>
    <w:rsid w:val="155E603F"/>
    <w:rsid w:val="15CB1165"/>
    <w:rsid w:val="15CC6EFF"/>
    <w:rsid w:val="16087E1D"/>
    <w:rsid w:val="16504596"/>
    <w:rsid w:val="16511E5F"/>
    <w:rsid w:val="169D1CBC"/>
    <w:rsid w:val="16B020C0"/>
    <w:rsid w:val="16B136A2"/>
    <w:rsid w:val="16DF6DDB"/>
    <w:rsid w:val="1703565C"/>
    <w:rsid w:val="17326391"/>
    <w:rsid w:val="17544B07"/>
    <w:rsid w:val="17701D14"/>
    <w:rsid w:val="17735226"/>
    <w:rsid w:val="18024EBE"/>
    <w:rsid w:val="185F6D12"/>
    <w:rsid w:val="18635FBC"/>
    <w:rsid w:val="18671969"/>
    <w:rsid w:val="187D3118"/>
    <w:rsid w:val="189F624C"/>
    <w:rsid w:val="18A46999"/>
    <w:rsid w:val="18C6442E"/>
    <w:rsid w:val="18DD40DB"/>
    <w:rsid w:val="19267830"/>
    <w:rsid w:val="194E71A3"/>
    <w:rsid w:val="19AD2C95"/>
    <w:rsid w:val="19D40477"/>
    <w:rsid w:val="1A1C66C0"/>
    <w:rsid w:val="1A1D03C7"/>
    <w:rsid w:val="1A42393B"/>
    <w:rsid w:val="1AAD45DE"/>
    <w:rsid w:val="1AE312C8"/>
    <w:rsid w:val="1B046F80"/>
    <w:rsid w:val="1B1D5F8C"/>
    <w:rsid w:val="1B3267B5"/>
    <w:rsid w:val="1B347287"/>
    <w:rsid w:val="1B40161D"/>
    <w:rsid w:val="1B441859"/>
    <w:rsid w:val="1B4740C2"/>
    <w:rsid w:val="1B574618"/>
    <w:rsid w:val="1B6606B1"/>
    <w:rsid w:val="1B6B3C20"/>
    <w:rsid w:val="1B93768E"/>
    <w:rsid w:val="1BB37D4B"/>
    <w:rsid w:val="1C187068"/>
    <w:rsid w:val="1C5E7925"/>
    <w:rsid w:val="1C627DA4"/>
    <w:rsid w:val="1C856C21"/>
    <w:rsid w:val="1CAE142C"/>
    <w:rsid w:val="1CBE6A3A"/>
    <w:rsid w:val="1CFD070F"/>
    <w:rsid w:val="1D4D7A81"/>
    <w:rsid w:val="1D5F6196"/>
    <w:rsid w:val="1D6132A5"/>
    <w:rsid w:val="1D635858"/>
    <w:rsid w:val="1D8B145A"/>
    <w:rsid w:val="1D8E56D5"/>
    <w:rsid w:val="1DCC253C"/>
    <w:rsid w:val="1E5733A8"/>
    <w:rsid w:val="1E5B1C03"/>
    <w:rsid w:val="1E764DB5"/>
    <w:rsid w:val="1E7A43DA"/>
    <w:rsid w:val="1E8C6387"/>
    <w:rsid w:val="1F2612E6"/>
    <w:rsid w:val="1F6C2AA1"/>
    <w:rsid w:val="1F865C2C"/>
    <w:rsid w:val="1FE7539E"/>
    <w:rsid w:val="20671BE0"/>
    <w:rsid w:val="206978B6"/>
    <w:rsid w:val="20847C0A"/>
    <w:rsid w:val="20963CB8"/>
    <w:rsid w:val="209C3705"/>
    <w:rsid w:val="20A12823"/>
    <w:rsid w:val="20A81A1B"/>
    <w:rsid w:val="20B07FB6"/>
    <w:rsid w:val="20B646FB"/>
    <w:rsid w:val="20D81D57"/>
    <w:rsid w:val="213B74B1"/>
    <w:rsid w:val="21582E98"/>
    <w:rsid w:val="215A2310"/>
    <w:rsid w:val="21727A96"/>
    <w:rsid w:val="21D06ED2"/>
    <w:rsid w:val="21DE318A"/>
    <w:rsid w:val="21E07116"/>
    <w:rsid w:val="21EF5B80"/>
    <w:rsid w:val="22004353"/>
    <w:rsid w:val="22576990"/>
    <w:rsid w:val="22AD0279"/>
    <w:rsid w:val="22CC1448"/>
    <w:rsid w:val="22DD5403"/>
    <w:rsid w:val="22F47480"/>
    <w:rsid w:val="22F756CF"/>
    <w:rsid w:val="23040E22"/>
    <w:rsid w:val="235F7681"/>
    <w:rsid w:val="23801546"/>
    <w:rsid w:val="23A45F21"/>
    <w:rsid w:val="23DE1C48"/>
    <w:rsid w:val="240210CD"/>
    <w:rsid w:val="24222C5E"/>
    <w:rsid w:val="242552B4"/>
    <w:rsid w:val="24BF09F7"/>
    <w:rsid w:val="24FB2346"/>
    <w:rsid w:val="25044B67"/>
    <w:rsid w:val="25150C86"/>
    <w:rsid w:val="252D53FE"/>
    <w:rsid w:val="25446E5A"/>
    <w:rsid w:val="25463F2B"/>
    <w:rsid w:val="25847246"/>
    <w:rsid w:val="259324EC"/>
    <w:rsid w:val="25DA094C"/>
    <w:rsid w:val="25EC2D81"/>
    <w:rsid w:val="262242E7"/>
    <w:rsid w:val="26882E4A"/>
    <w:rsid w:val="26A10E3D"/>
    <w:rsid w:val="26E74AA2"/>
    <w:rsid w:val="26F52B8D"/>
    <w:rsid w:val="277057A2"/>
    <w:rsid w:val="27792608"/>
    <w:rsid w:val="27E56B08"/>
    <w:rsid w:val="280E3F56"/>
    <w:rsid w:val="280F3538"/>
    <w:rsid w:val="283D6356"/>
    <w:rsid w:val="286C3A08"/>
    <w:rsid w:val="288B346B"/>
    <w:rsid w:val="28D23530"/>
    <w:rsid w:val="28EF5E90"/>
    <w:rsid w:val="29206EB8"/>
    <w:rsid w:val="293926EA"/>
    <w:rsid w:val="29595666"/>
    <w:rsid w:val="29874881"/>
    <w:rsid w:val="29C933E6"/>
    <w:rsid w:val="29DB6414"/>
    <w:rsid w:val="29E325E0"/>
    <w:rsid w:val="2A452503"/>
    <w:rsid w:val="2ADB4D7F"/>
    <w:rsid w:val="2B0E5C88"/>
    <w:rsid w:val="2B3F0ED1"/>
    <w:rsid w:val="2B6B55D7"/>
    <w:rsid w:val="2B824D9A"/>
    <w:rsid w:val="2BA936A8"/>
    <w:rsid w:val="2C0E033F"/>
    <w:rsid w:val="2C315A5A"/>
    <w:rsid w:val="2C4B1C25"/>
    <w:rsid w:val="2C733B7D"/>
    <w:rsid w:val="2C7F577D"/>
    <w:rsid w:val="2C81685E"/>
    <w:rsid w:val="2CB64F0C"/>
    <w:rsid w:val="2CBB3B8C"/>
    <w:rsid w:val="2D106281"/>
    <w:rsid w:val="2D410C84"/>
    <w:rsid w:val="2D83129D"/>
    <w:rsid w:val="2D9E56F5"/>
    <w:rsid w:val="2E667F96"/>
    <w:rsid w:val="2E8226AB"/>
    <w:rsid w:val="2EF13F17"/>
    <w:rsid w:val="2F397228"/>
    <w:rsid w:val="2F3E1BE9"/>
    <w:rsid w:val="2F6620F1"/>
    <w:rsid w:val="2FD065E6"/>
    <w:rsid w:val="2FD96870"/>
    <w:rsid w:val="302A1EA4"/>
    <w:rsid w:val="30353851"/>
    <w:rsid w:val="30580BC9"/>
    <w:rsid w:val="30BA4FD6"/>
    <w:rsid w:val="30D61497"/>
    <w:rsid w:val="31012C04"/>
    <w:rsid w:val="311E2ED7"/>
    <w:rsid w:val="311F119A"/>
    <w:rsid w:val="31253DDC"/>
    <w:rsid w:val="313F6AFD"/>
    <w:rsid w:val="315619EE"/>
    <w:rsid w:val="315C449C"/>
    <w:rsid w:val="316136A3"/>
    <w:rsid w:val="318F0210"/>
    <w:rsid w:val="31973569"/>
    <w:rsid w:val="31B1596F"/>
    <w:rsid w:val="31B82709"/>
    <w:rsid w:val="31C93089"/>
    <w:rsid w:val="31D05482"/>
    <w:rsid w:val="31D73965"/>
    <w:rsid w:val="31F27E56"/>
    <w:rsid w:val="320C1861"/>
    <w:rsid w:val="320C7AB3"/>
    <w:rsid w:val="32400B34"/>
    <w:rsid w:val="32591540"/>
    <w:rsid w:val="329926F0"/>
    <w:rsid w:val="329E6876"/>
    <w:rsid w:val="32B37488"/>
    <w:rsid w:val="330369A7"/>
    <w:rsid w:val="33064502"/>
    <w:rsid w:val="333015F2"/>
    <w:rsid w:val="334B6320"/>
    <w:rsid w:val="336D27D3"/>
    <w:rsid w:val="33746867"/>
    <w:rsid w:val="33D934D4"/>
    <w:rsid w:val="33FE2F6A"/>
    <w:rsid w:val="340E07E5"/>
    <w:rsid w:val="34235BF7"/>
    <w:rsid w:val="342A2472"/>
    <w:rsid w:val="34480AEB"/>
    <w:rsid w:val="345629A3"/>
    <w:rsid w:val="34AE2035"/>
    <w:rsid w:val="34B8182C"/>
    <w:rsid w:val="34FB51A8"/>
    <w:rsid w:val="351647A5"/>
    <w:rsid w:val="351E3DBE"/>
    <w:rsid w:val="35357321"/>
    <w:rsid w:val="353D6A1E"/>
    <w:rsid w:val="3572412D"/>
    <w:rsid w:val="358C5FA8"/>
    <w:rsid w:val="35B538E8"/>
    <w:rsid w:val="35C15DF1"/>
    <w:rsid w:val="35CE4E14"/>
    <w:rsid w:val="35FF4BF1"/>
    <w:rsid w:val="36074A7F"/>
    <w:rsid w:val="361C154B"/>
    <w:rsid w:val="365F257B"/>
    <w:rsid w:val="367227F7"/>
    <w:rsid w:val="36923549"/>
    <w:rsid w:val="36AC6230"/>
    <w:rsid w:val="36B75FBF"/>
    <w:rsid w:val="36BD0C45"/>
    <w:rsid w:val="36C02C1A"/>
    <w:rsid w:val="36C94D6E"/>
    <w:rsid w:val="36CD211E"/>
    <w:rsid w:val="36D55BD5"/>
    <w:rsid w:val="36DE3B9A"/>
    <w:rsid w:val="379529C1"/>
    <w:rsid w:val="37B759A8"/>
    <w:rsid w:val="37E00298"/>
    <w:rsid w:val="380652D8"/>
    <w:rsid w:val="38936EC5"/>
    <w:rsid w:val="38B302F9"/>
    <w:rsid w:val="38CD7948"/>
    <w:rsid w:val="38E54BBA"/>
    <w:rsid w:val="38F12CD3"/>
    <w:rsid w:val="38F94775"/>
    <w:rsid w:val="3905060C"/>
    <w:rsid w:val="3905563F"/>
    <w:rsid w:val="39282C51"/>
    <w:rsid w:val="392971ED"/>
    <w:rsid w:val="39325651"/>
    <w:rsid w:val="393B0C7E"/>
    <w:rsid w:val="396C4D85"/>
    <w:rsid w:val="3978678E"/>
    <w:rsid w:val="398F3560"/>
    <w:rsid w:val="3A1C285D"/>
    <w:rsid w:val="3A355F37"/>
    <w:rsid w:val="3A872856"/>
    <w:rsid w:val="3A974F41"/>
    <w:rsid w:val="3AD10BF3"/>
    <w:rsid w:val="3B251BE5"/>
    <w:rsid w:val="3B3763D1"/>
    <w:rsid w:val="3B490455"/>
    <w:rsid w:val="3B5D4AFE"/>
    <w:rsid w:val="3BEB0739"/>
    <w:rsid w:val="3C2F6E1E"/>
    <w:rsid w:val="3C3739FB"/>
    <w:rsid w:val="3C3B116F"/>
    <w:rsid w:val="3C476E14"/>
    <w:rsid w:val="3C4B2A92"/>
    <w:rsid w:val="3C4F64BA"/>
    <w:rsid w:val="3C8B5399"/>
    <w:rsid w:val="3CDA245A"/>
    <w:rsid w:val="3D1E06B7"/>
    <w:rsid w:val="3D4B0E9F"/>
    <w:rsid w:val="3D5B544A"/>
    <w:rsid w:val="3D8B76A3"/>
    <w:rsid w:val="3DC65F30"/>
    <w:rsid w:val="3DCD2763"/>
    <w:rsid w:val="3DD0408A"/>
    <w:rsid w:val="3E042481"/>
    <w:rsid w:val="3E837AD0"/>
    <w:rsid w:val="3EB2553E"/>
    <w:rsid w:val="3EDA0523"/>
    <w:rsid w:val="3F4C3118"/>
    <w:rsid w:val="4010063C"/>
    <w:rsid w:val="4024421A"/>
    <w:rsid w:val="40416B7A"/>
    <w:rsid w:val="407671A0"/>
    <w:rsid w:val="407A6407"/>
    <w:rsid w:val="40A04DA2"/>
    <w:rsid w:val="40E439A9"/>
    <w:rsid w:val="414322FD"/>
    <w:rsid w:val="419D3989"/>
    <w:rsid w:val="41A31E6A"/>
    <w:rsid w:val="41CC7C17"/>
    <w:rsid w:val="41CE67D4"/>
    <w:rsid w:val="41FD11C6"/>
    <w:rsid w:val="4200449D"/>
    <w:rsid w:val="420255A4"/>
    <w:rsid w:val="421714B5"/>
    <w:rsid w:val="423A3BCC"/>
    <w:rsid w:val="424E57D2"/>
    <w:rsid w:val="426C648E"/>
    <w:rsid w:val="42B26C49"/>
    <w:rsid w:val="4301090E"/>
    <w:rsid w:val="43152C09"/>
    <w:rsid w:val="431E13F4"/>
    <w:rsid w:val="433A6FE6"/>
    <w:rsid w:val="43480868"/>
    <w:rsid w:val="4350713C"/>
    <w:rsid w:val="436653E0"/>
    <w:rsid w:val="43672D9B"/>
    <w:rsid w:val="436C22D5"/>
    <w:rsid w:val="43980CA1"/>
    <w:rsid w:val="43C1030D"/>
    <w:rsid w:val="43C4431A"/>
    <w:rsid w:val="43F839F3"/>
    <w:rsid w:val="44357E2E"/>
    <w:rsid w:val="4499139C"/>
    <w:rsid w:val="44995133"/>
    <w:rsid w:val="44B951CC"/>
    <w:rsid w:val="44CD14E0"/>
    <w:rsid w:val="44E421C9"/>
    <w:rsid w:val="44F015CD"/>
    <w:rsid w:val="44F20B0B"/>
    <w:rsid w:val="451800DA"/>
    <w:rsid w:val="45284A0F"/>
    <w:rsid w:val="452E5F4C"/>
    <w:rsid w:val="453749EF"/>
    <w:rsid w:val="45612018"/>
    <w:rsid w:val="456B0C9E"/>
    <w:rsid w:val="458946E9"/>
    <w:rsid w:val="45A47C0E"/>
    <w:rsid w:val="45EA1A61"/>
    <w:rsid w:val="46171BE8"/>
    <w:rsid w:val="463D19E3"/>
    <w:rsid w:val="46577FD6"/>
    <w:rsid w:val="465D297D"/>
    <w:rsid w:val="46B60358"/>
    <w:rsid w:val="46D1677D"/>
    <w:rsid w:val="46D955A7"/>
    <w:rsid w:val="46F76573"/>
    <w:rsid w:val="46FC379C"/>
    <w:rsid w:val="46FD5ED5"/>
    <w:rsid w:val="47133957"/>
    <w:rsid w:val="47307948"/>
    <w:rsid w:val="477729D5"/>
    <w:rsid w:val="478D08F6"/>
    <w:rsid w:val="47A07E0C"/>
    <w:rsid w:val="47B265AF"/>
    <w:rsid w:val="47BB1826"/>
    <w:rsid w:val="484E172C"/>
    <w:rsid w:val="485C1B3B"/>
    <w:rsid w:val="4870272E"/>
    <w:rsid w:val="488C2595"/>
    <w:rsid w:val="48DD35B8"/>
    <w:rsid w:val="48DD3AFF"/>
    <w:rsid w:val="48F7696F"/>
    <w:rsid w:val="49374FBE"/>
    <w:rsid w:val="49877112"/>
    <w:rsid w:val="49C24952"/>
    <w:rsid w:val="49DC7715"/>
    <w:rsid w:val="49FA1EB4"/>
    <w:rsid w:val="4A023139"/>
    <w:rsid w:val="4A325785"/>
    <w:rsid w:val="4A4719D1"/>
    <w:rsid w:val="4A5406C0"/>
    <w:rsid w:val="4A5907F7"/>
    <w:rsid w:val="4A7B576F"/>
    <w:rsid w:val="4A8E413B"/>
    <w:rsid w:val="4AC72371"/>
    <w:rsid w:val="4ACC36A4"/>
    <w:rsid w:val="4AF26E32"/>
    <w:rsid w:val="4AF561A9"/>
    <w:rsid w:val="4B467CDB"/>
    <w:rsid w:val="4B710AE2"/>
    <w:rsid w:val="4B865D88"/>
    <w:rsid w:val="4BBE3774"/>
    <w:rsid w:val="4BF8764F"/>
    <w:rsid w:val="4C4A0649"/>
    <w:rsid w:val="4C7E5ECA"/>
    <w:rsid w:val="4C876AA5"/>
    <w:rsid w:val="4CAE1A3B"/>
    <w:rsid w:val="4CC144B2"/>
    <w:rsid w:val="4D0E00FB"/>
    <w:rsid w:val="4D176606"/>
    <w:rsid w:val="4D183024"/>
    <w:rsid w:val="4D662315"/>
    <w:rsid w:val="4D955878"/>
    <w:rsid w:val="4DAE1F81"/>
    <w:rsid w:val="4DD76D6F"/>
    <w:rsid w:val="4DEC4FB0"/>
    <w:rsid w:val="4DFE1BEF"/>
    <w:rsid w:val="4E075D8A"/>
    <w:rsid w:val="4E1E6C22"/>
    <w:rsid w:val="4E51034E"/>
    <w:rsid w:val="4E833ADE"/>
    <w:rsid w:val="4EC00FAD"/>
    <w:rsid w:val="4F1A33B7"/>
    <w:rsid w:val="4F560168"/>
    <w:rsid w:val="4F5D1EB7"/>
    <w:rsid w:val="4F9843DC"/>
    <w:rsid w:val="4FC62A8C"/>
    <w:rsid w:val="4FDC68BF"/>
    <w:rsid w:val="4FE20F0D"/>
    <w:rsid w:val="4FE51552"/>
    <w:rsid w:val="4FF202B4"/>
    <w:rsid w:val="504128EA"/>
    <w:rsid w:val="50504C4B"/>
    <w:rsid w:val="509C6E7C"/>
    <w:rsid w:val="50BD6CE2"/>
    <w:rsid w:val="50F27791"/>
    <w:rsid w:val="5162104E"/>
    <w:rsid w:val="51833CE2"/>
    <w:rsid w:val="521C3AC0"/>
    <w:rsid w:val="530C3017"/>
    <w:rsid w:val="5349426B"/>
    <w:rsid w:val="53547139"/>
    <w:rsid w:val="53952E53"/>
    <w:rsid w:val="53A039CC"/>
    <w:rsid w:val="53A1505A"/>
    <w:rsid w:val="53B70E5D"/>
    <w:rsid w:val="53BC14AE"/>
    <w:rsid w:val="53C4784A"/>
    <w:rsid w:val="53E421E6"/>
    <w:rsid w:val="53EF7B49"/>
    <w:rsid w:val="54063E08"/>
    <w:rsid w:val="54085283"/>
    <w:rsid w:val="54136627"/>
    <w:rsid w:val="543437E8"/>
    <w:rsid w:val="54B366B5"/>
    <w:rsid w:val="54BA0218"/>
    <w:rsid w:val="54C4392D"/>
    <w:rsid w:val="54F73313"/>
    <w:rsid w:val="54F80955"/>
    <w:rsid w:val="55023308"/>
    <w:rsid w:val="550A5C7C"/>
    <w:rsid w:val="555170A7"/>
    <w:rsid w:val="55540CA5"/>
    <w:rsid w:val="5587536D"/>
    <w:rsid w:val="559B174B"/>
    <w:rsid w:val="55CE0CF4"/>
    <w:rsid w:val="5604334C"/>
    <w:rsid w:val="563570F8"/>
    <w:rsid w:val="56861332"/>
    <w:rsid w:val="56B22A9C"/>
    <w:rsid w:val="570109B9"/>
    <w:rsid w:val="57542405"/>
    <w:rsid w:val="577C0114"/>
    <w:rsid w:val="577E200A"/>
    <w:rsid w:val="57B72A76"/>
    <w:rsid w:val="57BF677B"/>
    <w:rsid w:val="57C3426C"/>
    <w:rsid w:val="57C5644A"/>
    <w:rsid w:val="57CE1F93"/>
    <w:rsid w:val="58001CA6"/>
    <w:rsid w:val="58590AD0"/>
    <w:rsid w:val="586C60FC"/>
    <w:rsid w:val="588743D1"/>
    <w:rsid w:val="5887701A"/>
    <w:rsid w:val="58A3586D"/>
    <w:rsid w:val="58AA1C14"/>
    <w:rsid w:val="58B55EFF"/>
    <w:rsid w:val="58BA1767"/>
    <w:rsid w:val="58FF5734"/>
    <w:rsid w:val="598A001D"/>
    <w:rsid w:val="59C0439F"/>
    <w:rsid w:val="5A230B9F"/>
    <w:rsid w:val="5A256EAB"/>
    <w:rsid w:val="5A6E7DCF"/>
    <w:rsid w:val="5A7F7AFB"/>
    <w:rsid w:val="5ABE2233"/>
    <w:rsid w:val="5B0F2223"/>
    <w:rsid w:val="5B4026A7"/>
    <w:rsid w:val="5BB47799"/>
    <w:rsid w:val="5BC14BBB"/>
    <w:rsid w:val="5BDF5D95"/>
    <w:rsid w:val="5BFE7528"/>
    <w:rsid w:val="5D2F352B"/>
    <w:rsid w:val="5D4F60A9"/>
    <w:rsid w:val="5D6950E1"/>
    <w:rsid w:val="5D811C3D"/>
    <w:rsid w:val="5DFA538E"/>
    <w:rsid w:val="5E1C667C"/>
    <w:rsid w:val="5E2467F1"/>
    <w:rsid w:val="5E4A70E9"/>
    <w:rsid w:val="5E563FAA"/>
    <w:rsid w:val="5E9534D9"/>
    <w:rsid w:val="5EDE1EC4"/>
    <w:rsid w:val="5EEB337D"/>
    <w:rsid w:val="5F0E3623"/>
    <w:rsid w:val="5F1A2B43"/>
    <w:rsid w:val="5F555D46"/>
    <w:rsid w:val="5F802EF2"/>
    <w:rsid w:val="5FB837BB"/>
    <w:rsid w:val="604A33D1"/>
    <w:rsid w:val="606306D7"/>
    <w:rsid w:val="606E6EED"/>
    <w:rsid w:val="60CC405A"/>
    <w:rsid w:val="60EB1E1F"/>
    <w:rsid w:val="60FA04C0"/>
    <w:rsid w:val="60FF240D"/>
    <w:rsid w:val="611D0AE5"/>
    <w:rsid w:val="612D7285"/>
    <w:rsid w:val="613010DB"/>
    <w:rsid w:val="61410DD1"/>
    <w:rsid w:val="61730705"/>
    <w:rsid w:val="61A134C4"/>
    <w:rsid w:val="61E215D8"/>
    <w:rsid w:val="621B3775"/>
    <w:rsid w:val="62364782"/>
    <w:rsid w:val="62A4243E"/>
    <w:rsid w:val="62B110FA"/>
    <w:rsid w:val="62B334AF"/>
    <w:rsid w:val="62C77B6E"/>
    <w:rsid w:val="6378292B"/>
    <w:rsid w:val="6394356A"/>
    <w:rsid w:val="63B76FCF"/>
    <w:rsid w:val="63C61B2C"/>
    <w:rsid w:val="63D40BE9"/>
    <w:rsid w:val="64010CB3"/>
    <w:rsid w:val="64102431"/>
    <w:rsid w:val="64124205"/>
    <w:rsid w:val="64A10C94"/>
    <w:rsid w:val="64A5243A"/>
    <w:rsid w:val="64B46724"/>
    <w:rsid w:val="64F12200"/>
    <w:rsid w:val="64F531DE"/>
    <w:rsid w:val="65064B67"/>
    <w:rsid w:val="65373578"/>
    <w:rsid w:val="654A2147"/>
    <w:rsid w:val="65640A91"/>
    <w:rsid w:val="65935507"/>
    <w:rsid w:val="659A0ECE"/>
    <w:rsid w:val="65C32374"/>
    <w:rsid w:val="65C9158F"/>
    <w:rsid w:val="660E4EA0"/>
    <w:rsid w:val="6612547C"/>
    <w:rsid w:val="666D3E90"/>
    <w:rsid w:val="668A3648"/>
    <w:rsid w:val="66B260FA"/>
    <w:rsid w:val="67117B4E"/>
    <w:rsid w:val="671F124A"/>
    <w:rsid w:val="677A33C6"/>
    <w:rsid w:val="67C44955"/>
    <w:rsid w:val="681F6961"/>
    <w:rsid w:val="684C04B5"/>
    <w:rsid w:val="68610A2F"/>
    <w:rsid w:val="686314D3"/>
    <w:rsid w:val="68662D72"/>
    <w:rsid w:val="68805514"/>
    <w:rsid w:val="68DB3284"/>
    <w:rsid w:val="68EA39A3"/>
    <w:rsid w:val="68EB0929"/>
    <w:rsid w:val="68FD36D6"/>
    <w:rsid w:val="690F7B4E"/>
    <w:rsid w:val="69316E2F"/>
    <w:rsid w:val="694E2071"/>
    <w:rsid w:val="69766163"/>
    <w:rsid w:val="697A3B33"/>
    <w:rsid w:val="697C57B7"/>
    <w:rsid w:val="69912E82"/>
    <w:rsid w:val="69A973BA"/>
    <w:rsid w:val="69D44760"/>
    <w:rsid w:val="69D837FB"/>
    <w:rsid w:val="6A0F5D3F"/>
    <w:rsid w:val="6A1865B5"/>
    <w:rsid w:val="6A3E2734"/>
    <w:rsid w:val="6A520EC7"/>
    <w:rsid w:val="6A537326"/>
    <w:rsid w:val="6A5E63F6"/>
    <w:rsid w:val="6AF87E20"/>
    <w:rsid w:val="6B322639"/>
    <w:rsid w:val="6B922225"/>
    <w:rsid w:val="6B962BD1"/>
    <w:rsid w:val="6BC77FCB"/>
    <w:rsid w:val="6BCA634C"/>
    <w:rsid w:val="6BD462EA"/>
    <w:rsid w:val="6C636C38"/>
    <w:rsid w:val="6C746E29"/>
    <w:rsid w:val="6D2F5E28"/>
    <w:rsid w:val="6D4D62AE"/>
    <w:rsid w:val="6D617FAC"/>
    <w:rsid w:val="6D8B786A"/>
    <w:rsid w:val="6D8F215B"/>
    <w:rsid w:val="6DA7485D"/>
    <w:rsid w:val="6DB1683D"/>
    <w:rsid w:val="6DB34098"/>
    <w:rsid w:val="6DB545B6"/>
    <w:rsid w:val="6DC041DF"/>
    <w:rsid w:val="6DE02FB4"/>
    <w:rsid w:val="6E514CED"/>
    <w:rsid w:val="6E600263"/>
    <w:rsid w:val="6E796CB6"/>
    <w:rsid w:val="6E7F5897"/>
    <w:rsid w:val="6EB563D5"/>
    <w:rsid w:val="6EBC3B07"/>
    <w:rsid w:val="6ED92677"/>
    <w:rsid w:val="6F225983"/>
    <w:rsid w:val="6F963581"/>
    <w:rsid w:val="6FFC5590"/>
    <w:rsid w:val="706D1DD0"/>
    <w:rsid w:val="70820965"/>
    <w:rsid w:val="70856B87"/>
    <w:rsid w:val="70BF74C3"/>
    <w:rsid w:val="70D527EE"/>
    <w:rsid w:val="70DA21C9"/>
    <w:rsid w:val="715B5300"/>
    <w:rsid w:val="719E357C"/>
    <w:rsid w:val="71D27F8A"/>
    <w:rsid w:val="71D862C3"/>
    <w:rsid w:val="71FF6EA4"/>
    <w:rsid w:val="722231D5"/>
    <w:rsid w:val="722A58F0"/>
    <w:rsid w:val="72553024"/>
    <w:rsid w:val="729B1CD5"/>
    <w:rsid w:val="72A14A93"/>
    <w:rsid w:val="72B56D23"/>
    <w:rsid w:val="73122968"/>
    <w:rsid w:val="731F5D5E"/>
    <w:rsid w:val="73244101"/>
    <w:rsid w:val="733B0C35"/>
    <w:rsid w:val="737F118B"/>
    <w:rsid w:val="73C51AD5"/>
    <w:rsid w:val="73E3796C"/>
    <w:rsid w:val="741E793C"/>
    <w:rsid w:val="74481B5A"/>
    <w:rsid w:val="745E3944"/>
    <w:rsid w:val="75282325"/>
    <w:rsid w:val="75826D11"/>
    <w:rsid w:val="762C5A1A"/>
    <w:rsid w:val="762E5F75"/>
    <w:rsid w:val="7635099D"/>
    <w:rsid w:val="76607052"/>
    <w:rsid w:val="766C3C49"/>
    <w:rsid w:val="76F82FA7"/>
    <w:rsid w:val="77193756"/>
    <w:rsid w:val="771B11CB"/>
    <w:rsid w:val="77286443"/>
    <w:rsid w:val="77762421"/>
    <w:rsid w:val="77940D39"/>
    <w:rsid w:val="77B56B1F"/>
    <w:rsid w:val="77B61EFC"/>
    <w:rsid w:val="780F09F4"/>
    <w:rsid w:val="7840713B"/>
    <w:rsid w:val="7879264D"/>
    <w:rsid w:val="78A90480"/>
    <w:rsid w:val="79125E10"/>
    <w:rsid w:val="794E756A"/>
    <w:rsid w:val="798E7AA1"/>
    <w:rsid w:val="79AE4F07"/>
    <w:rsid w:val="79B30800"/>
    <w:rsid w:val="79B7167F"/>
    <w:rsid w:val="79EA1671"/>
    <w:rsid w:val="7A2F7467"/>
    <w:rsid w:val="7A364017"/>
    <w:rsid w:val="7A4078C7"/>
    <w:rsid w:val="7A724F55"/>
    <w:rsid w:val="7A8265E1"/>
    <w:rsid w:val="7AC72E1E"/>
    <w:rsid w:val="7AFC6D17"/>
    <w:rsid w:val="7AFF472E"/>
    <w:rsid w:val="7B30793B"/>
    <w:rsid w:val="7B686D42"/>
    <w:rsid w:val="7B841746"/>
    <w:rsid w:val="7B847483"/>
    <w:rsid w:val="7C1F04D2"/>
    <w:rsid w:val="7C402039"/>
    <w:rsid w:val="7C407D8D"/>
    <w:rsid w:val="7C4511FA"/>
    <w:rsid w:val="7C6C5AC7"/>
    <w:rsid w:val="7C8F68E3"/>
    <w:rsid w:val="7CC6544B"/>
    <w:rsid w:val="7D0239FF"/>
    <w:rsid w:val="7D3B05D1"/>
    <w:rsid w:val="7D5E40CD"/>
    <w:rsid w:val="7DA40413"/>
    <w:rsid w:val="7DCD56F2"/>
    <w:rsid w:val="7EE34D2C"/>
    <w:rsid w:val="7F001CE7"/>
    <w:rsid w:val="7F0974E4"/>
    <w:rsid w:val="7F1A723E"/>
    <w:rsid w:val="7F214DD5"/>
    <w:rsid w:val="7F81059C"/>
    <w:rsid w:val="7F8261FA"/>
    <w:rsid w:val="7F952D4C"/>
    <w:rsid w:val="7FA20E0C"/>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7">
    <w:name w:val="heading 1"/>
    <w:basedOn w:val="1"/>
    <w:next w:val="1"/>
    <w:qFormat/>
    <w:uiPriority w:val="99"/>
    <w:pPr>
      <w:keepNext/>
      <w:overflowPunct w:val="0"/>
      <w:snapToGrid w:val="0"/>
      <w:spacing w:before="120" w:after="60" w:line="240" w:lineRule="auto"/>
      <w:ind w:firstLine="0" w:firstLineChars="0"/>
      <w:jc w:val="center"/>
      <w:outlineLvl w:val="0"/>
    </w:pPr>
    <w:rPr>
      <w:b/>
      <w:bCs/>
      <w:color w:val="000000"/>
      <w:kern w:val="44"/>
      <w:sz w:val="28"/>
      <w:szCs w:val="30"/>
    </w:rPr>
  </w:style>
  <w:style w:type="paragraph" w:styleId="8">
    <w:name w:val="heading 2"/>
    <w:basedOn w:val="1"/>
    <w:next w:val="9"/>
    <w:link w:val="37"/>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10">
    <w:name w:val="heading 3"/>
    <w:basedOn w:val="1"/>
    <w:next w:val="1"/>
    <w:link w:val="39"/>
    <w:unhideWhenUsed/>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40"/>
      <w:jc w:val="left"/>
      <w:outlineLvl w:val="3"/>
    </w:pPr>
    <w:rPr>
      <w:rFonts w:ascii="宋体" w:hAnsi="宋体" w:eastAsia="宋体"/>
      <w:color w:val="000000"/>
      <w:sz w:val="30"/>
    </w:rPr>
  </w:style>
  <w:style w:type="character" w:default="1" w:styleId="30">
    <w:name w:val="Default Paragraph Font"/>
    <w:semiHidden/>
    <w:qFormat/>
    <w:uiPriority w:val="0"/>
  </w:style>
  <w:style w:type="table" w:default="1" w:styleId="2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5"/>
    <w:link w:val="53"/>
    <w:qFormat/>
    <w:uiPriority w:val="0"/>
    <w:pPr>
      <w:ind w:firstLine="420" w:firstLineChars="200"/>
    </w:pPr>
    <w:rPr>
      <w:kern w:val="2"/>
      <w:sz w:val="21"/>
      <w:szCs w:val="24"/>
    </w:rPr>
  </w:style>
  <w:style w:type="paragraph" w:styleId="3">
    <w:name w:val="Body Text Indent"/>
    <w:basedOn w:val="1"/>
    <w:next w:val="4"/>
    <w:link w:val="43"/>
    <w:qFormat/>
    <w:uiPriority w:val="0"/>
    <w:pPr>
      <w:spacing w:after="120"/>
      <w:ind w:left="420" w:leftChars="200"/>
    </w:pPr>
    <w:rPr>
      <w:kern w:val="0"/>
      <w:sz w:val="24"/>
      <w:szCs w:val="20"/>
    </w:rPr>
  </w:style>
  <w:style w:type="paragraph" w:styleId="5">
    <w:name w:val="Body Text First Indent"/>
    <w:basedOn w:val="6"/>
    <w:next w:val="2"/>
    <w:link w:val="52"/>
    <w:qFormat/>
    <w:uiPriority w:val="0"/>
    <w:pPr>
      <w:widowControl w:val="0"/>
      <w:snapToGrid/>
      <w:spacing w:before="0" w:after="120" w:line="360" w:lineRule="auto"/>
      <w:ind w:right="0" w:firstLine="420" w:firstLineChars="100"/>
    </w:pPr>
    <w:rPr>
      <w:kern w:val="2"/>
      <w:sz w:val="24"/>
      <w:szCs w:val="24"/>
    </w:rPr>
  </w:style>
  <w:style w:type="paragraph" w:styleId="6">
    <w:name w:val="Body Text"/>
    <w:basedOn w:val="1"/>
    <w:link w:val="42"/>
    <w:qFormat/>
    <w:uiPriority w:val="0"/>
    <w:pPr>
      <w:widowControl/>
      <w:snapToGrid w:val="0"/>
      <w:spacing w:before="60" w:after="160" w:line="259" w:lineRule="auto"/>
      <w:ind w:right="113"/>
    </w:pPr>
    <w:rPr>
      <w:kern w:val="0"/>
      <w:sz w:val="18"/>
      <w:szCs w:val="20"/>
    </w:rPr>
  </w:style>
  <w:style w:type="paragraph" w:customStyle="1" w:styleId="9">
    <w:name w:val="【正文】"/>
    <w:link w:val="38"/>
    <w:qFormat/>
    <w:uiPriority w:val="0"/>
    <w:pPr>
      <w:widowControl w:val="0"/>
      <w:topLinePunct/>
      <w:adjustRightInd w:val="0"/>
      <w:snapToGrid w:val="0"/>
      <w:spacing w:line="500" w:lineRule="exact"/>
      <w:ind w:firstLine="480" w:firstLineChars="200"/>
      <w:jc w:val="both"/>
    </w:pPr>
    <w:rPr>
      <w:rFonts w:ascii="Times New Roman" w:hAnsi="Times New Roman" w:eastAsia="宋体" w:cs="宋体"/>
      <w:kern w:val="21"/>
      <w:sz w:val="24"/>
      <w:szCs w:val="24"/>
    </w:rPr>
  </w:style>
  <w:style w:type="paragraph" w:styleId="11">
    <w:name w:val="Normal Indent"/>
    <w:basedOn w:val="1"/>
    <w:link w:val="40"/>
    <w:qFormat/>
    <w:uiPriority w:val="0"/>
    <w:pPr>
      <w:ind w:firstLine="420" w:firstLineChars="200"/>
    </w:p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annotation text"/>
    <w:basedOn w:val="1"/>
    <w:link w:val="41"/>
    <w:semiHidden/>
    <w:qFormat/>
    <w:uiPriority w:val="0"/>
    <w:pPr>
      <w:jc w:val="left"/>
    </w:pPr>
    <w:rPr>
      <w:kern w:val="0"/>
      <w:sz w:val="24"/>
      <w:szCs w:val="20"/>
    </w:rPr>
  </w:style>
  <w:style w:type="paragraph" w:styleId="14">
    <w:name w:val="Block Text"/>
    <w:basedOn w:val="1"/>
    <w:qFormat/>
    <w:uiPriority w:val="0"/>
    <w:pPr>
      <w:spacing w:line="240" w:lineRule="auto"/>
      <w:ind w:left="420" w:right="-175" w:rightChars="-73" w:firstLine="0" w:firstLineChars="0"/>
    </w:pPr>
    <w:rPr>
      <w:rFonts w:ascii="宋体" w:hAnsi="Arial"/>
      <w:szCs w:val="20"/>
    </w:rPr>
  </w:style>
  <w:style w:type="paragraph" w:styleId="15">
    <w:name w:val="Date"/>
    <w:basedOn w:val="1"/>
    <w:next w:val="1"/>
    <w:link w:val="44"/>
    <w:qFormat/>
    <w:uiPriority w:val="0"/>
    <w:pPr>
      <w:ind w:left="100" w:leftChars="2500"/>
    </w:pPr>
    <w:rPr>
      <w:kern w:val="0"/>
      <w:sz w:val="24"/>
      <w:szCs w:val="20"/>
    </w:rPr>
  </w:style>
  <w:style w:type="paragraph" w:styleId="16">
    <w:name w:val="Body Text Indent 2"/>
    <w:basedOn w:val="1"/>
    <w:qFormat/>
    <w:uiPriority w:val="0"/>
    <w:pPr>
      <w:spacing w:after="120" w:line="480" w:lineRule="auto"/>
      <w:ind w:left="420" w:leftChars="200"/>
    </w:pPr>
  </w:style>
  <w:style w:type="paragraph" w:styleId="17">
    <w:name w:val="Balloon Text"/>
    <w:basedOn w:val="1"/>
    <w:link w:val="45"/>
    <w:semiHidden/>
    <w:qFormat/>
    <w:uiPriority w:val="0"/>
    <w:rPr>
      <w:kern w:val="0"/>
      <w:sz w:val="18"/>
      <w:szCs w:val="20"/>
    </w:rPr>
  </w:style>
  <w:style w:type="paragraph" w:styleId="18">
    <w:name w:val="footer"/>
    <w:basedOn w:val="1"/>
    <w:link w:val="46"/>
    <w:qFormat/>
    <w:uiPriority w:val="99"/>
    <w:pPr>
      <w:tabs>
        <w:tab w:val="center" w:pos="4153"/>
        <w:tab w:val="right" w:pos="8306"/>
      </w:tabs>
      <w:snapToGrid w:val="0"/>
      <w:jc w:val="left"/>
    </w:pPr>
    <w:rPr>
      <w:kern w:val="0"/>
      <w:sz w:val="18"/>
      <w:szCs w:val="20"/>
    </w:rPr>
  </w:style>
  <w:style w:type="paragraph" w:styleId="19">
    <w:name w:val="header"/>
    <w:basedOn w:val="1"/>
    <w:next w:val="20"/>
    <w:link w:val="47"/>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index heading"/>
    <w:basedOn w:val="1"/>
    <w:next w:val="21"/>
    <w:qFormat/>
    <w:uiPriority w:val="0"/>
    <w:rPr>
      <w:rFonts w:ascii="等线 Light" w:hAnsi="等线 Light" w:eastAsia="等线 Light" w:cs="Times New Roman"/>
      <w:b/>
      <w:bCs/>
    </w:rPr>
  </w:style>
  <w:style w:type="paragraph" w:styleId="21">
    <w:name w:val="index 1"/>
    <w:basedOn w:val="1"/>
    <w:next w:val="1"/>
    <w:qFormat/>
    <w:uiPriority w:val="0"/>
    <w:pPr>
      <w:ind w:firstLine="0"/>
    </w:pPr>
  </w:style>
  <w:style w:type="paragraph" w:styleId="22">
    <w:name w:val="List Continue 4"/>
    <w:basedOn w:val="1"/>
    <w:next w:val="1"/>
    <w:qFormat/>
    <w:uiPriority w:val="0"/>
    <w:pPr>
      <w:tabs>
        <w:tab w:val="left" w:pos="425"/>
      </w:tabs>
      <w:spacing w:after="120"/>
      <w:ind w:left="1680" w:leftChars="800"/>
    </w:pPr>
  </w:style>
  <w:style w:type="paragraph" w:styleId="23">
    <w:name w:val="List"/>
    <w:basedOn w:val="1"/>
    <w:next w:val="1"/>
    <w:qFormat/>
    <w:uiPriority w:val="0"/>
    <w:pPr>
      <w:ind w:left="200" w:hanging="200" w:hangingChars="200"/>
      <w:contextualSpacing/>
    </w:pPr>
  </w:style>
  <w:style w:type="paragraph" w:styleId="24">
    <w:name w:val="Body Text Indent 3"/>
    <w:basedOn w:val="1"/>
    <w:link w:val="48"/>
    <w:qFormat/>
    <w:uiPriority w:val="0"/>
    <w:pPr>
      <w:spacing w:after="120"/>
      <w:ind w:left="420" w:leftChars="200"/>
    </w:pPr>
    <w:rPr>
      <w:sz w:val="16"/>
      <w:szCs w:val="16"/>
    </w:rPr>
  </w:style>
  <w:style w:type="paragraph" w:styleId="25">
    <w:name w:val="Normal (Web)"/>
    <w:basedOn w:val="1"/>
    <w:link w:val="49"/>
    <w:qFormat/>
    <w:uiPriority w:val="0"/>
    <w:pPr>
      <w:widowControl/>
      <w:spacing w:before="100" w:beforeAutospacing="1" w:after="100" w:afterAutospacing="1"/>
      <w:jc w:val="left"/>
    </w:pPr>
    <w:rPr>
      <w:rFonts w:ascii="宋体" w:hAnsi="宋体"/>
      <w:kern w:val="0"/>
      <w:sz w:val="24"/>
      <w:szCs w:val="20"/>
    </w:rPr>
  </w:style>
  <w:style w:type="paragraph" w:styleId="26">
    <w:name w:val="Title"/>
    <w:basedOn w:val="1"/>
    <w:next w:val="1"/>
    <w:link w:val="54"/>
    <w:qFormat/>
    <w:uiPriority w:val="0"/>
    <w:pPr>
      <w:spacing w:line="360" w:lineRule="auto"/>
      <w:ind w:firstLine="0" w:firstLineChars="0"/>
      <w:jc w:val="left"/>
      <w:outlineLvl w:val="1"/>
    </w:pPr>
    <w:rPr>
      <w:rFonts w:ascii="Times New Roman" w:hAnsi="Times New Roman" w:eastAsia="宋体" w:cs="Times New Roman"/>
      <w:b/>
      <w:bCs/>
      <w:szCs w:val="32"/>
    </w:rPr>
  </w:style>
  <w:style w:type="paragraph" w:styleId="27">
    <w:name w:val="annotation subject"/>
    <w:basedOn w:val="13"/>
    <w:next w:val="13"/>
    <w:link w:val="51"/>
    <w:semiHidden/>
    <w:qFormat/>
    <w:uiPriority w:val="0"/>
    <w:rPr>
      <w:b/>
      <w:sz w:val="24"/>
      <w:szCs w:val="20"/>
    </w:rPr>
  </w:style>
  <w:style w:type="table" w:styleId="29">
    <w:name w:val="Table Grid"/>
    <w:basedOn w:val="2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0"/>
  </w:style>
  <w:style w:type="character" w:styleId="33">
    <w:name w:val="Hyperlink"/>
    <w:basedOn w:val="30"/>
    <w:qFormat/>
    <w:uiPriority w:val="0"/>
    <w:rPr>
      <w:color w:val="0000FF"/>
      <w:u w:val="single"/>
    </w:rPr>
  </w:style>
  <w:style w:type="character" w:styleId="34">
    <w:name w:val="annotation reference"/>
    <w:semiHidden/>
    <w:qFormat/>
    <w:uiPriority w:val="0"/>
    <w:rPr>
      <w:sz w:val="21"/>
    </w:rPr>
  </w:style>
  <w:style w:type="paragraph" w:customStyle="1" w:styleId="35">
    <w:name w:val="表格"/>
    <w:basedOn w:val="1"/>
    <w:link w:val="36"/>
    <w:qFormat/>
    <w:uiPriority w:val="0"/>
    <w:pPr>
      <w:adjustRightInd w:val="0"/>
      <w:snapToGrid w:val="0"/>
      <w:spacing w:line="240" w:lineRule="auto"/>
      <w:ind w:firstLine="0" w:firstLineChars="0"/>
      <w:jc w:val="center"/>
    </w:pPr>
    <w:rPr>
      <w:rFonts w:ascii="宋体" w:hAnsi="宋体" w:eastAsia="宋体"/>
      <w:kern w:val="0"/>
      <w:szCs w:val="20"/>
    </w:rPr>
  </w:style>
  <w:style w:type="character" w:customStyle="1" w:styleId="36">
    <w:name w:val="表格 Char"/>
    <w:link w:val="35"/>
    <w:qFormat/>
    <w:uiPriority w:val="0"/>
    <w:rPr>
      <w:rFonts w:ascii="宋体" w:hAnsi="宋体" w:eastAsia="宋体"/>
      <w:sz w:val="21"/>
    </w:rPr>
  </w:style>
  <w:style w:type="character" w:customStyle="1" w:styleId="37">
    <w:name w:val="标题 2 字符"/>
    <w:link w:val="8"/>
    <w:semiHidden/>
    <w:qFormat/>
    <w:uiPriority w:val="0"/>
    <w:rPr>
      <w:rFonts w:ascii="等线 Light" w:hAnsi="等线 Light" w:eastAsia="等线 Light" w:cs="Times New Roman"/>
      <w:b/>
      <w:bCs/>
      <w:kern w:val="2"/>
      <w:sz w:val="32"/>
      <w:szCs w:val="32"/>
    </w:rPr>
  </w:style>
  <w:style w:type="character" w:customStyle="1" w:styleId="38">
    <w:name w:val="【正文】 Char"/>
    <w:link w:val="9"/>
    <w:qFormat/>
    <w:uiPriority w:val="0"/>
    <w:rPr>
      <w:rFonts w:ascii="Times New Roman" w:hAnsi="Times New Roman" w:eastAsia="宋体" w:cs="宋体"/>
      <w:kern w:val="21"/>
      <w:sz w:val="24"/>
      <w:szCs w:val="24"/>
    </w:rPr>
  </w:style>
  <w:style w:type="character" w:customStyle="1" w:styleId="39">
    <w:name w:val="标题 3 字符"/>
    <w:link w:val="10"/>
    <w:semiHidden/>
    <w:qFormat/>
    <w:uiPriority w:val="0"/>
    <w:rPr>
      <w:b/>
      <w:bCs/>
      <w:kern w:val="2"/>
      <w:sz w:val="32"/>
      <w:szCs w:val="32"/>
    </w:rPr>
  </w:style>
  <w:style w:type="character" w:customStyle="1" w:styleId="40">
    <w:name w:val="正文缩进 字符"/>
    <w:link w:val="11"/>
    <w:qFormat/>
    <w:uiPriority w:val="0"/>
    <w:rPr>
      <w:kern w:val="2"/>
      <w:sz w:val="24"/>
      <w:szCs w:val="24"/>
    </w:rPr>
  </w:style>
  <w:style w:type="character" w:customStyle="1" w:styleId="41">
    <w:name w:val="批注文字 字符"/>
    <w:link w:val="13"/>
    <w:qFormat/>
    <w:uiPriority w:val="0"/>
    <w:rPr>
      <w:rFonts w:ascii="Times New Roman" w:hAnsi="Times New Roman" w:eastAsia="宋体"/>
      <w:sz w:val="24"/>
    </w:rPr>
  </w:style>
  <w:style w:type="character" w:customStyle="1" w:styleId="42">
    <w:name w:val="正文文本 字符"/>
    <w:link w:val="6"/>
    <w:qFormat/>
    <w:uiPriority w:val="0"/>
    <w:rPr>
      <w:sz w:val="18"/>
    </w:rPr>
  </w:style>
  <w:style w:type="character" w:customStyle="1" w:styleId="43">
    <w:name w:val="正文文本缩进 字符"/>
    <w:link w:val="3"/>
    <w:semiHidden/>
    <w:qFormat/>
    <w:uiPriority w:val="0"/>
    <w:rPr>
      <w:rFonts w:ascii="Times New Roman" w:hAnsi="Times New Roman" w:eastAsia="宋体"/>
      <w:sz w:val="24"/>
    </w:rPr>
  </w:style>
  <w:style w:type="character" w:customStyle="1" w:styleId="44">
    <w:name w:val="日期 字符1"/>
    <w:link w:val="15"/>
    <w:qFormat/>
    <w:uiPriority w:val="0"/>
    <w:rPr>
      <w:rFonts w:ascii="Times New Roman" w:hAnsi="Times New Roman" w:eastAsia="宋体"/>
      <w:sz w:val="24"/>
    </w:rPr>
  </w:style>
  <w:style w:type="character" w:customStyle="1" w:styleId="45">
    <w:name w:val="批注框文本 字符"/>
    <w:link w:val="17"/>
    <w:semiHidden/>
    <w:qFormat/>
    <w:uiPriority w:val="0"/>
    <w:rPr>
      <w:rFonts w:ascii="Times New Roman" w:hAnsi="Times New Roman" w:eastAsia="宋体"/>
      <w:sz w:val="18"/>
    </w:rPr>
  </w:style>
  <w:style w:type="character" w:customStyle="1" w:styleId="46">
    <w:name w:val="页脚 字符1"/>
    <w:link w:val="18"/>
    <w:qFormat/>
    <w:uiPriority w:val="99"/>
    <w:rPr>
      <w:sz w:val="18"/>
    </w:rPr>
  </w:style>
  <w:style w:type="character" w:customStyle="1" w:styleId="47">
    <w:name w:val="页眉 字符"/>
    <w:link w:val="19"/>
    <w:qFormat/>
    <w:uiPriority w:val="0"/>
    <w:rPr>
      <w:sz w:val="18"/>
    </w:rPr>
  </w:style>
  <w:style w:type="character" w:customStyle="1" w:styleId="48">
    <w:name w:val="正文文本缩进 3 字符"/>
    <w:link w:val="24"/>
    <w:qFormat/>
    <w:uiPriority w:val="0"/>
    <w:rPr>
      <w:kern w:val="2"/>
      <w:sz w:val="16"/>
      <w:szCs w:val="16"/>
    </w:rPr>
  </w:style>
  <w:style w:type="character" w:customStyle="1" w:styleId="49">
    <w:name w:val="普通(网站) 字符"/>
    <w:link w:val="25"/>
    <w:qFormat/>
    <w:uiPriority w:val="0"/>
    <w:rPr>
      <w:rFonts w:ascii="宋体" w:hAnsi="宋体" w:eastAsia="宋体"/>
      <w:sz w:val="24"/>
    </w:rPr>
  </w:style>
  <w:style w:type="character" w:customStyle="1" w:styleId="50">
    <w:name w:val="标题 字符"/>
    <w:link w:val="26"/>
    <w:qFormat/>
    <w:uiPriority w:val="0"/>
    <w:rPr>
      <w:rFonts w:ascii="Times New Roman" w:hAnsi="Times New Roman" w:eastAsia="宋体" w:cs="Times New Roman"/>
      <w:b/>
      <w:bCs/>
      <w:szCs w:val="32"/>
    </w:rPr>
  </w:style>
  <w:style w:type="character" w:customStyle="1" w:styleId="51">
    <w:name w:val="批注主题 字符"/>
    <w:link w:val="27"/>
    <w:semiHidden/>
    <w:qFormat/>
    <w:uiPriority w:val="0"/>
    <w:rPr>
      <w:rFonts w:ascii="Times New Roman" w:hAnsi="Times New Roman" w:eastAsia="宋体"/>
      <w:b/>
      <w:kern w:val="2"/>
      <w:sz w:val="24"/>
    </w:rPr>
  </w:style>
  <w:style w:type="character" w:customStyle="1" w:styleId="52">
    <w:name w:val="正文文本首行缩进 字符"/>
    <w:link w:val="5"/>
    <w:qFormat/>
    <w:uiPriority w:val="0"/>
    <w:rPr>
      <w:kern w:val="2"/>
      <w:sz w:val="24"/>
      <w:szCs w:val="24"/>
    </w:rPr>
  </w:style>
  <w:style w:type="character" w:customStyle="1" w:styleId="53">
    <w:name w:val="正文文本首行缩进 2 字符"/>
    <w:link w:val="2"/>
    <w:qFormat/>
    <w:uiPriority w:val="0"/>
    <w:rPr>
      <w:rFonts w:ascii="Times New Roman" w:hAnsi="Times New Roman" w:eastAsia="宋体"/>
      <w:kern w:val="2"/>
      <w:sz w:val="21"/>
      <w:szCs w:val="24"/>
    </w:rPr>
  </w:style>
  <w:style w:type="character" w:customStyle="1" w:styleId="54">
    <w:name w:val="标题 字符1"/>
    <w:link w:val="26"/>
    <w:qFormat/>
    <w:uiPriority w:val="0"/>
    <w:rPr>
      <w:rFonts w:ascii="Times New Roman" w:hAnsi="Times New Roman" w:eastAsia="宋体"/>
      <w:b/>
      <w:bCs/>
      <w:kern w:val="2"/>
      <w:sz w:val="24"/>
      <w:szCs w:val="32"/>
    </w:rPr>
  </w:style>
  <w:style w:type="paragraph" w:customStyle="1" w:styleId="55">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宋体" w:hAnsi="宋体" w:cs="宋体"/>
      <w:snapToGrid w:val="0"/>
      <w:color w:val="000000"/>
      <w:kern w:val="0"/>
      <w:sz w:val="27"/>
      <w:szCs w:val="27"/>
      <w:lang w:eastAsia="en-US"/>
    </w:rPr>
  </w:style>
  <w:style w:type="paragraph" w:customStyle="1" w:styleId="56">
    <w:name w:val="Default"/>
    <w:basedOn w:val="57"/>
    <w:qFormat/>
    <w:uiPriority w:val="0"/>
    <w:pPr>
      <w:widowControl/>
      <w:autoSpaceDE w:val="0"/>
      <w:autoSpaceDN w:val="0"/>
      <w:adjustRightInd w:val="0"/>
      <w:jc w:val="left"/>
    </w:pPr>
    <w:rPr>
      <w:rFonts w:ascii="宋体" w:cs="宋体"/>
      <w:color w:val="000000"/>
      <w:kern w:val="0"/>
      <w:sz w:val="24"/>
    </w:rPr>
  </w:style>
  <w:style w:type="paragraph" w:customStyle="1" w:styleId="57">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paragraph" w:customStyle="1" w:styleId="58">
    <w:name w:val="1 表头"/>
    <w:basedOn w:val="1"/>
    <w:qFormat/>
    <w:uiPriority w:val="0"/>
    <w:pPr>
      <w:spacing w:line="240" w:lineRule="auto"/>
      <w:ind w:firstLine="0" w:firstLineChars="0"/>
      <w:jc w:val="center"/>
    </w:pPr>
    <w:rPr>
      <w:b/>
      <w:color w:val="000000"/>
      <w:sz w:val="21"/>
      <w:szCs w:val="21"/>
    </w:rPr>
  </w:style>
  <w:style w:type="character" w:customStyle="1" w:styleId="59">
    <w:name w:val="页脚 字符"/>
    <w:basedOn w:val="30"/>
    <w:qFormat/>
    <w:uiPriority w:val="99"/>
  </w:style>
  <w:style w:type="character" w:customStyle="1" w:styleId="60">
    <w:name w:val="正文文本 字符1"/>
    <w:semiHidden/>
    <w:qFormat/>
    <w:uiPriority w:val="0"/>
    <w:rPr>
      <w:rFonts w:ascii="Times New Roman" w:hAnsi="Times New Roman" w:eastAsia="宋体"/>
      <w:sz w:val="24"/>
    </w:rPr>
  </w:style>
  <w:style w:type="character" w:customStyle="1" w:styleId="61">
    <w:name w:val="日期 字符"/>
    <w:semiHidden/>
    <w:qFormat/>
    <w:uiPriority w:val="0"/>
    <w:rPr>
      <w:rFonts w:ascii="Times New Roman" w:hAnsi="Times New Roman" w:eastAsia="宋体"/>
      <w:sz w:val="24"/>
    </w:rPr>
  </w:style>
  <w:style w:type="character" w:customStyle="1" w:styleId="62">
    <w:name w:val="批注文字 字符1"/>
    <w:semiHidden/>
    <w:qFormat/>
    <w:uiPriority w:val="0"/>
    <w:rPr>
      <w:rFonts w:ascii="Times New Roman" w:hAnsi="Times New Roman" w:eastAsia="宋体"/>
      <w:sz w:val="24"/>
    </w:rPr>
  </w:style>
  <w:style w:type="paragraph" w:customStyle="1" w:styleId="6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65">
    <w:name w:val="表头 Char"/>
    <w:link w:val="66"/>
    <w:qFormat/>
    <w:uiPriority w:val="0"/>
    <w:rPr>
      <w:rFonts w:ascii="Times New Roman" w:hAnsi="Times New Roman" w:eastAsia="宋体"/>
      <w:b/>
      <w:sz w:val="21"/>
    </w:rPr>
  </w:style>
  <w:style w:type="paragraph" w:customStyle="1" w:styleId="66">
    <w:name w:val="表头"/>
    <w:basedOn w:val="1"/>
    <w:next w:val="1"/>
    <w:link w:val="65"/>
    <w:qFormat/>
    <w:uiPriority w:val="0"/>
    <w:pPr>
      <w:adjustRightInd w:val="0"/>
      <w:spacing w:line="240" w:lineRule="auto"/>
      <w:ind w:firstLine="0" w:firstLineChars="0"/>
      <w:jc w:val="center"/>
      <w:textAlignment w:val="baseline"/>
    </w:pPr>
    <w:rPr>
      <w:rFonts w:ascii="Times New Roman" w:hAnsi="Times New Roman" w:eastAsia="宋体"/>
      <w:b/>
      <w:kern w:val="0"/>
      <w:sz w:val="21"/>
      <w:szCs w:val="20"/>
    </w:rPr>
  </w:style>
  <w:style w:type="paragraph" w:customStyle="1" w:styleId="67">
    <w:name w:val="无间隔1"/>
    <w:basedOn w:val="1"/>
    <w:qFormat/>
    <w:uiPriority w:val="0"/>
    <w:pPr>
      <w:jc w:val="center"/>
    </w:pPr>
  </w:style>
  <w:style w:type="paragraph" w:styleId="68">
    <w:name w:val="No Spacing"/>
    <w:basedOn w:val="23"/>
    <w:next w:val="1"/>
    <w:link w:val="69"/>
    <w:qFormat/>
    <w:uiPriority w:val="1"/>
    <w:pPr>
      <w:spacing w:line="240" w:lineRule="auto"/>
      <w:ind w:left="0" w:firstLine="0" w:firstLineChars="0"/>
      <w:jc w:val="center"/>
      <w:textAlignment w:val="center"/>
    </w:pPr>
    <w:rPr>
      <w:sz w:val="21"/>
      <w:szCs w:val="22"/>
    </w:rPr>
  </w:style>
  <w:style w:type="character" w:customStyle="1" w:styleId="69">
    <w:name w:val="无间隔 字符"/>
    <w:link w:val="68"/>
    <w:qFormat/>
    <w:uiPriority w:val="1"/>
    <w:rPr>
      <w:kern w:val="2"/>
      <w:sz w:val="21"/>
      <w:szCs w:val="22"/>
    </w:rPr>
  </w:style>
  <w:style w:type="paragraph" w:customStyle="1" w:styleId="7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71">
    <w:name w:val="正文3 Char"/>
    <w:link w:val="72"/>
    <w:qFormat/>
    <w:uiPriority w:val="0"/>
    <w:rPr>
      <w:rFonts w:ascii="宋体" w:hAnsi="宋体"/>
      <w:bCs/>
      <w:snapToGrid/>
      <w:color w:val="000000"/>
      <w:sz w:val="24"/>
      <w:szCs w:val="28"/>
      <w:lang w:val="zh-CN"/>
    </w:rPr>
  </w:style>
  <w:style w:type="paragraph" w:customStyle="1" w:styleId="72">
    <w:name w:val="正文3"/>
    <w:link w:val="71"/>
    <w:qFormat/>
    <w:uiPriority w:val="0"/>
    <w:pPr>
      <w:widowControl w:val="0"/>
      <w:suppressAutoHyphens/>
      <w:overflowPunct w:val="0"/>
      <w:topLinePunct/>
      <w:spacing w:line="480" w:lineRule="exact"/>
      <w:ind w:firstLine="200" w:firstLineChars="200"/>
      <w:jc w:val="both"/>
    </w:pPr>
    <w:rPr>
      <w:rFonts w:ascii="宋体" w:hAnsi="宋体" w:eastAsia="宋体" w:cs="Times New Roman"/>
      <w:bCs/>
      <w:snapToGrid w:val="0"/>
      <w:color w:val="000000"/>
      <w:sz w:val="24"/>
      <w:szCs w:val="28"/>
      <w:lang w:val="zh-CN" w:eastAsia="zh-CN" w:bidi="ar-SA"/>
    </w:rPr>
  </w:style>
  <w:style w:type="paragraph" w:customStyle="1" w:styleId="73">
    <w:name w:val="1"/>
    <w:basedOn w:val="1"/>
    <w:next w:val="11"/>
    <w:qFormat/>
    <w:uiPriority w:val="0"/>
    <w:pPr>
      <w:adjustRightInd w:val="0"/>
      <w:spacing w:line="360" w:lineRule="auto"/>
      <w:ind w:firstLine="420"/>
      <w:jc w:val="left"/>
      <w:textAlignment w:val="baseline"/>
    </w:pPr>
    <w:rPr>
      <w:sz w:val="28"/>
      <w:szCs w:val="20"/>
    </w:rPr>
  </w:style>
  <w:style w:type="paragraph" w:customStyle="1" w:styleId="74">
    <w:name w:val="表文居中"/>
    <w:basedOn w:val="1"/>
    <w:qFormat/>
    <w:uiPriority w:val="0"/>
    <w:pPr>
      <w:autoSpaceDE w:val="0"/>
      <w:autoSpaceDN w:val="0"/>
      <w:adjustRightInd w:val="0"/>
      <w:spacing w:before="20" w:line="240" w:lineRule="exact"/>
      <w:jc w:val="center"/>
      <w:textAlignment w:val="baseline"/>
    </w:pPr>
    <w:rPr>
      <w:rFonts w:ascii="宋体" w:hAnsi="宋体"/>
      <w:color w:val="000000"/>
      <w:kern w:val="0"/>
      <w:szCs w:val="21"/>
    </w:rPr>
  </w:style>
  <w:style w:type="table" w:customStyle="1" w:styleId="75">
    <w:name w:val="Table Normal"/>
    <w:unhideWhenUsed/>
    <w:qFormat/>
    <w:uiPriority w:val="0"/>
    <w:tblPr>
      <w:tblCellMar>
        <w:top w:w="0" w:type="dxa"/>
        <w:left w:w="0" w:type="dxa"/>
        <w:bottom w:w="0" w:type="dxa"/>
        <w:right w:w="0" w:type="dxa"/>
      </w:tblCellMar>
    </w:tblPr>
  </w:style>
  <w:style w:type="paragraph" w:customStyle="1" w:styleId="76">
    <w:name w:val="表中文字"/>
    <w:basedOn w:val="1"/>
    <w:qFormat/>
    <w:uiPriority w:val="0"/>
    <w:pPr>
      <w:autoSpaceDE w:val="0"/>
      <w:autoSpaceDN w:val="0"/>
      <w:spacing w:line="240" w:lineRule="auto"/>
      <w:ind w:firstLine="0" w:firstLineChars="0"/>
      <w:jc w:val="center"/>
      <w:textAlignment w:val="bottom"/>
    </w:pPr>
    <w:rPr>
      <w:bCs/>
      <w:color w:val="000000"/>
      <w:sz w:val="21"/>
      <w:szCs w:val="21"/>
    </w:rPr>
  </w:style>
  <w:style w:type="paragraph" w:customStyle="1" w:styleId="77">
    <w:name w:val="图表名称"/>
    <w:next w:val="1"/>
    <w:qFormat/>
    <w:uiPriority w:val="0"/>
    <w:pPr>
      <w:adjustRightInd w:val="0"/>
      <w:snapToGrid w:val="0"/>
      <w:spacing w:line="360" w:lineRule="auto"/>
      <w:jc w:val="center"/>
    </w:pPr>
    <w:rPr>
      <w:rFonts w:ascii="宋体" w:hAnsi="宋体" w:eastAsia="Times New Roman" w:cs="Times New Roman"/>
      <w:b/>
      <w:bCs/>
      <w:kern w:val="2"/>
      <w:sz w:val="24"/>
      <w:szCs w:val="24"/>
      <w:lang w:val="en-US" w:eastAsia="zh-CN" w:bidi="ar-SA"/>
    </w:rPr>
  </w:style>
  <w:style w:type="paragraph" w:customStyle="1" w:styleId="78">
    <w:name w:val="表格5号居中"/>
    <w:basedOn w:val="1"/>
    <w:qFormat/>
    <w:uiPriority w:val="0"/>
    <w:pPr>
      <w:tabs>
        <w:tab w:val="left" w:pos="5400"/>
      </w:tabs>
      <w:adjustRightInd w:val="0"/>
      <w:spacing w:line="240" w:lineRule="auto"/>
      <w:ind w:firstLine="0" w:firstLineChars="0"/>
      <w:jc w:val="center"/>
      <w:textAlignment w:val="baseline"/>
    </w:pPr>
    <w:rPr>
      <w:iCs/>
      <w:spacing w:val="-6"/>
      <w:kern w:val="0"/>
      <w:sz w:val="21"/>
      <w:szCs w:val="21"/>
    </w:rPr>
  </w:style>
  <w:style w:type="paragraph" w:customStyle="1" w:styleId="79">
    <w:name w:val="表题"/>
    <w:basedOn w:val="1"/>
    <w:next w:val="1"/>
    <w:qFormat/>
    <w:uiPriority w:val="0"/>
    <w:pPr>
      <w:spacing w:before="50" w:beforeLines="50" w:line="240" w:lineRule="auto"/>
      <w:ind w:firstLine="0" w:firstLineChars="0"/>
      <w:jc w:val="center"/>
      <w:textAlignment w:val="center"/>
    </w:pPr>
    <w:rPr>
      <w:rFonts w:cs="Times New Roman"/>
      <w:b/>
      <w:sz w:val="21"/>
      <w:szCs w:val="22"/>
    </w:rPr>
  </w:style>
  <w:style w:type="paragraph" w:customStyle="1" w:styleId="80">
    <w:name w:val="表格字体"/>
    <w:basedOn w:val="1"/>
    <w:qFormat/>
    <w:uiPriority w:val="99"/>
    <w:pPr>
      <w:adjustRightInd w:val="0"/>
      <w:spacing w:line="240" w:lineRule="auto"/>
      <w:ind w:firstLine="0" w:firstLineChars="0"/>
    </w:pPr>
    <w:rPr>
      <w:sz w:val="21"/>
      <w:szCs w:val="21"/>
    </w:rPr>
  </w:style>
  <w:style w:type="paragraph" w:customStyle="1" w:styleId="81">
    <w:name w:val="0正文"/>
    <w:basedOn w:val="25"/>
    <w:qFormat/>
    <w:uiPriority w:val="0"/>
    <w:pPr>
      <w:adjustRightInd w:val="0"/>
      <w:snapToGrid w:val="0"/>
      <w:spacing w:before="0" w:beforeAutospacing="0" w:after="0" w:afterAutospacing="0" w:line="440" w:lineRule="exact"/>
      <w:ind w:firstLine="200" w:firstLineChars="200"/>
      <w:jc w:val="both"/>
    </w:pPr>
    <w:rPr>
      <w:rFonts w:ascii="Times New Roman" w:hAnsi="Times New Roman" w:cs="Times New Roman"/>
      <w:kern w:val="2"/>
    </w:rPr>
  </w:style>
  <w:style w:type="paragraph" w:customStyle="1" w:styleId="82">
    <w:name w:val="开都河正文"/>
    <w:qFormat/>
    <w:uiPriority w:val="0"/>
    <w:pPr>
      <w:adjustRightInd w:val="0"/>
      <w:snapToGrid w:val="0"/>
      <w:spacing w:line="500" w:lineRule="exact"/>
      <w:ind w:firstLine="1440" w:firstLineChars="200"/>
      <w:jc w:val="both"/>
    </w:pPr>
    <w:rPr>
      <w:rFonts w:ascii="Times New Roman" w:hAnsi="Times New Roman" w:eastAsia="宋体" w:cs="Times New Roman"/>
      <w:color w:val="auto"/>
      <w:sz w:val="24"/>
      <w:szCs w:val="24"/>
    </w:rPr>
  </w:style>
  <w:style w:type="paragraph" w:customStyle="1" w:styleId="83">
    <w:name w:val="表格内容"/>
    <w:basedOn w:val="1"/>
    <w:qFormat/>
    <w:uiPriority w:val="0"/>
    <w:pPr>
      <w:spacing w:line="240" w:lineRule="auto"/>
      <w:ind w:firstLine="0" w:firstLineChars="0"/>
      <w:jc w:val="center"/>
    </w:pPr>
    <w:rPr>
      <w:rFonts w:ascii="仿宋_GB2312" w:hAnsi="华文仿宋" w:eastAsia="仿宋_GB2312" w:cs="Times New Roman"/>
      <w:snapToGrid w:val="0"/>
      <w:spacing w:val="-4"/>
      <w:kern w:val="0"/>
      <w:sz w:val="18"/>
      <w:szCs w:val="18"/>
      <w:lang w:val="zh-CN"/>
    </w:rPr>
  </w:style>
  <w:style w:type="paragraph" w:customStyle="1" w:styleId="84">
    <w:name w:val="【表格】"/>
    <w:next w:val="1"/>
    <w:qFormat/>
    <w:uiPriority w:val="0"/>
    <w:pPr>
      <w:adjustRightInd w:val="0"/>
      <w:snapToGrid w:val="0"/>
      <w:spacing w:line="240" w:lineRule="auto"/>
      <w:jc w:val="center"/>
    </w:pPr>
    <w:rPr>
      <w:rFonts w:ascii="Times New Roman" w:hAnsi="Times New Roman" w:eastAsia="宋体" w:cs="Times New Roman"/>
      <w:color w:val="auto"/>
      <w:sz w:val="21"/>
    </w:rPr>
  </w:style>
  <w:style w:type="paragraph" w:customStyle="1" w:styleId="85">
    <w:name w:val="表格内"/>
    <w:basedOn w:val="1"/>
    <w:qFormat/>
    <w:uiPriority w:val="99"/>
    <w:pPr>
      <w:adjustRightInd w:val="0"/>
      <w:spacing w:line="240" w:lineRule="atLeast"/>
      <w:jc w:val="center"/>
      <w:textAlignment w:val="baseline"/>
    </w:pPr>
    <w:rPr>
      <w:rFonts w:ascii="宋体"/>
      <w:kern w:val="0"/>
      <w:sz w:val="28"/>
      <w:szCs w:val="20"/>
    </w:rPr>
  </w:style>
  <w:style w:type="paragraph" w:customStyle="1" w:styleId="86">
    <w:name w:val="【表内文字-两端对齐】"/>
    <w:qFormat/>
    <w:uiPriority w:val="0"/>
    <w:pPr>
      <w:widowControl w:val="0"/>
      <w:adjustRightInd w:val="0"/>
      <w:snapToGrid w:val="0"/>
      <w:spacing w:line="240" w:lineRule="auto"/>
      <w:ind w:firstLine="0" w:firstLineChars="0"/>
      <w:jc w:val="both"/>
    </w:pPr>
    <w:rPr>
      <w:rFonts w:ascii="Times New Roman" w:hAnsi="Times New Roman" w:eastAsia="宋体" w:cs="Times New Roman"/>
      <w:kern w:val="21"/>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48</Pages>
  <Words>13645</Words>
  <Characters>14888</Characters>
  <Lines>246</Lines>
  <Paragraphs>69</Paragraphs>
  <TotalTime>13</TotalTime>
  <ScaleCrop>false</ScaleCrop>
  <LinksUpToDate>false</LinksUpToDate>
  <CharactersWithSpaces>14990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2021-05-10T02:26:00Z</dcterms:created>
  <dc:creator>lhj</dc:creator>
  <cp:lastModifiedBy>Administrator</cp:lastModifiedBy>
  <cp:lastPrinted>2021-04-08T05:23:00Z</cp:lastPrinted>
  <dcterms:modified xsi:type="dcterms:W3CDTF">2026-08-03T09:06:54Z</dcterms:modified>
  <dc:title>附件2</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CB512A33B0B64165993BD0C09F6BE9C8_13</vt:lpwstr>
  </property>
  <property fmtid="{D5CDD505-2E9C-101B-9397-08002B2CF9AE}" pid="4" name="KSOTemplateDocerSaveRecord">
    <vt:lpwstr>eyJoZGlkIjoiYjFkZWFmNTA0YThlYmIzMjcyNmM2MTIyYmFkNDEyMGIiLCJ1c2VySWQiOiI2MDYzMjUzNDYifQ==</vt:lpwstr>
  </property>
</Properties>
</file>