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42A81">
      <w:pPr>
        <w:rPr>
          <w:rFonts w:hint="eastAsia" w:ascii="仿宋_GB2312" w:hAnsi="仿宋_GB2312" w:eastAsia="仿宋_GB2312" w:cs="仿宋_GB2312"/>
          <w:color w:val="auto"/>
          <w:sz w:val="36"/>
          <w:szCs w:val="36"/>
          <w:highlight w:val="none"/>
          <w:lang w:val="en-US" w:eastAsia="zh-CN"/>
        </w:rPr>
      </w:pPr>
    </w:p>
    <w:p w14:paraId="07BC4630">
      <w:pPr>
        <w:rPr>
          <w:rFonts w:ascii="仿宋_GB2312" w:hAnsi="仿宋_GB2312" w:eastAsia="仿宋_GB2312" w:cs="仿宋_GB2312"/>
          <w:color w:val="auto"/>
          <w:sz w:val="36"/>
          <w:szCs w:val="36"/>
          <w:highlight w:val="none"/>
        </w:rPr>
      </w:pPr>
    </w:p>
    <w:p w14:paraId="0CA96483">
      <w:pPr>
        <w:ind w:firstLine="480"/>
        <w:rPr>
          <w:color w:val="auto"/>
          <w:highlight w:val="none"/>
        </w:rPr>
      </w:pPr>
    </w:p>
    <w:p w14:paraId="5AAB5CD3">
      <w:pPr>
        <w:jc w:val="center"/>
        <w:outlineLvl w:val="0"/>
        <w:rPr>
          <w:bCs/>
          <w:color w:val="auto"/>
          <w:sz w:val="72"/>
          <w:szCs w:val="72"/>
          <w:highlight w:val="none"/>
        </w:rPr>
      </w:pPr>
      <w:r>
        <w:rPr>
          <w:bCs/>
          <w:color w:val="auto"/>
          <w:sz w:val="72"/>
          <w:szCs w:val="72"/>
          <w:highlight w:val="none"/>
        </w:rPr>
        <w:t>建设项目环境影响报告表</w:t>
      </w:r>
    </w:p>
    <w:p w14:paraId="6958DFAC">
      <w:pPr>
        <w:spacing w:before="192" w:beforeLines="80"/>
        <w:jc w:val="center"/>
        <w:rPr>
          <w:bCs/>
          <w:color w:val="auto"/>
          <w:sz w:val="48"/>
          <w:szCs w:val="48"/>
          <w:highlight w:val="none"/>
        </w:rPr>
      </w:pPr>
      <w:r>
        <w:rPr>
          <w:bCs/>
          <w:color w:val="auto"/>
          <w:sz w:val="48"/>
          <w:szCs w:val="48"/>
          <w:highlight w:val="none"/>
        </w:rPr>
        <w:t>（污染影响类）</w:t>
      </w:r>
    </w:p>
    <w:p w14:paraId="58BE9791">
      <w:pPr>
        <w:spacing w:line="288" w:lineRule="auto"/>
        <w:jc w:val="center"/>
        <w:outlineLvl w:val="0"/>
        <w:rPr>
          <w:color w:val="auto"/>
          <w:kern w:val="44"/>
          <w:sz w:val="44"/>
          <w:szCs w:val="44"/>
          <w:highlight w:val="none"/>
        </w:rPr>
      </w:pPr>
    </w:p>
    <w:p w14:paraId="1FF3E42A">
      <w:pPr>
        <w:ind w:firstLine="1040"/>
        <w:rPr>
          <w:color w:val="auto"/>
          <w:sz w:val="44"/>
          <w:szCs w:val="44"/>
          <w:highlight w:val="none"/>
        </w:rPr>
      </w:pPr>
    </w:p>
    <w:p w14:paraId="61887E75">
      <w:pPr>
        <w:ind w:firstLine="1040"/>
        <w:rPr>
          <w:color w:val="auto"/>
          <w:sz w:val="44"/>
          <w:szCs w:val="44"/>
          <w:highlight w:val="none"/>
        </w:rPr>
      </w:pPr>
    </w:p>
    <w:p w14:paraId="0680DC92">
      <w:pPr>
        <w:pStyle w:val="34"/>
        <w:rPr>
          <w:color w:val="auto"/>
          <w:sz w:val="44"/>
          <w:szCs w:val="44"/>
          <w:highlight w:val="none"/>
        </w:rPr>
      </w:pPr>
    </w:p>
    <w:p w14:paraId="3D9E2FC1">
      <w:pPr>
        <w:pStyle w:val="34"/>
        <w:rPr>
          <w:color w:val="auto"/>
          <w:sz w:val="44"/>
          <w:szCs w:val="44"/>
          <w:highlight w:val="none"/>
        </w:rPr>
      </w:pPr>
    </w:p>
    <w:p w14:paraId="179958D9">
      <w:pPr>
        <w:pStyle w:val="34"/>
        <w:rPr>
          <w:color w:val="auto"/>
          <w:sz w:val="44"/>
          <w:szCs w:val="44"/>
          <w:highlight w:val="none"/>
        </w:rPr>
      </w:pPr>
    </w:p>
    <w:p w14:paraId="7D93EC78">
      <w:pPr>
        <w:pStyle w:val="34"/>
        <w:rPr>
          <w:color w:val="auto"/>
          <w:sz w:val="44"/>
          <w:szCs w:val="44"/>
          <w:highlight w:val="none"/>
        </w:rPr>
      </w:pPr>
    </w:p>
    <w:p w14:paraId="799A5CF5">
      <w:pPr>
        <w:ind w:left="1980" w:leftChars="150" w:hanging="1620" w:hangingChars="450"/>
        <w:jc w:val="both"/>
        <w:rPr>
          <w:rFonts w:hint="default" w:eastAsia="宋体"/>
          <w:color w:val="auto"/>
          <w:sz w:val="36"/>
          <w:szCs w:val="36"/>
          <w:highlight w:val="none"/>
          <w:u w:val="single"/>
          <w:lang w:val="en-US" w:eastAsia="zh-CN"/>
        </w:rPr>
      </w:pPr>
      <w:r>
        <w:rPr>
          <w:color w:val="auto"/>
          <w:sz w:val="36"/>
          <w:szCs w:val="36"/>
          <w:highlight w:val="none"/>
        </w:rPr>
        <w:t>项目名称：</w:t>
      </w:r>
      <w:r>
        <w:rPr>
          <w:rFonts w:hint="eastAsia"/>
          <w:color w:val="auto"/>
          <w:sz w:val="36"/>
          <w:szCs w:val="36"/>
          <w:highlight w:val="none"/>
          <w:u w:val="single"/>
          <w:lang w:val="en-US" w:eastAsia="zh-CN"/>
        </w:rPr>
        <w:t xml:space="preserve">若羌羌河新材料有限公司新疆若羌县羌河（三区）长石矿新建民用爆炸物品储存库项目    </w:t>
      </w:r>
    </w:p>
    <w:p w14:paraId="154E9354">
      <w:pPr>
        <w:ind w:left="2160" w:leftChars="150" w:hanging="1800" w:hangingChars="500"/>
        <w:jc w:val="both"/>
        <w:rPr>
          <w:rFonts w:hint="default" w:eastAsia="宋体"/>
          <w:color w:val="auto"/>
          <w:sz w:val="36"/>
          <w:szCs w:val="36"/>
          <w:highlight w:val="none"/>
          <w:u w:val="single"/>
          <w:lang w:val="en-US" w:eastAsia="zh-CN"/>
        </w:rPr>
      </w:pPr>
      <w:r>
        <w:rPr>
          <w:color w:val="auto"/>
          <w:sz w:val="36"/>
          <w:szCs w:val="36"/>
          <w:highlight w:val="none"/>
        </w:rPr>
        <w:t>建设单位（盖章）：</w:t>
      </w:r>
      <w:r>
        <w:rPr>
          <w:rFonts w:hint="eastAsia"/>
          <w:color w:val="auto"/>
          <w:sz w:val="36"/>
          <w:szCs w:val="36"/>
          <w:highlight w:val="none"/>
          <w:u w:val="single"/>
          <w:lang w:val="en-US" w:eastAsia="zh-CN"/>
        </w:rPr>
        <w:t xml:space="preserve">    若羌羌河新材料有限公司   </w:t>
      </w:r>
    </w:p>
    <w:p w14:paraId="74FEEFB5">
      <w:pPr>
        <w:ind w:firstLine="360" w:firstLineChars="100"/>
        <w:jc w:val="both"/>
        <w:rPr>
          <w:color w:val="auto"/>
          <w:sz w:val="36"/>
          <w:szCs w:val="36"/>
          <w:highlight w:val="none"/>
          <w:u w:val="single"/>
        </w:rPr>
      </w:pPr>
      <w:r>
        <w:rPr>
          <w:color w:val="auto"/>
          <w:sz w:val="36"/>
          <w:szCs w:val="36"/>
          <w:highlight w:val="none"/>
        </w:rPr>
        <w:t>编制日期：</w:t>
      </w:r>
      <w:r>
        <w:rPr>
          <w:color w:val="auto"/>
          <w:sz w:val="36"/>
          <w:szCs w:val="36"/>
          <w:highlight w:val="none"/>
          <w:u w:val="single"/>
        </w:rPr>
        <w:t xml:space="preserve">     </w:t>
      </w:r>
      <w:r>
        <w:rPr>
          <w:rFonts w:hint="eastAsia" w:ascii="方正小标宋_GBK" w:eastAsia="方正小标宋_GBK"/>
          <w:color w:val="auto"/>
          <w:sz w:val="36"/>
          <w:szCs w:val="36"/>
          <w:highlight w:val="none"/>
          <w:u w:val="single"/>
        </w:rPr>
        <w:t xml:space="preserve">    </w:t>
      </w:r>
      <w:r>
        <w:rPr>
          <w:color w:val="auto"/>
          <w:sz w:val="36"/>
          <w:szCs w:val="36"/>
          <w:highlight w:val="none"/>
          <w:u w:val="single"/>
        </w:rPr>
        <w:t xml:space="preserve"> </w:t>
      </w:r>
      <w:r>
        <w:rPr>
          <w:rFonts w:hint="eastAsia"/>
          <w:color w:val="auto"/>
          <w:sz w:val="36"/>
          <w:szCs w:val="36"/>
          <w:highlight w:val="none"/>
          <w:u w:val="single"/>
        </w:rPr>
        <w:t xml:space="preserve"> </w:t>
      </w:r>
      <w:r>
        <w:rPr>
          <w:color w:val="auto"/>
          <w:sz w:val="36"/>
          <w:szCs w:val="36"/>
          <w:highlight w:val="none"/>
          <w:u w:val="single"/>
        </w:rPr>
        <w:t xml:space="preserve"> </w:t>
      </w:r>
      <w:r>
        <w:rPr>
          <w:rFonts w:hint="eastAsia"/>
          <w:color w:val="auto"/>
          <w:sz w:val="36"/>
          <w:szCs w:val="36"/>
          <w:highlight w:val="none"/>
          <w:u w:val="single"/>
          <w:lang w:val="en-US" w:eastAsia="zh-CN"/>
        </w:rPr>
        <w:t xml:space="preserve">   </w:t>
      </w:r>
      <w:r>
        <w:rPr>
          <w:color w:val="auto"/>
          <w:sz w:val="36"/>
          <w:szCs w:val="36"/>
          <w:highlight w:val="none"/>
          <w:u w:val="single"/>
        </w:rPr>
        <w:t>202</w:t>
      </w:r>
      <w:r>
        <w:rPr>
          <w:rFonts w:hint="eastAsia"/>
          <w:color w:val="auto"/>
          <w:sz w:val="36"/>
          <w:szCs w:val="36"/>
          <w:highlight w:val="none"/>
          <w:u w:val="single"/>
          <w:lang w:val="en-US" w:eastAsia="zh-CN"/>
        </w:rPr>
        <w:t>6</w:t>
      </w:r>
      <w:r>
        <w:rPr>
          <w:color w:val="auto"/>
          <w:sz w:val="36"/>
          <w:szCs w:val="36"/>
          <w:highlight w:val="none"/>
          <w:u w:val="single"/>
        </w:rPr>
        <w:t>年</w:t>
      </w:r>
      <w:r>
        <w:rPr>
          <w:rFonts w:hint="eastAsia"/>
          <w:color w:val="auto"/>
          <w:sz w:val="36"/>
          <w:szCs w:val="36"/>
          <w:highlight w:val="none"/>
          <w:u w:val="single"/>
          <w:lang w:val="en-US" w:eastAsia="zh-CN"/>
        </w:rPr>
        <w:t>8</w:t>
      </w:r>
      <w:r>
        <w:rPr>
          <w:color w:val="auto"/>
          <w:sz w:val="36"/>
          <w:szCs w:val="36"/>
          <w:highlight w:val="none"/>
          <w:u w:val="single"/>
        </w:rPr>
        <w:t>月</w:t>
      </w:r>
      <w:r>
        <w:rPr>
          <w:rFonts w:hint="eastAsia"/>
          <w:color w:val="auto"/>
          <w:sz w:val="36"/>
          <w:szCs w:val="36"/>
          <w:highlight w:val="none"/>
          <w:u w:val="single"/>
          <w:lang w:val="en-US" w:eastAsia="zh-CN"/>
        </w:rPr>
        <w:t xml:space="preserve">     </w:t>
      </w:r>
      <w:r>
        <w:rPr>
          <w:color w:val="auto"/>
          <w:sz w:val="36"/>
          <w:szCs w:val="36"/>
          <w:highlight w:val="none"/>
          <w:u w:val="single"/>
        </w:rPr>
        <w:t xml:space="preserve"> </w:t>
      </w:r>
      <w:r>
        <w:rPr>
          <w:rFonts w:hint="eastAsia"/>
          <w:color w:val="auto"/>
          <w:sz w:val="36"/>
          <w:szCs w:val="36"/>
          <w:highlight w:val="none"/>
          <w:u w:val="single"/>
          <w:lang w:val="en-US" w:eastAsia="zh-CN"/>
        </w:rPr>
        <w:t xml:space="preserve">  </w:t>
      </w:r>
      <w:r>
        <w:rPr>
          <w:color w:val="auto"/>
          <w:sz w:val="36"/>
          <w:szCs w:val="36"/>
          <w:highlight w:val="none"/>
          <w:u w:val="single"/>
        </w:rPr>
        <w:t xml:space="preserve">   </w:t>
      </w:r>
      <w:r>
        <w:rPr>
          <w:rFonts w:hint="eastAsia"/>
          <w:color w:val="auto"/>
          <w:sz w:val="36"/>
          <w:szCs w:val="36"/>
          <w:highlight w:val="none"/>
          <w:u w:val="single"/>
        </w:rPr>
        <w:t xml:space="preserve"> </w:t>
      </w:r>
    </w:p>
    <w:p w14:paraId="077F9F5E">
      <w:pPr>
        <w:spacing w:line="288" w:lineRule="auto"/>
        <w:ind w:firstLine="1040"/>
        <w:rPr>
          <w:color w:val="auto"/>
          <w:sz w:val="36"/>
          <w:szCs w:val="36"/>
          <w:highlight w:val="none"/>
        </w:rPr>
      </w:pPr>
      <w:bookmarkStart w:id="0" w:name="_Hlk57884087"/>
    </w:p>
    <w:p w14:paraId="46706507">
      <w:pPr>
        <w:spacing w:line="288" w:lineRule="auto"/>
        <w:rPr>
          <w:color w:val="auto"/>
          <w:sz w:val="36"/>
          <w:szCs w:val="36"/>
          <w:highlight w:val="none"/>
        </w:rPr>
      </w:pPr>
    </w:p>
    <w:p w14:paraId="57F0C29B">
      <w:pPr>
        <w:spacing w:line="288" w:lineRule="auto"/>
        <w:rPr>
          <w:color w:val="auto"/>
          <w:sz w:val="36"/>
          <w:szCs w:val="36"/>
          <w:highlight w:val="none"/>
        </w:rPr>
      </w:pPr>
    </w:p>
    <w:bookmarkEnd w:id="0"/>
    <w:p w14:paraId="315EA742">
      <w:pPr>
        <w:spacing w:line="288" w:lineRule="auto"/>
        <w:jc w:val="center"/>
        <w:rPr>
          <w:color w:val="auto"/>
          <w:sz w:val="36"/>
          <w:szCs w:val="36"/>
          <w:highlight w:val="none"/>
        </w:rPr>
      </w:pPr>
      <w:r>
        <w:rPr>
          <w:color w:val="auto"/>
          <w:sz w:val="36"/>
          <w:szCs w:val="36"/>
          <w:highlight w:val="none"/>
        </w:rPr>
        <w:t>中华人民共和国生态环境部制</w:t>
      </w:r>
    </w:p>
    <w:p w14:paraId="3C3F2AF3">
      <w:pPr>
        <w:spacing w:line="288" w:lineRule="auto"/>
        <w:ind w:firstLine="1040"/>
        <w:rPr>
          <w:rFonts w:ascii="仿宋_GB2312" w:eastAsia="仿宋_GB2312"/>
          <w:color w:val="auto"/>
          <w:sz w:val="36"/>
          <w:szCs w:val="36"/>
          <w:highlight w:val="none"/>
        </w:rPr>
        <w:sectPr>
          <w:headerReference r:id="rId5" w:type="default"/>
          <w:footerReference r:id="rId6" w:type="default"/>
          <w:footerReference r:id="rId7"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1100A258">
      <w:pPr>
        <w:jc w:val="center"/>
        <w:outlineLvl w:val="0"/>
        <w:rPr>
          <w:rFonts w:ascii="黑体" w:hAnsi="黑体" w:eastAsia="黑体"/>
          <w:color w:val="auto"/>
          <w:sz w:val="30"/>
          <w:szCs w:val="30"/>
          <w:highlight w:val="none"/>
        </w:rPr>
      </w:pPr>
      <w:r>
        <w:rPr>
          <w:rFonts w:hint="eastAsia" w:ascii="黑体" w:hAnsi="黑体" w:eastAsia="黑体"/>
          <w:color w:val="auto"/>
          <w:sz w:val="30"/>
          <w:szCs w:val="30"/>
          <w:highlight w:val="none"/>
        </w:rPr>
        <w:t>一、建设项目基本情况</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378"/>
        <w:gridCol w:w="896"/>
        <w:gridCol w:w="1108"/>
        <w:gridCol w:w="1637"/>
        <w:gridCol w:w="1910"/>
        <w:gridCol w:w="2941"/>
      </w:tblGrid>
      <w:tr w14:paraId="193D2E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3"/>
            <w:tcMar>
              <w:top w:w="16" w:type="dxa"/>
              <w:left w:w="16" w:type="dxa"/>
              <w:right w:w="16" w:type="dxa"/>
            </w:tcMar>
            <w:vAlign w:val="center"/>
          </w:tcPr>
          <w:p w14:paraId="168A21AD">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建设项目名称</w:t>
            </w:r>
          </w:p>
        </w:tc>
        <w:tc>
          <w:tcPr>
            <w:tcW w:w="6488" w:type="dxa"/>
            <w:gridSpan w:val="3"/>
            <w:vAlign w:val="center"/>
          </w:tcPr>
          <w:p w14:paraId="3EE9D42B">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若羌羌河新材料有限公司新疆若羌县羌河（三区）长石矿新建民用爆炸物品储存库项目</w:t>
            </w:r>
          </w:p>
        </w:tc>
      </w:tr>
      <w:tr w14:paraId="1D8E5F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3"/>
            <w:tcMar>
              <w:top w:w="16" w:type="dxa"/>
              <w:left w:w="16" w:type="dxa"/>
              <w:right w:w="16" w:type="dxa"/>
            </w:tcMar>
            <w:vAlign w:val="center"/>
          </w:tcPr>
          <w:p w14:paraId="53E01344">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项目代码</w:t>
            </w:r>
          </w:p>
        </w:tc>
        <w:tc>
          <w:tcPr>
            <w:tcW w:w="6488" w:type="dxa"/>
            <w:gridSpan w:val="3"/>
            <w:vAlign w:val="center"/>
          </w:tcPr>
          <w:p w14:paraId="170D1DBE">
            <w:pPr>
              <w:spacing w:line="240" w:lineRule="auto"/>
              <w:jc w:val="center"/>
              <w:rPr>
                <w:rFonts w:hint="default" w:ascii="Times New Roman" w:hAnsi="Times New Roman" w:eastAsia="宋体" w:cs="Times New Roman"/>
                <w:color w:val="auto"/>
                <w:highlight w:val="none"/>
                <w:lang w:val="en-US" w:eastAsia="zh-CN"/>
              </w:rPr>
            </w:pPr>
          </w:p>
        </w:tc>
      </w:tr>
      <w:tr w14:paraId="750B7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3"/>
            <w:tcMar>
              <w:top w:w="16" w:type="dxa"/>
              <w:left w:w="16" w:type="dxa"/>
              <w:right w:w="16" w:type="dxa"/>
            </w:tcMar>
            <w:vAlign w:val="center"/>
          </w:tcPr>
          <w:p w14:paraId="0268A212">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建设单位联系人</w:t>
            </w:r>
          </w:p>
        </w:tc>
        <w:tc>
          <w:tcPr>
            <w:tcW w:w="1637" w:type="dxa"/>
            <w:vAlign w:val="center"/>
          </w:tcPr>
          <w:p w14:paraId="0638A518">
            <w:pPr>
              <w:spacing w:line="240" w:lineRule="auto"/>
              <w:jc w:val="center"/>
              <w:rPr>
                <w:rFonts w:hint="default" w:ascii="Times New Roman" w:hAnsi="Times New Roman" w:eastAsia="宋体" w:cs="Times New Roman"/>
                <w:color w:val="auto"/>
                <w:highlight w:val="none"/>
                <w:lang w:val="en-US" w:eastAsia="zh-CN"/>
              </w:rPr>
            </w:pPr>
          </w:p>
        </w:tc>
        <w:tc>
          <w:tcPr>
            <w:tcW w:w="1910" w:type="dxa"/>
            <w:vAlign w:val="center"/>
          </w:tcPr>
          <w:p w14:paraId="79F6389E">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联系方式</w:t>
            </w:r>
          </w:p>
        </w:tc>
        <w:tc>
          <w:tcPr>
            <w:tcW w:w="2941" w:type="dxa"/>
            <w:vAlign w:val="center"/>
          </w:tcPr>
          <w:p w14:paraId="7850093D">
            <w:pPr>
              <w:spacing w:line="240" w:lineRule="auto"/>
              <w:jc w:val="center"/>
              <w:rPr>
                <w:rFonts w:hint="default" w:ascii="Times New Roman" w:hAnsi="Times New Roman" w:eastAsia="宋体" w:cs="Times New Roman"/>
                <w:color w:val="auto"/>
                <w:highlight w:val="none"/>
                <w:lang w:val="en-US" w:eastAsia="zh-CN"/>
              </w:rPr>
            </w:pPr>
          </w:p>
        </w:tc>
      </w:tr>
      <w:tr w14:paraId="5B3F54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3"/>
            <w:tcMar>
              <w:top w:w="16" w:type="dxa"/>
              <w:left w:w="16" w:type="dxa"/>
              <w:right w:w="16" w:type="dxa"/>
            </w:tcMar>
            <w:vAlign w:val="center"/>
          </w:tcPr>
          <w:p w14:paraId="37FC3FCF">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建设地点</w:t>
            </w:r>
          </w:p>
        </w:tc>
        <w:tc>
          <w:tcPr>
            <w:tcW w:w="6488" w:type="dxa"/>
            <w:gridSpan w:val="3"/>
            <w:vAlign w:val="center"/>
          </w:tcPr>
          <w:p w14:paraId="0026729D">
            <w:pPr>
              <w:spacing w:line="240" w:lineRule="auto"/>
              <w:jc w:val="center"/>
              <w:rPr>
                <w:rFonts w:hint="default" w:ascii="Times New Roman" w:hAnsi="Times New Roman" w:eastAsia="宋体" w:cs="Times New Roman"/>
                <w:color w:val="auto"/>
                <w:highlight w:val="none"/>
                <w:lang w:val="en-US" w:eastAsia="zh-CN"/>
              </w:rPr>
            </w:pPr>
          </w:p>
        </w:tc>
      </w:tr>
      <w:tr w14:paraId="4AFCC5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3"/>
            <w:tcMar>
              <w:top w:w="16" w:type="dxa"/>
              <w:left w:w="16" w:type="dxa"/>
              <w:right w:w="16" w:type="dxa"/>
            </w:tcMar>
            <w:vAlign w:val="center"/>
          </w:tcPr>
          <w:p w14:paraId="4B96F733">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地理坐标</w:t>
            </w:r>
          </w:p>
        </w:tc>
        <w:tc>
          <w:tcPr>
            <w:tcW w:w="6488" w:type="dxa"/>
            <w:gridSpan w:val="3"/>
            <w:vAlign w:val="center"/>
          </w:tcPr>
          <w:p w14:paraId="275B642F">
            <w:pPr>
              <w:spacing w:line="240" w:lineRule="auto"/>
              <w:jc w:val="center"/>
              <w:rPr>
                <w:rFonts w:hint="eastAsia" w:ascii="Times New Roman" w:hAnsi="Times New Roman" w:eastAsia="宋体" w:cs="Times New Roman"/>
                <w:color w:val="auto"/>
                <w:szCs w:val="22"/>
                <w:highlight w:val="none"/>
                <w:lang w:val="en-US" w:eastAsia="zh-CN"/>
              </w:rPr>
            </w:pPr>
          </w:p>
        </w:tc>
      </w:tr>
      <w:tr w14:paraId="3BAF4F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382" w:type="dxa"/>
            <w:gridSpan w:val="3"/>
            <w:tcMar>
              <w:top w:w="16" w:type="dxa"/>
              <w:left w:w="16" w:type="dxa"/>
              <w:right w:w="16" w:type="dxa"/>
            </w:tcMar>
            <w:vAlign w:val="center"/>
          </w:tcPr>
          <w:p w14:paraId="19E92D56">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国民经济</w:t>
            </w:r>
          </w:p>
          <w:p w14:paraId="2FC106E9">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行业类别</w:t>
            </w:r>
          </w:p>
        </w:tc>
        <w:tc>
          <w:tcPr>
            <w:tcW w:w="1637" w:type="dxa"/>
            <w:vAlign w:val="center"/>
          </w:tcPr>
          <w:p w14:paraId="3D488BAB">
            <w:pPr>
              <w:spacing w:line="240" w:lineRule="auto"/>
              <w:jc w:val="center"/>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G5942危险化学品仓储</w:t>
            </w:r>
          </w:p>
        </w:tc>
        <w:tc>
          <w:tcPr>
            <w:tcW w:w="1910" w:type="dxa"/>
            <w:vAlign w:val="center"/>
          </w:tcPr>
          <w:p w14:paraId="091BB8DA">
            <w:pPr>
              <w:spacing w:line="240" w:lineRule="auto"/>
              <w:jc w:val="center"/>
              <w:rPr>
                <w:rFonts w:hint="default" w:ascii="Times New Roman" w:hAnsi="Times New Roman" w:cs="Times New Roman"/>
                <w:color w:val="auto"/>
                <w:highlight w:val="none"/>
              </w:rPr>
            </w:pPr>
            <w:bookmarkStart w:id="1" w:name="_Hlk49843745"/>
            <w:r>
              <w:rPr>
                <w:rFonts w:hint="default" w:ascii="Times New Roman" w:hAnsi="Times New Roman" w:cs="Times New Roman"/>
                <w:color w:val="auto"/>
                <w:highlight w:val="none"/>
              </w:rPr>
              <w:t>建设项目</w:t>
            </w:r>
          </w:p>
          <w:p w14:paraId="68B0A4BC">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行业类别</w:t>
            </w:r>
            <w:bookmarkEnd w:id="1"/>
          </w:p>
        </w:tc>
        <w:tc>
          <w:tcPr>
            <w:tcW w:w="2941" w:type="dxa"/>
            <w:vAlign w:val="center"/>
          </w:tcPr>
          <w:p w14:paraId="77FFDB3A">
            <w:pPr>
              <w:spacing w:line="240" w:lineRule="auto"/>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五十三、装卸搬运和仓储业59；149.危险品仓储594（不含加油站的油库；不含加气站的气库）；其他（含有毒、有害、危险品的仓储；含液化天然气库）</w:t>
            </w:r>
          </w:p>
        </w:tc>
      </w:tr>
      <w:tr w14:paraId="429FAF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382" w:type="dxa"/>
            <w:gridSpan w:val="3"/>
            <w:tcMar>
              <w:top w:w="16" w:type="dxa"/>
              <w:left w:w="16" w:type="dxa"/>
              <w:right w:w="16" w:type="dxa"/>
            </w:tcMar>
            <w:vAlign w:val="center"/>
          </w:tcPr>
          <w:p w14:paraId="2FF4B1F5">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建设性质</w:t>
            </w:r>
          </w:p>
        </w:tc>
        <w:tc>
          <w:tcPr>
            <w:tcW w:w="1637" w:type="dxa"/>
            <w:vAlign w:val="center"/>
          </w:tcPr>
          <w:p w14:paraId="6FB7303A">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2" w:char="F052"/>
            </w:r>
            <w:r>
              <w:rPr>
                <w:rFonts w:hint="default" w:ascii="Times New Roman" w:hAnsi="Times New Roman" w:cs="Times New Roman"/>
                <w:color w:val="auto"/>
                <w:highlight w:val="none"/>
              </w:rPr>
              <w:t>新建（迁建）</w:t>
            </w:r>
          </w:p>
          <w:p w14:paraId="5658608A">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2" w:char="00A3"/>
            </w:r>
            <w:r>
              <w:rPr>
                <w:rFonts w:hint="default" w:ascii="Times New Roman" w:hAnsi="Times New Roman" w:cs="Times New Roman"/>
                <w:color w:val="auto"/>
                <w:highlight w:val="none"/>
              </w:rPr>
              <w:t>改建</w:t>
            </w:r>
          </w:p>
          <w:p w14:paraId="68B4A81A">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2" w:char="00A3"/>
            </w:r>
            <w:r>
              <w:rPr>
                <w:rFonts w:hint="default" w:ascii="Times New Roman" w:hAnsi="Times New Roman" w:cs="Times New Roman"/>
                <w:color w:val="auto"/>
                <w:highlight w:val="none"/>
              </w:rPr>
              <w:t>扩建</w:t>
            </w:r>
          </w:p>
          <w:p w14:paraId="362262EE">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2" w:char="00A3"/>
            </w:r>
            <w:r>
              <w:rPr>
                <w:rFonts w:hint="default" w:ascii="Times New Roman" w:hAnsi="Times New Roman" w:cs="Times New Roman"/>
                <w:color w:val="auto"/>
                <w:highlight w:val="none"/>
              </w:rPr>
              <w:t>技术改造</w:t>
            </w:r>
          </w:p>
        </w:tc>
        <w:tc>
          <w:tcPr>
            <w:tcW w:w="1910" w:type="dxa"/>
            <w:vAlign w:val="center"/>
          </w:tcPr>
          <w:p w14:paraId="703F8217">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建设项目</w:t>
            </w:r>
          </w:p>
          <w:p w14:paraId="6702536E">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申报情形</w:t>
            </w:r>
          </w:p>
        </w:tc>
        <w:tc>
          <w:tcPr>
            <w:tcW w:w="2941" w:type="dxa"/>
            <w:vAlign w:val="center"/>
          </w:tcPr>
          <w:p w14:paraId="0B124EE4">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2" w:char="F052"/>
            </w:r>
            <w:r>
              <w:rPr>
                <w:rFonts w:hint="default" w:ascii="Times New Roman" w:hAnsi="Times New Roman" w:cs="Times New Roman"/>
                <w:color w:val="auto"/>
                <w:highlight w:val="none"/>
              </w:rPr>
              <w:t>首次申报项目</w:t>
            </w:r>
          </w:p>
          <w:p w14:paraId="124D7D78">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2" w:char="00A3"/>
            </w:r>
            <w:r>
              <w:rPr>
                <w:rFonts w:hint="default" w:ascii="Times New Roman" w:hAnsi="Times New Roman" w:cs="Times New Roman"/>
                <w:color w:val="auto"/>
                <w:highlight w:val="none"/>
              </w:rPr>
              <w:t>不予批准后再次申报项目</w:t>
            </w:r>
          </w:p>
          <w:p w14:paraId="17D1FBFF">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2" w:char="00A3"/>
            </w:r>
            <w:r>
              <w:rPr>
                <w:rFonts w:hint="default" w:ascii="Times New Roman" w:hAnsi="Times New Roman" w:cs="Times New Roman"/>
                <w:color w:val="auto"/>
                <w:highlight w:val="none"/>
              </w:rPr>
              <w:t>超五年重新审核项目</w:t>
            </w:r>
          </w:p>
          <w:p w14:paraId="36C9B82E">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2" w:char="00A3"/>
            </w:r>
            <w:r>
              <w:rPr>
                <w:rFonts w:hint="default" w:ascii="Times New Roman" w:hAnsi="Times New Roman" w:cs="Times New Roman"/>
                <w:color w:val="auto"/>
                <w:highlight w:val="none"/>
              </w:rPr>
              <w:t>重大变动重新报批项目</w:t>
            </w:r>
          </w:p>
        </w:tc>
      </w:tr>
      <w:tr w14:paraId="23FF45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382" w:type="dxa"/>
            <w:gridSpan w:val="3"/>
            <w:tcMar>
              <w:top w:w="16" w:type="dxa"/>
              <w:left w:w="16" w:type="dxa"/>
              <w:right w:w="16" w:type="dxa"/>
            </w:tcMar>
            <w:vAlign w:val="center"/>
          </w:tcPr>
          <w:p w14:paraId="05EBE56A">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项目审批（核准/</w:t>
            </w:r>
          </w:p>
          <w:p w14:paraId="20731328">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备案）部门（选填）</w:t>
            </w:r>
          </w:p>
        </w:tc>
        <w:tc>
          <w:tcPr>
            <w:tcW w:w="1637" w:type="dxa"/>
            <w:vAlign w:val="center"/>
          </w:tcPr>
          <w:p w14:paraId="610E5F87">
            <w:pPr>
              <w:spacing w:line="240" w:lineRule="auto"/>
              <w:jc w:val="center"/>
              <w:rPr>
                <w:rFonts w:hint="default" w:ascii="Times New Roman" w:hAnsi="Times New Roman" w:cs="Times New Roman"/>
                <w:color w:val="auto"/>
                <w:highlight w:val="none"/>
              </w:rPr>
            </w:pPr>
            <w:r>
              <w:rPr>
                <w:rFonts w:hint="eastAsia" w:cs="Times New Roman"/>
                <w:color w:val="auto"/>
                <w:highlight w:val="none"/>
                <w:lang w:val="en-US" w:eastAsia="zh-CN"/>
              </w:rPr>
              <w:t>若羌县</w:t>
            </w:r>
            <w:r>
              <w:rPr>
                <w:rFonts w:hint="default" w:ascii="Times New Roman" w:hAnsi="Times New Roman" w:cs="Times New Roman"/>
                <w:color w:val="auto"/>
                <w:highlight w:val="none"/>
                <w:lang w:val="en-US" w:eastAsia="zh-CN"/>
              </w:rPr>
              <w:t>发展和改革委员会</w:t>
            </w:r>
          </w:p>
        </w:tc>
        <w:tc>
          <w:tcPr>
            <w:tcW w:w="1910" w:type="dxa"/>
            <w:vAlign w:val="center"/>
          </w:tcPr>
          <w:p w14:paraId="50603A9F">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项目审批（核准/</w:t>
            </w:r>
          </w:p>
          <w:p w14:paraId="4C902314">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备案）文号（选填）</w:t>
            </w:r>
          </w:p>
        </w:tc>
        <w:tc>
          <w:tcPr>
            <w:tcW w:w="2941" w:type="dxa"/>
            <w:vAlign w:val="center"/>
          </w:tcPr>
          <w:p w14:paraId="6199F629">
            <w:pPr>
              <w:spacing w:line="240" w:lineRule="auto"/>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2409031610652800000083</w:t>
            </w:r>
          </w:p>
        </w:tc>
      </w:tr>
      <w:tr w14:paraId="3B5EF9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3"/>
            <w:tcMar>
              <w:top w:w="16" w:type="dxa"/>
              <w:left w:w="16" w:type="dxa"/>
              <w:right w:w="16" w:type="dxa"/>
            </w:tcMar>
            <w:vAlign w:val="center"/>
          </w:tcPr>
          <w:p w14:paraId="6D7F49CD">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总投资（万元）</w:t>
            </w:r>
          </w:p>
        </w:tc>
        <w:tc>
          <w:tcPr>
            <w:tcW w:w="1637" w:type="dxa"/>
            <w:vAlign w:val="center"/>
          </w:tcPr>
          <w:p w14:paraId="49979FD7">
            <w:pPr>
              <w:spacing w:line="240" w:lineRule="auto"/>
              <w:jc w:val="center"/>
              <w:rPr>
                <w:rFonts w:hint="default" w:ascii="Times New Roman" w:hAnsi="Times New Roman" w:cs="Times New Roman"/>
                <w:color w:val="auto"/>
                <w:highlight w:val="none"/>
                <w:lang w:val="en-US"/>
              </w:rPr>
            </w:pPr>
          </w:p>
        </w:tc>
        <w:tc>
          <w:tcPr>
            <w:tcW w:w="1910" w:type="dxa"/>
            <w:tcMar>
              <w:top w:w="16" w:type="dxa"/>
              <w:left w:w="16" w:type="dxa"/>
              <w:right w:w="16" w:type="dxa"/>
            </w:tcMar>
            <w:vAlign w:val="center"/>
          </w:tcPr>
          <w:p w14:paraId="1DAEBFF2">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环保投资（万元）</w:t>
            </w:r>
          </w:p>
        </w:tc>
        <w:tc>
          <w:tcPr>
            <w:tcW w:w="2941" w:type="dxa"/>
            <w:vAlign w:val="center"/>
          </w:tcPr>
          <w:p w14:paraId="4E530166">
            <w:pPr>
              <w:spacing w:line="240" w:lineRule="auto"/>
              <w:jc w:val="center"/>
              <w:rPr>
                <w:rFonts w:hint="default" w:ascii="Times New Roman" w:hAnsi="Times New Roman" w:cs="Times New Roman"/>
                <w:color w:val="auto"/>
                <w:highlight w:val="none"/>
                <w:lang w:val="en-US"/>
              </w:rPr>
            </w:pPr>
          </w:p>
        </w:tc>
      </w:tr>
      <w:tr w14:paraId="613A0C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3"/>
            <w:tcMar>
              <w:top w:w="16" w:type="dxa"/>
              <w:left w:w="16" w:type="dxa"/>
              <w:right w:w="16" w:type="dxa"/>
            </w:tcMar>
            <w:vAlign w:val="center"/>
          </w:tcPr>
          <w:p w14:paraId="63D926B9">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环保投资占比（%）</w:t>
            </w:r>
          </w:p>
        </w:tc>
        <w:tc>
          <w:tcPr>
            <w:tcW w:w="1637" w:type="dxa"/>
            <w:vAlign w:val="center"/>
          </w:tcPr>
          <w:p w14:paraId="6F397B9D">
            <w:pPr>
              <w:spacing w:line="240" w:lineRule="auto"/>
              <w:jc w:val="center"/>
              <w:rPr>
                <w:rFonts w:hint="default" w:ascii="Times New Roman" w:hAnsi="Times New Roman" w:eastAsia="宋体" w:cs="Times New Roman"/>
                <w:color w:val="auto"/>
                <w:highlight w:val="none"/>
                <w:lang w:val="en-US" w:eastAsia="zh-CN"/>
              </w:rPr>
            </w:pPr>
          </w:p>
        </w:tc>
        <w:tc>
          <w:tcPr>
            <w:tcW w:w="1910" w:type="dxa"/>
            <w:tcMar>
              <w:top w:w="16" w:type="dxa"/>
              <w:left w:w="16" w:type="dxa"/>
              <w:right w:w="16" w:type="dxa"/>
            </w:tcMar>
            <w:vAlign w:val="center"/>
          </w:tcPr>
          <w:p w14:paraId="3785F06C">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施工工期</w:t>
            </w:r>
          </w:p>
        </w:tc>
        <w:tc>
          <w:tcPr>
            <w:tcW w:w="2941" w:type="dxa"/>
            <w:vAlign w:val="center"/>
          </w:tcPr>
          <w:p w14:paraId="4D88F0EC">
            <w:pPr>
              <w:spacing w:line="240" w:lineRule="auto"/>
              <w:jc w:val="center"/>
              <w:rPr>
                <w:rFonts w:hint="default" w:ascii="Times New Roman" w:hAnsi="Times New Roman" w:eastAsia="宋体" w:cs="Times New Roman"/>
                <w:color w:val="auto"/>
                <w:highlight w:val="none"/>
                <w:lang w:val="en-US" w:eastAsia="zh-CN"/>
              </w:rPr>
            </w:pPr>
          </w:p>
        </w:tc>
      </w:tr>
      <w:tr w14:paraId="6ACCD0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3"/>
            <w:tcMar>
              <w:top w:w="16" w:type="dxa"/>
              <w:left w:w="16" w:type="dxa"/>
              <w:right w:w="16" w:type="dxa"/>
            </w:tcMar>
            <w:vAlign w:val="center"/>
          </w:tcPr>
          <w:p w14:paraId="72742BD9">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是否开工建设</w:t>
            </w:r>
          </w:p>
        </w:tc>
        <w:tc>
          <w:tcPr>
            <w:tcW w:w="1637" w:type="dxa"/>
            <w:vAlign w:val="center"/>
          </w:tcPr>
          <w:p w14:paraId="76CAC763">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rPr>
              <w:t>否</w:t>
            </w:r>
          </w:p>
          <w:p w14:paraId="2B33CC01">
            <w:pPr>
              <w:spacing w:line="240" w:lineRule="auto"/>
              <w:rPr>
                <w:rFonts w:hint="default" w:ascii="Times New Roman" w:hAnsi="Times New Roman" w:eastAsia="宋体" w:cs="Times New Roman"/>
                <w:color w:val="auto"/>
                <w:highlight w:val="none"/>
                <w:u w:val="single"/>
                <w:lang w:val="en-US" w:eastAsia="zh-CN"/>
              </w:rPr>
            </w:pPr>
            <w:r>
              <w:rPr>
                <w:rFonts w:hint="default" w:ascii="Times New Roman" w:hAnsi="Times New Roman" w:cs="Times New Roman"/>
                <w:color w:val="auto"/>
                <w:highlight w:val="none"/>
              </w:rPr>
              <w:sym w:font="Wingdings 2" w:char="00A3"/>
            </w:r>
            <w:r>
              <w:rPr>
                <w:rFonts w:hint="default" w:ascii="Times New Roman" w:hAnsi="Times New Roman" w:cs="Times New Roman"/>
                <w:color w:val="auto"/>
                <w:highlight w:val="none"/>
              </w:rPr>
              <w:t>是：</w:t>
            </w:r>
            <w:r>
              <w:rPr>
                <w:rFonts w:hint="eastAsia" w:cs="Times New Roman"/>
                <w:color w:val="auto"/>
                <w:highlight w:val="none"/>
                <w:u w:val="single"/>
                <w:lang w:val="en-US" w:eastAsia="zh-CN"/>
              </w:rPr>
              <w:t xml:space="preserve">         </w:t>
            </w:r>
          </w:p>
        </w:tc>
        <w:tc>
          <w:tcPr>
            <w:tcW w:w="1910" w:type="dxa"/>
            <w:tcMar>
              <w:top w:w="16" w:type="dxa"/>
              <w:left w:w="16" w:type="dxa"/>
              <w:right w:w="16" w:type="dxa"/>
            </w:tcMar>
            <w:vAlign w:val="center"/>
          </w:tcPr>
          <w:p w14:paraId="5DC5CD7D">
            <w:pPr>
              <w:spacing w:line="240" w:lineRule="auto"/>
              <w:jc w:val="center"/>
              <w:rPr>
                <w:rFonts w:hint="default" w:ascii="Times New Roman" w:hAnsi="Times New Roman" w:cs="Times New Roman"/>
                <w:color w:val="auto"/>
                <w:spacing w:val="-6"/>
                <w:highlight w:val="none"/>
              </w:rPr>
            </w:pPr>
            <w:r>
              <w:rPr>
                <w:rFonts w:hint="default" w:ascii="Times New Roman" w:hAnsi="Times New Roman" w:cs="Times New Roman"/>
                <w:color w:val="auto"/>
                <w:spacing w:val="-6"/>
                <w:highlight w:val="none"/>
              </w:rPr>
              <w:t>用地（用海）</w:t>
            </w:r>
          </w:p>
          <w:p w14:paraId="72F02B0F">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spacing w:val="-6"/>
                <w:highlight w:val="none"/>
              </w:rPr>
              <w:t>面积（m</w:t>
            </w:r>
            <w:r>
              <w:rPr>
                <w:rFonts w:hint="default" w:ascii="Times New Roman" w:hAnsi="Times New Roman" w:cs="Times New Roman"/>
                <w:color w:val="auto"/>
                <w:spacing w:val="-6"/>
                <w:highlight w:val="none"/>
                <w:vertAlign w:val="superscript"/>
              </w:rPr>
              <w:t>2</w:t>
            </w:r>
            <w:r>
              <w:rPr>
                <w:rFonts w:hint="default" w:ascii="Times New Roman" w:hAnsi="Times New Roman" w:cs="Times New Roman"/>
                <w:color w:val="auto"/>
                <w:spacing w:val="-6"/>
                <w:highlight w:val="none"/>
              </w:rPr>
              <w:t>）</w:t>
            </w:r>
          </w:p>
        </w:tc>
        <w:tc>
          <w:tcPr>
            <w:tcW w:w="2941" w:type="dxa"/>
            <w:vAlign w:val="center"/>
          </w:tcPr>
          <w:p w14:paraId="0CA2664D">
            <w:pPr>
              <w:spacing w:line="240" w:lineRule="auto"/>
              <w:jc w:val="center"/>
              <w:rPr>
                <w:rFonts w:hint="default" w:ascii="Times New Roman" w:hAnsi="Times New Roman" w:eastAsia="宋体" w:cs="Times New Roman"/>
                <w:color w:val="auto"/>
                <w:highlight w:val="none"/>
                <w:lang w:val="en-US" w:eastAsia="zh-CN"/>
              </w:rPr>
            </w:pPr>
          </w:p>
        </w:tc>
      </w:tr>
      <w:tr w14:paraId="3A8F2F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382" w:type="dxa"/>
            <w:gridSpan w:val="3"/>
            <w:vAlign w:val="center"/>
          </w:tcPr>
          <w:p w14:paraId="2196D81C">
            <w:pPr>
              <w:autoSpaceDE w:val="0"/>
              <w:autoSpaceDN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专项评价设置情况</w:t>
            </w:r>
          </w:p>
        </w:tc>
        <w:tc>
          <w:tcPr>
            <w:tcW w:w="6488" w:type="dxa"/>
            <w:gridSpan w:val="3"/>
            <w:vAlign w:val="center"/>
          </w:tcPr>
          <w:p w14:paraId="134A1134">
            <w:pPr>
              <w:keepNext w:val="0"/>
              <w:keepLines w:val="0"/>
              <w:pageBreakBefore w:val="0"/>
              <w:widowControl/>
              <w:suppressLineNumbers w:val="0"/>
              <w:kinsoku/>
              <w:wordWrap/>
              <w:overflowPunct/>
              <w:topLinePunct w:val="0"/>
              <w:autoSpaceDE/>
              <w:autoSpaceDN/>
              <w:bidi w:val="0"/>
              <w:adjustRightInd w:val="0"/>
              <w:snapToGrid w:val="0"/>
              <w:spacing w:line="500" w:lineRule="exact"/>
              <w:ind w:firstLine="480" w:firstLineChars="200"/>
              <w:jc w:val="both"/>
              <w:textAlignment w:val="auto"/>
              <w:rPr>
                <w:highlight w:val="none"/>
              </w:rPr>
            </w:pPr>
            <w:r>
              <w:rPr>
                <w:rFonts w:hint="eastAsia" w:ascii="宋体" w:hAnsi="宋体" w:eastAsia="宋体" w:cs="宋体"/>
                <w:color w:val="000000"/>
                <w:kern w:val="0"/>
                <w:sz w:val="24"/>
                <w:szCs w:val="24"/>
                <w:highlight w:val="none"/>
                <w:lang w:val="en-US" w:eastAsia="zh-CN" w:bidi="ar"/>
              </w:rPr>
              <w:t>根据《建设项目环境影响报告表编制技术指南（污染影响类）（试行）》的专项评价设置原则表：</w:t>
            </w:r>
          </w:p>
          <w:p w14:paraId="207B7B5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kern w:val="2"/>
                <w:sz w:val="21"/>
                <w:szCs w:val="21"/>
                <w:highlight w:val="none"/>
                <w:lang w:val="en-US" w:eastAsia="zh-CN" w:bidi="ar-SA"/>
              </w:rPr>
            </w:pPr>
            <w:r>
              <w:rPr>
                <w:rFonts w:hint="eastAsia" w:ascii="Times New Roman" w:hAnsi="Times New Roman" w:eastAsia="宋体" w:cs="Times New Roman"/>
                <w:b/>
                <w:bCs/>
                <w:kern w:val="2"/>
                <w:sz w:val="21"/>
                <w:szCs w:val="21"/>
                <w:highlight w:val="none"/>
                <w:lang w:val="en-US" w:eastAsia="zh-CN" w:bidi="ar-SA"/>
              </w:rPr>
              <w:t>专项评价设置原则表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645"/>
              <w:gridCol w:w="863"/>
              <w:gridCol w:w="1108"/>
            </w:tblGrid>
            <w:tr w14:paraId="6031F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350013F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专项评价的类别</w:t>
                  </w:r>
                </w:p>
              </w:tc>
              <w:tc>
                <w:tcPr>
                  <w:tcW w:w="3645" w:type="dxa"/>
                  <w:noWrap w:val="0"/>
                  <w:vAlign w:val="center"/>
                </w:tcPr>
                <w:p w14:paraId="762A5F1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涉及项目类别</w:t>
                  </w:r>
                </w:p>
              </w:tc>
              <w:tc>
                <w:tcPr>
                  <w:tcW w:w="863" w:type="dxa"/>
                  <w:noWrap w:val="0"/>
                  <w:vAlign w:val="center"/>
                </w:tcPr>
                <w:p w14:paraId="49BB70A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宋体" w:hAnsi="宋体" w:eastAsia="宋体" w:cs="宋体"/>
                      <w:b/>
                      <w:bCs/>
                      <w:color w:val="auto"/>
                      <w:kern w:val="0"/>
                      <w:sz w:val="21"/>
                      <w:szCs w:val="21"/>
                      <w:highlight w:val="none"/>
                      <w:vertAlign w:val="baseline"/>
                      <w:lang w:val="en-US" w:eastAsia="zh-CN"/>
                    </w:rPr>
                  </w:pPr>
                  <w:r>
                    <w:rPr>
                      <w:rFonts w:hint="eastAsia" w:ascii="宋体" w:hAnsi="宋体" w:cs="宋体"/>
                      <w:b/>
                      <w:bCs/>
                      <w:color w:val="auto"/>
                      <w:kern w:val="0"/>
                      <w:sz w:val="21"/>
                      <w:szCs w:val="21"/>
                      <w:highlight w:val="none"/>
                      <w:vertAlign w:val="baseline"/>
                      <w:lang w:val="en-US" w:eastAsia="zh-CN"/>
                    </w:rPr>
                    <w:t>本项目情况</w:t>
                  </w:r>
                </w:p>
              </w:tc>
              <w:tc>
                <w:tcPr>
                  <w:tcW w:w="1108" w:type="dxa"/>
                  <w:noWrap w:val="0"/>
                  <w:vAlign w:val="center"/>
                </w:tcPr>
                <w:p w14:paraId="2321C8E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宋体" w:hAnsi="宋体" w:eastAsia="宋体" w:cs="宋体"/>
                      <w:b/>
                      <w:bCs/>
                      <w:color w:val="auto"/>
                      <w:kern w:val="0"/>
                      <w:sz w:val="21"/>
                      <w:szCs w:val="21"/>
                      <w:highlight w:val="none"/>
                      <w:vertAlign w:val="baseline"/>
                      <w:lang w:val="en-US" w:eastAsia="zh-CN"/>
                    </w:rPr>
                  </w:pPr>
                  <w:r>
                    <w:rPr>
                      <w:rFonts w:hint="eastAsia" w:ascii="宋体" w:hAnsi="宋体" w:cs="宋体"/>
                      <w:b/>
                      <w:bCs/>
                      <w:color w:val="auto"/>
                      <w:kern w:val="0"/>
                      <w:sz w:val="21"/>
                      <w:szCs w:val="21"/>
                      <w:highlight w:val="none"/>
                      <w:vertAlign w:val="baseline"/>
                      <w:lang w:val="en-US" w:eastAsia="zh-CN"/>
                    </w:rPr>
                    <w:t>是否设置专项评价</w:t>
                  </w:r>
                </w:p>
              </w:tc>
            </w:tr>
            <w:tr w14:paraId="4570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33F2EED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宋体" w:hAnsi="宋体" w:eastAsia="宋体" w:cs="宋体"/>
                      <w:b w:val="0"/>
                      <w:bCs w:val="0"/>
                      <w:color w:val="auto"/>
                      <w:kern w:val="0"/>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vertAlign w:val="baseline"/>
                      <w:lang w:val="en-US" w:eastAsia="zh-CN"/>
                    </w:rPr>
                    <w:t>大气</w:t>
                  </w:r>
                </w:p>
              </w:tc>
              <w:tc>
                <w:tcPr>
                  <w:tcW w:w="3645" w:type="dxa"/>
                  <w:noWrap w:val="0"/>
                  <w:vAlign w:val="center"/>
                </w:tcPr>
                <w:p w14:paraId="74921A3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auto"/>
                      <w:kern w:val="0"/>
                      <w:sz w:val="21"/>
                      <w:szCs w:val="21"/>
                      <w:highlight w:val="none"/>
                      <w:vertAlign w:val="baseline"/>
                      <w:lang w:val="en-US" w:eastAsia="zh-CN"/>
                    </w:rPr>
                  </w:pPr>
                  <w:r>
                    <w:rPr>
                      <w:rFonts w:hint="default" w:ascii="Times New Roman" w:hAnsi="Times New Roman" w:eastAsia="宋体" w:cs="Times New Roman"/>
                      <w:b w:val="0"/>
                      <w:bCs w:val="0"/>
                      <w:color w:val="auto"/>
                      <w:kern w:val="0"/>
                      <w:sz w:val="21"/>
                      <w:szCs w:val="21"/>
                      <w:highlight w:val="none"/>
                      <w:vertAlign w:val="baseline"/>
                      <w:lang w:val="en-US" w:eastAsia="zh-CN"/>
                    </w:rPr>
                    <w:t>排放废气含有毒有害污染物、二噁英、苯并[a]芘、氰化物、氯气且厂界外500米范围内有环境空气保护目标的建设项目</w:t>
                  </w:r>
                </w:p>
              </w:tc>
              <w:tc>
                <w:tcPr>
                  <w:tcW w:w="863" w:type="dxa"/>
                  <w:noWrap w:val="0"/>
                  <w:vAlign w:val="center"/>
                </w:tcPr>
                <w:p w14:paraId="5897EC7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不涉及</w:t>
                  </w:r>
                </w:p>
              </w:tc>
              <w:tc>
                <w:tcPr>
                  <w:tcW w:w="1108" w:type="dxa"/>
                  <w:noWrap w:val="0"/>
                  <w:vAlign w:val="center"/>
                </w:tcPr>
                <w:p w14:paraId="7A21B6F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否</w:t>
                  </w:r>
                </w:p>
              </w:tc>
            </w:tr>
            <w:tr w14:paraId="5371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6A3CF98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地表水</w:t>
                  </w:r>
                </w:p>
              </w:tc>
              <w:tc>
                <w:tcPr>
                  <w:tcW w:w="3645" w:type="dxa"/>
                  <w:noWrap w:val="0"/>
                  <w:vAlign w:val="center"/>
                </w:tcPr>
                <w:p w14:paraId="2229E39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新增工业废水直排建设项目（槽罐车外送污水处理厂的除外）；新增废水直排的污水集中处理厂</w:t>
                  </w:r>
                </w:p>
              </w:tc>
              <w:tc>
                <w:tcPr>
                  <w:tcW w:w="863" w:type="dxa"/>
                  <w:noWrap w:val="0"/>
                  <w:vAlign w:val="center"/>
                </w:tcPr>
                <w:p w14:paraId="484B80A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b w:val="0"/>
                      <w:bCs w:val="0"/>
                      <w:color w:val="auto"/>
                      <w:kern w:val="0"/>
                      <w:sz w:val="21"/>
                      <w:szCs w:val="21"/>
                      <w:highlight w:val="none"/>
                      <w:vertAlign w:val="baseline"/>
                      <w:lang w:val="en-US" w:eastAsia="zh-CN"/>
                    </w:rPr>
                    <w:t>不涉及</w:t>
                  </w:r>
                </w:p>
              </w:tc>
              <w:tc>
                <w:tcPr>
                  <w:tcW w:w="1108" w:type="dxa"/>
                  <w:noWrap w:val="0"/>
                  <w:vAlign w:val="center"/>
                </w:tcPr>
                <w:p w14:paraId="3C10424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b w:val="0"/>
                      <w:bCs w:val="0"/>
                      <w:color w:val="auto"/>
                      <w:kern w:val="0"/>
                      <w:sz w:val="21"/>
                      <w:szCs w:val="21"/>
                      <w:highlight w:val="none"/>
                      <w:vertAlign w:val="baseline"/>
                      <w:lang w:val="en-US" w:eastAsia="zh-CN"/>
                    </w:rPr>
                    <w:t>否</w:t>
                  </w:r>
                </w:p>
              </w:tc>
            </w:tr>
            <w:tr w14:paraId="6A27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1A70F33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宋体" w:hAnsi="宋体" w:eastAsia="宋体" w:cs="宋体"/>
                      <w:b w:val="0"/>
                      <w:bCs w:val="0"/>
                      <w:color w:val="auto"/>
                      <w:kern w:val="0"/>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vertAlign w:val="baseline"/>
                      <w:lang w:val="en-US" w:eastAsia="zh-CN"/>
                    </w:rPr>
                    <w:t>环境风险</w:t>
                  </w:r>
                </w:p>
              </w:tc>
              <w:tc>
                <w:tcPr>
                  <w:tcW w:w="3645" w:type="dxa"/>
                  <w:noWrap w:val="0"/>
                  <w:vAlign w:val="center"/>
                </w:tcPr>
                <w:p w14:paraId="3BABD99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auto"/>
                      <w:kern w:val="0"/>
                      <w:sz w:val="21"/>
                      <w:szCs w:val="21"/>
                      <w:highlight w:val="none"/>
                      <w:vertAlign w:val="baseline"/>
                      <w:lang w:val="en-US" w:eastAsia="zh-CN"/>
                    </w:rPr>
                  </w:pPr>
                  <w:r>
                    <w:rPr>
                      <w:rFonts w:hint="default" w:ascii="Times New Roman" w:hAnsi="Times New Roman" w:eastAsia="宋体" w:cs="Times New Roman"/>
                      <w:b w:val="0"/>
                      <w:bCs w:val="0"/>
                      <w:color w:val="auto"/>
                      <w:kern w:val="0"/>
                      <w:sz w:val="21"/>
                      <w:szCs w:val="21"/>
                      <w:highlight w:val="none"/>
                      <w:vertAlign w:val="baseline"/>
                      <w:lang w:val="en-US" w:eastAsia="zh-CN"/>
                    </w:rPr>
                    <w:t>有毒有害和易燃易爆危险物质存储量超过临界量的建设项目</w:t>
                  </w:r>
                </w:p>
              </w:tc>
              <w:tc>
                <w:tcPr>
                  <w:tcW w:w="863" w:type="dxa"/>
                  <w:noWrap w:val="0"/>
                  <w:vAlign w:val="center"/>
                </w:tcPr>
                <w:p w14:paraId="1D98B4A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不涉及</w:t>
                  </w:r>
                </w:p>
              </w:tc>
              <w:tc>
                <w:tcPr>
                  <w:tcW w:w="1108" w:type="dxa"/>
                  <w:noWrap w:val="0"/>
                  <w:vAlign w:val="center"/>
                </w:tcPr>
                <w:p w14:paraId="2256B95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否</w:t>
                  </w:r>
                </w:p>
              </w:tc>
            </w:tr>
            <w:tr w14:paraId="3DE6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448C137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宋体" w:hAnsi="宋体" w:eastAsia="宋体" w:cs="宋体"/>
                      <w:b w:val="0"/>
                      <w:bCs w:val="0"/>
                      <w:color w:val="auto"/>
                      <w:kern w:val="0"/>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vertAlign w:val="baseline"/>
                      <w:lang w:val="en-US" w:eastAsia="zh-CN"/>
                    </w:rPr>
                    <w:t>生态</w:t>
                  </w:r>
                </w:p>
              </w:tc>
              <w:tc>
                <w:tcPr>
                  <w:tcW w:w="3645" w:type="dxa"/>
                  <w:noWrap w:val="0"/>
                  <w:vAlign w:val="center"/>
                </w:tcPr>
                <w:p w14:paraId="2C46C35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auto"/>
                      <w:kern w:val="0"/>
                      <w:sz w:val="21"/>
                      <w:szCs w:val="21"/>
                      <w:highlight w:val="none"/>
                      <w:vertAlign w:val="baseline"/>
                      <w:lang w:val="en-US" w:eastAsia="zh-CN"/>
                    </w:rPr>
                  </w:pPr>
                  <w:r>
                    <w:rPr>
                      <w:rFonts w:hint="default" w:ascii="Times New Roman" w:hAnsi="Times New Roman" w:eastAsia="宋体" w:cs="Times New Roman"/>
                      <w:b w:val="0"/>
                      <w:bCs w:val="0"/>
                      <w:color w:val="auto"/>
                      <w:kern w:val="0"/>
                      <w:sz w:val="21"/>
                      <w:szCs w:val="21"/>
                      <w:highlight w:val="none"/>
                      <w:vertAlign w:val="baseline"/>
                      <w:lang w:val="en-US" w:eastAsia="zh-CN"/>
                    </w:rPr>
                    <w:t>取水口下游500米范围内有重要水生生物的自然产卵场、索饵场、越冬场和洄游通道的新增河道取水的污染类建设项目</w:t>
                  </w:r>
                </w:p>
              </w:tc>
              <w:tc>
                <w:tcPr>
                  <w:tcW w:w="863" w:type="dxa"/>
                  <w:noWrap w:val="0"/>
                  <w:vAlign w:val="center"/>
                </w:tcPr>
                <w:p w14:paraId="007400E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不涉及</w:t>
                  </w:r>
                </w:p>
              </w:tc>
              <w:tc>
                <w:tcPr>
                  <w:tcW w:w="1108" w:type="dxa"/>
                  <w:noWrap w:val="0"/>
                  <w:vAlign w:val="center"/>
                </w:tcPr>
                <w:p w14:paraId="24E3C4F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否</w:t>
                  </w:r>
                </w:p>
              </w:tc>
            </w:tr>
            <w:tr w14:paraId="2CA9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6" w:type="dxa"/>
                  <w:noWrap w:val="0"/>
                  <w:vAlign w:val="center"/>
                </w:tcPr>
                <w:p w14:paraId="73D02DE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海洋</w:t>
                  </w:r>
                </w:p>
              </w:tc>
              <w:tc>
                <w:tcPr>
                  <w:tcW w:w="3645" w:type="dxa"/>
                  <w:noWrap w:val="0"/>
                  <w:vAlign w:val="center"/>
                </w:tcPr>
                <w:p w14:paraId="5B225D1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直接向海排放污染物的海洋工程建设项目</w:t>
                  </w:r>
                </w:p>
              </w:tc>
              <w:tc>
                <w:tcPr>
                  <w:tcW w:w="863" w:type="dxa"/>
                  <w:noWrap w:val="0"/>
                  <w:vAlign w:val="center"/>
                </w:tcPr>
                <w:p w14:paraId="4C2D12E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eastAsia" w:cs="Times New Roman"/>
                      <w:b w:val="0"/>
                      <w:bCs w:val="0"/>
                      <w:color w:val="auto"/>
                      <w:kern w:val="0"/>
                      <w:sz w:val="21"/>
                      <w:szCs w:val="21"/>
                      <w:highlight w:val="none"/>
                      <w:vertAlign w:val="baseline"/>
                      <w:lang w:val="en-US" w:eastAsia="zh-CN"/>
                    </w:rPr>
                    <w:t>不涉及</w:t>
                  </w:r>
                </w:p>
              </w:tc>
              <w:tc>
                <w:tcPr>
                  <w:tcW w:w="1108" w:type="dxa"/>
                  <w:noWrap w:val="0"/>
                  <w:vAlign w:val="center"/>
                </w:tcPr>
                <w:p w14:paraId="32C4151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eastAsia" w:cs="Times New Roman"/>
                      <w:b w:val="0"/>
                      <w:bCs w:val="0"/>
                      <w:color w:val="auto"/>
                      <w:kern w:val="0"/>
                      <w:sz w:val="21"/>
                      <w:szCs w:val="21"/>
                      <w:highlight w:val="none"/>
                      <w:vertAlign w:val="baseline"/>
                      <w:lang w:val="en-US" w:eastAsia="zh-CN"/>
                    </w:rPr>
                    <w:t>否</w:t>
                  </w:r>
                </w:p>
              </w:tc>
            </w:tr>
          </w:tbl>
          <w:p w14:paraId="1D701637">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cs="Times New Roman"/>
                <w:color w:val="auto"/>
                <w:highlight w:val="none"/>
              </w:rPr>
            </w:pPr>
            <w:r>
              <w:rPr>
                <w:rFonts w:hint="default" w:ascii="Times New Roman" w:hAnsi="Times New Roman" w:eastAsia="宋体" w:cs="Times New Roman"/>
                <w:color w:val="000000"/>
                <w:kern w:val="0"/>
                <w:sz w:val="24"/>
                <w:szCs w:val="24"/>
                <w:highlight w:val="none"/>
                <w:lang w:val="en-US" w:eastAsia="zh-CN" w:bidi="ar"/>
              </w:rPr>
              <w:t>根据上表分析，本项目为</w:t>
            </w:r>
            <w:r>
              <w:rPr>
                <w:rFonts w:hint="eastAsia" w:ascii="Times New Roman" w:hAnsi="Times New Roman" w:eastAsia="宋体" w:cs="Times New Roman"/>
                <w:color w:val="000000"/>
                <w:kern w:val="0"/>
                <w:sz w:val="24"/>
                <w:szCs w:val="24"/>
                <w:highlight w:val="none"/>
                <w:lang w:val="en-US" w:eastAsia="zh-CN" w:bidi="ar"/>
              </w:rPr>
              <w:t>“五十三、装卸搬运和仓储业59；149.危险品仓储594（不含加油站的油库；不含加气站的气库）；其他（含有毒、有害、危险品的仓储；含液化天然气库）”</w:t>
            </w:r>
            <w:r>
              <w:rPr>
                <w:rFonts w:hint="default" w:ascii="Times New Roman" w:hAnsi="Times New Roman" w:eastAsia="宋体" w:cs="Times New Roman"/>
                <w:color w:val="000000"/>
                <w:kern w:val="0"/>
                <w:sz w:val="24"/>
                <w:szCs w:val="24"/>
                <w:highlight w:val="none"/>
                <w:lang w:val="en-US" w:eastAsia="zh-CN" w:bidi="ar"/>
              </w:rPr>
              <w:t>，无需开展专项评价工作。</w:t>
            </w:r>
          </w:p>
        </w:tc>
      </w:tr>
      <w:tr w14:paraId="4AED85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2382" w:type="dxa"/>
            <w:gridSpan w:val="3"/>
            <w:vAlign w:val="center"/>
          </w:tcPr>
          <w:p w14:paraId="622000E1">
            <w:pPr>
              <w:autoSpaceDE w:val="0"/>
              <w:autoSpaceDN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规划情况</w:t>
            </w:r>
          </w:p>
        </w:tc>
        <w:tc>
          <w:tcPr>
            <w:tcW w:w="6488" w:type="dxa"/>
            <w:gridSpan w:val="3"/>
            <w:shd w:val="clear" w:color="auto" w:fill="auto"/>
            <w:vAlign w:val="center"/>
          </w:tcPr>
          <w:p w14:paraId="331414B9">
            <w:pPr>
              <w:pStyle w:val="59"/>
              <w:keepNext w:val="0"/>
              <w:keepLines w:val="0"/>
              <w:pageBreakBefore w:val="0"/>
              <w:widowControl/>
              <w:kinsoku/>
              <w:wordWrap/>
              <w:overflowPunct/>
              <w:topLinePunct w:val="0"/>
              <w:autoSpaceDE/>
              <w:autoSpaceDN/>
              <w:bidi w:val="0"/>
              <w:adjustRightInd w:val="0"/>
              <w:snapToGrid w:val="0"/>
              <w:ind w:left="0" w:leftChars="0" w:firstLine="0" w:firstLineChars="0"/>
              <w:jc w:val="left"/>
              <w:textAlignment w:val="auto"/>
              <w:rPr>
                <w:rFonts w:hint="default" w:ascii="Times New Roman" w:hAnsi="Times New Roman" w:eastAsia="宋体" w:cs="Times New Roman"/>
                <w:snapToGrid w:val="0"/>
                <w:color w:val="auto"/>
                <w:kern w:val="2"/>
                <w:sz w:val="24"/>
                <w:szCs w:val="24"/>
                <w:highlight w:val="none"/>
                <w:lang w:val="en-US" w:eastAsia="zh-CN" w:bidi="ar-SA"/>
                <w14:ligatures w14:val="none"/>
              </w:rPr>
            </w:pPr>
            <w:r>
              <w:rPr>
                <w:rFonts w:hint="default" w:ascii="Times New Roman" w:hAnsi="Times New Roman" w:eastAsia="宋体" w:cs="Times New Roman"/>
                <w:snapToGrid w:val="0"/>
                <w:color w:val="auto"/>
                <w:kern w:val="2"/>
                <w:sz w:val="24"/>
                <w:szCs w:val="24"/>
                <w:highlight w:val="none"/>
                <w:lang w:val="en-US" w:eastAsia="zh-CN" w:bidi="ar-SA"/>
                <w14:ligatures w14:val="none"/>
              </w:rPr>
              <w:t>文件名称：《</w:t>
            </w:r>
            <w:r>
              <w:rPr>
                <w:rFonts w:hint="eastAsia" w:cs="Times New Roman"/>
                <w:snapToGrid w:val="0"/>
                <w:color w:val="auto"/>
                <w:kern w:val="2"/>
                <w:sz w:val="24"/>
                <w:szCs w:val="24"/>
                <w:highlight w:val="none"/>
                <w:lang w:val="en-US" w:eastAsia="zh-CN" w:bidi="ar-SA"/>
                <w14:ligatures w14:val="none"/>
              </w:rPr>
              <w:t>若羌</w:t>
            </w:r>
            <w:r>
              <w:rPr>
                <w:rFonts w:hint="default" w:ascii="Times New Roman" w:hAnsi="Times New Roman" w:eastAsia="宋体" w:cs="Times New Roman"/>
                <w:snapToGrid w:val="0"/>
                <w:color w:val="auto"/>
                <w:kern w:val="2"/>
                <w:sz w:val="24"/>
                <w:szCs w:val="24"/>
                <w:highlight w:val="none"/>
                <w:lang w:val="en-US" w:eastAsia="zh-CN" w:bidi="ar-SA"/>
                <w14:ligatures w14:val="none"/>
              </w:rPr>
              <w:t>县国土空间总体规划</w:t>
            </w:r>
            <w:r>
              <w:rPr>
                <w:rFonts w:hint="eastAsia" w:cs="Times New Roman"/>
                <w:snapToGrid w:val="0"/>
                <w:color w:val="auto"/>
                <w:kern w:val="2"/>
                <w:sz w:val="24"/>
                <w:szCs w:val="24"/>
                <w:highlight w:val="none"/>
                <w:lang w:val="en-US" w:eastAsia="zh-CN" w:bidi="ar-SA"/>
                <w14:ligatures w14:val="none"/>
              </w:rPr>
              <w:t>（2021-2035年）</w:t>
            </w:r>
            <w:r>
              <w:rPr>
                <w:rFonts w:hint="default" w:ascii="Times New Roman" w:hAnsi="Times New Roman" w:eastAsia="宋体" w:cs="Times New Roman"/>
                <w:snapToGrid w:val="0"/>
                <w:color w:val="auto"/>
                <w:kern w:val="2"/>
                <w:sz w:val="24"/>
                <w:szCs w:val="24"/>
                <w:highlight w:val="none"/>
                <w:lang w:val="en-US" w:eastAsia="zh-CN" w:bidi="ar-SA"/>
                <w14:ligatures w14:val="none"/>
              </w:rPr>
              <w:t>》</w:t>
            </w:r>
          </w:p>
          <w:p w14:paraId="1AF417C8">
            <w:pPr>
              <w:pStyle w:val="59"/>
              <w:keepNext w:val="0"/>
              <w:keepLines w:val="0"/>
              <w:pageBreakBefore w:val="0"/>
              <w:widowControl/>
              <w:kinsoku/>
              <w:wordWrap/>
              <w:overflowPunct/>
              <w:topLinePunct w:val="0"/>
              <w:autoSpaceDE/>
              <w:autoSpaceDN/>
              <w:bidi w:val="0"/>
              <w:adjustRightInd w:val="0"/>
              <w:snapToGrid w:val="0"/>
              <w:ind w:left="0" w:leftChars="0" w:firstLine="0" w:firstLineChars="0"/>
              <w:jc w:val="left"/>
              <w:textAlignment w:val="auto"/>
              <w:rPr>
                <w:rFonts w:hint="default" w:ascii="Times New Roman" w:hAnsi="Times New Roman" w:eastAsia="宋体" w:cs="Times New Roman"/>
                <w:snapToGrid w:val="0"/>
                <w:color w:val="auto"/>
                <w:kern w:val="2"/>
                <w:sz w:val="24"/>
                <w:szCs w:val="24"/>
                <w:highlight w:val="none"/>
                <w:lang w:val="en-US" w:eastAsia="zh-CN" w:bidi="ar-SA"/>
                <w14:ligatures w14:val="none"/>
              </w:rPr>
            </w:pPr>
            <w:r>
              <w:rPr>
                <w:rFonts w:hint="default" w:ascii="Times New Roman" w:hAnsi="Times New Roman" w:eastAsia="宋体" w:cs="Times New Roman"/>
                <w:snapToGrid w:val="0"/>
                <w:color w:val="auto"/>
                <w:kern w:val="2"/>
                <w:sz w:val="24"/>
                <w:szCs w:val="24"/>
                <w:highlight w:val="none"/>
                <w:lang w:val="en-US" w:eastAsia="zh-CN" w:bidi="ar-SA"/>
                <w14:ligatures w14:val="none"/>
              </w:rPr>
              <w:t>审批机关：</w:t>
            </w:r>
            <w:r>
              <w:rPr>
                <w:rFonts w:hint="eastAsia"/>
                <w:highlight w:val="none"/>
              </w:rPr>
              <w:t>巴音郭楞蒙古自治州人民政府</w:t>
            </w:r>
          </w:p>
          <w:p w14:paraId="2B3DB3A1">
            <w:pPr>
              <w:pStyle w:val="59"/>
              <w:keepNext w:val="0"/>
              <w:keepLines w:val="0"/>
              <w:pageBreakBefore w:val="0"/>
              <w:widowControl/>
              <w:kinsoku/>
              <w:wordWrap/>
              <w:overflowPunct/>
              <w:topLinePunct w:val="0"/>
              <w:autoSpaceDE/>
              <w:autoSpaceDN/>
              <w:bidi w:val="0"/>
              <w:adjustRightInd w:val="0"/>
              <w:snapToGrid w:val="0"/>
              <w:ind w:left="0" w:leftChars="0" w:firstLine="0" w:firstLineChars="0"/>
              <w:jc w:val="left"/>
              <w:textAlignment w:val="auto"/>
              <w:rPr>
                <w:rFonts w:hint="default" w:ascii="Times New Roman" w:hAnsi="Times New Roman" w:eastAsia="宋体" w:cs="Times New Roman"/>
                <w:snapToGrid w:val="0"/>
                <w:color w:val="auto"/>
                <w:kern w:val="2"/>
                <w:sz w:val="24"/>
                <w:szCs w:val="24"/>
                <w:highlight w:val="none"/>
                <w:lang w:val="en-US" w:eastAsia="zh-CN" w:bidi="ar-SA"/>
                <w14:ligatures w14:val="none"/>
              </w:rPr>
            </w:pPr>
            <w:r>
              <w:rPr>
                <w:rFonts w:hint="default" w:ascii="Times New Roman" w:hAnsi="Times New Roman" w:eastAsia="宋体" w:cs="Times New Roman"/>
                <w:snapToGrid w:val="0"/>
                <w:color w:val="auto"/>
                <w:kern w:val="2"/>
                <w:sz w:val="24"/>
                <w:szCs w:val="24"/>
                <w:highlight w:val="none"/>
                <w:lang w:val="en-US" w:eastAsia="zh-CN" w:bidi="ar-SA"/>
                <w14:ligatures w14:val="none"/>
              </w:rPr>
              <w:t>审批文件名称及文号：关于《若羌县国土空间总体规划（2021—2035年）》的批复</w:t>
            </w:r>
            <w:r>
              <w:rPr>
                <w:rFonts w:hint="eastAsia" w:cs="Times New Roman"/>
                <w:snapToGrid w:val="0"/>
                <w:color w:val="auto"/>
                <w:kern w:val="2"/>
                <w:sz w:val="24"/>
                <w:szCs w:val="24"/>
                <w:highlight w:val="none"/>
                <w:lang w:val="en-US" w:eastAsia="zh-CN" w:bidi="ar-SA"/>
                <w14:ligatures w14:val="none"/>
              </w:rPr>
              <w:t>（</w:t>
            </w:r>
            <w:r>
              <w:rPr>
                <w:rFonts w:hint="default" w:ascii="Times New Roman" w:hAnsi="Times New Roman" w:eastAsia="宋体" w:cs="Times New Roman"/>
                <w:snapToGrid w:val="0"/>
                <w:color w:val="auto"/>
                <w:kern w:val="2"/>
                <w:sz w:val="24"/>
                <w:szCs w:val="24"/>
                <w:highlight w:val="none"/>
                <w:lang w:val="en-US" w:eastAsia="zh-CN" w:bidi="ar-SA"/>
                <w14:ligatures w14:val="none"/>
              </w:rPr>
              <w:t>巴政函〔2024〕11</w:t>
            </w:r>
            <w:r>
              <w:rPr>
                <w:rFonts w:hint="eastAsia" w:cs="Times New Roman"/>
                <w:snapToGrid w:val="0"/>
                <w:color w:val="auto"/>
                <w:kern w:val="2"/>
                <w:sz w:val="24"/>
                <w:szCs w:val="24"/>
                <w:highlight w:val="none"/>
                <w:lang w:val="en-US" w:eastAsia="zh-CN" w:bidi="ar-SA"/>
                <w14:ligatures w14:val="none"/>
              </w:rPr>
              <w:t>6</w:t>
            </w:r>
            <w:r>
              <w:rPr>
                <w:rFonts w:hint="default" w:ascii="Times New Roman" w:hAnsi="Times New Roman" w:eastAsia="宋体" w:cs="Times New Roman"/>
                <w:snapToGrid w:val="0"/>
                <w:color w:val="auto"/>
                <w:kern w:val="2"/>
                <w:sz w:val="24"/>
                <w:szCs w:val="24"/>
                <w:highlight w:val="none"/>
                <w:lang w:val="en-US" w:eastAsia="zh-CN" w:bidi="ar-SA"/>
                <w14:ligatures w14:val="none"/>
              </w:rPr>
              <w:t>号</w:t>
            </w:r>
            <w:r>
              <w:rPr>
                <w:rFonts w:hint="eastAsia" w:cs="Times New Roman"/>
                <w:snapToGrid w:val="0"/>
                <w:color w:val="auto"/>
                <w:kern w:val="2"/>
                <w:sz w:val="24"/>
                <w:szCs w:val="24"/>
                <w:highlight w:val="none"/>
                <w:lang w:val="en-US" w:eastAsia="zh-CN" w:bidi="ar-SA"/>
                <w14:ligatures w14:val="none"/>
              </w:rPr>
              <w:t>）</w:t>
            </w:r>
          </w:p>
        </w:tc>
      </w:tr>
      <w:tr w14:paraId="00948C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2382" w:type="dxa"/>
            <w:gridSpan w:val="3"/>
            <w:vAlign w:val="center"/>
          </w:tcPr>
          <w:p w14:paraId="7669E277">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规划环境影响</w:t>
            </w:r>
          </w:p>
          <w:p w14:paraId="5D9EF46D">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评价情况</w:t>
            </w:r>
          </w:p>
        </w:tc>
        <w:tc>
          <w:tcPr>
            <w:tcW w:w="6488" w:type="dxa"/>
            <w:gridSpan w:val="3"/>
            <w:shd w:val="clear" w:color="auto" w:fill="auto"/>
            <w:vAlign w:val="center"/>
          </w:tcPr>
          <w:p w14:paraId="285EEDC2">
            <w:pPr>
              <w:pStyle w:val="59"/>
              <w:keepNext w:val="0"/>
              <w:keepLines w:val="0"/>
              <w:pageBreakBefore w:val="0"/>
              <w:widowControl/>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snapToGrid w:val="0"/>
                <w:color w:val="auto"/>
                <w:kern w:val="2"/>
                <w:sz w:val="24"/>
                <w:szCs w:val="24"/>
                <w:highlight w:val="none"/>
                <w:lang w:val="en-US" w:eastAsia="zh-CN" w:bidi="ar-SA"/>
                <w14:ligatures w14:val="none"/>
              </w:rPr>
            </w:pPr>
            <w:r>
              <w:rPr>
                <w:rFonts w:hint="eastAsia" w:cs="Times New Roman"/>
                <w:snapToGrid w:val="0"/>
                <w:color w:val="auto"/>
                <w:kern w:val="2"/>
                <w:sz w:val="24"/>
                <w:szCs w:val="24"/>
                <w:highlight w:val="none"/>
                <w:lang w:val="en-US" w:eastAsia="zh-CN" w:bidi="ar-SA"/>
                <w14:ligatures w14:val="none"/>
              </w:rPr>
              <w:t>无</w:t>
            </w:r>
          </w:p>
        </w:tc>
      </w:tr>
      <w:tr w14:paraId="0E6BA2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1274" w:type="dxa"/>
            <w:gridSpan w:val="2"/>
            <w:vAlign w:val="center"/>
          </w:tcPr>
          <w:p w14:paraId="16B5F93D">
            <w:pPr>
              <w:autoSpaceDE w:val="0"/>
              <w:autoSpaceDN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规划及规划环境</w:t>
            </w:r>
          </w:p>
          <w:p w14:paraId="1463D8D6">
            <w:pPr>
              <w:autoSpaceDE w:val="0"/>
              <w:autoSpaceDN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影响评价符合性分析</w:t>
            </w:r>
          </w:p>
        </w:tc>
        <w:tc>
          <w:tcPr>
            <w:tcW w:w="7596" w:type="dxa"/>
            <w:gridSpan w:val="4"/>
            <w:vAlign w:val="center"/>
          </w:tcPr>
          <w:p w14:paraId="786582E2">
            <w:pPr>
              <w:pStyle w:val="59"/>
              <w:keepNext w:val="0"/>
              <w:keepLines w:val="0"/>
              <w:pageBreakBefore w:val="0"/>
              <w:widowControl/>
              <w:kinsoku/>
              <w:wordWrap/>
              <w:overflowPunct/>
              <w:topLinePunct w:val="0"/>
              <w:autoSpaceDE/>
              <w:autoSpaceDN/>
              <w:bidi w:val="0"/>
              <w:adjustRightInd w:val="0"/>
              <w:snapToGrid w:val="0"/>
              <w:ind w:left="0" w:leftChars="0" w:firstLine="0" w:firstLineChars="0"/>
              <w:jc w:val="both"/>
              <w:textAlignment w:val="auto"/>
              <w:rPr>
                <w:rFonts w:hint="default" w:ascii="Times New Roman" w:hAnsi="Times New Roman" w:eastAsia="宋体" w:cs="Times New Roman"/>
                <w:highlight w:val="none"/>
                <w:lang w:val="en-US" w:eastAsia="zh-CN"/>
              </w:rPr>
            </w:pPr>
            <w:r>
              <w:rPr>
                <w:rFonts w:hint="eastAsia" w:cs="Times New Roman"/>
                <w:b/>
                <w:bCs/>
                <w:highlight w:val="none"/>
                <w:lang w:val="en-US" w:eastAsia="zh-CN"/>
              </w:rPr>
              <w:t>1.1</w:t>
            </w:r>
            <w:r>
              <w:rPr>
                <w:rFonts w:hint="default" w:ascii="Times New Roman" w:hAnsi="Times New Roman" w:eastAsia="宋体" w:cs="Times New Roman"/>
                <w:b/>
                <w:bCs/>
                <w:highlight w:val="none"/>
                <w:lang w:val="en-US" w:eastAsia="zh-CN"/>
              </w:rPr>
              <w:t>《若羌县国土空间总体规划（2021-2035年）》符合性分析</w:t>
            </w:r>
          </w:p>
          <w:p w14:paraId="51CC067C">
            <w:pPr>
              <w:pStyle w:val="7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highlight w:val="none"/>
              </w:rPr>
            </w:pPr>
            <w:r>
              <w:rPr>
                <w:rFonts w:hint="default" w:ascii="Times New Roman" w:hAnsi="Times New Roman"/>
                <w:sz w:val="21"/>
                <w:szCs w:val="21"/>
                <w:highlight w:val="none"/>
              </w:rPr>
              <w:t>表1    本项目与《若羌县国土空间总体规划（2021-2035年）》符合性一览表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601"/>
              <w:gridCol w:w="3950"/>
              <w:gridCol w:w="2181"/>
              <w:gridCol w:w="638"/>
            </w:tblGrid>
            <w:tr w14:paraId="0EEC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69" w:hRule="atLeast"/>
                <w:tblHeader/>
                <w:jc w:val="center"/>
              </w:trPr>
              <w:tc>
                <w:tcPr>
                  <w:tcW w:w="408" w:type="pct"/>
                  <w:tcBorders>
                    <w:tl2br w:val="nil"/>
                    <w:tr2bl w:val="nil"/>
                  </w:tcBorders>
                  <w:vAlign w:val="center"/>
                </w:tcPr>
                <w:p w14:paraId="1CE1E6DA">
                  <w:pPr>
                    <w:pStyle w:val="7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项目</w:t>
                  </w:r>
                </w:p>
              </w:tc>
              <w:tc>
                <w:tcPr>
                  <w:tcW w:w="2678" w:type="pct"/>
                  <w:tcBorders>
                    <w:tl2br w:val="nil"/>
                    <w:tr2bl w:val="nil"/>
                  </w:tcBorders>
                  <w:vAlign w:val="center"/>
                </w:tcPr>
                <w:p w14:paraId="1D592EEA">
                  <w:pPr>
                    <w:pStyle w:val="7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规范要求</w:t>
                  </w:r>
                </w:p>
              </w:tc>
              <w:tc>
                <w:tcPr>
                  <w:tcW w:w="1479" w:type="pct"/>
                  <w:tcBorders>
                    <w:tl2br w:val="nil"/>
                    <w:tr2bl w:val="nil"/>
                  </w:tcBorders>
                  <w:vAlign w:val="center"/>
                </w:tcPr>
                <w:p w14:paraId="1FBF3F68">
                  <w:pPr>
                    <w:pStyle w:val="7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项目建设条件</w:t>
                  </w:r>
                </w:p>
              </w:tc>
              <w:tc>
                <w:tcPr>
                  <w:tcW w:w="433" w:type="pct"/>
                  <w:tcBorders>
                    <w:tl2br w:val="nil"/>
                    <w:tr2bl w:val="nil"/>
                  </w:tcBorders>
                  <w:vAlign w:val="center"/>
                </w:tcPr>
                <w:p w14:paraId="6B133B9F">
                  <w:pPr>
                    <w:pStyle w:val="7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符合性</w:t>
                  </w:r>
                </w:p>
              </w:tc>
            </w:tr>
            <w:tr w14:paraId="430D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912" w:hRule="atLeast"/>
                <w:jc w:val="center"/>
              </w:trPr>
              <w:tc>
                <w:tcPr>
                  <w:tcW w:w="408" w:type="pct"/>
                  <w:tcBorders>
                    <w:tl2br w:val="nil"/>
                    <w:tr2bl w:val="nil"/>
                  </w:tcBorders>
                  <w:vAlign w:val="center"/>
                </w:tcPr>
                <w:p w14:paraId="5D7657E7">
                  <w:pPr>
                    <w:pStyle w:val="7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highlight w:val="none"/>
                    </w:rPr>
                  </w:pPr>
                  <w:r>
                    <w:rPr>
                      <w:rFonts w:ascii="Times New Roman" w:hAnsi="Times New Roman" w:cs="Times New Roman"/>
                      <w:sz w:val="21"/>
                      <w:szCs w:val="21"/>
                      <w:highlight w:val="none"/>
                    </w:rPr>
                    <w:t>规划范围</w:t>
                  </w:r>
                </w:p>
              </w:tc>
              <w:tc>
                <w:tcPr>
                  <w:tcW w:w="2678" w:type="pct"/>
                  <w:tcBorders>
                    <w:tl2br w:val="nil"/>
                    <w:tr2bl w:val="nil"/>
                  </w:tcBorders>
                  <w:vAlign w:val="center"/>
                </w:tcPr>
                <w:p w14:paraId="5BB70BA4">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规划包括县域和中心城区两个层次：</w:t>
                  </w:r>
                </w:p>
                <w:p w14:paraId="769BD2B5">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县域包括其中县域范围约15万平方公里（全域范围197763.10平方公里，不含军事管理区）包括下辖五镇三乡。</w:t>
                  </w:r>
                </w:p>
                <w:p w14:paraId="28F672A0">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中心城区“三区三线”划定的中心城区开发边界围合区域，重点细化土地使用、优化空间结构、完善功能布局等。</w:t>
                  </w:r>
                </w:p>
              </w:tc>
              <w:tc>
                <w:tcPr>
                  <w:tcW w:w="1479" w:type="pct"/>
                  <w:tcBorders>
                    <w:tl2br w:val="nil"/>
                    <w:tr2bl w:val="nil"/>
                  </w:tcBorders>
                  <w:vAlign w:val="center"/>
                </w:tcPr>
                <w:p w14:paraId="4E6437DD">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项目位于新疆维吾尔自治区巴音郭楞蒙古自治州若羌县以南直线距离85公里处，</w:t>
                  </w:r>
                  <w:r>
                    <w:rPr>
                      <w:rFonts w:hint="eastAsia" w:ascii="Times New Roman" w:hAnsi="Times New Roman" w:cs="Times New Roman"/>
                      <w:sz w:val="21"/>
                      <w:szCs w:val="21"/>
                      <w:highlight w:val="none"/>
                      <w:lang w:val="en-US" w:eastAsia="zh-CN"/>
                    </w:rPr>
                    <w:t>属于</w:t>
                  </w:r>
                  <w:r>
                    <w:rPr>
                      <w:rFonts w:hint="default" w:ascii="Times New Roman" w:hAnsi="Times New Roman" w:cs="Times New Roman"/>
                      <w:sz w:val="21"/>
                      <w:szCs w:val="21"/>
                      <w:highlight w:val="none"/>
                    </w:rPr>
                    <w:t>中心城区开发边界</w:t>
                  </w:r>
                  <w:r>
                    <w:rPr>
                      <w:rFonts w:hint="eastAsia"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val="en-US" w:eastAsia="zh-CN"/>
                    </w:rPr>
                    <w:t>根据国土空间规划图件，</w:t>
                  </w:r>
                  <w:r>
                    <w:rPr>
                      <w:rFonts w:hint="default" w:ascii="Times New Roman" w:hAnsi="Times New Roman" w:cs="Times New Roman"/>
                      <w:sz w:val="21"/>
                      <w:szCs w:val="21"/>
                      <w:highlight w:val="none"/>
                    </w:rPr>
                    <w:t>项目建设符合规划布局。</w:t>
                  </w:r>
                </w:p>
              </w:tc>
              <w:tc>
                <w:tcPr>
                  <w:tcW w:w="433" w:type="pct"/>
                  <w:tcBorders>
                    <w:tl2br w:val="nil"/>
                    <w:tr2bl w:val="nil"/>
                  </w:tcBorders>
                  <w:vAlign w:val="center"/>
                </w:tcPr>
                <w:p w14:paraId="6F1117E1">
                  <w:pPr>
                    <w:pStyle w:val="7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符合</w:t>
                  </w:r>
                </w:p>
              </w:tc>
            </w:tr>
            <w:tr w14:paraId="2B0F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69" w:hRule="atLeast"/>
                <w:jc w:val="center"/>
              </w:trPr>
              <w:tc>
                <w:tcPr>
                  <w:tcW w:w="408" w:type="pct"/>
                  <w:tcBorders>
                    <w:tl2br w:val="nil"/>
                    <w:tr2bl w:val="nil"/>
                  </w:tcBorders>
                  <w:vAlign w:val="center"/>
                </w:tcPr>
                <w:p w14:paraId="6FFA7AF8">
                  <w:pPr>
                    <w:pStyle w:val="7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highlight w:val="none"/>
                    </w:rPr>
                  </w:pPr>
                  <w:r>
                    <w:rPr>
                      <w:rFonts w:ascii="Times New Roman" w:hAnsi="Times New Roman" w:cs="Times New Roman"/>
                      <w:sz w:val="21"/>
                      <w:szCs w:val="21"/>
                      <w:highlight w:val="none"/>
                    </w:rPr>
                    <w:t>发展目标</w:t>
                  </w:r>
                </w:p>
              </w:tc>
              <w:tc>
                <w:tcPr>
                  <w:tcW w:w="2678" w:type="pct"/>
                  <w:tcBorders>
                    <w:tl2br w:val="nil"/>
                    <w:tr2bl w:val="nil"/>
                  </w:tcBorders>
                  <w:vAlign w:val="center"/>
                </w:tcPr>
                <w:p w14:paraId="2836E913">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全</w:t>
                  </w:r>
                  <w:r>
                    <w:rPr>
                      <w:rFonts w:hint="eastAsia" w:ascii="Times New Roman" w:hAnsi="Times New Roman" w:cs="Times New Roman"/>
                      <w:sz w:val="21"/>
                      <w:szCs w:val="21"/>
                      <w:highlight w:val="none"/>
                      <w:lang w:val="en-US" w:eastAsia="zh-CN"/>
                    </w:rPr>
                    <w:t>县</w:t>
                  </w:r>
                  <w:r>
                    <w:rPr>
                      <w:rFonts w:hint="default" w:ascii="Times New Roman" w:hAnsi="Times New Roman" w:cs="Times New Roman"/>
                      <w:sz w:val="21"/>
                      <w:szCs w:val="21"/>
                      <w:highlight w:val="none"/>
                    </w:rPr>
                    <w:t>国土保护与开发格局进一步优化，生态、农业功能区得到有效保护，人口和产业有序分布，县城枢纽经济得以发展。国土安全稳定，成为中巴经济</w:t>
                  </w:r>
                  <w:r>
                    <w:rPr>
                      <w:rFonts w:hint="eastAsia" w:ascii="Times New Roman" w:hAnsi="Times New Roman" w:cs="Times New Roman"/>
                      <w:sz w:val="21"/>
                      <w:szCs w:val="21"/>
                      <w:highlight w:val="none"/>
                      <w:lang w:val="en-US" w:eastAsia="zh-CN"/>
                    </w:rPr>
                    <w:t>走廊</w:t>
                  </w:r>
                  <w:r>
                    <w:rPr>
                      <w:rFonts w:hint="default" w:ascii="Times New Roman" w:hAnsi="Times New Roman" w:cs="Times New Roman"/>
                      <w:sz w:val="21"/>
                      <w:szCs w:val="21"/>
                      <w:highlight w:val="none"/>
                    </w:rPr>
                    <w:t>能源安全通道重要节点。</w:t>
                  </w:r>
                </w:p>
              </w:tc>
              <w:tc>
                <w:tcPr>
                  <w:tcW w:w="1479" w:type="pct"/>
                  <w:tcBorders>
                    <w:tl2br w:val="nil"/>
                    <w:tr2bl w:val="nil"/>
                  </w:tcBorders>
                  <w:vAlign w:val="center"/>
                </w:tcPr>
                <w:p w14:paraId="5C0CAFAE">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项目为</w:t>
                  </w:r>
                  <w:r>
                    <w:rPr>
                      <w:rFonts w:hint="eastAsia" w:cs="Times New Roman"/>
                      <w:color w:val="auto"/>
                      <w:sz w:val="21"/>
                      <w:szCs w:val="21"/>
                      <w:highlight w:val="none"/>
                      <w:lang w:val="en-US" w:eastAsia="zh-CN"/>
                    </w:rPr>
                    <w:t>危险品仓储</w:t>
                  </w:r>
                  <w:r>
                    <w:rPr>
                      <w:rFonts w:hint="default" w:ascii="Times New Roman" w:hAnsi="Times New Roman" w:cs="Times New Roman"/>
                      <w:sz w:val="21"/>
                      <w:szCs w:val="21"/>
                      <w:highlight w:val="none"/>
                    </w:rPr>
                    <w:t>，项目</w:t>
                  </w:r>
                  <w:r>
                    <w:rPr>
                      <w:rFonts w:hint="eastAsia" w:ascii="Times New Roman" w:hAnsi="Times New Roman" w:cs="Times New Roman"/>
                      <w:sz w:val="21"/>
                      <w:szCs w:val="21"/>
                      <w:highlight w:val="none"/>
                      <w:lang w:eastAsia="zh-CN"/>
                    </w:rPr>
                    <w:t>采</w:t>
                  </w:r>
                  <w:r>
                    <w:rPr>
                      <w:rFonts w:hint="default" w:ascii="Times New Roman" w:hAnsi="Times New Roman" w:cs="Times New Roman"/>
                      <w:sz w:val="21"/>
                      <w:szCs w:val="21"/>
                      <w:highlight w:val="none"/>
                    </w:rPr>
                    <w:t>取的环保措施能确保污染物对所在区域环境影响较小，符合规划发展目标。</w:t>
                  </w:r>
                </w:p>
              </w:tc>
              <w:tc>
                <w:tcPr>
                  <w:tcW w:w="433" w:type="pct"/>
                  <w:tcBorders>
                    <w:tl2br w:val="nil"/>
                    <w:tr2bl w:val="nil"/>
                  </w:tcBorders>
                  <w:vAlign w:val="center"/>
                </w:tcPr>
                <w:p w14:paraId="5B6C7188">
                  <w:pPr>
                    <w:pStyle w:val="7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符合</w:t>
                  </w:r>
                </w:p>
              </w:tc>
            </w:tr>
            <w:tr w14:paraId="1024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69" w:hRule="atLeast"/>
                <w:jc w:val="center"/>
              </w:trPr>
              <w:tc>
                <w:tcPr>
                  <w:tcW w:w="408" w:type="pct"/>
                  <w:tcBorders>
                    <w:tl2br w:val="nil"/>
                    <w:tr2bl w:val="nil"/>
                  </w:tcBorders>
                  <w:vAlign w:val="center"/>
                </w:tcPr>
                <w:p w14:paraId="6597E61A">
                  <w:pPr>
                    <w:pStyle w:val="7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highlight w:val="none"/>
                    </w:rPr>
                  </w:pPr>
                  <w:r>
                    <w:rPr>
                      <w:rFonts w:ascii="Times New Roman" w:hAnsi="Times New Roman" w:cs="Times New Roman"/>
                      <w:sz w:val="21"/>
                      <w:szCs w:val="21"/>
                      <w:highlight w:val="none"/>
                    </w:rPr>
                    <w:t>空间格局</w:t>
                  </w:r>
                </w:p>
              </w:tc>
              <w:tc>
                <w:tcPr>
                  <w:tcW w:w="2678" w:type="pct"/>
                  <w:tcBorders>
                    <w:tl2br w:val="nil"/>
                    <w:tr2bl w:val="nil"/>
                  </w:tcBorders>
                  <w:vAlign w:val="center"/>
                </w:tcPr>
                <w:p w14:paraId="45541404">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形成“1+1+2〞镇乡格局，绿洲集聚、外围特色发展：</w:t>
                  </w:r>
                </w:p>
                <w:p w14:paraId="0BB480FA">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绿洲集聚发展区：包含若羌镇、吾塔木乡、铁干里克镇、瓦石峡镇和米兰镇五个乡镇，承载若羌县综合服务、农业生产、物流集散等</w:t>
                  </w:r>
                  <w:r>
                    <w:rPr>
                      <w:rFonts w:hint="eastAsia" w:ascii="Times New Roman" w:hAnsi="Times New Roman" w:cs="Times New Roman"/>
                      <w:sz w:val="21"/>
                      <w:szCs w:val="21"/>
                      <w:highlight w:val="none"/>
                      <w:lang w:eastAsia="zh-CN"/>
                    </w:rPr>
                    <w:t>主要</w:t>
                  </w:r>
                  <w:r>
                    <w:rPr>
                      <w:rFonts w:hint="default" w:ascii="Times New Roman" w:hAnsi="Times New Roman" w:cs="Times New Roman"/>
                      <w:sz w:val="21"/>
                      <w:szCs w:val="21"/>
                      <w:highlight w:val="none"/>
                    </w:rPr>
                    <w:t>功能。</w:t>
                  </w:r>
                </w:p>
                <w:p w14:paraId="04A57020">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阿尔金特种旅游服务区：含依吞布拉克镇、铁木里克乡，依托交通、门户区位优势，毗邻自然保护区资源优势，</w:t>
                  </w:r>
                  <w:r>
                    <w:rPr>
                      <w:rFonts w:hint="eastAsia" w:ascii="Times New Roman" w:hAnsi="Times New Roman" w:cs="Times New Roman"/>
                      <w:sz w:val="21"/>
                      <w:szCs w:val="21"/>
                      <w:highlight w:val="none"/>
                      <w:lang w:eastAsia="zh-CN"/>
                    </w:rPr>
                    <w:t>承担</w:t>
                  </w:r>
                  <w:r>
                    <w:rPr>
                      <w:rFonts w:hint="default" w:ascii="Times New Roman" w:hAnsi="Times New Roman" w:cs="Times New Roman"/>
                      <w:sz w:val="21"/>
                      <w:szCs w:val="21"/>
                      <w:highlight w:val="none"/>
                    </w:rPr>
                    <w:t>进出疆铁路、公路交通服务与阿尔金山特色旅游服务功能。</w:t>
                  </w:r>
                </w:p>
                <w:p w14:paraId="07543C8A">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2个特色乡镇：延续现状钾盐产业发展，打造以钾盐产业为核心的罗布泊工业特色镇。发挥自然保护区的特色旅游资源优势，重点发展旅游服务业，保障农牧民的基本生活服务，打造阿尔金山特色旅游乡。</w:t>
                  </w:r>
                </w:p>
              </w:tc>
              <w:tc>
                <w:tcPr>
                  <w:tcW w:w="1479" w:type="pct"/>
                  <w:tcBorders>
                    <w:tl2br w:val="nil"/>
                    <w:tr2bl w:val="nil"/>
                  </w:tcBorders>
                  <w:vAlign w:val="center"/>
                </w:tcPr>
                <w:p w14:paraId="4B50C34B">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项目位于新疆维吾尔自治区巴音郭楞蒙古自治州若羌县以南直线距离85公里处，</w:t>
                  </w:r>
                  <w:r>
                    <w:rPr>
                      <w:rFonts w:ascii="Times New Roman" w:hAnsi="Times New Roman" w:cs="Times New Roman"/>
                      <w:sz w:val="21"/>
                      <w:szCs w:val="21"/>
                      <w:highlight w:val="none"/>
                    </w:rPr>
                    <w:t>属于</w:t>
                  </w:r>
                  <w:r>
                    <w:rPr>
                      <w:rFonts w:hint="default" w:ascii="Times New Roman" w:hAnsi="Times New Roman" w:cs="Times New Roman"/>
                      <w:sz w:val="21"/>
                      <w:szCs w:val="21"/>
                      <w:highlight w:val="none"/>
                    </w:rPr>
                    <w:t>绿洲集聚发展区</w:t>
                  </w:r>
                  <w:r>
                    <w:rPr>
                      <w:rFonts w:ascii="Times New Roman" w:hAnsi="Times New Roman" w:cs="Times New Roman"/>
                      <w:sz w:val="21"/>
                      <w:szCs w:val="21"/>
                      <w:highlight w:val="none"/>
                    </w:rPr>
                    <w:t>，</w:t>
                  </w:r>
                  <w:r>
                    <w:rPr>
                      <w:rFonts w:hint="default" w:ascii="Times New Roman" w:hAnsi="Times New Roman" w:cs="Times New Roman"/>
                      <w:sz w:val="21"/>
                      <w:szCs w:val="21"/>
                      <w:highlight w:val="none"/>
                    </w:rPr>
                    <w:t>项目建设符合规划空间布局。</w:t>
                  </w:r>
                </w:p>
              </w:tc>
              <w:tc>
                <w:tcPr>
                  <w:tcW w:w="433" w:type="pct"/>
                  <w:tcBorders>
                    <w:tl2br w:val="nil"/>
                    <w:tr2bl w:val="nil"/>
                  </w:tcBorders>
                  <w:vAlign w:val="center"/>
                </w:tcPr>
                <w:p w14:paraId="4AF0F99B">
                  <w:pPr>
                    <w:pStyle w:val="7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符合</w:t>
                  </w:r>
                </w:p>
              </w:tc>
            </w:tr>
            <w:tr w14:paraId="0140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69" w:hRule="atLeast"/>
                <w:jc w:val="center"/>
              </w:trPr>
              <w:tc>
                <w:tcPr>
                  <w:tcW w:w="408" w:type="pct"/>
                  <w:tcBorders>
                    <w:tl2br w:val="nil"/>
                    <w:tr2bl w:val="nil"/>
                  </w:tcBorders>
                  <w:vAlign w:val="center"/>
                </w:tcPr>
                <w:p w14:paraId="6DD3F5D1">
                  <w:pPr>
                    <w:pStyle w:val="7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highlight w:val="none"/>
                    </w:rPr>
                  </w:pPr>
                  <w:r>
                    <w:rPr>
                      <w:rFonts w:ascii="Times New Roman" w:hAnsi="Times New Roman" w:cs="Times New Roman"/>
                      <w:sz w:val="21"/>
                      <w:szCs w:val="21"/>
                      <w:highlight w:val="none"/>
                    </w:rPr>
                    <w:t>产业定位</w:t>
                  </w:r>
                </w:p>
              </w:tc>
              <w:tc>
                <w:tcPr>
                  <w:tcW w:w="2678" w:type="pct"/>
                  <w:tcBorders>
                    <w:tl2br w:val="nil"/>
                    <w:tr2bl w:val="nil"/>
                  </w:tcBorders>
                  <w:vAlign w:val="center"/>
                </w:tcPr>
                <w:p w14:paraId="3C97BA35">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区域服务中心</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rPr>
                    <w:t>若羌县城</w:t>
                  </w:r>
                </w:p>
                <w:p w14:paraId="2EA71F3A">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服务范围</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rPr>
                    <w:t>全县及绿洲集聚区县乡</w:t>
                  </w:r>
                </w:p>
                <w:p w14:paraId="0CDCE0F8">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服务人群</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绿洲集聚区常住居民、区域旅游人群</w:t>
                  </w:r>
                </w:p>
                <w:p w14:paraId="55E6AACC">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设施供给策略</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对既有设施提质升级，补足商业、医疗、旅游服务、文化体验设施</w:t>
                  </w:r>
                  <w:r>
                    <w:rPr>
                      <w:rFonts w:hint="eastAsia" w:ascii="Times New Roman" w:hAnsi="Times New Roman" w:cs="Times New Roman"/>
                      <w:sz w:val="21"/>
                      <w:szCs w:val="21"/>
                      <w:highlight w:val="none"/>
                      <w:lang w:eastAsia="zh-CN"/>
                    </w:rPr>
                    <w:t>等</w:t>
                  </w:r>
                  <w:r>
                    <w:rPr>
                      <w:rFonts w:hint="default" w:ascii="Times New Roman" w:hAnsi="Times New Roman" w:cs="Times New Roman"/>
                      <w:sz w:val="21"/>
                      <w:szCs w:val="21"/>
                      <w:highlight w:val="none"/>
                    </w:rPr>
                    <w:t>短板</w:t>
                  </w:r>
                </w:p>
              </w:tc>
              <w:tc>
                <w:tcPr>
                  <w:tcW w:w="1479" w:type="pct"/>
                  <w:tcBorders>
                    <w:tl2br w:val="nil"/>
                    <w:tr2bl w:val="nil"/>
                  </w:tcBorders>
                  <w:vAlign w:val="center"/>
                </w:tcPr>
                <w:p w14:paraId="29E017A3">
                  <w:pPr>
                    <w:pStyle w:val="7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项目位于新疆维吾尔自治区巴音郭楞蒙古自治州若羌县以南直线距离85公里处，项目为危险品仓储</w:t>
                  </w:r>
                  <w:r>
                    <w:rPr>
                      <w:rFonts w:ascii="Times New Roman" w:hAnsi="Times New Roman" w:cs="Times New Roman"/>
                      <w:sz w:val="21"/>
                      <w:szCs w:val="21"/>
                      <w:highlight w:val="none"/>
                    </w:rPr>
                    <w:t>，</w:t>
                  </w:r>
                  <w:r>
                    <w:rPr>
                      <w:rFonts w:hint="eastAsia" w:ascii="Times New Roman" w:hAnsi="Times New Roman" w:cs="Times New Roman"/>
                      <w:sz w:val="21"/>
                      <w:szCs w:val="21"/>
                      <w:highlight w:val="none"/>
                      <w:lang w:val="en-US" w:eastAsia="zh-CN"/>
                    </w:rPr>
                    <w:t>推进</w:t>
                  </w:r>
                  <w:r>
                    <w:rPr>
                      <w:rFonts w:hint="eastAsia" w:ascii="Times New Roman" w:hAnsi="Times New Roman" w:cs="Times New Roman"/>
                      <w:sz w:val="21"/>
                      <w:szCs w:val="21"/>
                      <w:highlight w:val="none"/>
                    </w:rPr>
                    <w:t>完善城乡公共服务体系</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rPr>
                    <w:t>符合规划</w:t>
                  </w:r>
                  <w:r>
                    <w:rPr>
                      <w:rFonts w:ascii="Times New Roman" w:hAnsi="Times New Roman" w:cs="Times New Roman"/>
                      <w:sz w:val="21"/>
                      <w:szCs w:val="21"/>
                      <w:highlight w:val="none"/>
                    </w:rPr>
                    <w:t>产业定位</w:t>
                  </w:r>
                  <w:r>
                    <w:rPr>
                      <w:rFonts w:hint="default" w:ascii="Times New Roman" w:hAnsi="Times New Roman" w:cs="Times New Roman"/>
                      <w:sz w:val="21"/>
                      <w:szCs w:val="21"/>
                      <w:highlight w:val="none"/>
                    </w:rPr>
                    <w:t>。</w:t>
                  </w:r>
                </w:p>
              </w:tc>
              <w:tc>
                <w:tcPr>
                  <w:tcW w:w="433" w:type="pct"/>
                  <w:tcBorders>
                    <w:tl2br w:val="nil"/>
                    <w:tr2bl w:val="nil"/>
                  </w:tcBorders>
                  <w:vAlign w:val="center"/>
                </w:tcPr>
                <w:p w14:paraId="3B2B3143">
                  <w:pPr>
                    <w:pStyle w:val="71"/>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符合</w:t>
                  </w:r>
                </w:p>
              </w:tc>
            </w:tr>
          </w:tbl>
          <w:p w14:paraId="29D7284F">
            <w:pPr>
              <w:pStyle w:val="59"/>
              <w:keepNext w:val="0"/>
              <w:keepLines w:val="0"/>
              <w:pageBreakBefore w:val="0"/>
              <w:widowControl/>
              <w:kinsoku/>
              <w:wordWrap/>
              <w:overflowPunct/>
              <w:topLinePunct w:val="0"/>
              <w:autoSpaceDE/>
              <w:autoSpaceDN/>
              <w:bidi w:val="0"/>
              <w:adjustRightInd w:val="0"/>
              <w:snapToGrid w:val="0"/>
              <w:ind w:left="0" w:leftChars="0" w:firstLine="480" w:firstLineChars="200"/>
              <w:jc w:val="both"/>
              <w:textAlignment w:val="auto"/>
              <w:rPr>
                <w:rFonts w:hint="default" w:eastAsia="宋体" w:cs="Times New Roman"/>
                <w:color w:val="auto"/>
                <w:highlight w:val="none"/>
                <w:lang w:val="en-US" w:eastAsia="zh-CN"/>
              </w:rPr>
            </w:pPr>
            <w:r>
              <w:rPr>
                <w:sz w:val="24"/>
                <w:highlight w:val="none"/>
              </w:rPr>
              <w:t>综上，项目</w:t>
            </w:r>
            <w:r>
              <w:rPr>
                <w:rFonts w:hint="eastAsia"/>
                <w:sz w:val="24"/>
                <w:highlight w:val="none"/>
                <w:lang w:val="en-US" w:eastAsia="zh-CN"/>
              </w:rPr>
              <w:t>属于</w:t>
            </w:r>
            <w:r>
              <w:rPr>
                <w:rFonts w:hint="eastAsia"/>
                <w:sz w:val="24"/>
                <w:highlight w:val="none"/>
              </w:rPr>
              <w:t>若羌县国土空间总体规划</w:t>
            </w:r>
            <w:r>
              <w:rPr>
                <w:rFonts w:hint="eastAsia"/>
                <w:sz w:val="24"/>
                <w:highlight w:val="none"/>
                <w:lang w:val="en-US" w:eastAsia="zh-CN"/>
              </w:rPr>
              <w:t>中的矿产能源发展区，为确保若羌羌河新材料有限公司及周边矿区民用爆炸物品保障需求</w:t>
            </w:r>
            <w:r>
              <w:rPr>
                <w:rFonts w:hint="eastAsia"/>
                <w:sz w:val="24"/>
                <w:highlight w:val="none"/>
                <w:lang w:eastAsia="zh-CN"/>
              </w:rPr>
              <w:t>，</w:t>
            </w:r>
            <w:r>
              <w:rPr>
                <w:sz w:val="24"/>
                <w:highlight w:val="none"/>
              </w:rPr>
              <w:t>符合</w:t>
            </w:r>
            <w:r>
              <w:rPr>
                <w:rFonts w:hint="eastAsia"/>
                <w:sz w:val="24"/>
                <w:highlight w:val="none"/>
              </w:rPr>
              <w:t>《若羌县国土空间总体规划（2021-2035年）》</w:t>
            </w:r>
            <w:r>
              <w:rPr>
                <w:sz w:val="24"/>
                <w:highlight w:val="none"/>
              </w:rPr>
              <w:t>相关内容</w:t>
            </w:r>
            <w:r>
              <w:rPr>
                <w:rFonts w:hint="eastAsia"/>
                <w:sz w:val="24"/>
                <w:highlight w:val="none"/>
                <w:lang w:eastAsia="zh-CN"/>
              </w:rPr>
              <w:t>，</w:t>
            </w:r>
            <w:r>
              <w:rPr>
                <w:rFonts w:hint="eastAsia"/>
                <w:sz w:val="24"/>
                <w:highlight w:val="none"/>
                <w:lang w:val="en-US" w:eastAsia="zh-CN"/>
              </w:rPr>
              <w:t>见附图5。</w:t>
            </w:r>
          </w:p>
        </w:tc>
      </w:tr>
      <w:tr w14:paraId="08A4A5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378" w:type="dxa"/>
            <w:vAlign w:val="center"/>
          </w:tcPr>
          <w:p w14:paraId="3B2D2657">
            <w:pPr>
              <w:autoSpaceDE w:val="0"/>
              <w:autoSpaceDN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其他符合性分析</w:t>
            </w:r>
          </w:p>
        </w:tc>
        <w:tc>
          <w:tcPr>
            <w:tcW w:w="8492" w:type="dxa"/>
            <w:gridSpan w:val="5"/>
            <w:vAlign w:val="center"/>
          </w:tcPr>
          <w:p w14:paraId="1A1AFB79">
            <w:pPr>
              <w:pStyle w:val="2"/>
              <w:keepLines w:val="0"/>
              <w:pageBreakBefore w:val="0"/>
              <w:widowControl w:val="0"/>
              <w:kinsoku/>
              <w:wordWrap/>
              <w:topLinePunct w:val="0"/>
              <w:bidi w:val="0"/>
              <w:adjustRightInd w:val="0"/>
              <w:snapToGrid w:val="0"/>
              <w:spacing w:line="5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项目产业政策符合性分析</w:t>
            </w:r>
          </w:p>
          <w:p w14:paraId="3B1259C2">
            <w:pPr>
              <w:keepLines w:val="0"/>
              <w:pageBreakBefore w:val="0"/>
              <w:widowControl w:val="0"/>
              <w:kinsoku/>
              <w:wordWrap/>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w:t>
            </w:r>
            <w:r>
              <w:rPr>
                <w:rFonts w:hint="eastAsia" w:cs="Times New Roman"/>
                <w:color w:val="auto"/>
                <w:sz w:val="24"/>
                <w:szCs w:val="24"/>
                <w:highlight w:val="none"/>
                <w:lang w:val="en-US" w:eastAsia="zh-CN"/>
              </w:rPr>
              <w:t>属于</w:t>
            </w:r>
            <w:r>
              <w:rPr>
                <w:rFonts w:hint="eastAsia" w:cs="Times New Roman"/>
                <w:color w:val="auto"/>
                <w:highlight w:val="none"/>
                <w:lang w:val="en-US" w:eastAsia="zh-CN"/>
              </w:rPr>
              <w:t>危险品仓储</w:t>
            </w:r>
            <w:r>
              <w:rPr>
                <w:rFonts w:hint="eastAsia" w:cs="Times New Roman"/>
                <w:color w:val="auto"/>
                <w:sz w:val="24"/>
                <w:szCs w:val="24"/>
                <w:highlight w:val="none"/>
                <w:lang w:val="en-US" w:eastAsia="zh-CN"/>
              </w:rPr>
              <w:t>，</w:t>
            </w:r>
            <w:r>
              <w:rPr>
                <w:snapToGrid w:val="0"/>
                <w:highlight w:val="none"/>
              </w:rPr>
              <w:t>根据</w:t>
            </w:r>
            <w:r>
              <w:rPr>
                <w:rFonts w:ascii="宋体" w:hAnsi="宋体"/>
                <w:color w:val="000000"/>
                <w:szCs w:val="22"/>
                <w:highlight w:val="none"/>
              </w:rPr>
              <w:t>《产业结构调整指导目录（</w:t>
            </w:r>
            <w:r>
              <w:rPr>
                <w:highlight w:val="none"/>
              </w:rPr>
              <w:t>20</w:t>
            </w:r>
            <w:r>
              <w:rPr>
                <w:rFonts w:hint="eastAsia"/>
                <w:highlight w:val="none"/>
                <w:lang w:val="en-US" w:eastAsia="zh-CN"/>
              </w:rPr>
              <w:t>24</w:t>
            </w:r>
            <w:r>
              <w:rPr>
                <w:highlight w:val="none"/>
              </w:rPr>
              <w:t>年</w:t>
            </w:r>
            <w:r>
              <w:rPr>
                <w:rFonts w:ascii="宋体" w:hAnsi="宋体"/>
                <w:color w:val="000000"/>
                <w:szCs w:val="22"/>
                <w:highlight w:val="none"/>
              </w:rPr>
              <w:t>本）》</w:t>
            </w:r>
            <w:r>
              <w:rPr>
                <w:snapToGrid w:val="0"/>
                <w:highlight w:val="none"/>
              </w:rPr>
              <w:t>，</w:t>
            </w:r>
            <w:r>
              <w:rPr>
                <w:rFonts w:hint="eastAsia"/>
                <w:snapToGrid w:val="0"/>
                <w:highlight w:val="none"/>
              </w:rPr>
              <w:t>不属于鼓励类、限制类、淘汰类项目，为允许类，因此本项目符合国家的产业政策。</w:t>
            </w:r>
          </w:p>
          <w:p w14:paraId="5CF2339B">
            <w:pPr>
              <w:keepLines w:val="0"/>
              <w:pageBreakBefore w:val="0"/>
              <w:widowControl w:val="0"/>
              <w:kinsoku/>
              <w:wordWrap/>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本项目不属于《市场准入负面清单（2025年版）》中禁止</w:t>
            </w:r>
            <w:r>
              <w:rPr>
                <w:rFonts w:hint="eastAsia" w:cs="Times New Roman"/>
                <w:color w:val="auto"/>
                <w:sz w:val="24"/>
                <w:szCs w:val="24"/>
                <w:highlight w:val="none"/>
                <w:lang w:eastAsia="zh-CN"/>
              </w:rPr>
              <w:t>准入</w:t>
            </w:r>
            <w:r>
              <w:rPr>
                <w:rFonts w:hint="default" w:ascii="Times New Roman" w:hAnsi="Times New Roman" w:eastAsia="宋体" w:cs="Times New Roman"/>
                <w:color w:val="auto"/>
                <w:sz w:val="24"/>
                <w:szCs w:val="24"/>
                <w:highlight w:val="none"/>
              </w:rPr>
              <w:t>类或特定条件的许可准入类的负面清单范围。</w:t>
            </w:r>
          </w:p>
          <w:p w14:paraId="78ABE6FA">
            <w:pPr>
              <w:keepLines w:val="0"/>
              <w:pageBreakBefore w:val="0"/>
              <w:widowControl w:val="0"/>
              <w:kinsoku/>
              <w:wordWrap/>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本项目已取得</w:t>
            </w:r>
            <w:r>
              <w:rPr>
                <w:rFonts w:hint="eastAsia" w:cs="Times New Roman"/>
                <w:color w:val="auto"/>
                <w:sz w:val="24"/>
                <w:szCs w:val="24"/>
                <w:highlight w:val="none"/>
                <w:lang w:val="en-US" w:eastAsia="zh-CN"/>
              </w:rPr>
              <w:t>若羌县</w:t>
            </w:r>
            <w:r>
              <w:rPr>
                <w:rFonts w:hint="default" w:ascii="Times New Roman" w:hAnsi="Times New Roman" w:eastAsia="宋体" w:cs="Times New Roman"/>
                <w:color w:val="auto"/>
                <w:sz w:val="24"/>
                <w:szCs w:val="24"/>
                <w:highlight w:val="none"/>
              </w:rPr>
              <w:t>发展和改革委员会</w:t>
            </w:r>
            <w:r>
              <w:rPr>
                <w:rFonts w:hint="eastAsia" w:cs="Times New Roman"/>
                <w:color w:val="auto"/>
                <w:sz w:val="24"/>
                <w:szCs w:val="24"/>
                <w:highlight w:val="none"/>
                <w:lang w:eastAsia="zh-CN"/>
              </w:rPr>
              <w:t>出具</w:t>
            </w:r>
            <w:r>
              <w:rPr>
                <w:rFonts w:hint="default" w:ascii="Times New Roman" w:hAnsi="Times New Roman" w:eastAsia="宋体" w:cs="Times New Roman"/>
                <w:color w:val="auto"/>
                <w:sz w:val="24"/>
                <w:szCs w:val="24"/>
                <w:highlight w:val="none"/>
              </w:rPr>
              <w:t>的</w:t>
            </w:r>
            <w:r>
              <w:rPr>
                <w:rFonts w:hint="eastAsia" w:cs="Times New Roman"/>
                <w:color w:val="auto"/>
                <w:sz w:val="24"/>
                <w:szCs w:val="24"/>
                <w:highlight w:val="none"/>
                <w:lang w:val="en-US" w:eastAsia="zh-CN"/>
              </w:rPr>
              <w:t>立项文件</w:t>
            </w:r>
            <w:r>
              <w:rPr>
                <w:rFonts w:hint="default" w:ascii="Times New Roman" w:hAnsi="Times New Roman" w:eastAsia="宋体" w:cs="Times New Roman"/>
                <w:color w:val="auto"/>
                <w:sz w:val="24"/>
                <w:szCs w:val="24"/>
                <w:highlight w:val="none"/>
              </w:rPr>
              <w:t>，备案证号：2409031610652800000083，项目代码：2408-652824-04-01-906271。</w:t>
            </w:r>
          </w:p>
          <w:p w14:paraId="44C0E9A9">
            <w:pPr>
              <w:keepLines w:val="0"/>
              <w:pageBreakBefore w:val="0"/>
              <w:widowControl w:val="0"/>
              <w:kinsoku/>
              <w:wordWrap/>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因此，本项目符合国家及地方相关产业政策。</w:t>
            </w:r>
          </w:p>
          <w:p w14:paraId="50F0D946">
            <w:pPr>
              <w:pStyle w:val="2"/>
              <w:keepNext/>
              <w:keepLines w:val="0"/>
              <w:pageBreakBefore w:val="0"/>
              <w:widowControl w:val="0"/>
              <w:kinsoku/>
              <w:wordWrap/>
              <w:overflowPunct w:val="0"/>
              <w:topLinePunct w:val="0"/>
              <w:autoSpaceDE/>
              <w:autoSpaceDN/>
              <w:bidi w:val="0"/>
              <w:adjustRightInd w:val="0"/>
              <w:snapToGrid w:val="0"/>
              <w:spacing w:line="5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选址合理性分析</w:t>
            </w:r>
          </w:p>
          <w:p w14:paraId="0C562BD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both"/>
              <w:textAlignment w:val="auto"/>
              <w:rPr>
                <w:rFonts w:hint="eastAsia"/>
                <w:color w:val="auto"/>
                <w:highlight w:val="none"/>
                <w:lang w:eastAsia="zh-CN"/>
              </w:rPr>
            </w:pPr>
            <w:r>
              <w:rPr>
                <w:rFonts w:hint="default" w:ascii="Times New Roman" w:hAnsi="Times New Roman" w:eastAsia="宋体" w:cs="Times New Roman"/>
                <w:color w:val="auto"/>
                <w:sz w:val="24"/>
                <w:szCs w:val="24"/>
                <w:highlight w:val="none"/>
              </w:rPr>
              <w:t>本项目位于</w:t>
            </w:r>
            <w:r>
              <w:rPr>
                <w:rFonts w:hint="default" w:ascii="Times New Roman" w:hAnsi="Times New Roman" w:eastAsia="宋体" w:cs="Times New Roman"/>
                <w:color w:val="auto"/>
                <w:highlight w:val="none"/>
                <w:lang w:val="en-US" w:eastAsia="zh-CN"/>
              </w:rPr>
              <w:t>新疆维吾尔自治区巴音郭楞蒙古自治州若羌县以南直线距离85公里处</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占地面积</w:t>
            </w:r>
            <w:r>
              <w:rPr>
                <w:rFonts w:hint="eastAsia" w:cs="Times New Roman"/>
                <w:color w:val="auto"/>
                <w:highlight w:val="none"/>
                <w:lang w:val="en-US" w:eastAsia="zh-CN"/>
              </w:rPr>
              <w:t>9339</w:t>
            </w:r>
            <w:r>
              <w:rPr>
                <w:rFonts w:hint="eastAsia"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vertAlign w:val="baseline"/>
                <w:lang w:val="en-US" w:eastAsia="zh-CN"/>
              </w:rPr>
              <w:t>。项目地理位置图见附图1</w:t>
            </w:r>
            <w:r>
              <w:rPr>
                <w:rFonts w:hint="eastAsia"/>
                <w:color w:val="auto"/>
                <w:highlight w:val="none"/>
                <w:lang w:eastAsia="zh-CN"/>
              </w:rPr>
              <w:t>，场区东、西、南三面被山体环绕，整体坐落于山间低洼地带，地形封闭性极强。该特殊地形为本项目危险品仓储安全提供了天然防护优势：本项目储存民用爆炸物品，属于易燃易爆高危品类，若库区突发爆炸、燃爆等安全事故，周边山体可形成天然物理屏障，能够有效阻挡爆炸冲击波、燃烧烟气、爆炸残渣向外扩散蔓延，大幅压缩事故影响范围，降低安全事故对场区外围区域的波及风险，从地形安全角度进一步提升了选址合理性。</w:t>
            </w:r>
          </w:p>
          <w:p w14:paraId="6C3D7C6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color w:val="auto"/>
                <w:highlight w:val="none"/>
                <w:lang w:val="en-US" w:eastAsia="zh-CN"/>
              </w:rPr>
            </w:pPr>
            <w:r>
              <w:rPr>
                <w:rFonts w:hint="eastAsia"/>
                <w:color w:val="auto"/>
                <w:highlight w:val="none"/>
                <w:lang w:val="en-US" w:eastAsia="zh-CN"/>
              </w:rPr>
              <w:t>本项目危险品仓库区危险等级为1.1级，</w:t>
            </w:r>
            <w:r>
              <w:rPr>
                <w:rFonts w:hint="eastAsia"/>
                <w:color w:val="auto"/>
                <w:highlight w:val="none"/>
                <w:lang w:eastAsia="zh-CN"/>
              </w:rPr>
              <w:t>根据《民用爆炸物品工程设计安全标准》（GB50089-2018）</w:t>
            </w:r>
            <w:r>
              <w:rPr>
                <w:rFonts w:hint="eastAsia"/>
                <w:color w:val="auto"/>
                <w:highlight w:val="none"/>
                <w:lang w:val="en-US" w:eastAsia="zh-CN"/>
              </w:rPr>
              <w:t>表4.3.2</w:t>
            </w:r>
            <w:r>
              <w:rPr>
                <w:rFonts w:hint="eastAsia"/>
                <w:color w:val="auto"/>
                <w:highlight w:val="none"/>
                <w:lang w:eastAsia="zh-CN"/>
              </w:rPr>
              <w:t>中</w:t>
            </w:r>
            <w:r>
              <w:rPr>
                <w:rFonts w:hint="eastAsia"/>
                <w:color w:val="auto"/>
                <w:highlight w:val="none"/>
                <w:lang w:val="en-US" w:eastAsia="zh-CN"/>
              </w:rPr>
              <w:t>危险品总仓库区1.1级仓库外部距离，“人数小于等于50人或户数小于等于10户的零散住户边缘、职工总数小于等于50人的企业围墙、本厂危险品生产区、加油站、功率小于1000kW的风力发电机组”和“单个仓库内计算药量（kg）29吨炸药库，3万发雷管库”，外部距离分别为720m和490m，综合项目情况取720m，项目位于若羌县山区周围人数小于50人，安全距离符合</w:t>
            </w:r>
            <w:r>
              <w:rPr>
                <w:rFonts w:hint="eastAsia"/>
                <w:color w:val="auto"/>
                <w:highlight w:val="none"/>
                <w:lang w:eastAsia="zh-CN"/>
              </w:rPr>
              <w:t>《民用爆炸物品工程设计安全标准》（GB50089-2018）。</w:t>
            </w:r>
          </w:p>
          <w:p w14:paraId="5614C27D">
            <w:pPr>
              <w:pStyle w:val="34"/>
              <w:keepNext w:val="0"/>
              <w:keepLines w:val="0"/>
              <w:pageBreakBefore w:val="0"/>
              <w:widowControl w:val="0"/>
              <w:kinsoku/>
              <w:wordWrap/>
              <w:overflowPunct/>
              <w:topLinePunct w:val="0"/>
              <w:autoSpaceDE/>
              <w:autoSpaceDN/>
              <w:bidi w:val="0"/>
              <w:adjustRightInd w:val="0"/>
              <w:snapToGrid w:val="0"/>
              <w:spacing w:line="500" w:lineRule="exact"/>
              <w:jc w:val="both"/>
              <w:textAlignment w:val="auto"/>
              <w:rPr>
                <w:rFonts w:hint="default"/>
                <w:highlight w:val="none"/>
                <w:lang w:val="en-US" w:eastAsia="zh-CN"/>
              </w:rPr>
            </w:pPr>
            <w:r>
              <w:rPr>
                <w:rFonts w:hint="default"/>
                <w:highlight w:val="none"/>
                <w:lang w:val="en-US" w:eastAsia="zh-CN"/>
              </w:rPr>
              <w:t>结合区域地质资料及现场实地踏勘，项目所在区域地质构造整体稳定，无活动性断裂带穿越场地。场地地层主要由戈壁砾石层、密实砂质土层构成，土层结构均匀、固结程度高，岩土体地基承载力良好，可完全满足炸药库、雷管库、消防水池、值班室等建构筑物的荷载要求。评价范围内未发现滑坡、崩塌、泥石流、岩溶、地面塌陷、软弱夹层等不良地质作用与地质灾害，场地整体地势平缓，地基条件简单可靠，无需开展特殊地基加固、支护等工程处理，工程建设地质条件优越，适宜本项目各类建（构）筑物落地建设。</w:t>
            </w:r>
          </w:p>
          <w:p w14:paraId="62A6D85C">
            <w:pPr>
              <w:pStyle w:val="34"/>
              <w:keepNext w:val="0"/>
              <w:keepLines w:val="0"/>
              <w:pageBreakBefore w:val="0"/>
              <w:widowControl w:val="0"/>
              <w:kinsoku/>
              <w:wordWrap/>
              <w:overflowPunct/>
              <w:topLinePunct w:val="0"/>
              <w:autoSpaceDE/>
              <w:autoSpaceDN/>
              <w:bidi w:val="0"/>
              <w:adjustRightInd w:val="0"/>
              <w:snapToGrid w:val="0"/>
              <w:spacing w:line="500" w:lineRule="exact"/>
              <w:jc w:val="both"/>
              <w:textAlignment w:val="auto"/>
              <w:rPr>
                <w:rFonts w:hint="default"/>
                <w:highlight w:val="none"/>
                <w:lang w:val="en-US" w:eastAsia="zh-CN"/>
              </w:rPr>
            </w:pPr>
            <w:r>
              <w:rPr>
                <w:rFonts w:hint="default"/>
                <w:highlight w:val="none"/>
                <w:lang w:val="en-US" w:eastAsia="zh-CN"/>
              </w:rPr>
              <w:t>项目地处西北内陆干旱区，区域气候干旱少雨、蒸发量极大，场区及周边无常年性河流、溪流、湖泊、引水沟渠等地表水体。场地虽处于低洼区域，但区域大气降水频次少、单次降雨量小，仅短时降雨会产生少量坡面汇水；项目同步配套修建场区环形排水渠、散水坡等排水设施，可快速疏导短时地表积水，不会出现积水浸泡库房、消防水池等设施的情况，地表水文条件对库区正常运行及安全防护无不利影响。</w:t>
            </w:r>
          </w:p>
          <w:p w14:paraId="22F178EB">
            <w:pPr>
              <w:pStyle w:val="32"/>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both"/>
              <w:textAlignment w:val="auto"/>
              <w:rPr>
                <w:rFonts w:hint="eastAsia"/>
                <w:b w:val="0"/>
                <w:bCs/>
                <w:highlight w:val="none"/>
                <w:lang w:val="en-US" w:eastAsia="zh-CN"/>
              </w:rPr>
            </w:pPr>
            <w:r>
              <w:rPr>
                <w:rFonts w:hint="eastAsia"/>
                <w:b w:val="0"/>
                <w:bCs/>
                <w:highlight w:val="none"/>
                <w:lang w:val="en-US" w:eastAsia="zh-CN"/>
              </w:rPr>
              <w:t>项目所在区域，</w:t>
            </w:r>
            <w:r>
              <w:rPr>
                <w:rFonts w:hint="default" w:ascii="Times New Roman" w:hAnsi="Times New Roman" w:eastAsia="宋体" w:cs="Times New Roman"/>
                <w:b w:val="0"/>
                <w:bCs w:val="0"/>
                <w:color w:val="auto"/>
                <w:sz w:val="24"/>
                <w:highlight w:val="none"/>
                <w:lang w:val="en-US" w:eastAsia="zh-CN"/>
              </w:rPr>
              <w:t>项目所在区域SO</w:t>
            </w:r>
            <w:r>
              <w:rPr>
                <w:rFonts w:hint="eastAsia" w:ascii="Times New Roman" w:hAnsi="Times New Roman" w:cs="Times New Roman"/>
                <w:b w:val="0"/>
                <w:bCs w:val="0"/>
                <w:color w:val="auto"/>
                <w:sz w:val="24"/>
                <w:highlight w:val="none"/>
                <w:vertAlign w:val="subscript"/>
                <w:lang w:val="en-US" w:eastAsia="zh-CN"/>
              </w:rPr>
              <w:t>2</w:t>
            </w:r>
            <w:r>
              <w:rPr>
                <w:rFonts w:hint="default" w:ascii="Times New Roman" w:hAnsi="Times New Roman" w:eastAsia="宋体" w:cs="Times New Roman"/>
                <w:b w:val="0"/>
                <w:bCs w:val="0"/>
                <w:color w:val="auto"/>
                <w:sz w:val="24"/>
                <w:highlight w:val="none"/>
                <w:lang w:val="en-US" w:eastAsia="zh-CN"/>
              </w:rPr>
              <w:t>、NO</w:t>
            </w:r>
            <w:r>
              <w:rPr>
                <w:rFonts w:hint="default" w:ascii="Times New Roman" w:hAnsi="Times New Roman" w:eastAsia="宋体" w:cs="Times New Roman"/>
                <w:b w:val="0"/>
                <w:bCs w:val="0"/>
                <w:color w:val="auto"/>
                <w:sz w:val="24"/>
                <w:highlight w:val="none"/>
                <w:vertAlign w:val="subscript"/>
                <w:lang w:val="en-US" w:eastAsia="zh-CN"/>
              </w:rPr>
              <w:t>2</w:t>
            </w:r>
            <w:r>
              <w:rPr>
                <w:rFonts w:hint="default" w:ascii="Times New Roman" w:hAnsi="Times New Roman" w:eastAsia="宋体" w:cs="Times New Roman"/>
                <w:b w:val="0"/>
                <w:bCs w:val="0"/>
                <w:color w:val="auto"/>
                <w:sz w:val="24"/>
                <w:highlight w:val="none"/>
                <w:lang w:val="en-US" w:eastAsia="zh-CN"/>
              </w:rPr>
              <w:t>年平均，CO第95百分位数24h平均，O</w:t>
            </w:r>
            <w:r>
              <w:rPr>
                <w:rFonts w:hint="default" w:ascii="Times New Roman" w:hAnsi="Times New Roman" w:eastAsia="宋体" w:cs="Times New Roman"/>
                <w:b w:val="0"/>
                <w:bCs w:val="0"/>
                <w:color w:val="auto"/>
                <w:sz w:val="24"/>
                <w:highlight w:val="none"/>
                <w:vertAlign w:val="subscript"/>
                <w:lang w:val="en-US" w:eastAsia="zh-CN"/>
              </w:rPr>
              <w:t>3</w:t>
            </w:r>
            <w:r>
              <w:rPr>
                <w:rFonts w:hint="default" w:ascii="Times New Roman" w:hAnsi="Times New Roman" w:eastAsia="宋体" w:cs="Times New Roman"/>
                <w:b w:val="0"/>
                <w:bCs w:val="0"/>
                <w:color w:val="auto"/>
                <w:sz w:val="24"/>
                <w:highlight w:val="none"/>
                <w:lang w:val="en-US" w:eastAsia="zh-CN"/>
              </w:rPr>
              <w:t>第90百分位数日最大8小时平均浓度均满足《环境空气质量标准》（GB3095-20</w:t>
            </w:r>
            <w:r>
              <w:rPr>
                <w:rFonts w:hint="eastAsia" w:hAnsi="Times New Roman" w:cs="Times New Roman"/>
                <w:b w:val="0"/>
                <w:bCs w:val="0"/>
                <w:color w:val="auto"/>
                <w:sz w:val="24"/>
                <w:highlight w:val="none"/>
                <w:lang w:val="en-US" w:eastAsia="zh-CN"/>
              </w:rPr>
              <w:t>26</w:t>
            </w:r>
            <w:r>
              <w:rPr>
                <w:rFonts w:hint="default" w:ascii="Times New Roman" w:hAnsi="Times New Roman" w:eastAsia="宋体" w:cs="Times New Roman"/>
                <w:b w:val="0"/>
                <w:bCs w:val="0"/>
                <w:color w:val="auto"/>
                <w:sz w:val="24"/>
                <w:highlight w:val="none"/>
                <w:lang w:val="en-US" w:eastAsia="zh-CN"/>
              </w:rPr>
              <w:t>）</w:t>
            </w:r>
            <w:r>
              <w:rPr>
                <w:rFonts w:hint="eastAsia" w:ascii="Times New Roman" w:hAnsi="Times New Roman" w:eastAsia="宋体" w:cs="Times New Roman"/>
                <w:b w:val="0"/>
                <w:bCs w:val="0"/>
                <w:color w:val="auto"/>
                <w:sz w:val="24"/>
                <w:highlight w:val="none"/>
                <w:lang w:val="en-US" w:eastAsia="zh-CN"/>
              </w:rPr>
              <w:t>中</w:t>
            </w:r>
            <w:r>
              <w:rPr>
                <w:rFonts w:hint="eastAsia"/>
                <w:b w:val="0"/>
                <w:bCs/>
                <w:highlight w:val="none"/>
              </w:rPr>
              <w:t>过渡阶段限值</w:t>
            </w:r>
            <w:r>
              <w:rPr>
                <w:rFonts w:hint="default" w:ascii="Times New Roman" w:hAnsi="Times New Roman" w:eastAsia="宋体" w:cs="Times New Roman"/>
                <w:b w:val="0"/>
                <w:bCs w:val="0"/>
                <w:color w:val="auto"/>
                <w:sz w:val="24"/>
                <w:highlight w:val="none"/>
                <w:lang w:val="en-US" w:eastAsia="zh-CN"/>
              </w:rPr>
              <w:t>二级标准要求；PM</w:t>
            </w:r>
            <w:r>
              <w:rPr>
                <w:rFonts w:hint="default" w:ascii="Times New Roman" w:hAnsi="Times New Roman" w:eastAsia="宋体" w:cs="Times New Roman"/>
                <w:b w:val="0"/>
                <w:bCs w:val="0"/>
                <w:color w:val="auto"/>
                <w:sz w:val="24"/>
                <w:highlight w:val="none"/>
                <w:vertAlign w:val="subscript"/>
                <w:lang w:val="en-US" w:eastAsia="zh-CN"/>
              </w:rPr>
              <w:t>10</w:t>
            </w:r>
            <w:r>
              <w:rPr>
                <w:rFonts w:hint="default" w:ascii="Times New Roman" w:hAnsi="Times New Roman" w:eastAsia="宋体" w:cs="Times New Roman"/>
                <w:b w:val="0"/>
                <w:bCs w:val="0"/>
                <w:color w:val="auto"/>
                <w:sz w:val="24"/>
                <w:highlight w:val="none"/>
                <w:lang w:val="en-US" w:eastAsia="zh-CN"/>
              </w:rPr>
              <w:t>、PM</w:t>
            </w:r>
            <w:r>
              <w:rPr>
                <w:rFonts w:hint="default" w:ascii="Times New Roman" w:hAnsi="Times New Roman" w:eastAsia="宋体" w:cs="Times New Roman"/>
                <w:b w:val="0"/>
                <w:bCs w:val="0"/>
                <w:color w:val="auto"/>
                <w:sz w:val="24"/>
                <w:highlight w:val="none"/>
                <w:vertAlign w:val="subscript"/>
                <w:lang w:val="en-US" w:eastAsia="zh-CN"/>
              </w:rPr>
              <w:t>2.5</w:t>
            </w:r>
            <w:r>
              <w:rPr>
                <w:rFonts w:hint="default" w:ascii="Times New Roman" w:hAnsi="Times New Roman" w:eastAsia="宋体" w:cs="Times New Roman"/>
                <w:b w:val="0"/>
                <w:bCs w:val="0"/>
                <w:color w:val="auto"/>
                <w:sz w:val="24"/>
                <w:highlight w:val="none"/>
                <w:lang w:val="en-US" w:eastAsia="zh-CN"/>
              </w:rPr>
              <w:t>年均值均超过《环境空气质量标准》（GB3095-20</w:t>
            </w:r>
            <w:r>
              <w:rPr>
                <w:rFonts w:hint="eastAsia" w:hAnsi="Times New Roman" w:cs="Times New Roman"/>
                <w:b w:val="0"/>
                <w:bCs w:val="0"/>
                <w:color w:val="auto"/>
                <w:sz w:val="24"/>
                <w:highlight w:val="none"/>
                <w:lang w:val="en-US" w:eastAsia="zh-CN"/>
              </w:rPr>
              <w:t>26</w:t>
            </w:r>
            <w:r>
              <w:rPr>
                <w:rFonts w:hint="default" w:ascii="Times New Roman" w:hAnsi="Times New Roman" w:eastAsia="宋体" w:cs="Times New Roman"/>
                <w:b w:val="0"/>
                <w:bCs w:val="0"/>
                <w:color w:val="auto"/>
                <w:sz w:val="24"/>
                <w:highlight w:val="none"/>
                <w:lang w:val="en-US" w:eastAsia="zh-CN"/>
              </w:rPr>
              <w:t>）</w:t>
            </w:r>
            <w:r>
              <w:rPr>
                <w:rFonts w:hint="eastAsia" w:ascii="Times New Roman" w:hAnsi="Times New Roman" w:eastAsia="宋体" w:cs="Times New Roman"/>
                <w:b w:val="0"/>
                <w:bCs w:val="0"/>
                <w:color w:val="auto"/>
                <w:sz w:val="24"/>
                <w:highlight w:val="none"/>
                <w:lang w:val="en-US" w:eastAsia="zh-CN"/>
              </w:rPr>
              <w:t>中</w:t>
            </w:r>
            <w:r>
              <w:rPr>
                <w:rFonts w:hint="eastAsia"/>
                <w:b w:val="0"/>
                <w:bCs/>
                <w:highlight w:val="none"/>
              </w:rPr>
              <w:t>过渡阶段限值</w:t>
            </w:r>
            <w:r>
              <w:rPr>
                <w:rFonts w:hint="default" w:ascii="Times New Roman" w:hAnsi="Times New Roman" w:eastAsia="宋体" w:cs="Times New Roman"/>
                <w:b w:val="0"/>
                <w:bCs w:val="0"/>
                <w:color w:val="auto"/>
                <w:sz w:val="24"/>
                <w:highlight w:val="none"/>
                <w:lang w:val="en-US" w:eastAsia="zh-CN"/>
              </w:rPr>
              <w:t>二级标准要求</w:t>
            </w:r>
            <w:r>
              <w:rPr>
                <w:rFonts w:hint="eastAsia"/>
                <w:b w:val="0"/>
                <w:bCs/>
                <w:highlight w:val="none"/>
                <w:lang w:val="en-US" w:eastAsia="zh-CN"/>
              </w:rPr>
              <w:t>，根据关于将巴音郭楞蒙古自治州吐鲁番市哈密市纳入执行《环境影响评价技术导则大气环境》（HJ2.2-2018）差别化政策范围的复函（环办环评函〔2020〕341号），本地区新建项目无需提供颗粒物区域削减方案；本项目运营期污染物产生量小、排放强度低，通过落实施工期扬尘管控、运营期车辆管理、食堂油烟净化、分区防渗、固废分类收集处置、噪声管控及环境风险防控等一系列成熟可行的环保与安全措施，可将各类污染物影响控制在最低水平。经现场核查，项目厂界外50m内无声环境保护目标，地表水、地下水评价范围内无敏感水体，土壤、生态无环境保护目标。项目评价范围内无周边无国家公园、自然保护区、饮用水水源保护区、水产种质资源保护区等国家级/自治区级环境敏感区，项目属于水土流失重点预防区，项目正常运营及事故状态下，均不会对周边各类环境保护目标造成不利影响。</w:t>
            </w:r>
          </w:p>
          <w:p w14:paraId="6B3E23B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default"/>
                <w:highlight w:val="none"/>
                <w:lang w:val="en-US"/>
              </w:rPr>
            </w:pPr>
            <w:r>
              <w:rPr>
                <w:rFonts w:hint="default"/>
                <w:highlight w:val="none"/>
                <w:lang w:val="en-US"/>
              </w:rPr>
              <w:t>本项目用地已取得若羌县自然资源局核发的《建设项目用地预审与选址意见书》（用字第652824202500044号），用地性质符合国土空间用途管制要求，不属于基本农田、生态保护红线、沙化土地封禁保护区等限制建设区域，用地合规且可长期稳定使用。基础设施方面，</w:t>
            </w:r>
            <w:r>
              <w:rPr>
                <w:rFonts w:hint="eastAsia"/>
                <w:highlight w:val="none"/>
                <w:lang w:val="en-US" w:eastAsia="zh-CN"/>
              </w:rPr>
              <w:t>仅设计生活用水</w:t>
            </w:r>
            <w:r>
              <w:rPr>
                <w:rFonts w:hint="default"/>
                <w:highlight w:val="none"/>
                <w:lang w:val="en-US"/>
              </w:rPr>
              <w:t>，从若羌县购买桶装水；项目食堂废水经隔油预处理后与生活污水经地埋式一体化污水处理设施处理达标；春夏秋季用于洒水降尘，冬季储存于水箱，次年回暖后回用</w:t>
            </w:r>
            <w:r>
              <w:rPr>
                <w:rFonts w:ascii="宋体" w:hAnsi="宋体" w:eastAsia="宋体" w:cs="宋体"/>
                <w:sz w:val="24"/>
                <w:szCs w:val="24"/>
                <w:highlight w:val="none"/>
              </w:rPr>
              <w:t>，</w:t>
            </w:r>
            <w:r>
              <w:rPr>
                <w:rFonts w:hint="default"/>
                <w:highlight w:val="none"/>
                <w:lang w:val="en-US"/>
              </w:rPr>
              <w:t>实现污水零外排，排水体系完备；供电可接入区域现有电网，同时配套备用供电设备，能够保障库房监控、周界报警、消防设施、值班室等设备24小时不间断运行，供电稳定可靠；依托现有矿区通行道路，路面条件可满足民用爆炸物品专用运输车辆通行，设置专用运输、巡检、应急通道，人车分流，交通条件可满足项目运营及应急抢险需求。</w:t>
            </w:r>
          </w:p>
          <w:p w14:paraId="2538995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highlight w:val="none"/>
              </w:rPr>
              <w:t>本项目选址符合《若羌县国土空间总体规划（2021-2035年）》相关要求</w:t>
            </w:r>
            <w:r>
              <w:rPr>
                <w:rFonts w:hint="eastAsia"/>
                <w:highlight w:val="none"/>
                <w:lang w:eastAsia="zh-CN"/>
              </w:rPr>
              <w:t>，</w:t>
            </w:r>
            <w:r>
              <w:rPr>
                <w:rFonts w:ascii="宋体" w:hAnsi="宋体" w:eastAsia="宋体" w:cs="宋体"/>
                <w:sz w:val="24"/>
                <w:szCs w:val="24"/>
                <w:highlight w:val="none"/>
              </w:rPr>
              <w:t>用地性质合规，供水、排水、供电、对外交通等基础设施配套完善，地形、地质、水文条件适宜危险品仓储项目建设；同时区域环境敏感度低，污染物可控、环境风险可防，因此本项目选址具备充分的可行性与合理性。</w:t>
            </w:r>
          </w:p>
          <w:p w14:paraId="146FEE04">
            <w:pPr>
              <w:pStyle w:val="3"/>
              <w:keepNext/>
              <w:keepLines/>
              <w:pageBreakBefore w:val="0"/>
              <w:widowControl w:val="0"/>
              <w:kinsoku/>
              <w:wordWrap/>
              <w:overflowPunct/>
              <w:topLinePunct w:val="0"/>
              <w:autoSpaceDE/>
              <w:autoSpaceDN/>
              <w:bidi w:val="0"/>
              <w:adjustRightInd w:val="0"/>
              <w:snapToGrid w:val="0"/>
              <w:spacing w:line="5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eastAsia" w:cs="Times New Roman"/>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与生态环境分区管控相符性分析</w:t>
            </w:r>
          </w:p>
          <w:p w14:paraId="14040B41">
            <w:pPr>
              <w:keepNext w:val="0"/>
              <w:keepLines w:val="0"/>
              <w:pageBreakBefore w:val="0"/>
              <w:widowControl w:val="0"/>
              <w:kinsoku/>
              <w:wordWrap/>
              <w:overflowPunct/>
              <w:topLinePunct w:val="0"/>
              <w:autoSpaceDE w:val="0"/>
              <w:autoSpaceDN w:val="0"/>
              <w:bidi w:val="0"/>
              <w:adjustRightInd w:val="0"/>
              <w:snapToGrid w:val="0"/>
              <w:spacing w:line="500" w:lineRule="exact"/>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rPr>
              <w:t>1.</w:t>
            </w:r>
            <w:r>
              <w:rPr>
                <w:rFonts w:hint="eastAsia"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val="en-US" w:eastAsia="zh-CN"/>
              </w:rPr>
              <w:t>1与《新疆维吾尔自治区生态环境分区管控动态更新成果》（新环环评发〔2024〕157号）符合性分析</w:t>
            </w:r>
          </w:p>
          <w:p w14:paraId="04D5D54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2024年11月，新疆维吾尔自治区生态环境厅发布了《关于印发&lt;新疆维吾尔自治区生态环境分区管控动态更新成果＞的通知》（新环环评发〔2024〕157号），</w:t>
            </w:r>
            <w:r>
              <w:rPr>
                <w:rFonts w:hint="eastAsia" w:cs="Times New Roman"/>
                <w:color w:val="auto"/>
                <w:sz w:val="24"/>
                <w:szCs w:val="24"/>
                <w:highlight w:val="none"/>
                <w:lang w:eastAsia="zh-CN"/>
              </w:rPr>
              <w:t>其</w:t>
            </w:r>
            <w:r>
              <w:rPr>
                <w:rFonts w:hint="default" w:ascii="Times New Roman" w:hAnsi="Times New Roman" w:eastAsia="宋体" w:cs="Times New Roman"/>
                <w:color w:val="auto"/>
                <w:sz w:val="24"/>
                <w:szCs w:val="24"/>
                <w:highlight w:val="none"/>
              </w:rPr>
              <w:t>符合性分析内容见表1.</w:t>
            </w:r>
            <w:r>
              <w:rPr>
                <w:rFonts w:hint="eastAsia"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-1。</w:t>
            </w:r>
          </w:p>
          <w:p w14:paraId="7A3093E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color w:val="auto"/>
                <w:highlight w:val="none"/>
              </w:rPr>
            </w:pPr>
            <w:r>
              <w:rPr>
                <w:rFonts w:hint="default" w:ascii="Times New Roman" w:hAnsi="Times New Roman" w:eastAsia="宋体" w:cs="Times New Roman"/>
                <w:b/>
                <w:bCs/>
                <w:color w:val="auto"/>
                <w:sz w:val="21"/>
                <w:szCs w:val="21"/>
                <w:highlight w:val="none"/>
                <w:lang w:val="en-US" w:eastAsia="zh-CN"/>
              </w:rPr>
              <w:t>表1</w:t>
            </w:r>
            <w:r>
              <w:rPr>
                <w:rFonts w:hint="eastAsia"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lang w:val="en-US" w:eastAsia="zh-CN"/>
              </w:rPr>
              <w:t>-</w:t>
            </w:r>
            <w:r>
              <w:rPr>
                <w:rFonts w:hint="eastAsia" w:ascii="Times New Roman" w:hAnsi="Times New Roman" w:eastAsia="宋体" w:cs="Times New Roman"/>
                <w:b/>
                <w:bCs/>
                <w:color w:val="auto"/>
                <w:sz w:val="21"/>
                <w:szCs w:val="21"/>
                <w:highlight w:val="none"/>
                <w:lang w:val="en-US" w:eastAsia="zh-CN"/>
              </w:rPr>
              <w:t xml:space="preserve">1 </w:t>
            </w:r>
            <w:r>
              <w:rPr>
                <w:rFonts w:hint="default" w:ascii="Times New Roman" w:hAnsi="Times New Roman" w:eastAsia="宋体" w:cs="Times New Roman"/>
                <w:b/>
                <w:bCs/>
                <w:color w:val="auto"/>
                <w:sz w:val="21"/>
                <w:szCs w:val="21"/>
                <w:highlight w:val="none"/>
                <w:lang w:val="en-US" w:eastAsia="zh-CN"/>
              </w:rPr>
              <w:t xml:space="preserve">  与《新疆维吾尔自治区生态环境分区管控动态更新成果》符合性分析</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01"/>
              <w:gridCol w:w="426"/>
              <w:gridCol w:w="516"/>
              <w:gridCol w:w="4136"/>
              <w:gridCol w:w="2209"/>
              <w:gridCol w:w="578"/>
              <w:tblGridChange w:id="0">
                <w:tblGrid>
                  <w:gridCol w:w="401"/>
                  <w:gridCol w:w="426"/>
                  <w:gridCol w:w="516"/>
                  <w:gridCol w:w="4136"/>
                  <w:gridCol w:w="2209"/>
                  <w:gridCol w:w="578"/>
                </w:tblGrid>
              </w:tblGridChange>
            </w:tblGrid>
            <w:tr w14:paraId="690A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42" w:type="pct"/>
                  <w:tcBorders>
                    <w:tl2br w:val="nil"/>
                    <w:tr2bl w:val="nil"/>
                  </w:tcBorders>
                  <w:noWrap w:val="0"/>
                  <w:vAlign w:val="center"/>
                </w:tcPr>
                <w:p w14:paraId="4B9C8E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名称</w:t>
                  </w:r>
                </w:p>
              </w:tc>
              <w:tc>
                <w:tcPr>
                  <w:tcW w:w="3071" w:type="pct"/>
                  <w:gridSpan w:val="3"/>
                  <w:tcBorders>
                    <w:tl2br w:val="nil"/>
                    <w:tr2bl w:val="nil"/>
                  </w:tcBorders>
                  <w:noWrap w:val="0"/>
                  <w:vAlign w:val="center"/>
                </w:tcPr>
                <w:p w14:paraId="74D20F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管控要求</w:t>
                  </w:r>
                </w:p>
              </w:tc>
              <w:tc>
                <w:tcPr>
                  <w:tcW w:w="1336" w:type="pct"/>
                  <w:tcBorders>
                    <w:tl2br w:val="nil"/>
                    <w:tr2bl w:val="nil"/>
                  </w:tcBorders>
                  <w:noWrap w:val="0"/>
                  <w:vAlign w:val="center"/>
                </w:tcPr>
                <w:p w14:paraId="2EBD57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拟建工程</w:t>
                  </w:r>
                </w:p>
              </w:tc>
              <w:tc>
                <w:tcPr>
                  <w:tcW w:w="349" w:type="pct"/>
                  <w:tcBorders>
                    <w:tl2br w:val="nil"/>
                    <w:tr2bl w:val="nil"/>
                  </w:tcBorders>
                  <w:noWrap w:val="0"/>
                  <w:vAlign w:val="center"/>
                </w:tcPr>
                <w:p w14:paraId="5D50EE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符合性</w:t>
                  </w:r>
                </w:p>
              </w:tc>
            </w:tr>
            <w:tr w14:paraId="6D41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42" w:type="pct"/>
                  <w:vMerge w:val="restart"/>
                  <w:tcBorders>
                    <w:tl2br w:val="nil"/>
                    <w:tr2bl w:val="nil"/>
                  </w:tcBorders>
                  <w:noWrap w:val="0"/>
                  <w:vAlign w:val="center"/>
                </w:tcPr>
                <w:p w14:paraId="0308F0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新疆维吾尔自治区总体管控要求</w:t>
                  </w:r>
                </w:p>
                <w:p w14:paraId="12AF46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257" w:type="pct"/>
                  <w:vMerge w:val="restart"/>
                  <w:tcBorders>
                    <w:tl2br w:val="nil"/>
                    <w:tr2bl w:val="nil"/>
                  </w:tcBorders>
                  <w:noWrap w:val="0"/>
                  <w:vAlign w:val="center"/>
                </w:tcPr>
                <w:p w14:paraId="50DC9A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A1空间布局约束</w:t>
                  </w:r>
                </w:p>
              </w:tc>
              <w:tc>
                <w:tcPr>
                  <w:tcW w:w="312" w:type="pct"/>
                  <w:vMerge w:val="restart"/>
                  <w:tcBorders>
                    <w:tl2br w:val="nil"/>
                    <w:tr2bl w:val="nil"/>
                  </w:tcBorders>
                  <w:noWrap w:val="0"/>
                  <w:vAlign w:val="center"/>
                </w:tcPr>
                <w:p w14:paraId="689C5F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A1.1禁止开发建设的活动</w:t>
                  </w:r>
                </w:p>
              </w:tc>
              <w:tc>
                <w:tcPr>
                  <w:tcW w:w="2501" w:type="pct"/>
                  <w:tcBorders>
                    <w:tl2br w:val="nil"/>
                    <w:tr2bl w:val="nil"/>
                  </w:tcBorders>
                  <w:noWrap w:val="0"/>
                  <w:vAlign w:val="center"/>
                </w:tcPr>
                <w:p w14:paraId="3A37760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【A1.1-1】禁止新建、扩建《产业结构调整指导目录</w:t>
                  </w:r>
                  <w:r>
                    <w:rPr>
                      <w:rFonts w:hint="default" w:ascii="Times New Roman" w:hAnsi="Times New Roman" w:eastAsia="宋体" w:cs="Times New Roman"/>
                      <w:color w:val="auto"/>
                      <w:sz w:val="21"/>
                      <w:szCs w:val="21"/>
                      <w:highlight w:val="none"/>
                      <w:lang w:val="en-US" w:eastAsia="zh-CN"/>
                    </w:rPr>
                    <w:t>（2024年本）</w:t>
                  </w:r>
                  <w:r>
                    <w:rPr>
                      <w:rFonts w:hint="default" w:ascii="Times New Roman" w:hAnsi="Times New Roman" w:eastAsia="宋体" w:cs="Times New Roman"/>
                      <w:color w:val="auto"/>
                      <w:sz w:val="21"/>
                      <w:szCs w:val="21"/>
                      <w:highlight w:val="none"/>
                    </w:rPr>
                    <w:t>》中淘汰类项目。禁止引入《市场准入负面清单</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202</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年版</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》禁止准入类事项。</w:t>
                  </w:r>
                </w:p>
              </w:tc>
              <w:tc>
                <w:tcPr>
                  <w:tcW w:w="1336" w:type="pct"/>
                  <w:tcBorders>
                    <w:tl2br w:val="nil"/>
                    <w:tr2bl w:val="nil"/>
                  </w:tcBorders>
                  <w:noWrap w:val="0"/>
                  <w:vAlign w:val="center"/>
                </w:tcPr>
                <w:p w14:paraId="3143420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本项目</w:t>
                  </w:r>
                  <w:r>
                    <w:rPr>
                      <w:rFonts w:hint="eastAsia" w:cs="Times New Roman"/>
                      <w:color w:val="auto"/>
                      <w:sz w:val="21"/>
                      <w:szCs w:val="21"/>
                      <w:highlight w:val="none"/>
                      <w:lang w:val="en-US" w:eastAsia="zh-CN"/>
                    </w:rPr>
                    <w:t>为危险品仓储</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根据</w:t>
                  </w:r>
                  <w:r>
                    <w:rPr>
                      <w:rFonts w:hint="default" w:ascii="Times New Roman" w:hAnsi="Times New Roman" w:eastAsia="宋体" w:cs="Times New Roman"/>
                      <w:color w:val="auto"/>
                      <w:sz w:val="21"/>
                      <w:szCs w:val="21"/>
                      <w:highlight w:val="none"/>
                      <w:lang w:val="en-US" w:eastAsia="zh-CN"/>
                    </w:rPr>
                    <w:t>《产业结构调整指导目录（2024年本）》不属于鼓励类、限制类、淘汰类项目，为允许类</w:t>
                  </w:r>
                  <w:r>
                    <w:rPr>
                      <w:rFonts w:hint="default" w:ascii="Times New Roman" w:hAnsi="Times New Roman" w:eastAsia="宋体" w:cs="Times New Roman"/>
                      <w:color w:val="auto"/>
                      <w:sz w:val="21"/>
                      <w:szCs w:val="21"/>
                      <w:highlight w:val="none"/>
                    </w:rPr>
                    <w:t>，符合国家当前产业政策要求；不属于《市场准入负面清单</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202</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年版</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中禁止准入类项目</w:t>
                  </w:r>
                  <w:r>
                    <w:rPr>
                      <w:rFonts w:hint="default" w:ascii="Times New Roman" w:hAnsi="Times New Roman" w:eastAsia="宋体" w:cs="Times New Roman"/>
                      <w:color w:val="auto"/>
                      <w:sz w:val="21"/>
                      <w:szCs w:val="21"/>
                      <w:highlight w:val="none"/>
                      <w:lang w:eastAsia="zh-CN"/>
                    </w:rPr>
                    <w:t>。</w:t>
                  </w:r>
                </w:p>
              </w:tc>
              <w:tc>
                <w:tcPr>
                  <w:tcW w:w="349" w:type="pct"/>
                  <w:tcBorders>
                    <w:tl2br w:val="nil"/>
                    <w:tr2bl w:val="nil"/>
                  </w:tcBorders>
                  <w:noWrap w:val="0"/>
                  <w:vAlign w:val="center"/>
                </w:tcPr>
                <w:p w14:paraId="03F10E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36EA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42" w:type="pct"/>
                  <w:vMerge w:val="continue"/>
                  <w:tcBorders>
                    <w:tl2br w:val="nil"/>
                    <w:tr2bl w:val="nil"/>
                  </w:tcBorders>
                  <w:noWrap w:val="0"/>
                  <w:vAlign w:val="center"/>
                </w:tcPr>
                <w:p w14:paraId="5E4E73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257" w:type="pct"/>
                  <w:vMerge w:val="continue"/>
                  <w:tcBorders>
                    <w:tl2br w:val="nil"/>
                    <w:tr2bl w:val="nil"/>
                  </w:tcBorders>
                  <w:noWrap w:val="0"/>
                  <w:vAlign w:val="center"/>
                </w:tcPr>
                <w:p w14:paraId="720F43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312" w:type="pct"/>
                  <w:vMerge w:val="continue"/>
                  <w:tcBorders>
                    <w:tl2br w:val="nil"/>
                    <w:tr2bl w:val="nil"/>
                  </w:tcBorders>
                  <w:noWrap w:val="0"/>
                  <w:vAlign w:val="center"/>
                </w:tcPr>
                <w:p w14:paraId="7AA14A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2501" w:type="pct"/>
                  <w:tcBorders>
                    <w:tl2br w:val="nil"/>
                    <w:tr2bl w:val="nil"/>
                  </w:tcBorders>
                  <w:noWrap w:val="0"/>
                  <w:vAlign w:val="center"/>
                </w:tcPr>
                <w:p w14:paraId="652E504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【A1.1-2】禁止建设不符合国家和自治区环境保护标准的项目。</w:t>
                  </w:r>
                </w:p>
              </w:tc>
              <w:tc>
                <w:tcPr>
                  <w:tcW w:w="1336" w:type="pct"/>
                  <w:tcBorders>
                    <w:tl2br w:val="nil"/>
                    <w:tr2bl w:val="nil"/>
                  </w:tcBorders>
                  <w:noWrap w:val="0"/>
                  <w:vAlign w:val="center"/>
                </w:tcPr>
                <w:p w14:paraId="0C76DF4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本项目</w:t>
                  </w:r>
                  <w:r>
                    <w:rPr>
                      <w:rFonts w:hint="default" w:ascii="Times New Roman" w:hAnsi="Times New Roman" w:eastAsia="宋体" w:cs="Times New Roman"/>
                      <w:color w:val="auto"/>
                      <w:sz w:val="21"/>
                      <w:szCs w:val="21"/>
                      <w:highlight w:val="none"/>
                    </w:rPr>
                    <w:t>执行标准符合国家和自治区环境保护标准</w:t>
                  </w:r>
                  <w:r>
                    <w:rPr>
                      <w:rFonts w:hint="default" w:ascii="Times New Roman" w:hAnsi="Times New Roman" w:eastAsia="宋体" w:cs="Times New Roman"/>
                      <w:color w:val="auto"/>
                      <w:sz w:val="21"/>
                      <w:szCs w:val="21"/>
                      <w:highlight w:val="none"/>
                      <w:lang w:eastAsia="zh-CN"/>
                    </w:rPr>
                    <w:t>。</w:t>
                  </w:r>
                </w:p>
              </w:tc>
              <w:tc>
                <w:tcPr>
                  <w:tcW w:w="349" w:type="pct"/>
                  <w:tcBorders>
                    <w:tl2br w:val="nil"/>
                    <w:tr2bl w:val="nil"/>
                  </w:tcBorders>
                  <w:noWrap w:val="0"/>
                  <w:vAlign w:val="center"/>
                </w:tcPr>
                <w:p w14:paraId="71D0F4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10E8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1" w:author="艾菲姂" w:date="2026-06-04T21:34: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blPrExChange>
              </w:tblPrEx>
              <w:trPr>
                <w:trHeight w:val="90" w:hRule="atLeast"/>
                <w:jc w:val="center"/>
                <w:trPrChange w:id="1" w:author="艾菲姂" w:date="2026-06-04T21:34:41Z">
                  <w:trPr>
                    <w:trHeight w:val="454" w:hRule="atLeast"/>
                    <w:jc w:val="center"/>
                  </w:trPr>
                </w:trPrChange>
              </w:trPr>
              <w:tc>
                <w:tcPr>
                  <w:tcW w:w="242" w:type="pct"/>
                  <w:vMerge w:val="continue"/>
                  <w:tcBorders>
                    <w:tl2br w:val="nil"/>
                    <w:tr2bl w:val="nil"/>
                  </w:tcBorders>
                  <w:noWrap w:val="0"/>
                  <w:vAlign w:val="center"/>
                  <w:tcPrChange w:id="2" w:author="艾菲姂" w:date="2026-06-04T21:34:41Z">
                    <w:tcPr>
                      <w:tcW w:w="242" w:type="pct"/>
                      <w:vMerge w:val="continue"/>
                      <w:tcBorders>
                        <w:tl2br w:val="nil"/>
                        <w:tr2bl w:val="nil"/>
                      </w:tcBorders>
                      <w:noWrap w:val="0"/>
                      <w:vAlign w:val="center"/>
                    </w:tcPr>
                  </w:tcPrChange>
                </w:tcPr>
                <w:p w14:paraId="25D0C4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257" w:type="pct"/>
                  <w:vMerge w:val="continue"/>
                  <w:tcBorders>
                    <w:tl2br w:val="nil"/>
                    <w:tr2bl w:val="nil"/>
                  </w:tcBorders>
                  <w:noWrap w:val="0"/>
                  <w:vAlign w:val="center"/>
                  <w:tcPrChange w:id="3" w:author="艾菲姂" w:date="2026-06-04T21:34:41Z">
                    <w:tcPr>
                      <w:tcW w:w="257" w:type="pct"/>
                      <w:vMerge w:val="continue"/>
                      <w:tcBorders>
                        <w:tl2br w:val="nil"/>
                        <w:tr2bl w:val="nil"/>
                      </w:tcBorders>
                      <w:noWrap w:val="0"/>
                      <w:vAlign w:val="center"/>
                    </w:tcPr>
                  </w:tcPrChange>
                </w:tcPr>
                <w:p w14:paraId="37BF1D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312" w:type="pct"/>
                  <w:vMerge w:val="continue"/>
                  <w:tcBorders>
                    <w:tl2br w:val="nil"/>
                    <w:tr2bl w:val="nil"/>
                  </w:tcBorders>
                  <w:noWrap w:val="0"/>
                  <w:vAlign w:val="center"/>
                  <w:tcPrChange w:id="4" w:author="艾菲姂" w:date="2026-06-04T21:34:41Z">
                    <w:tcPr>
                      <w:tcW w:w="312" w:type="pct"/>
                      <w:vMerge w:val="continue"/>
                      <w:tcBorders>
                        <w:tl2br w:val="nil"/>
                        <w:tr2bl w:val="nil"/>
                      </w:tcBorders>
                      <w:noWrap w:val="0"/>
                      <w:vAlign w:val="center"/>
                    </w:tcPr>
                  </w:tcPrChange>
                </w:tcPr>
                <w:p w14:paraId="442945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2501" w:type="pct"/>
                  <w:tcBorders>
                    <w:tl2br w:val="nil"/>
                    <w:tr2bl w:val="nil"/>
                  </w:tcBorders>
                  <w:noWrap w:val="0"/>
                  <w:vAlign w:val="center"/>
                  <w:tcPrChange w:id="5" w:author="艾菲姂" w:date="2026-06-04T21:34:41Z">
                    <w:tcPr>
                      <w:tcW w:w="2501" w:type="pct"/>
                      <w:tcBorders>
                        <w:tl2br w:val="nil"/>
                        <w:tr2bl w:val="nil"/>
                      </w:tcBorders>
                      <w:noWrap w:val="0"/>
                      <w:vAlign w:val="center"/>
                    </w:tcPr>
                  </w:tcPrChange>
                </w:tcPr>
                <w:p w14:paraId="2B7D981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【A1.2-2】建设项目用地原则上不得占用永久基本农田，确需占用永久基本农田的建设项目须符合《中华人民共和国基本农田保护条例》中相关要求，占用耕地、林地或</w:t>
                  </w:r>
                  <w:r>
                    <w:rPr>
                      <w:rFonts w:hint="default" w:ascii="Times New Roman" w:hAnsi="Times New Roman" w:eastAsia="宋体" w:cs="Times New Roman"/>
                      <w:color w:val="auto"/>
                      <w:sz w:val="21"/>
                      <w:szCs w:val="21"/>
                      <w:highlight w:val="none"/>
                      <w:lang w:eastAsia="zh-CN"/>
                    </w:rPr>
                    <w:t>天然牧草地</w:t>
                  </w:r>
                  <w:r>
                    <w:rPr>
                      <w:rFonts w:hint="default" w:ascii="Times New Roman" w:hAnsi="Times New Roman" w:eastAsia="宋体" w:cs="Times New Roman"/>
                      <w:color w:val="auto"/>
                      <w:sz w:val="21"/>
                      <w:szCs w:val="21"/>
                      <w:highlight w:val="none"/>
                    </w:rPr>
                    <w:t>的建设项目须按照国家、自治区相关补偿要求进行补偿。</w:t>
                  </w:r>
                </w:p>
              </w:tc>
              <w:tc>
                <w:tcPr>
                  <w:tcW w:w="1336" w:type="pct"/>
                  <w:tcBorders>
                    <w:tl2br w:val="nil"/>
                    <w:tr2bl w:val="nil"/>
                  </w:tcBorders>
                  <w:noWrap w:val="0"/>
                  <w:vAlign w:val="center"/>
                  <w:tcPrChange w:id="6" w:author="艾菲姂" w:date="2026-06-04T21:34:41Z">
                    <w:tcPr>
                      <w:tcW w:w="1336" w:type="pct"/>
                      <w:tcBorders>
                        <w:tl2br w:val="nil"/>
                        <w:tr2bl w:val="nil"/>
                      </w:tcBorders>
                      <w:noWrap w:val="0"/>
                      <w:vAlign w:val="center"/>
                    </w:tcPr>
                  </w:tcPrChange>
                </w:tcPr>
                <w:p w14:paraId="1A746BB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r>
                    <w:rPr>
                      <w:rFonts w:hint="eastAsia" w:cs="Times New Roman"/>
                      <w:color w:val="auto"/>
                      <w:sz w:val="21"/>
                      <w:szCs w:val="21"/>
                      <w:highlight w:val="none"/>
                      <w:lang w:val="en-US" w:eastAsia="zh-CN"/>
                    </w:rPr>
                    <w:t>位于新疆维吾尔自治区巴音郭楞蒙古自治州若羌县以南直线距离85公里处，本项目规划用地为裸岩石砾地，</w:t>
                  </w:r>
                  <w:r>
                    <w:rPr>
                      <w:rFonts w:hint="default" w:ascii="Times New Roman" w:hAnsi="Times New Roman" w:eastAsia="宋体" w:cs="Times New Roman"/>
                      <w:color w:val="auto"/>
                      <w:sz w:val="21"/>
                      <w:szCs w:val="21"/>
                      <w:highlight w:val="none"/>
                    </w:rPr>
                    <w:t>不占用</w:t>
                  </w:r>
                  <w:r>
                    <w:rPr>
                      <w:rFonts w:hint="default" w:ascii="Times New Roman" w:hAnsi="Times New Roman" w:eastAsia="宋体" w:cs="Times New Roman"/>
                      <w:color w:val="auto"/>
                      <w:sz w:val="21"/>
                      <w:szCs w:val="21"/>
                      <w:highlight w:val="none"/>
                      <w:lang w:val="en-US" w:eastAsia="zh-CN"/>
                    </w:rPr>
                    <w:t>永久</w:t>
                  </w:r>
                  <w:r>
                    <w:rPr>
                      <w:rFonts w:hint="default" w:ascii="Times New Roman" w:hAnsi="Times New Roman" w:eastAsia="宋体" w:cs="Times New Roman"/>
                      <w:color w:val="auto"/>
                      <w:sz w:val="21"/>
                      <w:szCs w:val="21"/>
                      <w:highlight w:val="none"/>
                    </w:rPr>
                    <w:t>基本农田</w:t>
                  </w:r>
                  <w:r>
                    <w:rPr>
                      <w:rFonts w:hint="default" w:ascii="Times New Roman" w:hAnsi="Times New Roman" w:eastAsia="宋体" w:cs="Times New Roman"/>
                      <w:color w:val="auto"/>
                      <w:sz w:val="21"/>
                      <w:szCs w:val="21"/>
                      <w:highlight w:val="none"/>
                      <w:lang w:eastAsia="zh-CN"/>
                    </w:rPr>
                    <w:t>。</w:t>
                  </w:r>
                </w:p>
              </w:tc>
              <w:tc>
                <w:tcPr>
                  <w:tcW w:w="349" w:type="pct"/>
                  <w:tcBorders>
                    <w:tl2br w:val="nil"/>
                    <w:tr2bl w:val="nil"/>
                  </w:tcBorders>
                  <w:noWrap w:val="0"/>
                  <w:vAlign w:val="center"/>
                  <w:tcPrChange w:id="7" w:author="艾菲姂" w:date="2026-06-04T21:34:41Z">
                    <w:tcPr>
                      <w:tcW w:w="349" w:type="pct"/>
                      <w:tcBorders>
                        <w:tl2br w:val="nil"/>
                        <w:tr2bl w:val="nil"/>
                      </w:tcBorders>
                      <w:noWrap w:val="0"/>
                      <w:vAlign w:val="center"/>
                    </w:tcPr>
                  </w:tcPrChange>
                </w:tcPr>
                <w:p w14:paraId="2C21AD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19BA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42" w:type="pct"/>
                  <w:vMerge w:val="continue"/>
                  <w:tcBorders>
                    <w:tl2br w:val="nil"/>
                    <w:tr2bl w:val="nil"/>
                  </w:tcBorders>
                  <w:noWrap w:val="0"/>
                  <w:vAlign w:val="center"/>
                </w:tcPr>
                <w:p w14:paraId="64C799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257" w:type="pct"/>
                  <w:vMerge w:val="continue"/>
                  <w:tcBorders>
                    <w:tl2br w:val="nil"/>
                    <w:tr2bl w:val="nil"/>
                  </w:tcBorders>
                  <w:noWrap w:val="0"/>
                  <w:vAlign w:val="center"/>
                </w:tcPr>
                <w:p w14:paraId="39DAFE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312" w:type="pct"/>
                  <w:tcBorders>
                    <w:tl2br w:val="nil"/>
                    <w:tr2bl w:val="nil"/>
                  </w:tcBorders>
                  <w:noWrap w:val="0"/>
                  <w:vAlign w:val="center"/>
                </w:tcPr>
                <w:p w14:paraId="6C12D8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A1.4</w:t>
                  </w:r>
                  <w:r>
                    <w:rPr>
                      <w:rFonts w:hint="default" w:ascii="Times New Roman" w:hAnsi="Times New Roman" w:eastAsia="宋体" w:cs="Times New Roman"/>
                      <w:color w:val="auto"/>
                      <w:sz w:val="21"/>
                      <w:szCs w:val="21"/>
                      <w:highlight w:val="none"/>
                      <w:lang w:eastAsia="zh-CN"/>
                    </w:rPr>
                    <w:t>其他</w:t>
                  </w:r>
                  <w:r>
                    <w:rPr>
                      <w:rFonts w:hint="default" w:ascii="Times New Roman" w:hAnsi="Times New Roman" w:eastAsia="宋体" w:cs="Times New Roman"/>
                      <w:color w:val="auto"/>
                      <w:sz w:val="21"/>
                      <w:szCs w:val="21"/>
                      <w:highlight w:val="none"/>
                    </w:rPr>
                    <w:t>布局要求</w:t>
                  </w:r>
                </w:p>
              </w:tc>
              <w:tc>
                <w:tcPr>
                  <w:tcW w:w="2501" w:type="pct"/>
                  <w:tcBorders>
                    <w:tl2br w:val="nil"/>
                    <w:tr2bl w:val="nil"/>
                  </w:tcBorders>
                  <w:noWrap w:val="0"/>
                  <w:vAlign w:val="center"/>
                </w:tcPr>
                <w:p w14:paraId="49344EC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【A1.4-1】一切开发建设活动应符合国家、自治区主体功能区规划自治区和各地颁布实施的生态环境功能</w:t>
                  </w:r>
                  <w:r>
                    <w:rPr>
                      <w:rFonts w:hint="default" w:ascii="Times New Roman" w:hAnsi="Times New Roman" w:eastAsia="宋体" w:cs="Times New Roman"/>
                      <w:color w:val="auto"/>
                      <w:sz w:val="21"/>
                      <w:szCs w:val="21"/>
                      <w:highlight w:val="none"/>
                      <w:lang w:val="en-US" w:eastAsia="zh-CN"/>
                    </w:rPr>
                    <w:t>规</w:t>
                  </w:r>
                  <w:r>
                    <w:rPr>
                      <w:rFonts w:hint="default" w:ascii="Times New Roman" w:hAnsi="Times New Roman" w:eastAsia="宋体" w:cs="Times New Roman"/>
                      <w:color w:val="auto"/>
                      <w:sz w:val="21"/>
                      <w:szCs w:val="21"/>
                      <w:highlight w:val="none"/>
                    </w:rPr>
                    <w:t>划、国民经济发展规划、产业发展规划、国土空间规划等相关规划及重点生态功能区负面清单要求，符合区域或产业规划环评要求。</w:t>
                  </w:r>
                </w:p>
              </w:tc>
              <w:tc>
                <w:tcPr>
                  <w:tcW w:w="1336" w:type="pct"/>
                  <w:tcBorders>
                    <w:tl2br w:val="nil"/>
                    <w:tr2bl w:val="nil"/>
                  </w:tcBorders>
                  <w:noWrap w:val="0"/>
                  <w:vAlign w:val="center"/>
                </w:tcPr>
                <w:p w14:paraId="6216336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r>
                    <w:rPr>
                      <w:rFonts w:hint="eastAsia" w:cs="Times New Roman"/>
                      <w:color w:val="auto"/>
                      <w:sz w:val="21"/>
                      <w:szCs w:val="21"/>
                      <w:highlight w:val="none"/>
                      <w:lang w:val="en-US" w:eastAsia="zh-CN"/>
                    </w:rPr>
                    <w:t>为危险品仓储</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snapToGrid w:val="0"/>
                      <w:color w:val="auto"/>
                      <w:kern w:val="0"/>
                      <w:sz w:val="21"/>
                      <w:szCs w:val="21"/>
                      <w:highlight w:val="none"/>
                      <w:lang w:val="en-US" w:eastAsia="zh-CN" w:bidi="ar-SA"/>
                      <w14:ligatures w14:val="none"/>
                    </w:rPr>
                    <w:t>为确保若羌羌河新材料有限公司及周边矿区民用爆炸物品保障需求</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符合若羌</w:t>
                  </w:r>
                  <w:r>
                    <w:rPr>
                      <w:rFonts w:hint="default" w:ascii="Times New Roman" w:hAnsi="Times New Roman" w:eastAsia="宋体" w:cs="Times New Roman"/>
                      <w:color w:val="auto"/>
                      <w:sz w:val="21"/>
                      <w:szCs w:val="21"/>
                      <w:highlight w:val="none"/>
                    </w:rPr>
                    <w:t>县国土空间总体规划</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生态环境分区管控要求</w:t>
                  </w:r>
                  <w:r>
                    <w:rPr>
                      <w:rFonts w:hint="default" w:ascii="Times New Roman" w:hAnsi="Times New Roman" w:eastAsia="宋体" w:cs="Times New Roman"/>
                      <w:color w:val="auto"/>
                      <w:sz w:val="21"/>
                      <w:szCs w:val="21"/>
                      <w:highlight w:val="none"/>
                      <w:lang w:val="en-US" w:eastAsia="zh-CN"/>
                    </w:rPr>
                    <w:t>。</w:t>
                  </w:r>
                </w:p>
              </w:tc>
              <w:tc>
                <w:tcPr>
                  <w:tcW w:w="349" w:type="pct"/>
                  <w:tcBorders>
                    <w:tl2br w:val="nil"/>
                    <w:tr2bl w:val="nil"/>
                  </w:tcBorders>
                  <w:noWrap w:val="0"/>
                  <w:vAlign w:val="center"/>
                </w:tcPr>
                <w:p w14:paraId="1EA936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C79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42" w:type="pct"/>
                  <w:vMerge w:val="continue"/>
                  <w:tcBorders>
                    <w:tl2br w:val="nil"/>
                    <w:tr2bl w:val="nil"/>
                  </w:tcBorders>
                  <w:noWrap w:val="0"/>
                  <w:vAlign w:val="center"/>
                </w:tcPr>
                <w:p w14:paraId="5E067B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257" w:type="pct"/>
                  <w:tcBorders>
                    <w:tl2br w:val="nil"/>
                    <w:tr2bl w:val="nil"/>
                  </w:tcBorders>
                  <w:noWrap w:val="0"/>
                  <w:vAlign w:val="center"/>
                </w:tcPr>
                <w:p w14:paraId="41700E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A2污染物排放管控</w:t>
                  </w:r>
                </w:p>
              </w:tc>
              <w:tc>
                <w:tcPr>
                  <w:tcW w:w="312" w:type="pct"/>
                  <w:tcBorders>
                    <w:tl2br w:val="nil"/>
                    <w:tr2bl w:val="nil"/>
                  </w:tcBorders>
                  <w:noWrap w:val="0"/>
                  <w:vAlign w:val="center"/>
                </w:tcPr>
                <w:p w14:paraId="5B004D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A2.1污染物削减/替代要求</w:t>
                  </w:r>
                </w:p>
              </w:tc>
              <w:tc>
                <w:tcPr>
                  <w:tcW w:w="2501" w:type="pct"/>
                  <w:tcBorders>
                    <w:tl2br w:val="nil"/>
                    <w:tr2bl w:val="nil"/>
                  </w:tcBorders>
                  <w:noWrap w:val="0"/>
                  <w:vAlign w:val="center"/>
                </w:tcPr>
                <w:p w14:paraId="23269DB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【A2.1-1】新、改、扩建重点行业建设项目应符合</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三线一单</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、产业政策、区域环评、规划环评和行业环境准入管控要求。重点区域的新、改、扩建重点行业建设项目应遵循重点重金属污染物排放</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减量替代</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原则。</w:t>
                  </w:r>
                </w:p>
              </w:tc>
              <w:tc>
                <w:tcPr>
                  <w:tcW w:w="1336" w:type="pct"/>
                  <w:tcBorders>
                    <w:tl2br w:val="nil"/>
                    <w:tr2bl w:val="nil"/>
                  </w:tcBorders>
                  <w:noWrap w:val="0"/>
                  <w:vAlign w:val="center"/>
                </w:tcPr>
                <w:p w14:paraId="578EEF1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本项目为新建项目，已取得立项文件，符合产业政</w:t>
                  </w:r>
                  <w:r>
                    <w:rPr>
                      <w:rFonts w:hint="eastAsia" w:cs="Times New Roman"/>
                      <w:color w:val="auto"/>
                      <w:sz w:val="21"/>
                      <w:szCs w:val="21"/>
                      <w:highlight w:val="none"/>
                      <w:lang w:val="en-US" w:eastAsia="zh-CN"/>
                    </w:rPr>
                    <w:t>策</w:t>
                  </w:r>
                  <w:r>
                    <w:rPr>
                      <w:rFonts w:hint="default" w:ascii="Times New Roman" w:hAnsi="Times New Roman" w:eastAsia="宋体" w:cs="Times New Roman"/>
                      <w:color w:val="auto"/>
                      <w:sz w:val="21"/>
                      <w:szCs w:val="21"/>
                      <w:highlight w:val="none"/>
                    </w:rPr>
                    <w:t>、</w:t>
                  </w:r>
                  <w:r>
                    <w:rPr>
                      <w:rFonts w:hint="eastAsia" w:cs="Times New Roman"/>
                      <w:color w:val="auto"/>
                      <w:sz w:val="21"/>
                      <w:szCs w:val="21"/>
                      <w:highlight w:val="none"/>
                      <w:lang w:val="en-US" w:eastAsia="zh-CN"/>
                    </w:rPr>
                    <w:t>生态环境分区</w:t>
                  </w:r>
                  <w:r>
                    <w:rPr>
                      <w:rFonts w:hint="default" w:ascii="Times New Roman" w:hAnsi="Times New Roman" w:eastAsia="宋体" w:cs="Times New Roman"/>
                      <w:color w:val="auto"/>
                      <w:sz w:val="21"/>
                      <w:szCs w:val="21"/>
                      <w:highlight w:val="none"/>
                      <w:lang w:val="en-US" w:eastAsia="zh-CN"/>
                    </w:rPr>
                    <w:t>管控要求；本项目</w:t>
                  </w:r>
                  <w:r>
                    <w:rPr>
                      <w:rFonts w:hint="default" w:ascii="Times New Roman" w:hAnsi="Times New Roman" w:eastAsia="宋体" w:cs="Times New Roman"/>
                      <w:color w:val="auto"/>
                      <w:sz w:val="21"/>
                      <w:szCs w:val="21"/>
                      <w:highlight w:val="none"/>
                    </w:rPr>
                    <w:t>不属于重点行业建设项目</w:t>
                  </w:r>
                  <w:r>
                    <w:rPr>
                      <w:rFonts w:hint="default" w:ascii="Times New Roman" w:hAnsi="Times New Roman" w:eastAsia="宋体" w:cs="Times New Roman"/>
                      <w:color w:val="auto"/>
                      <w:sz w:val="21"/>
                      <w:szCs w:val="21"/>
                      <w:highlight w:val="none"/>
                      <w:lang w:eastAsia="zh-CN"/>
                    </w:rPr>
                    <w:t>。</w:t>
                  </w:r>
                </w:p>
              </w:tc>
              <w:tc>
                <w:tcPr>
                  <w:tcW w:w="349" w:type="pct"/>
                  <w:tcBorders>
                    <w:tl2br w:val="nil"/>
                    <w:tr2bl w:val="nil"/>
                  </w:tcBorders>
                  <w:noWrap w:val="0"/>
                  <w:vAlign w:val="center"/>
                </w:tcPr>
                <w:p w14:paraId="4BD7D8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5D24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42" w:type="pct"/>
                  <w:vMerge w:val="continue"/>
                  <w:tcBorders>
                    <w:tl2br w:val="nil"/>
                    <w:tr2bl w:val="nil"/>
                  </w:tcBorders>
                  <w:noWrap w:val="0"/>
                  <w:vAlign w:val="center"/>
                </w:tcPr>
                <w:p w14:paraId="1C7898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257" w:type="pct"/>
                  <w:tcBorders>
                    <w:tl2br w:val="nil"/>
                    <w:tr2bl w:val="nil"/>
                  </w:tcBorders>
                  <w:noWrap w:val="0"/>
                  <w:vAlign w:val="center"/>
                </w:tcPr>
                <w:p w14:paraId="4733B3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A3环境风险防控</w:t>
                  </w:r>
                </w:p>
              </w:tc>
              <w:tc>
                <w:tcPr>
                  <w:tcW w:w="312" w:type="pct"/>
                  <w:tcBorders>
                    <w:tl2br w:val="nil"/>
                    <w:tr2bl w:val="nil"/>
                  </w:tcBorders>
                  <w:noWrap w:val="0"/>
                  <w:vAlign w:val="center"/>
                </w:tcPr>
                <w:p w14:paraId="777C17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A3.2</w:t>
                  </w:r>
                </w:p>
                <w:p w14:paraId="703D8D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联防联控要求</w:t>
                  </w:r>
                </w:p>
              </w:tc>
              <w:tc>
                <w:tcPr>
                  <w:tcW w:w="2501" w:type="pct"/>
                  <w:tcBorders>
                    <w:tl2br w:val="nil"/>
                    <w:tr2bl w:val="nil"/>
                  </w:tcBorders>
                  <w:shd w:val="clear" w:color="auto" w:fill="auto"/>
                  <w:noWrap w:val="0"/>
                  <w:vAlign w:val="center"/>
                </w:tcPr>
                <w:p w14:paraId="0C67A55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336" w:type="pct"/>
                  <w:tcBorders>
                    <w:tl2br w:val="nil"/>
                    <w:tr2bl w:val="nil"/>
                  </w:tcBorders>
                  <w:shd w:val="clear" w:color="auto" w:fill="auto"/>
                  <w:noWrap w:val="0"/>
                  <w:vAlign w:val="center"/>
                </w:tcPr>
                <w:p w14:paraId="3C6C99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val="en-US" w:eastAsia="zh-CN"/>
                    </w:rPr>
                    <w:t>本项目</w:t>
                  </w:r>
                  <w:r>
                    <w:rPr>
                      <w:rFonts w:hint="eastAsia" w:cs="Times New Roman"/>
                      <w:color w:val="auto"/>
                      <w:sz w:val="21"/>
                      <w:szCs w:val="21"/>
                      <w:highlight w:val="none"/>
                      <w:lang w:val="en-US" w:eastAsia="zh-CN"/>
                    </w:rPr>
                    <w:t>为危险品仓储</w:t>
                  </w:r>
                  <w:r>
                    <w:rPr>
                      <w:rFonts w:hint="default" w:ascii="Times New Roman" w:hAnsi="Times New Roman" w:eastAsia="宋体" w:cs="Times New Roman"/>
                      <w:color w:val="auto"/>
                      <w:sz w:val="21"/>
                      <w:szCs w:val="21"/>
                      <w:highlight w:val="none"/>
                      <w:lang w:val="en-US" w:eastAsia="zh-CN"/>
                    </w:rPr>
                    <w:t>，不</w:t>
                  </w:r>
                  <w:r>
                    <w:rPr>
                      <w:rFonts w:hint="eastAsia" w:cs="Times New Roman"/>
                      <w:color w:val="auto"/>
                      <w:sz w:val="21"/>
                      <w:szCs w:val="21"/>
                      <w:highlight w:val="none"/>
                      <w:lang w:val="en-US" w:eastAsia="zh-CN"/>
                    </w:rPr>
                    <w:t>属于</w:t>
                  </w:r>
                  <w:r>
                    <w:rPr>
                      <w:rFonts w:hint="default" w:ascii="Times New Roman" w:hAnsi="Times New Roman" w:eastAsia="宋体" w:cs="Times New Roman"/>
                      <w:color w:val="auto"/>
                      <w:sz w:val="21"/>
                      <w:szCs w:val="21"/>
                      <w:highlight w:val="none"/>
                      <w:lang w:val="en-US" w:eastAsia="zh-CN"/>
                    </w:rPr>
                    <w:t>涉危险废物企业、涉重金属企业、化工园区等重点行业，项目建成后配备消防栓、灭火器</w:t>
                  </w:r>
                  <w:r>
                    <w:rPr>
                      <w:rFonts w:hint="eastAsia" w:cs="Times New Roman"/>
                      <w:color w:val="auto"/>
                      <w:sz w:val="21"/>
                      <w:szCs w:val="21"/>
                      <w:highlight w:val="none"/>
                      <w:lang w:val="en-US" w:eastAsia="zh-CN"/>
                    </w:rPr>
                    <w:t>等设施</w:t>
                  </w:r>
                  <w:r>
                    <w:rPr>
                      <w:rFonts w:hint="default" w:ascii="Times New Roman" w:hAnsi="Times New Roman" w:eastAsia="宋体" w:cs="Times New Roman"/>
                      <w:color w:val="auto"/>
                      <w:sz w:val="21"/>
                      <w:szCs w:val="21"/>
                      <w:highlight w:val="none"/>
                      <w:lang w:val="en-US" w:eastAsia="zh-CN"/>
                    </w:rPr>
                    <w:t>预防火灾发生</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配合各县市应急响应，符合环境风险防控要求。</w:t>
                  </w:r>
                </w:p>
              </w:tc>
              <w:tc>
                <w:tcPr>
                  <w:tcW w:w="349" w:type="pct"/>
                  <w:tcBorders>
                    <w:tl2br w:val="nil"/>
                    <w:tr2bl w:val="nil"/>
                  </w:tcBorders>
                  <w:noWrap w:val="0"/>
                  <w:vAlign w:val="center"/>
                </w:tcPr>
                <w:p w14:paraId="2E119D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16D8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42" w:type="pct"/>
                  <w:vMerge w:val="continue"/>
                  <w:tcBorders>
                    <w:tl2br w:val="nil"/>
                    <w:tr2bl w:val="nil"/>
                  </w:tcBorders>
                  <w:noWrap w:val="0"/>
                  <w:vAlign w:val="center"/>
                </w:tcPr>
                <w:p w14:paraId="7A2704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257" w:type="pct"/>
                  <w:tcBorders>
                    <w:tl2br w:val="nil"/>
                    <w:tr2bl w:val="nil"/>
                  </w:tcBorders>
                  <w:noWrap w:val="0"/>
                  <w:vAlign w:val="center"/>
                </w:tcPr>
                <w:p w14:paraId="67138E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A4资源</w:t>
                  </w:r>
                  <w:r>
                    <w:rPr>
                      <w:rFonts w:hint="default" w:ascii="Times New Roman" w:hAnsi="Times New Roman" w:eastAsia="宋体" w:cs="Times New Roman"/>
                      <w:color w:val="auto"/>
                      <w:sz w:val="21"/>
                      <w:szCs w:val="21"/>
                      <w:highlight w:val="none"/>
                      <w:lang w:val="en-US" w:eastAsia="zh-CN"/>
                    </w:rPr>
                    <w:t>利用要求</w:t>
                  </w:r>
                </w:p>
              </w:tc>
              <w:tc>
                <w:tcPr>
                  <w:tcW w:w="312" w:type="pct"/>
                  <w:tcBorders>
                    <w:tl2br w:val="nil"/>
                    <w:tr2bl w:val="nil"/>
                  </w:tcBorders>
                  <w:noWrap w:val="0"/>
                  <w:vAlign w:val="center"/>
                </w:tcPr>
                <w:p w14:paraId="5E887B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A4.1</w:t>
                  </w:r>
                </w:p>
                <w:p w14:paraId="19AD72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水资源</w:t>
                  </w:r>
                </w:p>
              </w:tc>
              <w:tc>
                <w:tcPr>
                  <w:tcW w:w="2501" w:type="pct"/>
                  <w:tcBorders>
                    <w:tl2br w:val="nil"/>
                    <w:tr2bl w:val="nil"/>
                  </w:tcBorders>
                  <w:noWrap w:val="0"/>
                  <w:vAlign w:val="center"/>
                </w:tcPr>
                <w:p w14:paraId="20DF6B8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【A4.1-1】自治区用水总量2025年、2030年控制在国家下达的指标内。</w:t>
                  </w:r>
                </w:p>
              </w:tc>
              <w:tc>
                <w:tcPr>
                  <w:tcW w:w="1336" w:type="pct"/>
                  <w:tcBorders>
                    <w:tl2br w:val="nil"/>
                    <w:tr2bl w:val="nil"/>
                  </w:tcBorders>
                  <w:noWrap w:val="0"/>
                  <w:vAlign w:val="center"/>
                </w:tcPr>
                <w:p w14:paraId="2309C7E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项目食堂废水经隔油预处理后</w:t>
                  </w:r>
                  <w:r>
                    <w:rPr>
                      <w:rFonts w:hint="eastAsia" w:cs="Times New Roman"/>
                      <w:color w:val="auto"/>
                      <w:sz w:val="21"/>
                      <w:szCs w:val="21"/>
                      <w:highlight w:val="none"/>
                      <w:lang w:val="en-US" w:eastAsia="zh-CN"/>
                    </w:rPr>
                    <w:t>与</w:t>
                  </w:r>
                  <w:r>
                    <w:rPr>
                      <w:rFonts w:hint="default" w:ascii="Times New Roman" w:hAnsi="Times New Roman" w:eastAsia="宋体" w:cs="Times New Roman"/>
                      <w:color w:val="auto"/>
                      <w:sz w:val="21"/>
                      <w:szCs w:val="21"/>
                      <w:highlight w:val="none"/>
                      <w:lang w:val="en-US" w:eastAsia="zh-CN"/>
                    </w:rPr>
                    <w:t>生活污水经地埋式一体化污水处理设施处理达标；春夏秋季用于洒水降尘，冬季储存于水箱，次年回暖后回用。</w:t>
                  </w:r>
                </w:p>
              </w:tc>
              <w:tc>
                <w:tcPr>
                  <w:tcW w:w="349" w:type="pct"/>
                  <w:tcBorders>
                    <w:tl2br w:val="nil"/>
                    <w:tr2bl w:val="nil"/>
                  </w:tcBorders>
                  <w:noWrap w:val="0"/>
                  <w:vAlign w:val="center"/>
                </w:tcPr>
                <w:p w14:paraId="120C75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bl>
          <w:p w14:paraId="19E5909B">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1.4.2与《巴音郭楞蒙古自治州“三线一单”生态环境分区管控动态更新成果（2023年）》符合性分析</w:t>
            </w:r>
          </w:p>
          <w:p w14:paraId="19D8103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2024年12月9日，巴音郭楞蒙古自治州人民政府办公室发布《关于印发巴音郭楞蒙古自治州“三线一单”生态环境分区管控动态更新成果（2023年）的通知》（巴政办发〔2024〕32号），本项目为</w:t>
            </w:r>
            <w:r>
              <w:rPr>
                <w:rFonts w:hint="eastAsia"/>
                <w:color w:val="auto"/>
                <w:highlight w:val="none"/>
                <w:lang w:val="en-US" w:eastAsia="zh-CN"/>
              </w:rPr>
              <w:t>若羌县一般管控单元</w:t>
            </w:r>
            <w:r>
              <w:rPr>
                <w:rFonts w:hint="eastAsia" w:cs="Times New Roman"/>
                <w:color w:val="auto"/>
                <w:sz w:val="24"/>
                <w:szCs w:val="24"/>
                <w:highlight w:val="none"/>
                <w:lang w:val="en-US" w:eastAsia="zh-CN"/>
              </w:rPr>
              <w:t>（</w:t>
            </w:r>
            <w:r>
              <w:rPr>
                <w:rFonts w:hint="eastAsia"/>
                <w:color w:val="auto"/>
                <w:highlight w:val="none"/>
                <w:lang w:eastAsia="zh-CN"/>
              </w:rPr>
              <w:t>ZH65282430001</w:t>
            </w:r>
            <w:r>
              <w:rPr>
                <w:rFonts w:hint="eastAsia" w:cs="Times New Roman"/>
                <w:color w:val="auto"/>
                <w:sz w:val="24"/>
                <w:szCs w:val="24"/>
                <w:highlight w:val="none"/>
                <w:lang w:val="en-US" w:eastAsia="zh-CN"/>
              </w:rPr>
              <w:t>）。</w:t>
            </w:r>
          </w:p>
          <w:p w14:paraId="5E5620C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项目与《巴音郭楞蒙古自治州“三线一单”生态环境分区管控动态更新成果（2023年）》符合性分析见表1.4-2。</w:t>
            </w:r>
          </w:p>
          <w:p w14:paraId="45DED71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表1.</w:t>
            </w:r>
            <w:r>
              <w:rPr>
                <w:rFonts w:hint="eastAsia" w:cs="Times New Roman"/>
                <w:b/>
                <w:bCs/>
                <w:color w:val="auto"/>
                <w:sz w:val="21"/>
                <w:szCs w:val="21"/>
                <w:highlight w:val="none"/>
                <w:lang w:val="en-US" w:eastAsia="zh-CN"/>
              </w:rPr>
              <w:t>4</w:t>
            </w:r>
            <w:r>
              <w:rPr>
                <w:rFonts w:hint="eastAsia"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2</w:t>
            </w:r>
            <w:r>
              <w:rPr>
                <w:rFonts w:hint="eastAsia" w:ascii="Times New Roman" w:hAnsi="Times New Roman" w:eastAsia="宋体" w:cs="Times New Roman"/>
                <w:b/>
                <w:bCs/>
                <w:color w:val="auto"/>
                <w:sz w:val="21"/>
                <w:szCs w:val="21"/>
                <w:highlight w:val="none"/>
                <w:lang w:val="en-US" w:eastAsia="zh-CN"/>
              </w:rPr>
              <w:t xml:space="preserve">   与《巴音郭楞蒙古自治州“三线一单”生态环境分区管控动态更新成果（2023年）》相符性分析</w:t>
            </w:r>
          </w:p>
          <w:tbl>
            <w:tblPr>
              <w:tblStyle w:val="60"/>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3"/>
              <w:gridCol w:w="316"/>
              <w:gridCol w:w="5105"/>
              <w:gridCol w:w="1841"/>
              <w:gridCol w:w="689"/>
            </w:tblGrid>
            <w:tr w14:paraId="2092C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80" w:type="pct"/>
                  <w:gridSpan w:val="2"/>
                  <w:tcBorders>
                    <w:tl2br w:val="nil"/>
                    <w:tr2bl w:val="nil"/>
                  </w:tcBorders>
                  <w:noWrap w:val="0"/>
                  <w:vAlign w:val="center"/>
                </w:tcPr>
                <w:p w14:paraId="1B5CE32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名称</w:t>
                  </w:r>
                </w:p>
              </w:tc>
              <w:tc>
                <w:tcPr>
                  <w:tcW w:w="3088" w:type="pct"/>
                  <w:tcBorders>
                    <w:tl2br w:val="nil"/>
                    <w:tr2bl w:val="nil"/>
                  </w:tcBorders>
                  <w:noWrap w:val="0"/>
                  <w:vAlign w:val="center"/>
                </w:tcPr>
                <w:p w14:paraId="3F4C438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管控要求</w:t>
                  </w:r>
                </w:p>
              </w:tc>
              <w:tc>
                <w:tcPr>
                  <w:tcW w:w="1113" w:type="pct"/>
                  <w:tcBorders>
                    <w:tl2br w:val="nil"/>
                    <w:tr2bl w:val="nil"/>
                  </w:tcBorders>
                  <w:noWrap w:val="0"/>
                  <w:vAlign w:val="center"/>
                </w:tcPr>
                <w:p w14:paraId="243698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w:t>
                  </w:r>
                </w:p>
              </w:tc>
              <w:tc>
                <w:tcPr>
                  <w:tcW w:w="416" w:type="pct"/>
                  <w:tcBorders>
                    <w:tl2br w:val="nil"/>
                    <w:tr2bl w:val="nil"/>
                  </w:tcBorders>
                  <w:noWrap w:val="0"/>
                  <w:vAlign w:val="center"/>
                </w:tcPr>
                <w:p w14:paraId="1FF1E94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符合性</w:t>
                  </w:r>
                </w:p>
              </w:tc>
            </w:tr>
            <w:tr w14:paraId="55CEA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80" w:type="pct"/>
                  <w:gridSpan w:val="2"/>
                  <w:tcBorders>
                    <w:tl2br w:val="nil"/>
                    <w:tr2bl w:val="nil"/>
                  </w:tcBorders>
                  <w:shd w:val="clear" w:color="auto" w:fill="auto"/>
                  <w:noWrap w:val="0"/>
                  <w:vAlign w:val="center"/>
                </w:tcPr>
                <w:p w14:paraId="244CB77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eastAsia="zh-CN"/>
                    </w:rPr>
                    <w:t>空间布局约束</w:t>
                  </w:r>
                </w:p>
              </w:tc>
              <w:tc>
                <w:tcPr>
                  <w:tcW w:w="3088" w:type="pct"/>
                  <w:tcBorders>
                    <w:tl2br w:val="nil"/>
                    <w:tr2bl w:val="nil"/>
                  </w:tcBorders>
                  <w:shd w:val="clear" w:color="auto" w:fill="auto"/>
                  <w:noWrap w:val="0"/>
                  <w:vAlign w:val="center"/>
                </w:tcPr>
                <w:p w14:paraId="0FFD87F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宋体" w:cs="Times New Roman"/>
                      <w:snapToGrid w:val="0"/>
                      <w:color w:val="auto"/>
                      <w:kern w:val="0"/>
                      <w:sz w:val="21"/>
                      <w:szCs w:val="21"/>
                      <w:highlight w:val="none"/>
                      <w:lang w:val="en-US" w:eastAsia="zh-CN" w:bidi="ar-SA"/>
                      <w14:ligatures w14:val="none"/>
                    </w:rPr>
                  </w:pPr>
                  <w:r>
                    <w:rPr>
                      <w:rFonts w:hint="eastAsia"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5</w:t>
                  </w:r>
                  <w:r>
                    <w:rPr>
                      <w:rFonts w:hint="eastAsia" w:ascii="Times New Roman" w:hAnsi="Times New Roman" w:eastAsia="宋体" w:cs="Times New Roman"/>
                      <w:color w:val="auto"/>
                      <w:sz w:val="21"/>
                      <w:szCs w:val="21"/>
                      <w:highlight w:val="none"/>
                      <w:lang w:val="en-US" w:eastAsia="zh-CN"/>
                    </w:rPr>
                    <w:t>禁止新建、改建、扩建严重污染大气环境的项目。工业和信息化主管部门应当会同发展和改革、生态环境等部门，根据巴州生态环境局提供的大气监测数据制定工业产业转型升级行动计划和严重污染大气项目退出计划，报本级人民政府批准后向社会公布。对城市建成区大气环境质量造成明显影响的项目，自治州、各县（市）人民政府规定期限内未达到治理要求的项目，应当停产、限期搬迁或者关闭。</w:t>
                  </w:r>
                </w:p>
              </w:tc>
              <w:tc>
                <w:tcPr>
                  <w:tcW w:w="1113" w:type="pct"/>
                  <w:tcBorders>
                    <w:tl2br w:val="nil"/>
                    <w:tr2bl w:val="nil"/>
                  </w:tcBorders>
                  <w:shd w:val="clear" w:color="auto" w:fill="auto"/>
                  <w:noWrap w:val="0"/>
                  <w:vAlign w:val="center"/>
                </w:tcPr>
                <w:p w14:paraId="0CECD01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val="en-US" w:eastAsia="zh-CN"/>
                    </w:rPr>
                    <w:t>本项目</w:t>
                  </w:r>
                  <w:r>
                    <w:rPr>
                      <w:rFonts w:hint="eastAsia" w:cs="Times New Roman"/>
                      <w:color w:val="auto"/>
                      <w:sz w:val="21"/>
                      <w:szCs w:val="21"/>
                      <w:highlight w:val="none"/>
                      <w:lang w:val="en-US" w:eastAsia="zh-CN"/>
                    </w:rPr>
                    <w:t>为危险品仓储，位于新疆维吾尔自治区巴音郭楞蒙古自治州若羌县以南直线距离85公里处</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不属于</w:t>
                  </w:r>
                  <w:r>
                    <w:rPr>
                      <w:rFonts w:hint="eastAsia" w:ascii="Times New Roman" w:hAnsi="Times New Roman" w:eastAsia="宋体" w:cs="Times New Roman"/>
                      <w:color w:val="auto"/>
                      <w:sz w:val="21"/>
                      <w:szCs w:val="21"/>
                      <w:highlight w:val="none"/>
                      <w:lang w:val="en-US" w:eastAsia="zh-CN"/>
                    </w:rPr>
                    <w:t>严重污染大气环境的项目</w:t>
                  </w:r>
                  <w:r>
                    <w:rPr>
                      <w:rFonts w:hint="default" w:ascii="Times New Roman" w:hAnsi="Times New Roman" w:eastAsia="宋体" w:cs="Times New Roman"/>
                      <w:color w:val="auto"/>
                      <w:sz w:val="21"/>
                      <w:szCs w:val="21"/>
                      <w:highlight w:val="none"/>
                      <w:lang w:val="en-US" w:eastAsia="zh-CN"/>
                    </w:rPr>
                    <w:t>。</w:t>
                  </w:r>
                </w:p>
              </w:tc>
              <w:tc>
                <w:tcPr>
                  <w:tcW w:w="416" w:type="pct"/>
                  <w:tcBorders>
                    <w:tl2br w:val="nil"/>
                    <w:tr2bl w:val="nil"/>
                  </w:tcBorders>
                  <w:shd w:val="clear" w:color="auto" w:fill="auto"/>
                  <w:noWrap w:val="0"/>
                  <w:vAlign w:val="center"/>
                </w:tcPr>
                <w:p w14:paraId="6B1F536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rPr>
                    <w:t>符合</w:t>
                  </w:r>
                </w:p>
              </w:tc>
            </w:tr>
            <w:tr w14:paraId="32881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80" w:type="pct"/>
                  <w:gridSpan w:val="2"/>
                  <w:tcBorders>
                    <w:tl2br w:val="nil"/>
                    <w:tr2bl w:val="nil"/>
                  </w:tcBorders>
                  <w:shd w:val="clear" w:color="auto" w:fill="auto"/>
                  <w:noWrap w:val="0"/>
                  <w:vAlign w:val="center"/>
                </w:tcPr>
                <w:p w14:paraId="6D1B13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eastAsia="zh-CN"/>
                    </w:rPr>
                    <w:t>污染物排放管控</w:t>
                  </w:r>
                </w:p>
              </w:tc>
              <w:tc>
                <w:tcPr>
                  <w:tcW w:w="3088" w:type="pct"/>
                  <w:tcBorders>
                    <w:tl2br w:val="nil"/>
                    <w:tr2bl w:val="nil"/>
                  </w:tcBorders>
                  <w:shd w:val="clear" w:color="auto" w:fill="auto"/>
                  <w:noWrap w:val="0"/>
                  <w:vAlign w:val="center"/>
                </w:tcPr>
                <w:p w14:paraId="7404062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eastAsia="zh-CN"/>
                    </w:rPr>
                    <w:t>2.9所有排污单位必须依法实现全面达标排放。逐一排查工业企业排污情况，重点排污单位应按要求安装污染物在线监控设施，达标企业应采取措施确保稳定达标。定期抽查排污单位达标排放情况，结果向社会公布。加大综合惩处和处罚执行力度，建立环保领域非诉案件执行联动配合机制，对行政处罚、行政命令执行情况实施后督察。</w:t>
                  </w:r>
                </w:p>
              </w:tc>
              <w:tc>
                <w:tcPr>
                  <w:tcW w:w="1113" w:type="pct"/>
                  <w:tcBorders>
                    <w:tl2br w:val="nil"/>
                    <w:tr2bl w:val="nil"/>
                  </w:tcBorders>
                  <w:shd w:val="clear" w:color="auto" w:fill="auto"/>
                  <w:noWrap w:val="0"/>
                  <w:vAlign w:val="center"/>
                </w:tcPr>
                <w:p w14:paraId="0D6B3B17">
                  <w:pPr>
                    <w:keepNext w:val="0"/>
                    <w:keepLines w:val="0"/>
                    <w:pageBreakBefore w:val="0"/>
                    <w:widowControl w:val="0"/>
                    <w:kinsoku/>
                    <w:wordWrap/>
                    <w:overflowPunct/>
                    <w:topLinePunct w:val="0"/>
                    <w:autoSpaceDE/>
                    <w:autoSpaceDN/>
                    <w:bidi w:val="0"/>
                    <w:adjustRightInd/>
                    <w:snapToGrid w:val="0"/>
                    <w:spacing w:line="240" w:lineRule="auto"/>
                    <w:ind w:right="0" w:firstLine="0" w:firstLineChars="0"/>
                    <w:jc w:val="both"/>
                    <w:textAlignment w:val="auto"/>
                    <w:rPr>
                      <w:rFonts w:hint="eastAsia"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color w:val="auto"/>
                      <w:sz w:val="21"/>
                      <w:szCs w:val="21"/>
                      <w:highlight w:val="none"/>
                      <w:lang w:val="en-US" w:eastAsia="zh-CN"/>
                    </w:rPr>
                    <w:t>本项目为危险品仓储，项目食堂废水经隔油预处理后与生活污水经地埋式一体化污水处理设施处理达标；春夏秋季用于洒水降尘，冬季储存于水箱，次年回暖后回用。</w:t>
                  </w:r>
                </w:p>
              </w:tc>
              <w:tc>
                <w:tcPr>
                  <w:tcW w:w="416" w:type="pct"/>
                  <w:tcBorders>
                    <w:tl2br w:val="nil"/>
                    <w:tr2bl w:val="nil"/>
                  </w:tcBorders>
                  <w:shd w:val="clear" w:color="auto" w:fill="auto"/>
                  <w:noWrap w:val="0"/>
                  <w:vAlign w:val="center"/>
                </w:tcPr>
                <w:p w14:paraId="0A3C5F4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rPr>
                    <w:t>符合</w:t>
                  </w:r>
                </w:p>
              </w:tc>
            </w:tr>
            <w:tr w14:paraId="33063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80" w:type="pct"/>
                  <w:gridSpan w:val="2"/>
                  <w:tcBorders>
                    <w:tl2br w:val="nil"/>
                    <w:tr2bl w:val="nil"/>
                  </w:tcBorders>
                  <w:shd w:val="clear" w:color="auto" w:fill="auto"/>
                  <w:noWrap w:val="0"/>
                  <w:vAlign w:val="center"/>
                </w:tcPr>
                <w:p w14:paraId="166F49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eastAsia="zh-CN"/>
                    </w:rPr>
                    <w:t>环境风险防控</w:t>
                  </w:r>
                </w:p>
              </w:tc>
              <w:tc>
                <w:tcPr>
                  <w:tcW w:w="3088" w:type="pct"/>
                  <w:tcBorders>
                    <w:tl2br w:val="nil"/>
                    <w:tr2bl w:val="nil"/>
                  </w:tcBorders>
                  <w:shd w:val="clear" w:color="auto" w:fill="auto"/>
                  <w:noWrap w:val="0"/>
                  <w:vAlign w:val="center"/>
                </w:tcPr>
                <w:p w14:paraId="7E7977E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val="en-US" w:eastAsia="zh-CN"/>
                    </w:rPr>
                    <w:t>3.</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严格环境风险控制。防范环境风险。定期评估沿河流湖库的工业企业、工业集聚区环境和健康风险，加强预案管理，落实防控措施，排除水污染隐患。评估现有化学物质环境和健康风险，根据国家公布的优先控制化学品名录，对高风险化学品生产、使用进行严格限制，并逐步淘汰替代。</w:t>
                  </w:r>
                </w:p>
              </w:tc>
              <w:tc>
                <w:tcPr>
                  <w:tcW w:w="1113" w:type="pct"/>
                  <w:tcBorders>
                    <w:tl2br w:val="nil"/>
                    <w:tr2bl w:val="nil"/>
                  </w:tcBorders>
                  <w:shd w:val="clear" w:color="auto" w:fill="auto"/>
                  <w:noWrap w:val="0"/>
                  <w:vAlign w:val="center"/>
                </w:tcPr>
                <w:p w14:paraId="38953CB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val="en-US" w:eastAsia="zh-CN"/>
                    </w:rPr>
                    <w:t>项目建成后应按要求编写</w:t>
                  </w:r>
                  <w:r>
                    <w:rPr>
                      <w:rFonts w:hint="default" w:ascii="Times New Roman" w:hAnsi="Times New Roman" w:eastAsia="宋体" w:cs="Times New Roman"/>
                      <w:color w:val="auto"/>
                      <w:sz w:val="21"/>
                      <w:szCs w:val="21"/>
                      <w:highlight w:val="none"/>
                    </w:rPr>
                    <w:t>突发环境事件</w:t>
                  </w:r>
                  <w:r>
                    <w:rPr>
                      <w:rFonts w:hint="default" w:ascii="Times New Roman" w:hAnsi="Times New Roman" w:eastAsia="宋体" w:cs="Times New Roman"/>
                      <w:color w:val="auto"/>
                      <w:sz w:val="21"/>
                      <w:szCs w:val="21"/>
                      <w:highlight w:val="none"/>
                      <w:lang w:val="en-US" w:eastAsia="zh-CN"/>
                    </w:rPr>
                    <w:t>应急预案</w:t>
                  </w:r>
                  <w:r>
                    <w:rPr>
                      <w:rFonts w:hint="default" w:ascii="Times New Roman" w:hAnsi="Times New Roman" w:cs="Times New Roman"/>
                      <w:color w:val="auto"/>
                      <w:sz w:val="21"/>
                      <w:szCs w:val="21"/>
                      <w:highlight w:val="none"/>
                      <w:lang w:val="en-US" w:eastAsia="zh-CN"/>
                    </w:rPr>
                    <w:t>并备案</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按照应急预案要求开展应急演练</w:t>
                  </w:r>
                  <w:r>
                    <w:rPr>
                      <w:rFonts w:hint="default" w:ascii="Times New Roman" w:hAnsi="Times New Roman" w:eastAsia="宋体" w:cs="Times New Roman"/>
                      <w:color w:val="auto"/>
                      <w:sz w:val="21"/>
                      <w:szCs w:val="21"/>
                      <w:highlight w:val="none"/>
                      <w:lang w:val="en-US" w:eastAsia="zh-CN"/>
                    </w:rPr>
                    <w:t>。</w:t>
                  </w:r>
                </w:p>
              </w:tc>
              <w:tc>
                <w:tcPr>
                  <w:tcW w:w="416" w:type="pct"/>
                  <w:tcBorders>
                    <w:tl2br w:val="nil"/>
                    <w:tr2bl w:val="nil"/>
                  </w:tcBorders>
                  <w:shd w:val="clear" w:color="auto" w:fill="auto"/>
                  <w:noWrap w:val="0"/>
                  <w:vAlign w:val="center"/>
                </w:tcPr>
                <w:p w14:paraId="0B47CB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rPr>
                    <w:t>符合</w:t>
                  </w:r>
                </w:p>
              </w:tc>
            </w:tr>
            <w:tr w14:paraId="5F9A7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9" w:type="pct"/>
                  <w:vMerge w:val="restart"/>
                  <w:tcBorders>
                    <w:tl2br w:val="nil"/>
                    <w:tr2bl w:val="nil"/>
                  </w:tcBorders>
                  <w:noWrap w:val="0"/>
                  <w:vAlign w:val="center"/>
                </w:tcPr>
                <w:p w14:paraId="00B1DBD3">
                  <w:pPr>
                    <w:pStyle w:val="61"/>
                    <w:bidi w:val="0"/>
                    <w:ind w:left="0" w:leftChars="0" w:firstLine="0" w:firstLineChars="0"/>
                    <w:rPr>
                      <w:rFonts w:hint="default" w:ascii="Times New Roman" w:hAnsi="Times New Roman" w:eastAsia="宋体" w:cs="Times New Roman"/>
                      <w:color w:val="auto"/>
                      <w:sz w:val="21"/>
                      <w:szCs w:val="21"/>
                      <w:highlight w:val="none"/>
                      <w:lang w:eastAsia="zh-CN"/>
                    </w:rPr>
                  </w:pPr>
                  <w:r>
                    <w:rPr>
                      <w:rFonts w:hint="eastAsia"/>
                      <w:color w:val="auto"/>
                      <w:highlight w:val="none"/>
                      <w:lang w:eastAsia="zh-CN"/>
                    </w:rPr>
                    <w:t>若羌县一般管控单元（ZH65282430001）</w:t>
                  </w:r>
                </w:p>
              </w:tc>
              <w:tc>
                <w:tcPr>
                  <w:tcW w:w="191" w:type="pct"/>
                  <w:tcBorders>
                    <w:tl2br w:val="nil"/>
                    <w:tr2bl w:val="nil"/>
                  </w:tcBorders>
                  <w:noWrap w:val="0"/>
                  <w:vAlign w:val="center"/>
                </w:tcPr>
                <w:p w14:paraId="290A6341">
                  <w:pPr>
                    <w:pStyle w:val="61"/>
                    <w:bidi w:val="0"/>
                    <w:ind w:left="0" w:leftChars="0" w:firstLine="0" w:firstLineChars="0"/>
                    <w:rPr>
                      <w:rFonts w:hint="eastAsia"/>
                      <w:color w:val="auto"/>
                      <w:highlight w:val="none"/>
                    </w:rPr>
                  </w:pPr>
                  <w:r>
                    <w:rPr>
                      <w:rFonts w:hint="eastAsia"/>
                      <w:color w:val="auto"/>
                      <w:highlight w:val="none"/>
                    </w:rPr>
                    <w:t>空间布局约束</w:t>
                  </w:r>
                </w:p>
              </w:tc>
              <w:tc>
                <w:tcPr>
                  <w:tcW w:w="3088" w:type="pct"/>
                  <w:tcBorders>
                    <w:tl2br w:val="nil"/>
                    <w:tr2bl w:val="nil"/>
                  </w:tcBorders>
                  <w:noWrap w:val="0"/>
                  <w:vAlign w:val="center"/>
                </w:tcPr>
                <w:p w14:paraId="313FBEA8">
                  <w:pPr>
                    <w:pStyle w:val="61"/>
                    <w:bidi w:val="0"/>
                    <w:ind w:left="0" w:leftChars="0"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1.建设项目用地原则上不得占用基本农田，确需占用基本农田的建设项目须符合《中华人民共和国基本农田保护条例》中相关要求，占用耕地、林地或草地的建设项目须按照国家、自治区相关补偿要求进行补偿。</w:t>
                  </w:r>
                </w:p>
                <w:p w14:paraId="519E66DD">
                  <w:pPr>
                    <w:pStyle w:val="61"/>
                    <w:bidi w:val="0"/>
                    <w:ind w:left="0" w:leftChars="0"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3.永久基本农田集中区域禁止规划新建可能造成土壤污染的建设项目。涉及有毒有害物质可能造成土壤污染的新</w:t>
                  </w: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改、扩</w:t>
                  </w: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建项目，提出并落实土壤和地下水污染防治要求。</w:t>
                  </w:r>
                </w:p>
              </w:tc>
              <w:tc>
                <w:tcPr>
                  <w:tcW w:w="1113" w:type="pct"/>
                  <w:tcBorders>
                    <w:tl2br w:val="nil"/>
                    <w:tr2bl w:val="nil"/>
                  </w:tcBorders>
                  <w:noWrap w:val="0"/>
                  <w:vAlign w:val="center"/>
                </w:tcPr>
                <w:p w14:paraId="0C298990">
                  <w:pPr>
                    <w:pStyle w:val="61"/>
                    <w:bidi w:val="0"/>
                    <w:ind w:left="0" w:leftChars="0" w:firstLine="0" w:firstLineChars="0"/>
                    <w:jc w:val="left"/>
                    <w:rPr>
                      <w:rFonts w:hint="default" w:eastAsia="宋体"/>
                      <w:color w:val="auto"/>
                      <w:sz w:val="21"/>
                      <w:szCs w:val="21"/>
                      <w:highlight w:val="none"/>
                      <w:lang w:val="en-US" w:eastAsia="zh-CN"/>
                    </w:rPr>
                  </w:pPr>
                  <w:r>
                    <w:rPr>
                      <w:rFonts w:hint="eastAsia" w:eastAsia="宋体"/>
                      <w:color w:val="auto"/>
                      <w:sz w:val="21"/>
                      <w:szCs w:val="22"/>
                      <w:highlight w:val="none"/>
                      <w:lang w:eastAsia="zh-CN"/>
                    </w:rPr>
                    <w:t>本项目为</w:t>
                  </w:r>
                  <w:r>
                    <w:rPr>
                      <w:rFonts w:hint="eastAsia" w:cs="Times New Roman"/>
                      <w:color w:val="auto"/>
                      <w:sz w:val="21"/>
                      <w:szCs w:val="21"/>
                      <w:highlight w:val="none"/>
                      <w:lang w:val="en-US" w:eastAsia="zh-CN"/>
                    </w:rPr>
                    <w:t>危险品仓储</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新疆维吾尔自治区巴音郭楞蒙古自治州若羌县以南直线距离85公里处</w:t>
                  </w:r>
                  <w:r>
                    <w:rPr>
                      <w:rFonts w:hint="eastAsia" w:ascii="Times New Roman" w:hAnsi="Times New Roman" w:eastAsia="宋体" w:cs="Times New Roman"/>
                      <w:color w:val="auto"/>
                      <w:sz w:val="21"/>
                      <w:szCs w:val="21"/>
                      <w:highlight w:val="none"/>
                      <w:lang w:val="en-US" w:eastAsia="zh-CN"/>
                    </w:rPr>
                    <w:t>，用地不占用基本农田，</w:t>
                  </w:r>
                  <w:r>
                    <w:rPr>
                      <w:rFonts w:hint="eastAsia" w:cs="Times New Roman"/>
                      <w:color w:val="auto"/>
                      <w:sz w:val="21"/>
                      <w:szCs w:val="21"/>
                      <w:highlight w:val="none"/>
                      <w:lang w:val="en-US" w:eastAsia="zh-CN"/>
                    </w:rPr>
                    <w:t>已提出并在后期落实</w:t>
                  </w:r>
                  <w:r>
                    <w:rPr>
                      <w:rFonts w:hint="eastAsia" w:ascii="Times New Roman" w:hAnsi="Times New Roman" w:eastAsia="宋体" w:cs="Times New Roman"/>
                      <w:color w:val="auto"/>
                      <w:sz w:val="21"/>
                      <w:szCs w:val="21"/>
                      <w:highlight w:val="none"/>
                      <w:lang w:val="en-US" w:eastAsia="zh-CN"/>
                    </w:rPr>
                    <w:t>土壤和地下水污染防治要求</w:t>
                  </w:r>
                  <w:r>
                    <w:rPr>
                      <w:rFonts w:hint="eastAsia"/>
                      <w:highlight w:val="none"/>
                      <w:lang w:val="en-US" w:eastAsia="zh-CN"/>
                    </w:rPr>
                    <w:t>。</w:t>
                  </w:r>
                </w:p>
              </w:tc>
              <w:tc>
                <w:tcPr>
                  <w:tcW w:w="416" w:type="pct"/>
                  <w:tcBorders>
                    <w:tl2br w:val="nil"/>
                    <w:tr2bl w:val="nil"/>
                  </w:tcBorders>
                  <w:noWrap w:val="0"/>
                  <w:vAlign w:val="center"/>
                </w:tcPr>
                <w:p w14:paraId="0CFBAE6E">
                  <w:pPr>
                    <w:pStyle w:val="61"/>
                    <w:bidi w:val="0"/>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261AC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9" w:type="pct"/>
                  <w:vMerge w:val="continue"/>
                  <w:tcBorders>
                    <w:tl2br w:val="nil"/>
                    <w:tr2bl w:val="nil"/>
                  </w:tcBorders>
                  <w:noWrap w:val="0"/>
                  <w:vAlign w:val="center"/>
                </w:tcPr>
                <w:p w14:paraId="664879D4">
                  <w:pPr>
                    <w:pStyle w:val="61"/>
                    <w:bidi w:val="0"/>
                    <w:ind w:left="0" w:leftChars="0" w:firstLine="0" w:firstLineChars="0"/>
                    <w:rPr>
                      <w:rFonts w:hint="eastAsia"/>
                      <w:color w:val="auto"/>
                      <w:highlight w:val="none"/>
                    </w:rPr>
                  </w:pPr>
                </w:p>
              </w:tc>
              <w:tc>
                <w:tcPr>
                  <w:tcW w:w="191" w:type="pct"/>
                  <w:tcBorders>
                    <w:tl2br w:val="nil"/>
                    <w:tr2bl w:val="nil"/>
                  </w:tcBorders>
                  <w:noWrap w:val="0"/>
                  <w:vAlign w:val="center"/>
                </w:tcPr>
                <w:p w14:paraId="7AE99D0A">
                  <w:pPr>
                    <w:pStyle w:val="61"/>
                    <w:bidi w:val="0"/>
                    <w:ind w:left="0" w:leftChars="0" w:firstLine="0" w:firstLineChars="0"/>
                    <w:rPr>
                      <w:rFonts w:hint="default" w:eastAsia="宋体"/>
                      <w:color w:val="auto"/>
                      <w:highlight w:val="none"/>
                      <w:lang w:val="en-US" w:eastAsia="zh-CN"/>
                    </w:rPr>
                  </w:pPr>
                  <w:r>
                    <w:rPr>
                      <w:rFonts w:hint="eastAsia"/>
                      <w:color w:val="auto"/>
                      <w:highlight w:val="none"/>
                      <w:lang w:val="en-US" w:eastAsia="zh-CN"/>
                    </w:rPr>
                    <w:t>污染物排放管控</w:t>
                  </w:r>
                </w:p>
              </w:tc>
              <w:tc>
                <w:tcPr>
                  <w:tcW w:w="3088" w:type="pct"/>
                  <w:tcBorders>
                    <w:tl2br w:val="nil"/>
                    <w:tr2bl w:val="nil"/>
                  </w:tcBorders>
                  <w:noWrap w:val="0"/>
                  <w:vAlign w:val="center"/>
                </w:tcPr>
                <w:p w14:paraId="2AC0D57D">
                  <w:pPr>
                    <w:pStyle w:val="61"/>
                    <w:bidi w:val="0"/>
                    <w:ind w:left="0" w:leftChars="0" w:firstLine="0" w:firstLineChars="0"/>
                    <w:jc w:val="both"/>
                    <w:rPr>
                      <w:rFonts w:hint="eastAsia"/>
                      <w:color w:val="auto"/>
                      <w:highlight w:val="none"/>
                    </w:rPr>
                  </w:pPr>
                  <w:r>
                    <w:rPr>
                      <w:rFonts w:hint="eastAsia"/>
                      <w:color w:val="auto"/>
                      <w:highlight w:val="none"/>
                    </w:rPr>
                    <w:t>2.严格控制林地、草地、园地农药使用量，禁止使用高毒、高残留农药。</w:t>
                  </w:r>
                </w:p>
                <w:p w14:paraId="137E9EBD">
                  <w:pPr>
                    <w:pStyle w:val="61"/>
                    <w:bidi w:val="0"/>
                    <w:ind w:left="0" w:leftChars="0" w:firstLine="0" w:firstLineChars="0"/>
                    <w:jc w:val="both"/>
                    <w:rPr>
                      <w:rFonts w:hint="eastAsia"/>
                      <w:color w:val="auto"/>
                      <w:highlight w:val="none"/>
                    </w:rPr>
                  </w:pPr>
                  <w:r>
                    <w:rPr>
                      <w:rFonts w:hint="eastAsia"/>
                      <w:color w:val="auto"/>
                      <w:highlight w:val="none"/>
                    </w:rPr>
                    <w:t>3.加强种植业污染防治。深入推进化肥农药减量增效，全面推广测土配方施肥，引导推动有机肥、绿肥替代化肥，集成推广化肥减量增效技术模式，加强农药包装废弃物管理。实施农膜回收行动，健全农田废旧地膜回收利用体系，提高废旧地膜回收率。推进农作物秸秆综合利用，不断完善秸秆收储运用体系，形成布局合理、多元利用的秸秆综合利用格局。</w:t>
                  </w:r>
                </w:p>
                <w:p w14:paraId="24A91653">
                  <w:pPr>
                    <w:pStyle w:val="61"/>
                    <w:bidi w:val="0"/>
                    <w:ind w:left="0" w:leftChars="0" w:firstLine="0" w:firstLineChars="0"/>
                    <w:jc w:val="both"/>
                    <w:rPr>
                      <w:rFonts w:hint="eastAsia"/>
                      <w:highlight w:val="none"/>
                    </w:rPr>
                  </w:pPr>
                  <w:r>
                    <w:rPr>
                      <w:rFonts w:hint="eastAsia" w:ascii="Times New Roman" w:hAnsi="Times New Roman" w:eastAsia="宋体" w:cs="Times New Roman"/>
                      <w:color w:val="auto"/>
                      <w:highlight w:val="none"/>
                    </w:rPr>
                    <w:t>6.因地制宜推进农村厕所革命，分类分区推进农村生活污水治理，全面提升农村生活垃圾治理水平，建立健全农村人居环境长效管护机制。实施化肥农药减量增效行动和农膜回收、秸秆综合利用行动。加强种养结合，整县推进畜禽粪污资源化利用。</w:t>
                  </w:r>
                </w:p>
              </w:tc>
              <w:tc>
                <w:tcPr>
                  <w:tcW w:w="1113" w:type="pct"/>
                  <w:tcBorders>
                    <w:tl2br w:val="nil"/>
                    <w:tr2bl w:val="nil"/>
                  </w:tcBorders>
                  <w:noWrap w:val="0"/>
                  <w:vAlign w:val="center"/>
                </w:tcPr>
                <w:p w14:paraId="680F00BA">
                  <w:pPr>
                    <w:pStyle w:val="61"/>
                    <w:bidi w:val="0"/>
                    <w:ind w:left="0" w:leftChars="0" w:firstLine="0" w:firstLineChars="0"/>
                    <w:jc w:val="left"/>
                    <w:rPr>
                      <w:rFonts w:hint="eastAsia" w:eastAsia="宋体"/>
                      <w:color w:val="auto"/>
                      <w:sz w:val="21"/>
                      <w:szCs w:val="22"/>
                      <w:highlight w:val="none"/>
                      <w:lang w:eastAsia="zh-CN"/>
                    </w:rPr>
                  </w:pPr>
                  <w:r>
                    <w:rPr>
                      <w:rFonts w:hint="eastAsia" w:eastAsia="宋体"/>
                      <w:color w:val="auto"/>
                      <w:sz w:val="21"/>
                      <w:szCs w:val="22"/>
                      <w:highlight w:val="none"/>
                      <w:lang w:eastAsia="zh-CN"/>
                    </w:rPr>
                    <w:t>本项目为</w:t>
                  </w:r>
                  <w:r>
                    <w:rPr>
                      <w:rFonts w:hint="eastAsia" w:cs="Times New Roman"/>
                      <w:color w:val="auto"/>
                      <w:sz w:val="21"/>
                      <w:szCs w:val="21"/>
                      <w:highlight w:val="none"/>
                      <w:lang w:val="en-US" w:eastAsia="zh-CN"/>
                    </w:rPr>
                    <w:t>危险品仓储</w:t>
                  </w:r>
                  <w:r>
                    <w:rPr>
                      <w:rFonts w:hint="eastAsia" w:ascii="Times New Roman" w:hAnsi="Times New Roman" w:eastAsia="宋体" w:cs="Times New Roman"/>
                      <w:color w:val="auto"/>
                      <w:sz w:val="21"/>
                      <w:szCs w:val="21"/>
                      <w:highlight w:val="none"/>
                      <w:lang w:val="en-US" w:eastAsia="zh-CN"/>
                    </w:rPr>
                    <w:t>，建设运行期间不</w:t>
                  </w:r>
                  <w:r>
                    <w:rPr>
                      <w:rFonts w:hint="eastAsia"/>
                      <w:color w:val="auto"/>
                      <w:highlight w:val="none"/>
                    </w:rPr>
                    <w:t>使用高毒、高残留农药</w:t>
                  </w:r>
                  <w:r>
                    <w:rPr>
                      <w:rFonts w:hint="eastAsia"/>
                      <w:color w:val="auto"/>
                      <w:highlight w:val="none"/>
                      <w:lang w:eastAsia="zh-CN"/>
                    </w:rPr>
                    <w:t>，项目食堂废水经隔油预处理后与生活污水经地埋式一体化污水处理设施处理达标；春夏秋季用于洒水降尘，冬季储存于水箱，次年回暖后回用。</w:t>
                  </w:r>
                </w:p>
              </w:tc>
              <w:tc>
                <w:tcPr>
                  <w:tcW w:w="416" w:type="pct"/>
                  <w:tcBorders>
                    <w:tl2br w:val="nil"/>
                    <w:tr2bl w:val="nil"/>
                  </w:tcBorders>
                  <w:noWrap w:val="0"/>
                  <w:vAlign w:val="center"/>
                </w:tcPr>
                <w:p w14:paraId="10F1346A">
                  <w:pPr>
                    <w:pStyle w:val="61"/>
                    <w:bidi w:val="0"/>
                    <w:ind w:left="0" w:leftChars="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符合</w:t>
                  </w:r>
                </w:p>
              </w:tc>
            </w:tr>
            <w:tr w14:paraId="4F6CE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9" w:type="pct"/>
                  <w:vMerge w:val="continue"/>
                  <w:tcBorders>
                    <w:tl2br w:val="nil"/>
                    <w:tr2bl w:val="nil"/>
                  </w:tcBorders>
                  <w:noWrap w:val="0"/>
                  <w:vAlign w:val="center"/>
                </w:tcPr>
                <w:p w14:paraId="6A6B43E1">
                  <w:pPr>
                    <w:pStyle w:val="61"/>
                    <w:bidi w:val="0"/>
                    <w:ind w:left="0" w:leftChars="0" w:firstLine="0" w:firstLineChars="0"/>
                    <w:rPr>
                      <w:rFonts w:hint="eastAsia"/>
                      <w:color w:val="auto"/>
                      <w:highlight w:val="none"/>
                    </w:rPr>
                  </w:pPr>
                </w:p>
              </w:tc>
              <w:tc>
                <w:tcPr>
                  <w:tcW w:w="191" w:type="pct"/>
                  <w:tcBorders>
                    <w:tl2br w:val="nil"/>
                    <w:tr2bl w:val="nil"/>
                  </w:tcBorders>
                  <w:noWrap w:val="0"/>
                  <w:vAlign w:val="center"/>
                </w:tcPr>
                <w:p w14:paraId="34EEEE94">
                  <w:pPr>
                    <w:pStyle w:val="61"/>
                    <w:bidi w:val="0"/>
                    <w:ind w:left="0" w:leftChars="0" w:firstLine="0" w:firstLineChars="0"/>
                    <w:rPr>
                      <w:rFonts w:hint="default" w:eastAsia="宋体"/>
                      <w:color w:val="auto"/>
                      <w:highlight w:val="none"/>
                      <w:lang w:val="en-US" w:eastAsia="zh-CN"/>
                    </w:rPr>
                  </w:pPr>
                  <w:r>
                    <w:rPr>
                      <w:rFonts w:hint="eastAsia"/>
                      <w:color w:val="auto"/>
                      <w:highlight w:val="none"/>
                      <w:lang w:val="en-US" w:eastAsia="zh-CN"/>
                    </w:rPr>
                    <w:t>环境风险防控</w:t>
                  </w:r>
                </w:p>
              </w:tc>
              <w:tc>
                <w:tcPr>
                  <w:tcW w:w="3088" w:type="pct"/>
                  <w:tcBorders>
                    <w:tl2br w:val="nil"/>
                    <w:tr2bl w:val="nil"/>
                  </w:tcBorders>
                  <w:noWrap w:val="0"/>
                  <w:vAlign w:val="center"/>
                </w:tcPr>
                <w:p w14:paraId="0A6E5ED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Times New Roman" w:hAnsi="Times New Roman" w:eastAsia="宋体" w:cs="Times New Roman"/>
                      <w:snapToGrid w:val="0"/>
                      <w:color w:val="auto"/>
                      <w:kern w:val="0"/>
                      <w:sz w:val="21"/>
                      <w:szCs w:val="22"/>
                      <w:highlight w:val="none"/>
                      <w:lang w:val="en-US" w:eastAsia="zh-CN" w:bidi="ar-SA"/>
                      <w14:ligatures w14:val="none"/>
                    </w:rPr>
                  </w:pPr>
                  <w:r>
                    <w:rPr>
                      <w:rFonts w:hint="eastAsia" w:ascii="Times New Roman" w:hAnsi="Times New Roman" w:eastAsia="宋体" w:cs="Times New Roman"/>
                      <w:snapToGrid w:val="0"/>
                      <w:color w:val="auto"/>
                      <w:kern w:val="0"/>
                      <w:sz w:val="21"/>
                      <w:szCs w:val="22"/>
                      <w:highlight w:val="none"/>
                      <w:lang w:val="en-US" w:eastAsia="zh-CN" w:bidi="ar-SA"/>
                      <w14:ligatures w14:val="none"/>
                    </w:rPr>
                    <w:t>3.依法推行农用地分类管理制度，强化受污染耕地安全利用和风险管控。因地制宜制定实施安全利用方案，鼓励采取种植结构调整等措施，确保受污染耕地全部实现安全利用。</w:t>
                  </w:r>
                </w:p>
                <w:p w14:paraId="435CE2E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Times New Roman" w:hAnsi="Times New Roman" w:eastAsia="宋体" w:cs="Times New Roman"/>
                      <w:snapToGrid w:val="0"/>
                      <w:color w:val="auto"/>
                      <w:kern w:val="0"/>
                      <w:sz w:val="21"/>
                      <w:szCs w:val="22"/>
                      <w:highlight w:val="none"/>
                      <w:lang w:val="en-US" w:eastAsia="zh-CN" w:bidi="ar-SA"/>
                      <w14:ligatures w14:val="none"/>
                    </w:rPr>
                  </w:pPr>
                  <w:r>
                    <w:rPr>
                      <w:rFonts w:hint="eastAsia" w:ascii="Times New Roman" w:hAnsi="Times New Roman" w:eastAsia="宋体" w:cs="Times New Roman"/>
                      <w:snapToGrid w:val="0"/>
                      <w:color w:val="auto"/>
                      <w:kern w:val="0"/>
                      <w:sz w:val="21"/>
                      <w:szCs w:val="22"/>
                      <w:highlight w:val="none"/>
                      <w:lang w:val="en-US" w:eastAsia="zh-CN" w:bidi="ar-SA"/>
                      <w14:ligatures w14:val="none"/>
                    </w:rPr>
                    <w:t>4.定期对企业及周边土壤进行监测；对不符合法律法规和相关标准要求的，应当根据监测结果，要求运营单位采取相应改进措施。土壤环境监管重点行业企业拆除生产设施设备、构筑物和污染治理设施，要事先制定残留污染物清理和安全处置方案，并报所在地县级生态环境、</w:t>
                  </w:r>
                </w:p>
                <w:p w14:paraId="5A88AF6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highlight w:val="none"/>
                    </w:rPr>
                  </w:pPr>
                  <w:r>
                    <w:rPr>
                      <w:rFonts w:hint="eastAsia" w:ascii="Times New Roman" w:hAnsi="Times New Roman" w:eastAsia="宋体" w:cs="Times New Roman"/>
                      <w:snapToGrid w:val="0"/>
                      <w:color w:val="auto"/>
                      <w:kern w:val="0"/>
                      <w:sz w:val="21"/>
                      <w:szCs w:val="22"/>
                      <w:highlight w:val="none"/>
                      <w:lang w:val="en-US" w:eastAsia="zh-CN" w:bidi="ar-SA"/>
                      <w14:ligatures w14:val="none"/>
                    </w:rPr>
                    <w:t>工业和信息化部门备案；要严格按照有关规定实施安全处理处置，防范拆除活动污染土壤。</w:t>
                  </w:r>
                </w:p>
              </w:tc>
              <w:tc>
                <w:tcPr>
                  <w:tcW w:w="1113" w:type="pct"/>
                  <w:tcBorders>
                    <w:tl2br w:val="nil"/>
                    <w:tr2bl w:val="nil"/>
                  </w:tcBorders>
                  <w:noWrap w:val="0"/>
                  <w:vAlign w:val="center"/>
                </w:tcPr>
                <w:p w14:paraId="5B7B6BD5">
                  <w:pPr>
                    <w:pStyle w:val="61"/>
                    <w:bidi w:val="0"/>
                    <w:ind w:left="0" w:leftChars="0" w:firstLine="0" w:firstLineChars="0"/>
                    <w:jc w:val="left"/>
                    <w:rPr>
                      <w:rFonts w:hint="default" w:eastAsia="宋体"/>
                      <w:color w:val="auto"/>
                      <w:sz w:val="21"/>
                      <w:szCs w:val="22"/>
                      <w:highlight w:val="none"/>
                      <w:lang w:val="en-US" w:eastAsia="zh-CN"/>
                    </w:rPr>
                  </w:pPr>
                  <w:r>
                    <w:rPr>
                      <w:rFonts w:hint="eastAsia" w:eastAsia="宋体"/>
                      <w:color w:val="auto"/>
                      <w:sz w:val="21"/>
                      <w:szCs w:val="22"/>
                      <w:highlight w:val="none"/>
                      <w:lang w:eastAsia="zh-CN"/>
                    </w:rPr>
                    <w:t>本项目为</w:t>
                  </w:r>
                  <w:r>
                    <w:rPr>
                      <w:rFonts w:hint="eastAsia" w:cs="Times New Roman"/>
                      <w:color w:val="auto"/>
                      <w:sz w:val="21"/>
                      <w:szCs w:val="21"/>
                      <w:highlight w:val="none"/>
                      <w:lang w:val="en-US" w:eastAsia="zh-CN"/>
                    </w:rPr>
                    <w:t>危险品仓储</w:t>
                  </w:r>
                  <w:r>
                    <w:rPr>
                      <w:rFonts w:hint="eastAsia" w:eastAsia="宋体"/>
                      <w:color w:val="auto"/>
                      <w:sz w:val="21"/>
                      <w:szCs w:val="22"/>
                      <w:highlight w:val="none"/>
                      <w:lang w:eastAsia="zh-CN"/>
                    </w:rPr>
                    <w:t>，</w:t>
                  </w:r>
                  <w:r>
                    <w:rPr>
                      <w:rFonts w:hint="eastAsia" w:eastAsia="宋体"/>
                      <w:color w:val="auto"/>
                      <w:sz w:val="21"/>
                      <w:szCs w:val="22"/>
                      <w:highlight w:val="none"/>
                      <w:lang w:val="en-US" w:eastAsia="zh-CN"/>
                    </w:rPr>
                    <w:t>不涉及耕地，项目建设不会对区域内土壤造成污染</w:t>
                  </w:r>
                  <w:r>
                    <w:rPr>
                      <w:rFonts w:hint="default" w:ascii="Times New Roman" w:hAnsi="Times New Roman" w:eastAsia="宋体" w:cs="Times New Roman"/>
                      <w:color w:val="auto"/>
                      <w:sz w:val="21"/>
                      <w:szCs w:val="21"/>
                      <w:highlight w:val="none"/>
                      <w:lang w:val="en-US" w:eastAsia="zh-CN"/>
                    </w:rPr>
                    <w:t>。</w:t>
                  </w:r>
                </w:p>
              </w:tc>
              <w:tc>
                <w:tcPr>
                  <w:tcW w:w="416" w:type="pct"/>
                  <w:tcBorders>
                    <w:tl2br w:val="nil"/>
                    <w:tr2bl w:val="nil"/>
                  </w:tcBorders>
                  <w:noWrap w:val="0"/>
                  <w:vAlign w:val="center"/>
                </w:tcPr>
                <w:p w14:paraId="1B2D1E21">
                  <w:pPr>
                    <w:pStyle w:val="61"/>
                    <w:bidi w:val="0"/>
                    <w:ind w:left="0" w:leftChars="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符合</w:t>
                  </w:r>
                </w:p>
              </w:tc>
            </w:tr>
            <w:tr w14:paraId="7E55C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89" w:type="pct"/>
                  <w:vMerge w:val="continue"/>
                  <w:tcBorders>
                    <w:tl2br w:val="nil"/>
                    <w:tr2bl w:val="nil"/>
                  </w:tcBorders>
                  <w:noWrap w:val="0"/>
                  <w:vAlign w:val="center"/>
                </w:tcPr>
                <w:p w14:paraId="337C8398">
                  <w:pPr>
                    <w:pStyle w:val="61"/>
                    <w:bidi w:val="0"/>
                    <w:ind w:left="0" w:leftChars="0" w:firstLine="0" w:firstLineChars="0"/>
                    <w:rPr>
                      <w:rFonts w:hint="eastAsia"/>
                      <w:color w:val="auto"/>
                      <w:highlight w:val="none"/>
                    </w:rPr>
                  </w:pPr>
                </w:p>
              </w:tc>
              <w:tc>
                <w:tcPr>
                  <w:tcW w:w="191" w:type="pct"/>
                  <w:tcBorders>
                    <w:tl2br w:val="nil"/>
                    <w:tr2bl w:val="nil"/>
                  </w:tcBorders>
                  <w:noWrap w:val="0"/>
                  <w:vAlign w:val="center"/>
                </w:tcPr>
                <w:p w14:paraId="18D06738">
                  <w:pPr>
                    <w:pStyle w:val="61"/>
                    <w:bidi w:val="0"/>
                    <w:ind w:left="0" w:leftChars="0" w:firstLine="0" w:firstLineChars="0"/>
                    <w:rPr>
                      <w:rFonts w:hint="default" w:eastAsia="宋体"/>
                      <w:color w:val="auto"/>
                      <w:highlight w:val="none"/>
                      <w:lang w:val="en-US" w:eastAsia="zh-CN"/>
                    </w:rPr>
                  </w:pPr>
                  <w:r>
                    <w:rPr>
                      <w:rFonts w:hint="eastAsia"/>
                      <w:color w:val="auto"/>
                      <w:highlight w:val="none"/>
                      <w:lang w:val="en-US" w:eastAsia="zh-CN"/>
                    </w:rPr>
                    <w:t>资源利用效率</w:t>
                  </w:r>
                </w:p>
              </w:tc>
              <w:tc>
                <w:tcPr>
                  <w:tcW w:w="3088" w:type="pct"/>
                  <w:tcBorders>
                    <w:tl2br w:val="nil"/>
                    <w:tr2bl w:val="nil"/>
                  </w:tcBorders>
                  <w:noWrap w:val="0"/>
                  <w:vAlign w:val="center"/>
                </w:tcPr>
                <w:p w14:paraId="09F8B53F">
                  <w:pPr>
                    <w:pStyle w:val="61"/>
                    <w:bidi w:val="0"/>
                    <w:ind w:left="0" w:leftChars="0" w:firstLine="0" w:firstLineChars="0"/>
                    <w:jc w:val="both"/>
                    <w:rPr>
                      <w:rFonts w:hint="eastAsia"/>
                      <w:color w:val="auto"/>
                      <w:highlight w:val="none"/>
                    </w:rPr>
                  </w:pPr>
                  <w:r>
                    <w:rPr>
                      <w:rFonts w:hint="eastAsia"/>
                      <w:color w:val="auto"/>
                      <w:highlight w:val="none"/>
                    </w:rPr>
                    <w:t>2.减少化肥农药使用量，增加有机肥使用量，实现化肥农药使用量负增长。</w:t>
                  </w:r>
                </w:p>
                <w:p w14:paraId="59E00A13">
                  <w:pPr>
                    <w:pStyle w:val="61"/>
                    <w:bidi w:val="0"/>
                    <w:ind w:left="0" w:leftChars="0" w:firstLine="0" w:firstLineChars="0"/>
                    <w:jc w:val="both"/>
                    <w:rPr>
                      <w:rFonts w:hint="eastAsia"/>
                      <w:color w:val="auto"/>
                      <w:highlight w:val="none"/>
                    </w:rPr>
                  </w:pPr>
                  <w:r>
                    <w:rPr>
                      <w:rFonts w:hint="eastAsia"/>
                      <w:color w:val="auto"/>
                      <w:highlight w:val="none"/>
                    </w:rPr>
                    <w:t>3.推广渠道防渗、管道输水、喷灌、微灌等节水灌溉技术，完善灌溉用水计量设施。推进规模化高效节水灌溉，推广农作物节水抗旱技术。建立灌区墒情测报网络，提高农业用水效率，降低农业用水比重。</w:t>
                  </w:r>
                </w:p>
              </w:tc>
              <w:tc>
                <w:tcPr>
                  <w:tcW w:w="1113" w:type="pct"/>
                  <w:tcBorders>
                    <w:tl2br w:val="nil"/>
                    <w:tr2bl w:val="nil"/>
                  </w:tcBorders>
                  <w:noWrap w:val="0"/>
                  <w:vAlign w:val="center"/>
                </w:tcPr>
                <w:p w14:paraId="26D0B1C5">
                  <w:pPr>
                    <w:pStyle w:val="61"/>
                    <w:bidi w:val="0"/>
                    <w:ind w:left="0" w:leftChars="0" w:firstLine="0" w:firstLineChars="0"/>
                    <w:jc w:val="left"/>
                    <w:rPr>
                      <w:rFonts w:hint="default" w:eastAsia="宋体"/>
                      <w:color w:val="auto"/>
                      <w:sz w:val="21"/>
                      <w:szCs w:val="22"/>
                      <w:highlight w:val="none"/>
                      <w:lang w:val="en-US" w:eastAsia="zh-CN"/>
                    </w:rPr>
                  </w:pPr>
                  <w:r>
                    <w:rPr>
                      <w:rFonts w:hint="eastAsia"/>
                      <w:color w:val="auto"/>
                      <w:sz w:val="21"/>
                      <w:szCs w:val="22"/>
                      <w:highlight w:val="none"/>
                      <w:lang w:val="en-US" w:eastAsia="zh-CN"/>
                    </w:rPr>
                    <w:t>本项目</w:t>
                  </w:r>
                  <w:r>
                    <w:rPr>
                      <w:rFonts w:hint="eastAsia" w:eastAsia="宋体"/>
                      <w:color w:val="auto"/>
                      <w:sz w:val="21"/>
                      <w:szCs w:val="22"/>
                      <w:highlight w:val="none"/>
                      <w:lang w:eastAsia="zh-CN"/>
                    </w:rPr>
                    <w:t>为</w:t>
                  </w:r>
                  <w:r>
                    <w:rPr>
                      <w:rFonts w:hint="eastAsia" w:cs="Times New Roman"/>
                      <w:color w:val="auto"/>
                      <w:sz w:val="21"/>
                      <w:szCs w:val="21"/>
                      <w:highlight w:val="none"/>
                      <w:lang w:val="en-US" w:eastAsia="zh-CN"/>
                    </w:rPr>
                    <w:t>危险品仓储</w:t>
                  </w:r>
                  <w:r>
                    <w:rPr>
                      <w:rFonts w:hint="eastAsia"/>
                      <w:color w:val="auto"/>
                      <w:sz w:val="21"/>
                      <w:szCs w:val="22"/>
                      <w:highlight w:val="none"/>
                      <w:lang w:val="en-US" w:eastAsia="zh-CN"/>
                    </w:rPr>
                    <w:t>，不使用农药。</w:t>
                  </w:r>
                </w:p>
              </w:tc>
              <w:tc>
                <w:tcPr>
                  <w:tcW w:w="416" w:type="pct"/>
                  <w:tcBorders>
                    <w:tl2br w:val="nil"/>
                    <w:tr2bl w:val="nil"/>
                  </w:tcBorders>
                  <w:noWrap w:val="0"/>
                  <w:vAlign w:val="center"/>
                </w:tcPr>
                <w:p w14:paraId="5F417BE9">
                  <w:pPr>
                    <w:pStyle w:val="61"/>
                    <w:bidi w:val="0"/>
                    <w:ind w:left="0" w:leftChars="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符合</w:t>
                  </w:r>
                </w:p>
              </w:tc>
            </w:tr>
          </w:tbl>
          <w:p w14:paraId="60540E90">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1.</w:t>
            </w:r>
            <w:r>
              <w:rPr>
                <w:rFonts w:hint="eastAsia" w:cs="Times New Roman"/>
                <w:b/>
                <w:color w:val="auto"/>
                <w:sz w:val="24"/>
                <w:szCs w:val="24"/>
                <w:highlight w:val="none"/>
                <w:lang w:val="en-US" w:eastAsia="zh-CN"/>
              </w:rPr>
              <w:t>5</w:t>
            </w:r>
            <w:r>
              <w:rPr>
                <w:rFonts w:hint="default" w:ascii="Times New Roman" w:hAnsi="Times New Roman" w:eastAsia="宋体" w:cs="Times New Roman"/>
                <w:b/>
                <w:color w:val="auto"/>
                <w:sz w:val="24"/>
                <w:szCs w:val="24"/>
                <w:highlight w:val="none"/>
              </w:rPr>
              <w:t>其他符合性分析</w:t>
            </w:r>
          </w:p>
          <w:p w14:paraId="7D7333A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本项目与其他相关规划、政策符合性分析见表1</w:t>
            </w:r>
            <w:r>
              <w:rPr>
                <w:rFonts w:hint="eastAsia" w:cs="Times New Roman"/>
                <w:color w:val="auto"/>
                <w:sz w:val="24"/>
                <w:szCs w:val="24"/>
                <w:highlight w:val="none"/>
                <w:lang w:val="en-US" w:eastAsia="zh-CN"/>
              </w:rPr>
              <w:t>.5-1</w:t>
            </w:r>
            <w:r>
              <w:rPr>
                <w:rFonts w:hint="default" w:ascii="Times New Roman" w:hAnsi="Times New Roman" w:eastAsia="宋体" w:cs="Times New Roman"/>
                <w:color w:val="auto"/>
                <w:sz w:val="24"/>
                <w:szCs w:val="24"/>
                <w:highlight w:val="none"/>
              </w:rPr>
              <w:t>。</w:t>
            </w:r>
          </w:p>
          <w:p w14:paraId="18C33DF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w:t>
            </w:r>
            <w:r>
              <w:rPr>
                <w:rFonts w:hint="eastAsia" w:ascii="Times New Roman" w:hAnsi="Times New Roman" w:eastAsia="宋体" w:cs="Times New Roman"/>
                <w:b/>
                <w:bCs/>
                <w:color w:val="auto"/>
                <w:sz w:val="21"/>
                <w:szCs w:val="21"/>
                <w:highlight w:val="none"/>
                <w:lang w:val="en-US" w:eastAsia="zh-CN"/>
              </w:rPr>
              <w:t>1.</w:t>
            </w:r>
            <w:r>
              <w:rPr>
                <w:rFonts w:hint="eastAsia" w:cs="Times New Roman"/>
                <w:b/>
                <w:bCs/>
                <w:color w:val="auto"/>
                <w:sz w:val="21"/>
                <w:szCs w:val="21"/>
                <w:highlight w:val="none"/>
                <w:lang w:val="en-US" w:eastAsia="zh-CN"/>
              </w:rPr>
              <w:t>5</w:t>
            </w:r>
            <w:r>
              <w:rPr>
                <w:rFonts w:hint="eastAsia" w:ascii="Times New Roman" w:hAnsi="Times New Roman" w:eastAsia="宋体"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lang w:val="en-US" w:eastAsia="zh-CN"/>
              </w:rPr>
              <w:t xml:space="preserve">   其他符合性分析表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3709"/>
              <w:gridCol w:w="2353"/>
              <w:gridCol w:w="425"/>
            </w:tblGrid>
            <w:tr w14:paraId="37B74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69" w:type="dxa"/>
                  <w:tcBorders>
                    <w:tl2br w:val="nil"/>
                    <w:tr2bl w:val="nil"/>
                  </w:tcBorders>
                  <w:vAlign w:val="center"/>
                </w:tcPr>
                <w:p w14:paraId="62A5B17B">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相关政策</w:t>
                  </w:r>
                </w:p>
              </w:tc>
              <w:tc>
                <w:tcPr>
                  <w:tcW w:w="3709" w:type="dxa"/>
                  <w:tcBorders>
                    <w:tl2br w:val="nil"/>
                    <w:tr2bl w:val="nil"/>
                  </w:tcBorders>
                  <w:vAlign w:val="center"/>
                </w:tcPr>
                <w:p w14:paraId="225F388F">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政策要求</w:t>
                  </w:r>
                </w:p>
              </w:tc>
              <w:tc>
                <w:tcPr>
                  <w:tcW w:w="2353" w:type="dxa"/>
                  <w:tcBorders>
                    <w:tl2br w:val="nil"/>
                    <w:tr2bl w:val="nil"/>
                  </w:tcBorders>
                  <w:vAlign w:val="center"/>
                </w:tcPr>
                <w:p w14:paraId="1AD6A9D6">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本项目情况</w:t>
                  </w:r>
                </w:p>
              </w:tc>
              <w:tc>
                <w:tcPr>
                  <w:tcW w:w="425" w:type="dxa"/>
                  <w:tcBorders>
                    <w:tl2br w:val="nil"/>
                    <w:tr2bl w:val="nil"/>
                  </w:tcBorders>
                  <w:vAlign w:val="center"/>
                </w:tcPr>
                <w:p w14:paraId="1105B1E8">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符合性</w:t>
                  </w:r>
                </w:p>
              </w:tc>
            </w:tr>
            <w:tr w14:paraId="62848E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69" w:type="dxa"/>
                  <w:tcBorders>
                    <w:tl2br w:val="nil"/>
                    <w:tr2bl w:val="nil"/>
                  </w:tcBorders>
                  <w:vAlign w:val="center"/>
                </w:tcPr>
                <w:p w14:paraId="1E95148F">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《空气质量持续改善行动计划》的通知（国发〔2023〕24号）</w:t>
                  </w:r>
                </w:p>
              </w:tc>
              <w:tc>
                <w:tcPr>
                  <w:tcW w:w="3709" w:type="dxa"/>
                  <w:tcBorders>
                    <w:tl2br w:val="nil"/>
                    <w:tr2bl w:val="nil"/>
                  </w:tcBorders>
                  <w:vAlign w:val="center"/>
                </w:tcPr>
                <w:p w14:paraId="7457B73E">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新改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tc>
              <w:tc>
                <w:tcPr>
                  <w:tcW w:w="2353" w:type="dxa"/>
                  <w:tcBorders>
                    <w:tl2br w:val="nil"/>
                    <w:tr2bl w:val="nil"/>
                  </w:tcBorders>
                  <w:vAlign w:val="center"/>
                </w:tcPr>
                <w:p w14:paraId="39E53FDC">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本项目为新建项目，已委托编制环境影响评价报告，项目建设符合《若羌县国土空间总体规划（2021-2035年）》等相关产业政策。</w:t>
                  </w:r>
                </w:p>
              </w:tc>
              <w:tc>
                <w:tcPr>
                  <w:tcW w:w="425" w:type="dxa"/>
                  <w:tcBorders>
                    <w:tl2br w:val="nil"/>
                    <w:tr2bl w:val="nil"/>
                  </w:tcBorders>
                  <w:vAlign w:val="center"/>
                </w:tcPr>
                <w:p w14:paraId="023A6DBA">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48C2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69" w:type="dxa"/>
                  <w:tcBorders>
                    <w:tl2br w:val="nil"/>
                    <w:tr2bl w:val="nil"/>
                  </w:tcBorders>
                  <w:vAlign w:val="center"/>
                </w:tcPr>
                <w:p w14:paraId="796D5403">
                  <w:pPr>
                    <w:spacing w:line="240" w:lineRule="auto"/>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自治区人民政府办公厅 新疆生产建设兵团办公厅关于印发《新疆维吾尔自治区2025年空气质量持续改善行动实施方案》的通知（新政办发〔2024〕58号）</w:t>
                  </w:r>
                </w:p>
              </w:tc>
              <w:tc>
                <w:tcPr>
                  <w:tcW w:w="3709" w:type="dxa"/>
                  <w:tcBorders>
                    <w:tl2br w:val="nil"/>
                    <w:tr2bl w:val="nil"/>
                  </w:tcBorders>
                  <w:vAlign w:val="center"/>
                </w:tcPr>
                <w:p w14:paraId="6E85046A">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坚决遏制高耗能、高排放、低水平项目盲目上马。新改扩建项目严格落实国家和自治区产业规划、产业政策、生态环境分区管控方案、规划环评、项目环评、节能审查、产能置换、重点污染物总量控制、污染物排放区域削减、碳排放达峰目标等相关要求，原则上采用清洁运输方式，达到能效标杆水平、环保绩效A级水平。涉及产能置换的项目，被置换产能及设备关停后，新建项目方可投产。</w:t>
                  </w:r>
                </w:p>
              </w:tc>
              <w:tc>
                <w:tcPr>
                  <w:tcW w:w="2353" w:type="dxa"/>
                  <w:tcBorders>
                    <w:tl2br w:val="nil"/>
                    <w:tr2bl w:val="nil"/>
                  </w:tcBorders>
                  <w:vAlign w:val="center"/>
                </w:tcPr>
                <w:p w14:paraId="79734589">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本项目为新建项目，已委托编制环境影响评价报告，项目建设符合《若羌县国土空间总体规划（2021-2035年）》等相关产业政策。</w:t>
                  </w:r>
                </w:p>
              </w:tc>
              <w:tc>
                <w:tcPr>
                  <w:tcW w:w="425" w:type="dxa"/>
                  <w:tcBorders>
                    <w:tl2br w:val="nil"/>
                    <w:tr2bl w:val="nil"/>
                  </w:tcBorders>
                  <w:vAlign w:val="center"/>
                </w:tcPr>
                <w:p w14:paraId="66398A5A">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4F8CCC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769" w:type="dxa"/>
                  <w:tcBorders>
                    <w:tl2br w:val="nil"/>
                    <w:tr2bl w:val="nil"/>
                  </w:tcBorders>
                  <w:shd w:val="clear" w:color="auto" w:fill="auto"/>
                  <w:vAlign w:val="center"/>
                </w:tcPr>
                <w:p w14:paraId="244228A1">
                  <w:pPr>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新疆维吾尔自治区国民经济和社会发展第十</w:t>
                  </w:r>
                  <w:r>
                    <w:rPr>
                      <w:rFonts w:hint="eastAsia" w:cs="Times New Roman"/>
                      <w:color w:val="auto"/>
                      <w:sz w:val="21"/>
                      <w:szCs w:val="21"/>
                      <w:highlight w:val="none"/>
                      <w:lang w:val="en-US" w:eastAsia="zh-CN"/>
                    </w:rPr>
                    <w:t>五</w:t>
                  </w:r>
                  <w:r>
                    <w:rPr>
                      <w:rFonts w:hint="default" w:ascii="Times New Roman" w:hAnsi="Times New Roman" w:eastAsia="宋体" w:cs="Times New Roman"/>
                      <w:color w:val="auto"/>
                      <w:sz w:val="21"/>
                      <w:szCs w:val="21"/>
                      <w:highlight w:val="none"/>
                    </w:rPr>
                    <w:t>个五年规划</w:t>
                  </w:r>
                  <w:r>
                    <w:rPr>
                      <w:rFonts w:hint="eastAsia" w:cs="Times New Roman"/>
                      <w:color w:val="auto"/>
                      <w:sz w:val="21"/>
                      <w:szCs w:val="21"/>
                      <w:highlight w:val="none"/>
                      <w:lang w:val="en-US" w:eastAsia="zh-CN"/>
                    </w:rPr>
                    <w:t>纲要</w:t>
                  </w:r>
                  <w:r>
                    <w:rPr>
                      <w:rFonts w:hint="default" w:ascii="Times New Roman" w:hAnsi="Times New Roman" w:eastAsia="宋体" w:cs="Times New Roman"/>
                      <w:color w:val="auto"/>
                      <w:sz w:val="21"/>
                      <w:szCs w:val="21"/>
                      <w:highlight w:val="none"/>
                      <w:lang w:eastAsia="zh-CN"/>
                    </w:rPr>
                    <w:t>》</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2026年3月</w:t>
                  </w:r>
                  <w:r>
                    <w:rPr>
                      <w:rFonts w:hint="eastAsia" w:cs="Times New Roman"/>
                      <w:color w:val="auto"/>
                      <w:sz w:val="21"/>
                      <w:szCs w:val="21"/>
                      <w:highlight w:val="none"/>
                      <w:lang w:eastAsia="zh-CN"/>
                    </w:rPr>
                    <w:t>）</w:t>
                  </w:r>
                </w:p>
              </w:tc>
              <w:tc>
                <w:tcPr>
                  <w:tcW w:w="3709" w:type="dxa"/>
                  <w:tcBorders>
                    <w:tl2br w:val="nil"/>
                    <w:tr2bl w:val="nil"/>
                  </w:tcBorders>
                  <w:shd w:val="clear" w:color="auto" w:fill="auto"/>
                  <w:vAlign w:val="center"/>
                </w:tcPr>
                <w:p w14:paraId="3934AA09">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大力发展民营经济。制定自治区实施民营经济促进法办法，完善配套制度建设，依法平等保护民营企业和民营企业家合法权益。构建亲清政商关系，积极促进“两个健康”。健全民营经济发展综合服务体系，落实领导干部联系民营企业(商会、协会)制度，完善政企常态化沟通交流和问题解决机制。持续完善民营经济监测分析指标体系。推进基础设施竞争性领域向各类经营主体公平开放，支持有能力的民营企业牵头承担国家重大技术攻关任务。健全民营中小企业增信制度，完善民营企业融资支持政策。畅通人才向民营企业流动渠道，加大对民营企业高端人才和特殊人才引育支持力度。引导民营企业完善治理结构和管理制度。</w:t>
                  </w:r>
                </w:p>
              </w:tc>
              <w:tc>
                <w:tcPr>
                  <w:tcW w:w="2353" w:type="dxa"/>
                  <w:tcBorders>
                    <w:tl2br w:val="nil"/>
                    <w:tr2bl w:val="nil"/>
                  </w:tcBorders>
                  <w:shd w:val="clear" w:color="auto" w:fill="auto"/>
                  <w:vAlign w:val="center"/>
                </w:tcPr>
                <w:p w14:paraId="03B92D59">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本项目为</w:t>
                  </w:r>
                  <w:r>
                    <w:rPr>
                      <w:rFonts w:hint="eastAsia" w:cs="Times New Roman"/>
                      <w:color w:val="auto"/>
                      <w:sz w:val="21"/>
                      <w:szCs w:val="21"/>
                      <w:highlight w:val="none"/>
                      <w:lang w:val="en-US" w:eastAsia="zh-CN"/>
                    </w:rPr>
                    <w:t>危险品仓储</w:t>
                  </w:r>
                  <w:r>
                    <w:rPr>
                      <w:rFonts w:hint="default" w:ascii="Times New Roman" w:hAnsi="Times New Roman" w:eastAsia="宋体" w:cs="Times New Roman"/>
                      <w:snapToGrid w:val="0"/>
                      <w:color w:val="auto"/>
                      <w:kern w:val="0"/>
                      <w:sz w:val="21"/>
                      <w:szCs w:val="21"/>
                      <w:highlight w:val="none"/>
                      <w:lang w:val="en-US" w:eastAsia="zh-CN" w:bidi="ar-SA"/>
                      <w14:ligatures w14:val="none"/>
                    </w:rPr>
                    <w:t>，</w:t>
                  </w:r>
                  <w:r>
                    <w:rPr>
                      <w:rFonts w:hint="eastAsia" w:cs="Times New Roman"/>
                      <w:snapToGrid w:val="0"/>
                      <w:color w:val="auto"/>
                      <w:kern w:val="0"/>
                      <w:sz w:val="21"/>
                      <w:szCs w:val="21"/>
                      <w:highlight w:val="none"/>
                      <w:lang w:val="en-US" w:eastAsia="zh-CN" w:bidi="ar-SA"/>
                      <w14:ligatures w14:val="none"/>
                    </w:rPr>
                    <w:t>用于贮存</w:t>
                  </w:r>
                  <w:r>
                    <w:rPr>
                      <w:rFonts w:hint="default" w:ascii="Times New Roman" w:hAnsi="Times New Roman" w:eastAsia="宋体" w:cs="Times New Roman"/>
                      <w:snapToGrid w:val="0"/>
                      <w:color w:val="auto"/>
                      <w:kern w:val="0"/>
                      <w:sz w:val="21"/>
                      <w:szCs w:val="21"/>
                      <w:highlight w:val="none"/>
                      <w:lang w:val="en-US" w:eastAsia="zh-CN" w:bidi="ar-SA"/>
                      <w14:ligatures w14:val="none"/>
                    </w:rPr>
                    <w:t>民用爆炸物品，为确保若羌羌河新材料有限公司及周边矿区民用爆炸物品保障需求</w:t>
                  </w:r>
                  <w:r>
                    <w:rPr>
                      <w:rFonts w:hint="eastAsia" w:cs="Times New Roman"/>
                      <w:snapToGrid w:val="0"/>
                      <w:color w:val="auto"/>
                      <w:kern w:val="0"/>
                      <w:sz w:val="21"/>
                      <w:szCs w:val="21"/>
                      <w:highlight w:val="none"/>
                      <w:lang w:val="en-US" w:eastAsia="zh-CN" w:bidi="ar-SA"/>
                      <w14:ligatures w14:val="none"/>
                    </w:rPr>
                    <w:t>，推动民营经济的大力发展</w:t>
                  </w:r>
                  <w:r>
                    <w:rPr>
                      <w:rFonts w:hint="default" w:ascii="Times New Roman" w:hAnsi="Times New Roman" w:eastAsia="宋体" w:cs="Times New Roman"/>
                      <w:snapToGrid w:val="0"/>
                      <w:color w:val="auto"/>
                      <w:kern w:val="0"/>
                      <w:sz w:val="21"/>
                      <w:szCs w:val="21"/>
                      <w:highlight w:val="none"/>
                      <w:lang w:val="en-US" w:eastAsia="zh-CN" w:bidi="ar-SA"/>
                      <w14:ligatures w14:val="none"/>
                    </w:rPr>
                    <w:t>。</w:t>
                  </w:r>
                </w:p>
              </w:tc>
              <w:tc>
                <w:tcPr>
                  <w:tcW w:w="425" w:type="dxa"/>
                  <w:tcBorders>
                    <w:tl2br w:val="nil"/>
                    <w:tr2bl w:val="nil"/>
                  </w:tcBorders>
                  <w:vAlign w:val="center"/>
                </w:tcPr>
                <w:p w14:paraId="04E425D2">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CC38D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1769" w:type="dxa"/>
                  <w:tcBorders>
                    <w:tl2br w:val="nil"/>
                    <w:tr2bl w:val="nil"/>
                  </w:tcBorders>
                  <w:shd w:val="clear" w:color="auto" w:fill="auto"/>
                  <w:vAlign w:val="center"/>
                </w:tcPr>
                <w:p w14:paraId="4D7B6550">
                  <w:pPr>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val="en-US" w:eastAsia="zh-CN"/>
                    </w:rPr>
                    <w:t>《新疆维吾尔自治区环境保护条例》</w:t>
                  </w:r>
                  <w:r>
                    <w:rPr>
                      <w:rFonts w:hint="eastAsia" w:cs="Times New Roman"/>
                      <w:color w:val="auto"/>
                      <w:sz w:val="21"/>
                      <w:szCs w:val="21"/>
                      <w:highlight w:val="none"/>
                      <w:lang w:val="en-US" w:eastAsia="zh-CN"/>
                    </w:rPr>
                    <w:t>（2012年2月1日起施行）</w:t>
                  </w:r>
                </w:p>
              </w:tc>
              <w:tc>
                <w:tcPr>
                  <w:tcW w:w="3709" w:type="dxa"/>
                  <w:tcBorders>
                    <w:tl2br w:val="nil"/>
                    <w:tr2bl w:val="nil"/>
                  </w:tcBorders>
                  <w:shd w:val="clear" w:color="auto" w:fill="auto"/>
                  <w:vAlign w:val="center"/>
                </w:tcPr>
                <w:p w14:paraId="5BCDD6A7">
                  <w:pPr>
                    <w:pStyle w:val="62"/>
                    <w:bidi w:val="0"/>
                    <w:ind w:right="113" w:rightChars="0" w:firstLine="0" w:firstLineChars="0"/>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建设对环境有影响的项目，应当依法进行环境影响评价。建设单位应当在开工建设前向有审批权的环境保护主管部门报批建设项目环境影响评价报告书、报告表。</w:t>
                  </w:r>
                </w:p>
              </w:tc>
              <w:tc>
                <w:tcPr>
                  <w:tcW w:w="2353" w:type="dxa"/>
                  <w:tcBorders>
                    <w:tl2br w:val="nil"/>
                    <w:tr2bl w:val="nil"/>
                  </w:tcBorders>
                  <w:shd w:val="clear" w:color="auto" w:fill="auto"/>
                  <w:vAlign w:val="center"/>
                </w:tcPr>
                <w:p w14:paraId="1947AD13">
                  <w:pPr>
                    <w:pStyle w:val="25"/>
                    <w:ind w:firstLine="0" w:firstLineChars="0"/>
                    <w:jc w:val="both"/>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ascii="Times New Roman" w:hAnsi="Times New Roman" w:cs="Times New Roman"/>
                      <w:color w:val="000000"/>
                      <w:spacing w:val="-6"/>
                      <w:sz w:val="21"/>
                      <w:highlight w:val="none"/>
                      <w:lang w:val="en-US" w:eastAsia="zh-CN"/>
                    </w:rPr>
                    <w:t>建设单位已委托新疆玖和生态环境科技有限公司编制本项目环境影响</w:t>
                  </w:r>
                  <w:r>
                    <w:rPr>
                      <w:rFonts w:hint="eastAsia" w:cs="Times New Roman"/>
                      <w:color w:val="000000"/>
                      <w:spacing w:val="-6"/>
                      <w:sz w:val="21"/>
                      <w:highlight w:val="none"/>
                      <w:lang w:val="en-US" w:eastAsia="zh-CN"/>
                    </w:rPr>
                    <w:t>评价</w:t>
                  </w:r>
                  <w:r>
                    <w:rPr>
                      <w:rFonts w:hint="eastAsia" w:ascii="Times New Roman" w:hAnsi="Times New Roman" w:cs="Times New Roman"/>
                      <w:color w:val="000000"/>
                      <w:spacing w:val="-6"/>
                      <w:sz w:val="21"/>
                      <w:highlight w:val="none"/>
                      <w:lang w:val="en-US" w:eastAsia="zh-CN"/>
                    </w:rPr>
                    <w:t>报告，并报巴州生态环境局审批。</w:t>
                  </w:r>
                </w:p>
              </w:tc>
              <w:tc>
                <w:tcPr>
                  <w:tcW w:w="425" w:type="dxa"/>
                  <w:tcBorders>
                    <w:tl2br w:val="nil"/>
                    <w:tr2bl w:val="nil"/>
                  </w:tcBorders>
                  <w:vAlign w:val="center"/>
                </w:tcPr>
                <w:p w14:paraId="526A99A5">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92A3F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69" w:type="dxa"/>
                  <w:tcBorders>
                    <w:tl2br w:val="nil"/>
                    <w:tr2bl w:val="nil"/>
                  </w:tcBorders>
                  <w:shd w:val="clear" w:color="auto" w:fill="auto"/>
                  <w:vAlign w:val="center"/>
                </w:tcPr>
                <w:p w14:paraId="0B92D53A">
                  <w:pPr>
                    <w:spacing w:line="240" w:lineRule="auto"/>
                    <w:ind w:firstLine="0" w:firstLineChars="0"/>
                    <w:jc w:val="center"/>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巴音郭楞蒙古自治州国民经济和社会发展第十四个五年规划和二〇三五年远景目标纲要</w:t>
                  </w:r>
                  <w:r>
                    <w:rPr>
                      <w:rFonts w:hint="default" w:ascii="Times New Roman" w:hAnsi="Times New Roman" w:eastAsia="宋体" w:cs="Times New Roman"/>
                      <w:color w:val="auto"/>
                      <w:sz w:val="21"/>
                      <w:szCs w:val="21"/>
                      <w:highlight w:val="none"/>
                      <w:lang w:eastAsia="zh-CN"/>
                    </w:rPr>
                    <w:t>》</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2021年2月22日发布</w:t>
                  </w:r>
                  <w:r>
                    <w:rPr>
                      <w:rFonts w:hint="eastAsia" w:cs="Times New Roman"/>
                      <w:color w:val="auto"/>
                      <w:sz w:val="21"/>
                      <w:szCs w:val="21"/>
                      <w:highlight w:val="none"/>
                      <w:lang w:eastAsia="zh-CN"/>
                    </w:rPr>
                    <w:t>）</w:t>
                  </w:r>
                </w:p>
              </w:tc>
              <w:tc>
                <w:tcPr>
                  <w:tcW w:w="3709" w:type="dxa"/>
                  <w:tcBorders>
                    <w:tl2br w:val="nil"/>
                    <w:tr2bl w:val="nil"/>
                  </w:tcBorders>
                  <w:shd w:val="clear" w:color="auto" w:fill="auto"/>
                  <w:vAlign w:val="center"/>
                </w:tcPr>
                <w:p w14:paraId="22BBED9F">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发展壮大民营经济。坚持“两个毫不动摇”和“三个平等”，将民营经济发展放在更加突出位置，推进建立公平竞争审查制度，努力破除民营企业在市场准入、审批许可、经营运行、招投标等方面的歧视性限制和各种隐形壁垒。贯彻落实中央《关于加强金融服务民营企业的若干意见》，加强银企对接，鼓励金融机构增加民营企业、小微企业信贷投放；支持民营企业直接上市融资；用好融资担保基金，建立小微企业降低融资担保成本奖补机制；放宽民间投资准入，鼓励民间资本采取混合所有制、联合招投标等方式参与政府和社会资本合作项目。实施行业龙头培育工程，重点支持一批有实力、带动力强的民营企业，鼓励各类民营企业整合重组，促进形成产业集群。开展帮扶民营企业专项行动，构建“亲”“清”新型政商关系。</w:t>
                  </w:r>
                </w:p>
              </w:tc>
              <w:tc>
                <w:tcPr>
                  <w:tcW w:w="2353" w:type="dxa"/>
                  <w:tcBorders>
                    <w:tl2br w:val="nil"/>
                    <w:tr2bl w:val="nil"/>
                  </w:tcBorders>
                  <w:shd w:val="clear" w:color="auto" w:fill="auto"/>
                  <w:vAlign w:val="center"/>
                </w:tcPr>
                <w:p w14:paraId="2C54D617">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本项目为</w:t>
                  </w:r>
                  <w:r>
                    <w:rPr>
                      <w:rFonts w:hint="eastAsia" w:cs="Times New Roman"/>
                      <w:color w:val="auto"/>
                      <w:sz w:val="21"/>
                      <w:szCs w:val="21"/>
                      <w:highlight w:val="none"/>
                      <w:lang w:val="en-US" w:eastAsia="zh-CN"/>
                    </w:rPr>
                    <w:t>危险品仓储</w:t>
                  </w:r>
                  <w:r>
                    <w:rPr>
                      <w:rFonts w:hint="default" w:ascii="Times New Roman" w:hAnsi="Times New Roman" w:eastAsia="宋体" w:cs="Times New Roman"/>
                      <w:snapToGrid w:val="0"/>
                      <w:color w:val="auto"/>
                      <w:kern w:val="0"/>
                      <w:sz w:val="21"/>
                      <w:szCs w:val="21"/>
                      <w:highlight w:val="none"/>
                      <w:lang w:val="en-US" w:eastAsia="zh-CN" w:bidi="ar-SA"/>
                      <w14:ligatures w14:val="none"/>
                    </w:rPr>
                    <w:t>，</w:t>
                  </w:r>
                  <w:r>
                    <w:rPr>
                      <w:rFonts w:hint="eastAsia" w:cs="Times New Roman"/>
                      <w:snapToGrid w:val="0"/>
                      <w:color w:val="auto"/>
                      <w:kern w:val="0"/>
                      <w:sz w:val="21"/>
                      <w:szCs w:val="21"/>
                      <w:highlight w:val="none"/>
                      <w:lang w:val="en-US" w:eastAsia="zh-CN" w:bidi="ar-SA"/>
                      <w14:ligatures w14:val="none"/>
                    </w:rPr>
                    <w:t>用于贮存</w:t>
                  </w:r>
                  <w:r>
                    <w:rPr>
                      <w:rFonts w:hint="default" w:ascii="Times New Roman" w:hAnsi="Times New Roman" w:eastAsia="宋体" w:cs="Times New Roman"/>
                      <w:snapToGrid w:val="0"/>
                      <w:color w:val="auto"/>
                      <w:kern w:val="0"/>
                      <w:sz w:val="21"/>
                      <w:szCs w:val="21"/>
                      <w:highlight w:val="none"/>
                      <w:lang w:val="en-US" w:eastAsia="zh-CN" w:bidi="ar-SA"/>
                      <w14:ligatures w14:val="none"/>
                    </w:rPr>
                    <w:t>民用爆炸物品，为确保若羌羌河新材料有限公司及周边矿区民用爆炸物品保障需求</w:t>
                  </w:r>
                  <w:r>
                    <w:rPr>
                      <w:rFonts w:hint="eastAsia" w:cs="Times New Roman"/>
                      <w:snapToGrid w:val="0"/>
                      <w:color w:val="auto"/>
                      <w:kern w:val="0"/>
                      <w:sz w:val="21"/>
                      <w:szCs w:val="21"/>
                      <w:highlight w:val="none"/>
                      <w:lang w:val="en-US" w:eastAsia="zh-CN" w:bidi="ar-SA"/>
                      <w14:ligatures w14:val="none"/>
                    </w:rPr>
                    <w:t>，推动民营经济的大力发展，</w:t>
                  </w:r>
                  <w:r>
                    <w:rPr>
                      <w:rFonts w:hint="default" w:ascii="Times New Roman" w:hAnsi="Times New Roman" w:eastAsia="宋体" w:cs="Times New Roman"/>
                      <w:color w:val="auto"/>
                      <w:sz w:val="21"/>
                      <w:szCs w:val="21"/>
                      <w:highlight w:val="none"/>
                      <w:lang w:eastAsia="zh-CN"/>
                    </w:rPr>
                    <w:t>符合《巴音郭楞蒙古自治州国民经济和社会发展第十四个五年规划和二〇三五年远景目标纲要》要求。</w:t>
                  </w:r>
                </w:p>
              </w:tc>
              <w:tc>
                <w:tcPr>
                  <w:tcW w:w="425" w:type="dxa"/>
                  <w:tcBorders>
                    <w:tl2br w:val="nil"/>
                    <w:tr2bl w:val="nil"/>
                  </w:tcBorders>
                  <w:vAlign w:val="center"/>
                </w:tcPr>
                <w:p w14:paraId="65BFFF60">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B478C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1769" w:type="dxa"/>
                  <w:tcBorders>
                    <w:tl2br w:val="nil"/>
                    <w:tr2bl w:val="nil"/>
                  </w:tcBorders>
                  <w:shd w:val="clear" w:color="auto" w:fill="auto"/>
                  <w:vAlign w:val="center"/>
                </w:tcPr>
                <w:p w14:paraId="52B24F97">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若羌</w:t>
                  </w:r>
                  <w:r>
                    <w:rPr>
                      <w:rFonts w:hint="default" w:ascii="Times New Roman" w:hAnsi="Times New Roman" w:eastAsia="宋体" w:cs="Times New Roman"/>
                      <w:color w:val="auto"/>
                      <w:sz w:val="21"/>
                      <w:szCs w:val="21"/>
                      <w:highlight w:val="none"/>
                    </w:rPr>
                    <w:t>县国民经济和社会发展第十四个五年规划和2035年远景目标</w:t>
                  </w:r>
                  <w:r>
                    <w:rPr>
                      <w:rFonts w:hint="default" w:ascii="Times New Roman" w:hAnsi="Times New Roman" w:eastAsia="宋体" w:cs="Times New Roman"/>
                      <w:color w:val="auto"/>
                      <w:sz w:val="21"/>
                      <w:szCs w:val="21"/>
                      <w:highlight w:val="none"/>
                      <w:lang w:eastAsia="zh-CN"/>
                    </w:rPr>
                    <w:t>》</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2021年10月23日</w:t>
                  </w:r>
                  <w:r>
                    <w:rPr>
                      <w:rFonts w:hint="eastAsia" w:cs="Times New Roman"/>
                      <w:color w:val="auto"/>
                      <w:sz w:val="21"/>
                      <w:szCs w:val="21"/>
                      <w:highlight w:val="none"/>
                      <w:lang w:eastAsia="zh-CN"/>
                    </w:rPr>
                    <w:t>）</w:t>
                  </w:r>
                </w:p>
              </w:tc>
              <w:tc>
                <w:tcPr>
                  <w:tcW w:w="3709" w:type="dxa"/>
                  <w:tcBorders>
                    <w:tl2br w:val="nil"/>
                    <w:tr2bl w:val="nil"/>
                  </w:tcBorders>
                  <w:shd w:val="clear" w:color="auto" w:fill="auto"/>
                  <w:vAlign w:val="center"/>
                </w:tcPr>
                <w:p w14:paraId="5D33396B">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支持民营企业参与竞争性领域的国有优质企业、优质资产、优质资源的改制重组，激发民营经济发展活力。支持民间资本进入基础设施和城市公用事业领域，引导民间资本投向医疗、教育、文化、金融等公共服务领域。深化投资体制改革，为民间资本建设项目开辟和建立绿色通道。严格规范、有序实施政府和社会资本合作模式（PPP项目）。鼓励民间资本发起设立产业投资和股权投资基金。</w:t>
                  </w:r>
                </w:p>
              </w:tc>
              <w:tc>
                <w:tcPr>
                  <w:tcW w:w="2353" w:type="dxa"/>
                  <w:tcBorders>
                    <w:tl2br w:val="nil"/>
                    <w:tr2bl w:val="nil"/>
                  </w:tcBorders>
                  <w:shd w:val="clear" w:color="auto" w:fill="auto"/>
                  <w:vAlign w:val="center"/>
                </w:tcPr>
                <w:p w14:paraId="2BFD79E7">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本项目为</w:t>
                  </w:r>
                  <w:r>
                    <w:rPr>
                      <w:rFonts w:hint="eastAsia" w:cs="Times New Roman"/>
                      <w:color w:val="auto"/>
                      <w:sz w:val="21"/>
                      <w:szCs w:val="21"/>
                      <w:highlight w:val="none"/>
                      <w:lang w:val="en-US" w:eastAsia="zh-CN"/>
                    </w:rPr>
                    <w:t>危险品仓储</w:t>
                  </w:r>
                  <w:r>
                    <w:rPr>
                      <w:rFonts w:hint="default" w:ascii="Times New Roman" w:hAnsi="Times New Roman" w:eastAsia="宋体" w:cs="Times New Roman"/>
                      <w:snapToGrid w:val="0"/>
                      <w:color w:val="auto"/>
                      <w:kern w:val="0"/>
                      <w:sz w:val="21"/>
                      <w:szCs w:val="21"/>
                      <w:highlight w:val="none"/>
                      <w:lang w:val="en-US" w:eastAsia="zh-CN" w:bidi="ar-SA"/>
                      <w14:ligatures w14:val="none"/>
                    </w:rPr>
                    <w:t>，</w:t>
                  </w:r>
                  <w:r>
                    <w:rPr>
                      <w:rFonts w:hint="eastAsia" w:cs="Times New Roman"/>
                      <w:snapToGrid w:val="0"/>
                      <w:color w:val="auto"/>
                      <w:kern w:val="0"/>
                      <w:sz w:val="21"/>
                      <w:szCs w:val="21"/>
                      <w:highlight w:val="none"/>
                      <w:lang w:val="en-US" w:eastAsia="zh-CN" w:bidi="ar-SA"/>
                      <w14:ligatures w14:val="none"/>
                    </w:rPr>
                    <w:t>用于贮存</w:t>
                  </w:r>
                  <w:r>
                    <w:rPr>
                      <w:rFonts w:hint="default" w:ascii="Times New Roman" w:hAnsi="Times New Roman" w:eastAsia="宋体" w:cs="Times New Roman"/>
                      <w:snapToGrid w:val="0"/>
                      <w:color w:val="auto"/>
                      <w:kern w:val="0"/>
                      <w:sz w:val="21"/>
                      <w:szCs w:val="21"/>
                      <w:highlight w:val="none"/>
                      <w:lang w:val="en-US" w:eastAsia="zh-CN" w:bidi="ar-SA"/>
                      <w14:ligatures w14:val="none"/>
                    </w:rPr>
                    <w:t>民用爆炸物品，为确保若羌羌河新材料有限公司及周边矿区民用爆炸物品保障需求</w:t>
                  </w:r>
                  <w:r>
                    <w:rPr>
                      <w:rFonts w:hint="eastAsia" w:cs="Times New Roman"/>
                      <w:snapToGrid w:val="0"/>
                      <w:color w:val="auto"/>
                      <w:kern w:val="0"/>
                      <w:sz w:val="21"/>
                      <w:szCs w:val="21"/>
                      <w:highlight w:val="none"/>
                      <w:lang w:val="en-US" w:eastAsia="zh-CN" w:bidi="ar-SA"/>
                      <w14:ligatures w14:val="none"/>
                    </w:rPr>
                    <w:t>，推动民营经济的大力发展，</w:t>
                  </w:r>
                  <w:r>
                    <w:rPr>
                      <w:rFonts w:hint="default" w:ascii="Times New Roman" w:hAnsi="Times New Roman" w:eastAsia="宋体" w:cs="Times New Roman"/>
                      <w:color w:val="auto"/>
                      <w:sz w:val="21"/>
                      <w:szCs w:val="21"/>
                      <w:highlight w:val="none"/>
                      <w:lang w:eastAsia="zh-CN"/>
                    </w:rPr>
                    <w:t>符合</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若羌</w:t>
                  </w:r>
                  <w:r>
                    <w:rPr>
                      <w:rFonts w:hint="default" w:ascii="Times New Roman" w:hAnsi="Times New Roman" w:eastAsia="宋体" w:cs="Times New Roman"/>
                      <w:color w:val="auto"/>
                      <w:sz w:val="21"/>
                      <w:szCs w:val="21"/>
                      <w:highlight w:val="none"/>
                    </w:rPr>
                    <w:t>县国民经济和社会发展第十四个五年规划和2035年远景目标</w:t>
                  </w:r>
                  <w:r>
                    <w:rPr>
                      <w:rFonts w:hint="default" w:ascii="Times New Roman" w:hAnsi="Times New Roman" w:eastAsia="宋体" w:cs="Times New Roman"/>
                      <w:color w:val="auto"/>
                      <w:sz w:val="21"/>
                      <w:szCs w:val="21"/>
                      <w:highlight w:val="none"/>
                      <w:lang w:eastAsia="zh-CN"/>
                    </w:rPr>
                    <w:t>》要求。</w:t>
                  </w:r>
                </w:p>
              </w:tc>
              <w:tc>
                <w:tcPr>
                  <w:tcW w:w="425" w:type="dxa"/>
                  <w:tcBorders>
                    <w:tl2br w:val="nil"/>
                    <w:tr2bl w:val="nil"/>
                  </w:tcBorders>
                  <w:vAlign w:val="center"/>
                </w:tcPr>
                <w:p w14:paraId="1BF8016A">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1C145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69" w:type="dxa"/>
                  <w:tcBorders>
                    <w:tl2br w:val="nil"/>
                    <w:tr2bl w:val="nil"/>
                  </w:tcBorders>
                  <w:shd w:val="clear" w:color="auto" w:fill="auto"/>
                  <w:vAlign w:val="center"/>
                </w:tcPr>
                <w:p w14:paraId="79A8796F">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新疆生态环境保护</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十四五</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规划</w:t>
                  </w:r>
                  <w:r>
                    <w:rPr>
                      <w:rFonts w:hint="default" w:ascii="Times New Roman" w:hAnsi="Times New Roman" w:eastAsia="宋体" w:cs="Times New Roman"/>
                      <w:color w:val="auto"/>
                      <w:sz w:val="21"/>
                      <w:szCs w:val="21"/>
                      <w:highlight w:val="none"/>
                      <w:lang w:eastAsia="zh-CN"/>
                    </w:rPr>
                    <w:t>》</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2021年12月24日</w:t>
                  </w:r>
                  <w:r>
                    <w:rPr>
                      <w:rFonts w:hint="eastAsia" w:cs="Times New Roman"/>
                      <w:color w:val="auto"/>
                      <w:sz w:val="21"/>
                      <w:szCs w:val="21"/>
                      <w:highlight w:val="none"/>
                      <w:lang w:eastAsia="zh-CN"/>
                    </w:rPr>
                    <w:t>）</w:t>
                  </w:r>
                </w:p>
              </w:tc>
              <w:tc>
                <w:tcPr>
                  <w:tcW w:w="3709" w:type="dxa"/>
                  <w:tcBorders>
                    <w:tl2br w:val="nil"/>
                    <w:tr2bl w:val="nil"/>
                  </w:tcBorders>
                  <w:shd w:val="clear" w:color="auto" w:fill="auto"/>
                  <w:vAlign w:val="center"/>
                </w:tcPr>
                <w:p w14:paraId="366D9BD4">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以水生态环境质量为核心，统筹水资源利用、水生态保护和水环境治理，污染减排和生态扩容两手发力，保好水、治差水，持续推进水污染防治攻坚行动，严格落实水污染物排放总量控制制度，确保水资源、水生态、水环境统筹推进格局初步形成。</w:t>
                  </w:r>
                </w:p>
              </w:tc>
              <w:tc>
                <w:tcPr>
                  <w:tcW w:w="2353" w:type="dxa"/>
                  <w:tcBorders>
                    <w:tl2br w:val="nil"/>
                    <w:tr2bl w:val="nil"/>
                  </w:tcBorders>
                  <w:shd w:val="clear" w:color="auto" w:fill="auto"/>
                  <w:vAlign w:val="center"/>
                </w:tcPr>
                <w:p w14:paraId="539E4E24">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项目食堂废水经隔油预处理后与生活污水经地埋式一体化污水处理设施处理达标；春夏秋季用于洒水降尘，冬季储存于水箱，次年回暖后回用。</w:t>
                  </w:r>
                </w:p>
              </w:tc>
              <w:tc>
                <w:tcPr>
                  <w:tcW w:w="425" w:type="dxa"/>
                  <w:tcBorders>
                    <w:tl2br w:val="nil"/>
                    <w:tr2bl w:val="nil"/>
                  </w:tcBorders>
                  <w:vAlign w:val="center"/>
                </w:tcPr>
                <w:p w14:paraId="18EBCE5A">
                  <w:pPr>
                    <w:widowControl/>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E031D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69" w:type="dxa"/>
                  <w:tcBorders>
                    <w:tl2br w:val="nil"/>
                    <w:tr2bl w:val="nil"/>
                  </w:tcBorders>
                  <w:shd w:val="clear" w:color="auto" w:fill="auto"/>
                  <w:vAlign w:val="center"/>
                </w:tcPr>
                <w:p w14:paraId="23ECF524">
                  <w:pPr>
                    <w:spacing w:line="240" w:lineRule="auto"/>
                    <w:ind w:firstLine="0" w:firstLineChars="0"/>
                    <w:jc w:val="both"/>
                    <w:textAlignment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治州党委 自治州人民政府关于印发《巴音郭楞蒙古自治州生态环境“十四五”规划》的通知</w:t>
                  </w:r>
                  <w:r>
                    <w:rPr>
                      <w:rFonts w:hint="eastAsia" w:cs="Times New Roman"/>
                      <w:color w:val="auto"/>
                      <w:sz w:val="21"/>
                      <w:szCs w:val="21"/>
                      <w:highlight w:val="none"/>
                      <w:lang w:eastAsia="zh-CN"/>
                    </w:rPr>
                    <w:t>（</w:t>
                  </w:r>
                  <w:r>
                    <w:rPr>
                      <w:rFonts w:hint="eastAsia" w:cs="Times New Roman"/>
                      <w:color w:val="000000" w:themeColor="text1"/>
                      <w:kern w:val="2"/>
                      <w:sz w:val="21"/>
                      <w:szCs w:val="21"/>
                      <w:highlight w:val="none"/>
                      <w:lang w:val="en-US" w:eastAsia="zh-CN" w:bidi="ar-SA"/>
                      <w14:textFill>
                        <w14:solidFill>
                          <w14:schemeClr w14:val="tx1"/>
                        </w14:solidFill>
                      </w14:textFill>
                    </w:rPr>
                    <w:t>巴党</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发〔20</w:t>
                  </w:r>
                  <w:r>
                    <w:rPr>
                      <w:rFonts w:hint="eastAsia" w:cs="Times New Roman"/>
                      <w:color w:val="000000" w:themeColor="text1"/>
                      <w:kern w:val="2"/>
                      <w:sz w:val="21"/>
                      <w:szCs w:val="21"/>
                      <w:highlight w:val="none"/>
                      <w:lang w:val="en-US" w:eastAsia="zh-CN" w:bidi="ar-SA"/>
                      <w14:textFill>
                        <w14:solidFill>
                          <w14:schemeClr w14:val="tx1"/>
                        </w14:solidFill>
                      </w14:textFill>
                    </w:rPr>
                    <w:t>22</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eastAsia" w:cs="Times New Roman"/>
                      <w:color w:val="000000" w:themeColor="text1"/>
                      <w:kern w:val="2"/>
                      <w:sz w:val="21"/>
                      <w:szCs w:val="21"/>
                      <w:highlight w:val="none"/>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号</w:t>
                  </w:r>
                  <w:r>
                    <w:rPr>
                      <w:rFonts w:hint="eastAsia" w:cs="Times New Roman"/>
                      <w:color w:val="auto"/>
                      <w:sz w:val="21"/>
                      <w:szCs w:val="21"/>
                      <w:highlight w:val="none"/>
                      <w:lang w:eastAsia="zh-CN"/>
                    </w:rPr>
                    <w:t>）</w:t>
                  </w:r>
                </w:p>
              </w:tc>
              <w:tc>
                <w:tcPr>
                  <w:tcW w:w="3709" w:type="dxa"/>
                  <w:tcBorders>
                    <w:tl2br w:val="nil"/>
                    <w:tr2bl w:val="nil"/>
                  </w:tcBorders>
                  <w:shd w:val="clear" w:color="auto" w:fill="auto"/>
                  <w:vAlign w:val="center"/>
                </w:tcPr>
                <w:p w14:paraId="08735818">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环境空气质量持续改善压力较大。环境空气质量受沙尘影响较大，持续改善基础不稳定。近十年来，受气候冷暖变幅加大，大风天气增加等因素影响，浮尘、扬沙、沙尘暴等沙尘天气均出现明显反弹，面临气候变化和生态系统脆弱性增加带来沙尘天气增多的不利影响，空气质量持续改善压力增大。</w:t>
                  </w:r>
                </w:p>
              </w:tc>
              <w:tc>
                <w:tcPr>
                  <w:tcW w:w="2353" w:type="dxa"/>
                  <w:tcBorders>
                    <w:tl2br w:val="nil"/>
                    <w:tr2bl w:val="nil"/>
                  </w:tcBorders>
                  <w:shd w:val="clear" w:color="auto" w:fill="auto"/>
                  <w:vAlign w:val="center"/>
                </w:tcPr>
                <w:p w14:paraId="4F93340B">
                  <w:pPr>
                    <w:spacing w:line="240" w:lineRule="auto"/>
                    <w:ind w:firstLine="0" w:firstLineChars="0"/>
                    <w:jc w:val="both"/>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本项目产生的废气仅仅为车辆运输扬尘，经过洒水抑尘控制车速等措施，本项目对大气环境影响可接受。</w:t>
                  </w:r>
                </w:p>
              </w:tc>
              <w:tc>
                <w:tcPr>
                  <w:tcW w:w="425" w:type="dxa"/>
                  <w:tcBorders>
                    <w:tl2br w:val="nil"/>
                    <w:tr2bl w:val="nil"/>
                  </w:tcBorders>
                  <w:vAlign w:val="center"/>
                </w:tcPr>
                <w:p w14:paraId="74A527CB">
                  <w:pPr>
                    <w:widowControl/>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3FEB61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69" w:type="dxa"/>
                  <w:tcBorders>
                    <w:tl2br w:val="nil"/>
                    <w:tr2bl w:val="nil"/>
                  </w:tcBorders>
                  <w:shd w:val="clear" w:color="auto" w:fill="auto"/>
                  <w:vAlign w:val="center"/>
                </w:tcPr>
                <w:p w14:paraId="0CF5463A">
                  <w:pPr>
                    <w:spacing w:line="240" w:lineRule="auto"/>
                    <w:ind w:firstLine="0" w:firstLineChars="0"/>
                    <w:jc w:val="both"/>
                    <w:textAlignment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《民用爆炸物品安全管理条例》</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2014年7月29日</w:t>
                  </w:r>
                  <w:r>
                    <w:rPr>
                      <w:rFonts w:hint="eastAsia" w:cs="Times New Roman"/>
                      <w:color w:val="auto"/>
                      <w:sz w:val="21"/>
                      <w:szCs w:val="21"/>
                      <w:highlight w:val="none"/>
                      <w:lang w:eastAsia="zh-CN"/>
                    </w:rPr>
                    <w:t>）</w:t>
                  </w:r>
                </w:p>
              </w:tc>
              <w:tc>
                <w:tcPr>
                  <w:tcW w:w="3709" w:type="dxa"/>
                  <w:tcBorders>
                    <w:tl2br w:val="nil"/>
                    <w:tr2bl w:val="nil"/>
                  </w:tcBorders>
                  <w:shd w:val="clear" w:color="auto" w:fill="auto"/>
                  <w:vAlign w:val="center"/>
                </w:tcPr>
                <w:p w14:paraId="1C0594B3">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储存民用爆炸物品应当遵守下列规定：（一）建立出入库检查、登记制度，收存和发放民用爆炸物品必须进行登记，做到账目清楚，账物相符；（二）储存的民用爆炸物品数量不得超过储存设计容量，对性质相抵触的民用爆炸物品必须分库储存，严禁在库房内存放其他物品；（三）专用仓库应当指定专人管理、看护，严禁无关人员进入仓库区内，严禁在仓库区内吸烟和用火，严禁把其他容易引起燃烧、爆炸的物品带入仓库区内，严禁在库房内住宿和进行其他活动；（四）民用爆炸物品丢失、被盗、被抢，应当立即报告当地公安机关。</w:t>
                  </w:r>
                </w:p>
              </w:tc>
              <w:tc>
                <w:tcPr>
                  <w:tcW w:w="2353" w:type="dxa"/>
                  <w:tcBorders>
                    <w:tl2br w:val="nil"/>
                    <w:tr2bl w:val="nil"/>
                  </w:tcBorders>
                  <w:shd w:val="clear" w:color="auto" w:fill="auto"/>
                  <w:vAlign w:val="center"/>
                </w:tcPr>
                <w:p w14:paraId="6B629B3E">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bidi="ar"/>
                      <w14:ligatures w14:val="none"/>
                    </w:rPr>
                    <w:t>项目建立出入库检查、登记制度；项目设计雷炸药储存量</w:t>
                  </w:r>
                  <w:r>
                    <w:rPr>
                      <w:rFonts w:hint="default" w:ascii="Times New Roman" w:hAnsi="Times New Roman" w:eastAsia="宋体" w:cs="Times New Roman"/>
                      <w:snapToGrid w:val="0"/>
                      <w:color w:val="000000"/>
                      <w:kern w:val="0"/>
                      <w:sz w:val="21"/>
                      <w:szCs w:val="21"/>
                      <w:highlight w:val="none"/>
                      <w:lang w:val="en-US" w:eastAsia="zh-CN" w:bidi="ar"/>
                      <w14:ligatures w14:val="none"/>
                    </w:rPr>
                    <w:t>2</w:t>
                  </w:r>
                  <w:r>
                    <w:rPr>
                      <w:rFonts w:hint="eastAsia" w:ascii="Times New Roman" w:hAnsi="Times New Roman" w:eastAsia="宋体" w:cs="Times New Roman"/>
                      <w:snapToGrid w:val="0"/>
                      <w:color w:val="000000"/>
                      <w:kern w:val="0"/>
                      <w:sz w:val="21"/>
                      <w:szCs w:val="21"/>
                      <w:highlight w:val="none"/>
                      <w:lang w:val="en-US" w:eastAsia="zh-CN" w:bidi="ar"/>
                      <w14:ligatures w14:val="none"/>
                    </w:rPr>
                    <w:t>9</w:t>
                  </w:r>
                  <w:r>
                    <w:rPr>
                      <w:rFonts w:hint="default" w:ascii="Times New Roman" w:hAnsi="Times New Roman" w:eastAsia="宋体" w:cs="Times New Roman"/>
                      <w:snapToGrid w:val="0"/>
                      <w:color w:val="000000"/>
                      <w:kern w:val="0"/>
                      <w:sz w:val="21"/>
                      <w:szCs w:val="21"/>
                      <w:highlight w:val="none"/>
                      <w:lang w:val="en-US" w:eastAsia="zh-CN" w:bidi="ar"/>
                      <w14:ligatures w14:val="none"/>
                    </w:rPr>
                    <w:t>t</w:t>
                  </w:r>
                  <w:r>
                    <w:rPr>
                      <w:rFonts w:hint="eastAsia" w:ascii="宋体" w:hAnsi="宋体" w:eastAsia="宋体" w:cs="宋体"/>
                      <w:snapToGrid w:val="0"/>
                      <w:color w:val="000000"/>
                      <w:kern w:val="0"/>
                      <w:sz w:val="21"/>
                      <w:szCs w:val="21"/>
                      <w:highlight w:val="none"/>
                      <w:lang w:val="en-US" w:eastAsia="zh-CN" w:bidi="ar"/>
                      <w14:ligatures w14:val="none"/>
                    </w:rPr>
                    <w:t>、雷管储存量</w:t>
                  </w:r>
                  <w:r>
                    <w:rPr>
                      <w:rFonts w:hint="default" w:ascii="Times New Roman" w:hAnsi="Times New Roman" w:eastAsia="宋体" w:cs="Times New Roman"/>
                      <w:snapToGrid w:val="0"/>
                      <w:color w:val="000000"/>
                      <w:kern w:val="0"/>
                      <w:sz w:val="21"/>
                      <w:szCs w:val="21"/>
                      <w:highlight w:val="none"/>
                      <w:lang w:val="en-US" w:eastAsia="zh-CN" w:bidi="ar"/>
                      <w14:ligatures w14:val="none"/>
                    </w:rPr>
                    <w:t>3万发</w:t>
                  </w:r>
                  <w:r>
                    <w:rPr>
                      <w:rFonts w:hint="eastAsia" w:ascii="宋体" w:hAnsi="宋体" w:eastAsia="宋体" w:cs="宋体"/>
                      <w:snapToGrid w:val="0"/>
                      <w:color w:val="000000"/>
                      <w:kern w:val="0"/>
                      <w:sz w:val="21"/>
                      <w:szCs w:val="21"/>
                      <w:highlight w:val="none"/>
                      <w:lang w:val="en-US" w:eastAsia="zh-CN" w:bidi="ar"/>
                      <w14:ligatures w14:val="none"/>
                    </w:rPr>
                    <w:t>，储存量不超过设计容量；仓库内雷管与炸药、导爆索分开存放；仓库设置专人管理、看护</w:t>
                  </w:r>
                  <w:r>
                    <w:rPr>
                      <w:rFonts w:hint="eastAsia"/>
                      <w:highlight w:val="none"/>
                      <w:lang w:eastAsia="zh-CN"/>
                    </w:rPr>
                    <w:t>，</w:t>
                  </w:r>
                  <w:r>
                    <w:rPr>
                      <w:rFonts w:hint="eastAsia" w:ascii="宋体" w:hAnsi="宋体" w:eastAsia="宋体" w:cs="宋体"/>
                      <w:snapToGrid w:val="0"/>
                      <w:color w:val="000000"/>
                      <w:kern w:val="0"/>
                      <w:sz w:val="21"/>
                      <w:szCs w:val="21"/>
                      <w:highlight w:val="none"/>
                      <w:lang w:val="en-US" w:eastAsia="zh-CN" w:bidi="ar"/>
                      <w14:ligatures w14:val="none"/>
                    </w:rPr>
                    <w:t>设置禁止烟火的标识和报警装置</w:t>
                  </w:r>
                </w:p>
              </w:tc>
              <w:tc>
                <w:tcPr>
                  <w:tcW w:w="425" w:type="dxa"/>
                  <w:tcBorders>
                    <w:tl2br w:val="nil"/>
                    <w:tr2bl w:val="nil"/>
                  </w:tcBorders>
                  <w:vAlign w:val="center"/>
                </w:tcPr>
                <w:p w14:paraId="6BF1C6BE">
                  <w:pPr>
                    <w:widowControl/>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18994E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69" w:type="dxa"/>
                  <w:tcBorders>
                    <w:tl2br w:val="nil"/>
                    <w:tr2bl w:val="nil"/>
                  </w:tcBorders>
                  <w:shd w:val="clear" w:color="auto" w:fill="auto"/>
                  <w:vAlign w:val="center"/>
                </w:tcPr>
                <w:p w14:paraId="1385F94A">
                  <w:pPr>
                    <w:spacing w:line="240" w:lineRule="auto"/>
                    <w:ind w:firstLine="0" w:firstLineChars="0"/>
                    <w:jc w:val="both"/>
                    <w:textAlignment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《危险化学品安全管理条例》</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2013年12月7日</w:t>
                  </w:r>
                  <w:r>
                    <w:rPr>
                      <w:rFonts w:hint="eastAsia" w:cs="Times New Roman"/>
                      <w:color w:val="auto"/>
                      <w:sz w:val="21"/>
                      <w:szCs w:val="21"/>
                      <w:highlight w:val="none"/>
                      <w:lang w:eastAsia="zh-CN"/>
                    </w:rPr>
                    <w:t>）</w:t>
                  </w:r>
                </w:p>
              </w:tc>
              <w:tc>
                <w:tcPr>
                  <w:tcW w:w="3709" w:type="dxa"/>
                  <w:tcBorders>
                    <w:tl2br w:val="nil"/>
                    <w:tr2bl w:val="nil"/>
                  </w:tcBorders>
                  <w:shd w:val="clear" w:color="auto" w:fill="auto"/>
                  <w:vAlign w:val="center"/>
                </w:tcPr>
                <w:p w14:paraId="753B6875">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危险化学品生产装置或者储存数量构成重大危险源的危险化学品储存设施（运输工具加油站、加气站除外），与下列场所、设施、区域的距离应当符合国家有关规定：（一）居住区以及商业中心、公园等人员密集场所；（二）学校、医院、影剧院、体育场</w:t>
                  </w:r>
                  <w:r>
                    <w:rPr>
                      <w:rFonts w:hint="eastAsia" w:cs="Times New Roman"/>
                      <w:snapToGrid w:val="0"/>
                      <w:color w:val="auto"/>
                      <w:kern w:val="0"/>
                      <w:sz w:val="21"/>
                      <w:szCs w:val="21"/>
                      <w:highlight w:val="none"/>
                      <w:lang w:val="en-US" w:eastAsia="zh-CN" w:bidi="ar-SA"/>
                      <w14:ligatures w14:val="none"/>
                    </w:rPr>
                    <w:t>（</w:t>
                  </w:r>
                  <w:r>
                    <w:rPr>
                      <w:rFonts w:hint="default" w:ascii="Times New Roman" w:hAnsi="Times New Roman" w:eastAsia="宋体" w:cs="Times New Roman"/>
                      <w:snapToGrid w:val="0"/>
                      <w:color w:val="auto"/>
                      <w:kern w:val="0"/>
                      <w:sz w:val="21"/>
                      <w:szCs w:val="21"/>
                      <w:highlight w:val="none"/>
                      <w:lang w:val="en-US" w:eastAsia="zh-CN" w:bidi="ar-SA"/>
                      <w14:ligatures w14:val="none"/>
                    </w:rPr>
                    <w:t>馆</w:t>
                  </w:r>
                  <w:r>
                    <w:rPr>
                      <w:rFonts w:hint="eastAsia" w:cs="Times New Roman"/>
                      <w:snapToGrid w:val="0"/>
                      <w:color w:val="auto"/>
                      <w:kern w:val="0"/>
                      <w:sz w:val="21"/>
                      <w:szCs w:val="21"/>
                      <w:highlight w:val="none"/>
                      <w:lang w:val="en-US" w:eastAsia="zh-CN" w:bidi="ar-SA"/>
                      <w14:ligatures w14:val="none"/>
                    </w:rPr>
                    <w:t>）</w:t>
                  </w:r>
                  <w:r>
                    <w:rPr>
                      <w:rFonts w:hint="default" w:ascii="Times New Roman" w:hAnsi="Times New Roman" w:eastAsia="宋体" w:cs="Times New Roman"/>
                      <w:snapToGrid w:val="0"/>
                      <w:color w:val="auto"/>
                      <w:kern w:val="0"/>
                      <w:sz w:val="21"/>
                      <w:szCs w:val="21"/>
                      <w:highlight w:val="none"/>
                      <w:lang w:val="en-US" w:eastAsia="zh-CN" w:bidi="ar-SA"/>
                      <w14:ligatures w14:val="none"/>
                    </w:rPr>
                    <w:t>等公共设施；（三）饮用水源、水厂以及水源保护区；（四）车站、码头（依法经许可从事危险化学品装卸作业的除外）、机场以及通信干线、通信枢纽、铁路线路、道路交通干线、水路交通干线、地铁风亭以及地铁站出入口；（五）基本农田保护区、基本草原、畜禽遗传资源保护区、畜禽规模化养殖场</w:t>
                  </w:r>
                  <w:r>
                    <w:rPr>
                      <w:rFonts w:hint="eastAsia" w:cs="Times New Roman"/>
                      <w:snapToGrid w:val="0"/>
                      <w:color w:val="auto"/>
                      <w:kern w:val="0"/>
                      <w:sz w:val="21"/>
                      <w:szCs w:val="21"/>
                      <w:highlight w:val="none"/>
                      <w:lang w:val="en-US" w:eastAsia="zh-CN" w:bidi="ar-SA"/>
                      <w14:ligatures w14:val="none"/>
                    </w:rPr>
                    <w:t>（</w:t>
                  </w:r>
                  <w:r>
                    <w:rPr>
                      <w:rFonts w:hint="default" w:ascii="Times New Roman" w:hAnsi="Times New Roman" w:eastAsia="宋体" w:cs="Times New Roman"/>
                      <w:snapToGrid w:val="0"/>
                      <w:color w:val="auto"/>
                      <w:kern w:val="0"/>
                      <w:sz w:val="21"/>
                      <w:szCs w:val="21"/>
                      <w:highlight w:val="none"/>
                      <w:lang w:val="en-US" w:eastAsia="zh-CN" w:bidi="ar-SA"/>
                      <w14:ligatures w14:val="none"/>
                    </w:rPr>
                    <w:t>养殖小区</w:t>
                  </w:r>
                  <w:r>
                    <w:rPr>
                      <w:rFonts w:hint="eastAsia" w:cs="Times New Roman"/>
                      <w:snapToGrid w:val="0"/>
                      <w:color w:val="auto"/>
                      <w:kern w:val="0"/>
                      <w:sz w:val="21"/>
                      <w:szCs w:val="21"/>
                      <w:highlight w:val="none"/>
                      <w:lang w:val="en-US" w:eastAsia="zh-CN" w:bidi="ar-SA"/>
                      <w14:ligatures w14:val="none"/>
                    </w:rPr>
                    <w:t>）</w:t>
                  </w:r>
                  <w:r>
                    <w:rPr>
                      <w:rFonts w:hint="default" w:ascii="Times New Roman" w:hAnsi="Times New Roman" w:eastAsia="宋体" w:cs="Times New Roman"/>
                      <w:snapToGrid w:val="0"/>
                      <w:color w:val="auto"/>
                      <w:kern w:val="0"/>
                      <w:sz w:val="21"/>
                      <w:szCs w:val="21"/>
                      <w:highlight w:val="none"/>
                      <w:lang w:val="en-US" w:eastAsia="zh-CN" w:bidi="ar-SA"/>
                      <w14:ligatures w14:val="none"/>
                    </w:rPr>
                    <w:t>、渔业水域以及种子、种畜禽、水产苗种生产基地；（六）河流、湖泊、风景名胜区、自然保护区；（七）军事禁区、军事管理区；（八）法律、行政法规规定的其他场所、设施、区域。</w:t>
                  </w:r>
                </w:p>
                <w:p w14:paraId="76357A59">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储存数量构成重大危险源的危险化学品储存设施的选址，应当避开地震活动断层和容易发生洪灾、地质灾害的区域。</w:t>
                  </w:r>
                </w:p>
              </w:tc>
              <w:tc>
                <w:tcPr>
                  <w:tcW w:w="2353" w:type="dxa"/>
                  <w:tcBorders>
                    <w:tl2br w:val="nil"/>
                    <w:tr2bl w:val="nil"/>
                  </w:tcBorders>
                  <w:shd w:val="clear" w:color="auto" w:fill="auto"/>
                  <w:vAlign w:val="center"/>
                </w:tcPr>
                <w:p w14:paraId="7086E484">
                  <w:pPr>
                    <w:spacing w:line="240" w:lineRule="auto"/>
                    <w:ind w:firstLine="0" w:firstLineChars="0"/>
                    <w:jc w:val="both"/>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项目储存炸药</w:t>
                  </w:r>
                  <w:r>
                    <w:rPr>
                      <w:rFonts w:hint="eastAsia" w:cs="Times New Roman"/>
                      <w:color w:val="auto"/>
                      <w:sz w:val="21"/>
                      <w:szCs w:val="21"/>
                      <w:highlight w:val="none"/>
                      <w:lang w:val="en-US" w:eastAsia="zh-CN"/>
                    </w:rPr>
                    <w:t>29t</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不</w:t>
                  </w:r>
                  <w:r>
                    <w:rPr>
                      <w:rFonts w:hint="default" w:ascii="Times New Roman" w:hAnsi="Times New Roman" w:eastAsia="宋体" w:cs="Times New Roman"/>
                      <w:color w:val="auto"/>
                      <w:sz w:val="21"/>
                      <w:szCs w:val="21"/>
                      <w:highlight w:val="none"/>
                      <w:lang w:val="en-US" w:eastAsia="zh-CN"/>
                    </w:rPr>
                    <w:t>构成重大危险源。项目周边</w:t>
                  </w:r>
                  <w:r>
                    <w:rPr>
                      <w:rFonts w:hint="eastAsia" w:cs="Times New Roman"/>
                      <w:color w:val="auto"/>
                      <w:sz w:val="21"/>
                      <w:szCs w:val="21"/>
                      <w:highlight w:val="none"/>
                      <w:lang w:val="en-US" w:eastAsia="zh-CN"/>
                    </w:rPr>
                    <w:t>无</w:t>
                  </w:r>
                  <w:r>
                    <w:rPr>
                      <w:rFonts w:hint="default" w:ascii="Times New Roman" w:hAnsi="Times New Roman" w:eastAsia="宋体" w:cs="Times New Roman"/>
                      <w:color w:val="auto"/>
                      <w:sz w:val="21"/>
                      <w:szCs w:val="21"/>
                      <w:highlight w:val="none"/>
                      <w:lang w:val="en-US" w:eastAsia="zh-CN"/>
                    </w:rPr>
                    <w:t>居民点、道路、架空线路。项目炸药储存数量构成重大危险源，项目选址不在地震活动断层和容易发生洪灾、地质灾害的区域</w:t>
                  </w:r>
                </w:p>
              </w:tc>
              <w:tc>
                <w:tcPr>
                  <w:tcW w:w="425" w:type="dxa"/>
                  <w:tcBorders>
                    <w:tl2br w:val="nil"/>
                    <w:tr2bl w:val="nil"/>
                  </w:tcBorders>
                  <w:vAlign w:val="center"/>
                </w:tcPr>
                <w:p w14:paraId="1870F8BA">
                  <w:pPr>
                    <w:widowControl/>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符合</w:t>
                  </w:r>
                </w:p>
              </w:tc>
            </w:tr>
            <w:tr w14:paraId="18216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69" w:type="dxa"/>
                  <w:tcBorders>
                    <w:tl2br w:val="nil"/>
                    <w:tr2bl w:val="nil"/>
                  </w:tcBorders>
                  <w:shd w:val="clear" w:color="auto" w:fill="auto"/>
                  <w:vAlign w:val="center"/>
                </w:tcPr>
                <w:p w14:paraId="5E7A0987">
                  <w:pPr>
                    <w:spacing w:line="240" w:lineRule="auto"/>
                    <w:ind w:firstLine="0" w:firstLineChars="0"/>
                    <w:jc w:val="both"/>
                    <w:textAlignment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《关于印发&lt;加快推进民用爆炸物品行业转型升级实施意见&gt;的通知》（工信部安全〔2025〕41号）</w:t>
                  </w:r>
                </w:p>
              </w:tc>
              <w:tc>
                <w:tcPr>
                  <w:tcW w:w="3709" w:type="dxa"/>
                  <w:tcBorders>
                    <w:tl2br w:val="nil"/>
                    <w:tr2bl w:val="nil"/>
                  </w:tcBorders>
                  <w:shd w:val="clear" w:color="auto" w:fill="auto"/>
                  <w:vAlign w:val="center"/>
                </w:tcPr>
                <w:p w14:paraId="59B63BB3">
                  <w:pPr>
                    <w:spacing w:line="240" w:lineRule="auto"/>
                    <w:ind w:firstLine="0" w:firstLineChars="0"/>
                    <w:jc w:val="both"/>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严格落实节能环保法律法规政策，鼓励企业提升重点用能设备效能，采用可降解绿色包装，应用先进环保技术做好废水、固体废物和不合格品处理，促进减污降碳、循环利用、节能减排。</w:t>
                  </w:r>
                </w:p>
              </w:tc>
              <w:tc>
                <w:tcPr>
                  <w:tcW w:w="2353" w:type="dxa"/>
                  <w:tcBorders>
                    <w:tl2br w:val="nil"/>
                    <w:tr2bl w:val="nil"/>
                  </w:tcBorders>
                  <w:shd w:val="clear" w:color="auto" w:fill="auto"/>
                  <w:vAlign w:val="center"/>
                </w:tcPr>
                <w:p w14:paraId="6A29F068">
                  <w:pPr>
                    <w:spacing w:line="240" w:lineRule="auto"/>
                    <w:ind w:firstLine="0" w:firstLineChars="0"/>
                    <w:jc w:val="both"/>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本项目对废气、废水、噪声和固废采取了相关的有效措施后对环境污染降低</w:t>
                  </w:r>
                </w:p>
              </w:tc>
              <w:tc>
                <w:tcPr>
                  <w:tcW w:w="425" w:type="dxa"/>
                  <w:tcBorders>
                    <w:tl2br w:val="nil"/>
                    <w:tr2bl w:val="nil"/>
                  </w:tcBorders>
                  <w:vAlign w:val="center"/>
                </w:tcPr>
                <w:p w14:paraId="2CC1B8F4">
                  <w:pPr>
                    <w:widowControl/>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符合</w:t>
                  </w:r>
                </w:p>
              </w:tc>
            </w:tr>
          </w:tbl>
          <w:p w14:paraId="6264074C">
            <w:pPr>
              <w:autoSpaceDE w:val="0"/>
              <w:autoSpaceDN w:val="0"/>
              <w:rPr>
                <w:rFonts w:hint="default" w:ascii="Times New Roman" w:hAnsi="Times New Roman" w:cs="Times New Roman"/>
                <w:bCs/>
                <w:color w:val="auto"/>
                <w:highlight w:val="none"/>
              </w:rPr>
            </w:pPr>
          </w:p>
        </w:tc>
      </w:tr>
    </w:tbl>
    <w:p w14:paraId="78F97611">
      <w:pPr>
        <w:outlineLvl w:val="0"/>
        <w:rPr>
          <w:rFonts w:eastAsia="黑体"/>
          <w:color w:val="auto"/>
          <w:sz w:val="30"/>
          <w:highlight w:val="none"/>
        </w:rPr>
        <w:sectPr>
          <w:footerReference r:id="rId8"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4C831668">
      <w:pPr>
        <w:jc w:val="center"/>
        <w:outlineLvl w:val="0"/>
        <w:rPr>
          <w:rFonts w:ascii="黑体" w:hAnsi="黑体" w:eastAsia="黑体"/>
          <w:color w:val="auto"/>
          <w:sz w:val="30"/>
          <w:szCs w:val="30"/>
          <w:highlight w:val="none"/>
        </w:rPr>
      </w:pPr>
      <w:r>
        <w:rPr>
          <w:rFonts w:hint="eastAsia" w:ascii="黑体" w:hAnsi="黑体" w:eastAsia="黑体"/>
          <w:color w:val="auto"/>
          <w:sz w:val="30"/>
          <w:szCs w:val="30"/>
          <w:highlight w:val="none"/>
        </w:rPr>
        <w:t>二、建设项目工程分析</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85"/>
        <w:gridCol w:w="339"/>
        <w:gridCol w:w="8160"/>
      </w:tblGrid>
      <w:tr w14:paraId="26AEBD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0" w:hRule="atLeast"/>
          <w:jc w:val="center"/>
        </w:trPr>
        <w:tc>
          <w:tcPr>
            <w:tcW w:w="485" w:type="dxa"/>
            <w:vAlign w:val="center"/>
          </w:tcPr>
          <w:p w14:paraId="57A0F3B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建设内容</w:t>
            </w:r>
          </w:p>
        </w:tc>
        <w:tc>
          <w:tcPr>
            <w:tcW w:w="8499" w:type="dxa"/>
            <w:gridSpan w:val="2"/>
          </w:tcPr>
          <w:p w14:paraId="23FEB3B1">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2.1建设内容</w:t>
            </w:r>
          </w:p>
          <w:p w14:paraId="543B7222">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cs="Times New Roman"/>
                <w:b/>
                <w:bCs/>
                <w:color w:val="auto"/>
                <w:highlight w:val="none"/>
                <w:lang w:val="en-US" w:eastAsia="zh-CN"/>
              </w:rPr>
            </w:pPr>
            <w:r>
              <w:rPr>
                <w:rFonts w:hint="eastAsia" w:cs="Times New Roman"/>
                <w:b/>
                <w:bCs/>
                <w:color w:val="auto"/>
                <w:highlight w:val="none"/>
                <w:lang w:val="en-US" w:eastAsia="zh-CN"/>
              </w:rPr>
              <w:t>2.1.1项目背景</w:t>
            </w:r>
          </w:p>
          <w:p w14:paraId="5D619A1E">
            <w:pPr>
              <w:pStyle w:val="32"/>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为确保若羌羌河新材料有限公司及周边矿区民用爆炸物品保障需求，若羌羌河新材料有限公司</w:t>
            </w:r>
            <w:r>
              <w:rPr>
                <w:rFonts w:hint="eastAsia" w:hAnsi="Times New Roman" w:cs="Times New Roman"/>
                <w:b w:val="0"/>
                <w:bCs/>
                <w:color w:val="auto"/>
                <w:sz w:val="24"/>
                <w:szCs w:val="24"/>
                <w:highlight w:val="none"/>
                <w:lang w:val="en-US" w:eastAsia="zh-CN"/>
              </w:rPr>
              <w:t>决定</w:t>
            </w:r>
            <w:r>
              <w:rPr>
                <w:rFonts w:hint="default" w:ascii="Times New Roman" w:hAnsi="Times New Roman" w:eastAsia="宋体" w:cs="Times New Roman"/>
                <w:b w:val="0"/>
                <w:bCs/>
                <w:color w:val="auto"/>
                <w:sz w:val="24"/>
                <w:szCs w:val="24"/>
                <w:highlight w:val="none"/>
                <w:lang w:val="en-US" w:eastAsia="zh-CN"/>
              </w:rPr>
              <w:t>拟在新疆维吾尔自治区巴音郭楞蒙古自治州若羌县以南直线距离85公里处危险品储存库。</w:t>
            </w:r>
          </w:p>
          <w:p w14:paraId="1451180E">
            <w:pPr>
              <w:pStyle w:val="32"/>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项目于</w:t>
            </w:r>
            <w:r>
              <w:rPr>
                <w:rFonts w:hint="eastAsia" w:hAnsi="Times New Roman" w:cs="Times New Roman"/>
                <w:b w:val="0"/>
                <w:bCs/>
                <w:color w:val="auto"/>
                <w:sz w:val="24"/>
                <w:szCs w:val="24"/>
                <w:highlight w:val="none"/>
                <w:lang w:val="en-US" w:eastAsia="zh-CN"/>
              </w:rPr>
              <w:t>2024</w:t>
            </w:r>
            <w:r>
              <w:rPr>
                <w:rFonts w:hint="default" w:ascii="Times New Roman" w:hAnsi="Times New Roman" w:eastAsia="宋体" w:cs="Times New Roman"/>
                <w:b w:val="0"/>
                <w:bCs/>
                <w:color w:val="auto"/>
                <w:sz w:val="24"/>
                <w:szCs w:val="24"/>
                <w:highlight w:val="none"/>
                <w:lang w:val="en-US" w:eastAsia="zh-CN"/>
              </w:rPr>
              <w:t>年</w:t>
            </w:r>
            <w:r>
              <w:rPr>
                <w:rFonts w:hint="eastAsia" w:hAnsi="Times New Roman" w:cs="Times New Roman"/>
                <w:b w:val="0"/>
                <w:bCs/>
                <w:color w:val="auto"/>
                <w:sz w:val="24"/>
                <w:szCs w:val="24"/>
                <w:highlight w:val="none"/>
                <w:lang w:val="en-US" w:eastAsia="zh-CN"/>
              </w:rPr>
              <w:t>9</w:t>
            </w:r>
            <w:r>
              <w:rPr>
                <w:rFonts w:hint="default" w:ascii="Times New Roman" w:hAnsi="Times New Roman" w:eastAsia="宋体" w:cs="Times New Roman"/>
                <w:b w:val="0"/>
                <w:bCs/>
                <w:color w:val="auto"/>
                <w:sz w:val="24"/>
                <w:szCs w:val="24"/>
                <w:highlight w:val="none"/>
                <w:lang w:val="en-US" w:eastAsia="zh-CN"/>
              </w:rPr>
              <w:t>月</w:t>
            </w:r>
            <w:r>
              <w:rPr>
                <w:rFonts w:hint="eastAsia" w:hAnsi="Times New Roman" w:cs="Times New Roman"/>
                <w:b w:val="0"/>
                <w:bCs/>
                <w:color w:val="auto"/>
                <w:sz w:val="24"/>
                <w:szCs w:val="24"/>
                <w:highlight w:val="none"/>
                <w:lang w:val="en-US" w:eastAsia="zh-CN"/>
              </w:rPr>
              <w:t>3</w:t>
            </w:r>
            <w:r>
              <w:rPr>
                <w:rFonts w:hint="default" w:ascii="Times New Roman" w:hAnsi="Times New Roman" w:eastAsia="宋体" w:cs="Times New Roman"/>
                <w:b w:val="0"/>
                <w:bCs/>
                <w:color w:val="auto"/>
                <w:sz w:val="24"/>
                <w:szCs w:val="24"/>
                <w:highlight w:val="none"/>
                <w:lang w:val="en-US" w:eastAsia="zh-CN"/>
              </w:rPr>
              <w:t>日取得</w:t>
            </w:r>
            <w:r>
              <w:rPr>
                <w:rFonts w:hint="eastAsia" w:hAnsi="Times New Roman" w:cs="Times New Roman"/>
                <w:b w:val="0"/>
                <w:bCs/>
                <w:color w:val="auto"/>
                <w:sz w:val="24"/>
                <w:szCs w:val="24"/>
                <w:highlight w:val="none"/>
                <w:lang w:val="en-US" w:eastAsia="zh-CN"/>
              </w:rPr>
              <w:t>若羌县</w:t>
            </w:r>
            <w:r>
              <w:rPr>
                <w:rFonts w:hint="default" w:ascii="Times New Roman" w:hAnsi="Times New Roman" w:eastAsia="宋体" w:cs="Times New Roman"/>
                <w:b w:val="0"/>
                <w:bCs/>
                <w:color w:val="auto"/>
                <w:sz w:val="24"/>
                <w:szCs w:val="24"/>
                <w:highlight w:val="none"/>
                <w:lang w:val="en-US" w:eastAsia="zh-CN"/>
              </w:rPr>
              <w:t>发展和改革</w:t>
            </w:r>
            <w:r>
              <w:rPr>
                <w:rFonts w:hint="eastAsia" w:hAnsi="Times New Roman" w:cs="Times New Roman"/>
                <w:b w:val="0"/>
                <w:bCs/>
                <w:color w:val="auto"/>
                <w:sz w:val="24"/>
                <w:szCs w:val="24"/>
                <w:highlight w:val="none"/>
                <w:lang w:val="en-US" w:eastAsia="zh-CN"/>
              </w:rPr>
              <w:t>委员会</w:t>
            </w:r>
            <w:r>
              <w:rPr>
                <w:rFonts w:hint="default" w:ascii="Times New Roman" w:hAnsi="Times New Roman" w:eastAsia="宋体" w:cs="Times New Roman"/>
                <w:b w:val="0"/>
                <w:bCs/>
                <w:color w:val="auto"/>
                <w:sz w:val="24"/>
                <w:szCs w:val="24"/>
                <w:highlight w:val="none"/>
                <w:lang w:val="en-US" w:eastAsia="zh-CN"/>
              </w:rPr>
              <w:t>投资项目备案证（</w:t>
            </w:r>
            <w:r>
              <w:rPr>
                <w:rFonts w:hint="eastAsia" w:hAnsi="Times New Roman" w:cs="Times New Roman"/>
                <w:b w:val="0"/>
                <w:bCs/>
                <w:color w:val="auto"/>
                <w:sz w:val="24"/>
                <w:szCs w:val="24"/>
                <w:highlight w:val="none"/>
                <w:lang w:val="en-US" w:eastAsia="zh-CN"/>
              </w:rPr>
              <w:t>备案证号：2409031610652800000083</w:t>
            </w:r>
            <w:r>
              <w:rPr>
                <w:rFonts w:hint="default" w:ascii="Times New Roman" w:hAnsi="Times New Roman" w:eastAsia="宋体" w:cs="Times New Roman"/>
                <w:b w:val="0"/>
                <w:bCs/>
                <w:color w:val="auto"/>
                <w:sz w:val="24"/>
                <w:szCs w:val="24"/>
                <w:highlight w:val="none"/>
                <w:lang w:val="en-US" w:eastAsia="zh-CN"/>
              </w:rPr>
              <w:t>），</w:t>
            </w:r>
            <w:r>
              <w:rPr>
                <w:rFonts w:hint="eastAsia" w:hAnsi="Times New Roman" w:cs="Times New Roman"/>
                <w:b w:val="0"/>
                <w:bCs/>
                <w:color w:val="auto"/>
                <w:sz w:val="24"/>
                <w:szCs w:val="24"/>
                <w:highlight w:val="none"/>
                <w:lang w:val="en-US" w:eastAsia="zh-CN"/>
              </w:rPr>
              <w:t>项目代码：</w:t>
            </w:r>
            <w:r>
              <w:rPr>
                <w:rFonts w:hint="default" w:ascii="Times New Roman" w:hAnsi="Times New Roman" w:eastAsia="宋体" w:cs="Times New Roman"/>
                <w:b w:val="0"/>
                <w:bCs/>
                <w:color w:val="auto"/>
                <w:sz w:val="24"/>
                <w:szCs w:val="24"/>
                <w:highlight w:val="none"/>
                <w:lang w:val="en-US" w:eastAsia="zh-CN"/>
              </w:rPr>
              <w:t>。</w:t>
            </w:r>
          </w:p>
          <w:p w14:paraId="778F3DF7">
            <w:pPr>
              <w:pStyle w:val="32"/>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202</w:t>
            </w:r>
            <w:r>
              <w:rPr>
                <w:rFonts w:hint="eastAsia" w:hAnsi="Times New Roman" w:cs="Times New Roman"/>
                <w:b w:val="0"/>
                <w:bCs/>
                <w:color w:val="auto"/>
                <w:sz w:val="24"/>
                <w:szCs w:val="24"/>
                <w:highlight w:val="none"/>
                <w:lang w:val="en-US" w:eastAsia="zh-CN"/>
              </w:rPr>
              <w:t>5</w:t>
            </w:r>
            <w:r>
              <w:rPr>
                <w:rFonts w:hint="default" w:ascii="Times New Roman" w:hAnsi="Times New Roman" w:eastAsia="宋体" w:cs="Times New Roman"/>
                <w:b w:val="0"/>
                <w:bCs/>
                <w:color w:val="auto"/>
                <w:sz w:val="24"/>
                <w:szCs w:val="24"/>
                <w:highlight w:val="none"/>
                <w:lang w:val="en-US" w:eastAsia="zh-CN"/>
              </w:rPr>
              <w:t>年</w:t>
            </w:r>
            <w:r>
              <w:rPr>
                <w:rFonts w:hint="eastAsia" w:hAnsi="Times New Roman" w:cs="Times New Roman"/>
                <w:b w:val="0"/>
                <w:bCs/>
                <w:color w:val="auto"/>
                <w:sz w:val="24"/>
                <w:szCs w:val="24"/>
                <w:highlight w:val="none"/>
                <w:lang w:val="en-US" w:eastAsia="zh-CN"/>
              </w:rPr>
              <w:t>12</w:t>
            </w:r>
            <w:r>
              <w:rPr>
                <w:rFonts w:hint="default" w:ascii="Times New Roman" w:hAnsi="Times New Roman" w:eastAsia="宋体" w:cs="Times New Roman"/>
                <w:b w:val="0"/>
                <w:bCs/>
                <w:color w:val="auto"/>
                <w:sz w:val="24"/>
                <w:szCs w:val="24"/>
                <w:highlight w:val="none"/>
                <w:lang w:val="en-US" w:eastAsia="zh-CN"/>
              </w:rPr>
              <w:t>月</w:t>
            </w:r>
            <w:r>
              <w:rPr>
                <w:rFonts w:hint="eastAsia" w:hAnsi="Times New Roman" w:cs="Times New Roman"/>
                <w:b w:val="0"/>
                <w:bCs/>
                <w:color w:val="auto"/>
                <w:sz w:val="24"/>
                <w:szCs w:val="24"/>
                <w:highlight w:val="none"/>
                <w:lang w:val="en-US" w:eastAsia="zh-CN"/>
              </w:rPr>
              <w:t>3</w:t>
            </w:r>
            <w:r>
              <w:rPr>
                <w:rFonts w:hint="default" w:ascii="Times New Roman" w:hAnsi="Times New Roman" w:eastAsia="宋体" w:cs="Times New Roman"/>
                <w:b w:val="0"/>
                <w:bCs/>
                <w:color w:val="auto"/>
                <w:sz w:val="24"/>
                <w:szCs w:val="24"/>
                <w:highlight w:val="none"/>
                <w:lang w:val="en-US" w:eastAsia="zh-CN"/>
              </w:rPr>
              <w:t>日，项目取得</w:t>
            </w:r>
            <w:r>
              <w:rPr>
                <w:rFonts w:hint="eastAsia" w:hAnsi="Times New Roman" w:cs="Times New Roman"/>
                <w:b w:val="0"/>
                <w:bCs/>
                <w:color w:val="auto"/>
                <w:sz w:val="24"/>
                <w:szCs w:val="24"/>
                <w:highlight w:val="none"/>
                <w:lang w:val="en-US" w:eastAsia="zh-CN"/>
              </w:rPr>
              <w:t>若羌县</w:t>
            </w:r>
            <w:r>
              <w:rPr>
                <w:rFonts w:hint="default" w:ascii="Times New Roman" w:hAnsi="Times New Roman" w:eastAsia="宋体" w:cs="Times New Roman"/>
                <w:b w:val="0"/>
                <w:bCs/>
                <w:color w:val="auto"/>
                <w:sz w:val="24"/>
                <w:szCs w:val="24"/>
                <w:highlight w:val="none"/>
                <w:lang w:val="en-US" w:eastAsia="zh-CN"/>
              </w:rPr>
              <w:t>自然资源局《建设项目</w:t>
            </w:r>
            <w:bookmarkStart w:id="24" w:name="_GoBack"/>
            <w:bookmarkEnd w:id="24"/>
            <w:r>
              <w:rPr>
                <w:rFonts w:hint="default" w:ascii="Times New Roman" w:hAnsi="Times New Roman" w:eastAsia="宋体" w:cs="Times New Roman"/>
                <w:b w:val="0"/>
                <w:bCs/>
                <w:color w:val="auto"/>
                <w:sz w:val="24"/>
                <w:szCs w:val="24"/>
                <w:highlight w:val="none"/>
                <w:lang w:val="en-US" w:eastAsia="zh-CN"/>
              </w:rPr>
              <w:t>用地预审与选址意见书》（用字第</w:t>
            </w:r>
            <w:r>
              <w:rPr>
                <w:rFonts w:hint="eastAsia" w:hAnsi="Times New Roman" w:cs="Times New Roman"/>
                <w:b w:val="0"/>
                <w:bCs/>
                <w:color w:val="auto"/>
                <w:sz w:val="24"/>
                <w:szCs w:val="24"/>
                <w:highlight w:val="none"/>
                <w:lang w:val="en-US" w:eastAsia="zh-CN"/>
              </w:rPr>
              <w:t>652824202500044</w:t>
            </w:r>
            <w:r>
              <w:rPr>
                <w:rFonts w:hint="default" w:ascii="Times New Roman" w:hAnsi="Times New Roman" w:eastAsia="宋体" w:cs="Times New Roman"/>
                <w:b w:val="0"/>
                <w:bCs/>
                <w:color w:val="auto"/>
                <w:sz w:val="24"/>
                <w:szCs w:val="24"/>
                <w:highlight w:val="none"/>
                <w:lang w:val="en-US" w:eastAsia="zh-CN"/>
              </w:rPr>
              <w:t>号），项目符合国土空间用途管制要求。</w:t>
            </w:r>
          </w:p>
          <w:p w14:paraId="3BDBCFFC">
            <w:pPr>
              <w:pStyle w:val="32"/>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根据《中华人民共和国环境影响评价法</w:t>
            </w:r>
            <w:r>
              <w:rPr>
                <w:rFonts w:hint="eastAsia"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建设项目环境保护管理条例》及《建设项目环境影响评价分类管理名录（2021</w:t>
            </w:r>
            <w:r>
              <w:rPr>
                <w:rFonts w:hint="eastAsia" w:hAnsi="Times New Roman" w:cs="Times New Roman"/>
                <w:b w:val="0"/>
                <w:bCs/>
                <w:color w:val="auto"/>
                <w:sz w:val="24"/>
                <w:szCs w:val="24"/>
                <w:highlight w:val="none"/>
                <w:lang w:val="en-US" w:eastAsia="zh-CN"/>
              </w:rPr>
              <w:t>年版</w:t>
            </w:r>
            <w:r>
              <w:rPr>
                <w:rFonts w:hint="default" w:ascii="Times New Roman" w:hAnsi="Times New Roman" w:eastAsia="宋体" w:cs="Times New Roman"/>
                <w:b w:val="0"/>
                <w:bCs/>
                <w:color w:val="auto"/>
                <w:sz w:val="24"/>
                <w:szCs w:val="24"/>
                <w:highlight w:val="none"/>
                <w:lang w:val="en-US" w:eastAsia="zh-CN"/>
              </w:rPr>
              <w:t>）》中</w:t>
            </w:r>
            <w:r>
              <w:rPr>
                <w:rFonts w:hint="eastAsia"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五十三、卸搬运和仓储业</w:t>
            </w:r>
            <w:r>
              <w:rPr>
                <w:rFonts w:hint="eastAsia"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中的</w:t>
            </w:r>
            <w:r>
              <w:rPr>
                <w:rFonts w:hint="eastAsia"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危险品的仓储</w:t>
            </w:r>
            <w:r>
              <w:rPr>
                <w:rFonts w:hint="eastAsia"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，应编制环境影响报告表。</w:t>
            </w:r>
          </w:p>
          <w:p w14:paraId="0F04D7E1">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2.1.</w:t>
            </w:r>
            <w:r>
              <w:rPr>
                <w:rFonts w:hint="eastAsia" w:cs="Times New Roman"/>
                <w:b/>
                <w:bCs/>
                <w:color w:val="auto"/>
                <w:highlight w:val="none"/>
                <w:lang w:val="en-US" w:eastAsia="zh-CN"/>
              </w:rPr>
              <w:t>2</w:t>
            </w:r>
            <w:r>
              <w:rPr>
                <w:rFonts w:hint="default" w:ascii="Times New Roman" w:hAnsi="Times New Roman" w:eastAsia="宋体" w:cs="Times New Roman"/>
                <w:b/>
                <w:bCs/>
                <w:color w:val="auto"/>
                <w:highlight w:val="none"/>
              </w:rPr>
              <w:t>建设内容及规模</w:t>
            </w:r>
          </w:p>
          <w:p w14:paraId="32E5622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highlight w:val="none"/>
                <w:lang w:eastAsia="zh-CN"/>
              </w:rPr>
            </w:pPr>
            <w:r>
              <w:rPr>
                <w:rFonts w:hint="default" w:ascii="Times New Roman" w:hAnsi="Times New Roman" w:eastAsia="宋体" w:cs="Times New Roman"/>
                <w:b w:val="0"/>
                <w:bCs/>
                <w:color w:val="auto"/>
                <w:sz w:val="24"/>
                <w:szCs w:val="24"/>
                <w:highlight w:val="none"/>
                <w:lang w:val="en-US" w:eastAsia="zh-CN"/>
              </w:rPr>
              <w:t>新建一栋29吨炸药库，一栋3万发雷管库、一栋值班室、一座187.2立方米消防水池</w:t>
            </w:r>
            <w:r>
              <w:rPr>
                <w:rFonts w:hint="eastAsia"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总建筑面积365平方米。</w:t>
            </w:r>
          </w:p>
          <w:p w14:paraId="524BEEF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表2</w:t>
            </w:r>
            <w:r>
              <w:rPr>
                <w:rFonts w:hint="eastAsia" w:ascii="Times New Roman" w:hAnsi="Times New Roman" w:eastAsia="宋体"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lang w:val="en-US" w:eastAsia="zh-CN"/>
              </w:rPr>
              <w:t>-1  项目工程组成一览表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507"/>
              <w:gridCol w:w="486"/>
              <w:gridCol w:w="1562"/>
              <w:gridCol w:w="4955"/>
              <w:gridCol w:w="753"/>
            </w:tblGrid>
            <w:tr w14:paraId="699266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jc w:val="center"/>
              </w:trPr>
              <w:tc>
                <w:tcPr>
                  <w:tcW w:w="2555" w:type="dxa"/>
                  <w:gridSpan w:val="3"/>
                  <w:tcBorders>
                    <w:tl2br w:val="nil"/>
                    <w:tr2bl w:val="nil"/>
                  </w:tcBorders>
                  <w:vAlign w:val="center"/>
                </w:tcPr>
                <w:p w14:paraId="2AEA26FD">
                  <w:pPr>
                    <w:spacing w:line="240" w:lineRule="auto"/>
                    <w:jc w:val="center"/>
                    <w:rPr>
                      <w:rFonts w:hint="default" w:ascii="Times New Roman" w:hAnsi="Times New Roman" w:eastAsia="宋体" w:cs="Times New Roman"/>
                      <w:b/>
                      <w:color w:val="auto"/>
                      <w:sz w:val="21"/>
                      <w:szCs w:val="21"/>
                      <w:highlight w:val="none"/>
                    </w:rPr>
                  </w:pPr>
                  <w:bookmarkStart w:id="2" w:name="_Hlk71572411"/>
                  <w:r>
                    <w:rPr>
                      <w:rFonts w:hint="default" w:ascii="Times New Roman" w:hAnsi="Times New Roman" w:eastAsia="宋体" w:cs="Times New Roman"/>
                      <w:b/>
                      <w:color w:val="auto"/>
                      <w:sz w:val="21"/>
                      <w:szCs w:val="21"/>
                      <w:highlight w:val="none"/>
                    </w:rPr>
                    <w:t>组成</w:t>
                  </w:r>
                </w:p>
              </w:tc>
              <w:tc>
                <w:tcPr>
                  <w:tcW w:w="4955" w:type="dxa"/>
                  <w:tcBorders>
                    <w:tl2br w:val="nil"/>
                    <w:tr2bl w:val="nil"/>
                  </w:tcBorders>
                  <w:vAlign w:val="center"/>
                </w:tcPr>
                <w:p w14:paraId="5F3652A3">
                  <w:pPr>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建设内容</w:t>
                  </w:r>
                </w:p>
              </w:tc>
              <w:tc>
                <w:tcPr>
                  <w:tcW w:w="753" w:type="dxa"/>
                  <w:tcBorders>
                    <w:tl2br w:val="nil"/>
                    <w:tr2bl w:val="nil"/>
                  </w:tcBorders>
                  <w:vAlign w:val="center"/>
                </w:tcPr>
                <w:p w14:paraId="408475E9">
                  <w:pPr>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备注</w:t>
                  </w:r>
                </w:p>
              </w:tc>
            </w:tr>
            <w:tr w14:paraId="3FF499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507" w:type="dxa"/>
                  <w:vMerge w:val="restart"/>
                  <w:tcBorders>
                    <w:tl2br w:val="nil"/>
                    <w:tr2bl w:val="nil"/>
                  </w:tcBorders>
                  <w:vAlign w:val="center"/>
                </w:tcPr>
                <w:p w14:paraId="775DD5DB">
                  <w:pPr>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主体工程</w:t>
                  </w:r>
                </w:p>
              </w:tc>
              <w:tc>
                <w:tcPr>
                  <w:tcW w:w="2048" w:type="dxa"/>
                  <w:gridSpan w:val="2"/>
                  <w:tcBorders>
                    <w:tl2br w:val="nil"/>
                    <w:tr2bl w:val="nil"/>
                  </w:tcBorders>
                  <w:vAlign w:val="center"/>
                </w:tcPr>
                <w:p w14:paraId="324BF9A2">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炸药库</w:t>
                  </w:r>
                  <w:r>
                    <w:rPr>
                      <w:rFonts w:hint="eastAsia" w:cs="Times New Roman"/>
                      <w:snapToGrid w:val="0"/>
                      <w:color w:val="auto"/>
                      <w:kern w:val="0"/>
                      <w:sz w:val="21"/>
                      <w:szCs w:val="21"/>
                      <w:highlight w:val="none"/>
                      <w:lang w:val="en-US" w:eastAsia="zh-CN" w:bidi="ar-SA"/>
                      <w14:ligatures w14:val="none"/>
                    </w:rPr>
                    <w:t>（危险等级为1.1级）</w:t>
                  </w:r>
                </w:p>
              </w:tc>
              <w:tc>
                <w:tcPr>
                  <w:tcW w:w="4955" w:type="dxa"/>
                  <w:tcBorders>
                    <w:tl2br w:val="nil"/>
                    <w:tr2bl w:val="nil"/>
                  </w:tcBorders>
                  <w:vAlign w:val="center"/>
                </w:tcPr>
                <w:p w14:paraId="7D0677F9">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炸药库1座，单层，</w:t>
                  </w:r>
                  <w:r>
                    <w:rPr>
                      <w:rFonts w:hint="eastAsia" w:cs="Times New Roman"/>
                      <w:snapToGrid w:val="0"/>
                      <w:color w:val="auto"/>
                      <w:kern w:val="0"/>
                      <w:sz w:val="21"/>
                      <w:szCs w:val="21"/>
                      <w:highlight w:val="none"/>
                      <w:lang w:val="en-US" w:eastAsia="zh-CN" w:bidi="ar-SA"/>
                      <w14:ligatures w14:val="none"/>
                    </w:rPr>
                    <w:t>砖</w:t>
                  </w:r>
                  <w:r>
                    <w:rPr>
                      <w:rFonts w:hint="default" w:ascii="Times New Roman" w:hAnsi="Times New Roman" w:eastAsia="宋体" w:cs="Times New Roman"/>
                      <w:snapToGrid w:val="0"/>
                      <w:color w:val="auto"/>
                      <w:kern w:val="0"/>
                      <w:sz w:val="21"/>
                      <w:szCs w:val="21"/>
                      <w:highlight w:val="none"/>
                      <w:lang w:val="en-US" w:eastAsia="zh-CN" w:bidi="ar-SA"/>
                      <w14:ligatures w14:val="none"/>
                    </w:rPr>
                    <w:t>混结构，建筑面积</w:t>
                  </w:r>
                  <w:r>
                    <w:rPr>
                      <w:rFonts w:hint="eastAsia" w:cs="Times New Roman"/>
                      <w:snapToGrid w:val="0"/>
                      <w:color w:val="auto"/>
                      <w:kern w:val="0"/>
                      <w:sz w:val="21"/>
                      <w:szCs w:val="21"/>
                      <w:highlight w:val="none"/>
                      <w:lang w:val="en-US" w:eastAsia="zh-CN" w:bidi="ar-SA"/>
                      <w14:ligatures w14:val="none"/>
                    </w:rPr>
                    <w:t>103.64</w:t>
                  </w:r>
                  <w:r>
                    <w:rPr>
                      <w:rFonts w:hint="default" w:ascii="Times New Roman" w:hAnsi="Times New Roman" w:eastAsia="宋体" w:cs="Times New Roman"/>
                      <w:snapToGrid w:val="0"/>
                      <w:color w:val="auto"/>
                      <w:kern w:val="0"/>
                      <w:sz w:val="21"/>
                      <w:szCs w:val="21"/>
                      <w:highlight w:val="none"/>
                      <w:lang w:val="en-US" w:eastAsia="zh-CN" w:bidi="ar-SA"/>
                      <w14:ligatures w14:val="none"/>
                    </w:rPr>
                    <w:t>m</w:t>
                  </w:r>
                  <w:r>
                    <w:rPr>
                      <w:rFonts w:hint="default" w:ascii="Times New Roman" w:hAnsi="Times New Roman" w:eastAsia="宋体" w:cs="Times New Roman"/>
                      <w:snapToGrid w:val="0"/>
                      <w:color w:val="auto"/>
                      <w:kern w:val="0"/>
                      <w:sz w:val="21"/>
                      <w:szCs w:val="21"/>
                      <w:highlight w:val="none"/>
                      <w:vertAlign w:val="superscript"/>
                      <w:lang w:val="en-US" w:eastAsia="zh-CN" w:bidi="ar-SA"/>
                      <w14:ligatures w14:val="none"/>
                    </w:rPr>
                    <w:t>2</w:t>
                  </w:r>
                  <w:r>
                    <w:rPr>
                      <w:rFonts w:hint="default" w:ascii="Times New Roman" w:hAnsi="Times New Roman" w:eastAsia="宋体" w:cs="Times New Roman"/>
                      <w:snapToGrid w:val="0"/>
                      <w:color w:val="auto"/>
                      <w:kern w:val="0"/>
                      <w:sz w:val="21"/>
                      <w:szCs w:val="21"/>
                      <w:highlight w:val="none"/>
                      <w:lang w:val="en-US" w:eastAsia="zh-CN" w:bidi="ar-SA"/>
                      <w14:ligatures w14:val="none"/>
                    </w:rPr>
                    <w:t>，储存炸药及导爆索。炸药储存量</w:t>
                  </w:r>
                  <w:r>
                    <w:rPr>
                      <w:rFonts w:hint="eastAsia" w:cs="Times New Roman"/>
                      <w:snapToGrid w:val="0"/>
                      <w:color w:val="auto"/>
                      <w:kern w:val="0"/>
                      <w:sz w:val="21"/>
                      <w:szCs w:val="21"/>
                      <w:highlight w:val="none"/>
                      <w:lang w:val="en-US" w:eastAsia="zh-CN" w:bidi="ar-SA"/>
                      <w14:ligatures w14:val="none"/>
                    </w:rPr>
                    <w:t>29</w:t>
                  </w:r>
                  <w:r>
                    <w:rPr>
                      <w:rFonts w:hint="default" w:ascii="Times New Roman" w:hAnsi="Times New Roman" w:eastAsia="宋体" w:cs="Times New Roman"/>
                      <w:snapToGrid w:val="0"/>
                      <w:color w:val="auto"/>
                      <w:kern w:val="0"/>
                      <w:sz w:val="21"/>
                      <w:szCs w:val="21"/>
                      <w:highlight w:val="none"/>
                      <w:lang w:val="en-US" w:eastAsia="zh-CN" w:bidi="ar-SA"/>
                      <w14:ligatures w14:val="none"/>
                    </w:rPr>
                    <w:t>t；导爆索储存量</w:t>
                  </w:r>
                  <w:r>
                    <w:rPr>
                      <w:rFonts w:hint="eastAsia" w:cs="Times New Roman"/>
                      <w:snapToGrid w:val="0"/>
                      <w:color w:val="auto"/>
                      <w:kern w:val="0"/>
                      <w:sz w:val="21"/>
                      <w:szCs w:val="21"/>
                      <w:highlight w:val="none"/>
                      <w:lang w:val="en-US" w:eastAsia="zh-CN" w:bidi="ar-SA"/>
                      <w14:ligatures w14:val="none"/>
                    </w:rPr>
                    <w:t>3</w:t>
                  </w:r>
                  <w:r>
                    <w:rPr>
                      <w:rFonts w:hint="default" w:ascii="Times New Roman" w:hAnsi="Times New Roman" w:eastAsia="宋体" w:cs="Times New Roman"/>
                      <w:snapToGrid w:val="0"/>
                      <w:color w:val="auto"/>
                      <w:kern w:val="0"/>
                      <w:sz w:val="21"/>
                      <w:szCs w:val="21"/>
                      <w:highlight w:val="none"/>
                      <w:lang w:val="en-US" w:eastAsia="zh-CN" w:bidi="ar-SA"/>
                      <w14:ligatures w14:val="none"/>
                    </w:rPr>
                    <w:t>万m。</w:t>
                  </w:r>
                </w:p>
              </w:tc>
              <w:tc>
                <w:tcPr>
                  <w:tcW w:w="753" w:type="dxa"/>
                  <w:tcBorders>
                    <w:tl2br w:val="nil"/>
                    <w:tr2bl w:val="nil"/>
                  </w:tcBorders>
                  <w:vAlign w:val="center"/>
                </w:tcPr>
                <w:p w14:paraId="2F151E84">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color w:val="auto"/>
                      <w:sz w:val="21"/>
                      <w:szCs w:val="21"/>
                      <w:highlight w:val="none"/>
                      <w:lang w:val="en-US" w:eastAsia="zh-CN"/>
                    </w:rPr>
                    <w:t>新建</w:t>
                  </w:r>
                </w:p>
              </w:tc>
            </w:tr>
            <w:tr w14:paraId="7DE62C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507" w:type="dxa"/>
                  <w:vMerge w:val="continue"/>
                  <w:tcBorders>
                    <w:tl2br w:val="nil"/>
                    <w:tr2bl w:val="nil"/>
                  </w:tcBorders>
                  <w:vAlign w:val="center"/>
                </w:tcPr>
                <w:p w14:paraId="048E30B2">
                  <w:pPr>
                    <w:spacing w:line="240" w:lineRule="auto"/>
                    <w:jc w:val="center"/>
                    <w:rPr>
                      <w:rFonts w:hint="default" w:ascii="Times New Roman" w:hAnsi="Times New Roman" w:eastAsia="宋体" w:cs="Times New Roman"/>
                      <w:b/>
                      <w:bCs/>
                      <w:color w:val="auto"/>
                      <w:sz w:val="21"/>
                      <w:szCs w:val="21"/>
                      <w:highlight w:val="none"/>
                    </w:rPr>
                  </w:pPr>
                </w:p>
              </w:tc>
              <w:tc>
                <w:tcPr>
                  <w:tcW w:w="2048" w:type="dxa"/>
                  <w:gridSpan w:val="2"/>
                  <w:tcBorders>
                    <w:tl2br w:val="nil"/>
                    <w:tr2bl w:val="nil"/>
                  </w:tcBorders>
                  <w:vAlign w:val="center"/>
                </w:tcPr>
                <w:p w14:paraId="13A612BB">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雷管库</w:t>
                  </w:r>
                  <w:r>
                    <w:rPr>
                      <w:rFonts w:hint="eastAsia" w:cs="Times New Roman"/>
                      <w:snapToGrid w:val="0"/>
                      <w:color w:val="auto"/>
                      <w:kern w:val="0"/>
                      <w:sz w:val="21"/>
                      <w:szCs w:val="21"/>
                      <w:highlight w:val="none"/>
                      <w:lang w:val="en-US" w:eastAsia="zh-CN" w:bidi="ar-SA"/>
                      <w14:ligatures w14:val="none"/>
                    </w:rPr>
                    <w:t>（危险等级为1.1级）</w:t>
                  </w:r>
                </w:p>
              </w:tc>
              <w:tc>
                <w:tcPr>
                  <w:tcW w:w="4955" w:type="dxa"/>
                  <w:tcBorders>
                    <w:tl2br w:val="nil"/>
                    <w:tr2bl w:val="nil"/>
                  </w:tcBorders>
                  <w:vAlign w:val="center"/>
                </w:tcPr>
                <w:p w14:paraId="69AB3BA2">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雷管库1座，单层，</w:t>
                  </w:r>
                  <w:r>
                    <w:rPr>
                      <w:rFonts w:hint="eastAsia" w:cs="Times New Roman"/>
                      <w:snapToGrid w:val="0"/>
                      <w:color w:val="auto"/>
                      <w:kern w:val="0"/>
                      <w:sz w:val="21"/>
                      <w:szCs w:val="21"/>
                      <w:highlight w:val="none"/>
                      <w:lang w:val="en-US" w:eastAsia="zh-CN" w:bidi="ar-SA"/>
                      <w14:ligatures w14:val="none"/>
                    </w:rPr>
                    <w:t>砖</w:t>
                  </w:r>
                  <w:r>
                    <w:rPr>
                      <w:rFonts w:hint="default" w:ascii="Times New Roman" w:hAnsi="Times New Roman" w:eastAsia="宋体" w:cs="Times New Roman"/>
                      <w:snapToGrid w:val="0"/>
                      <w:color w:val="auto"/>
                      <w:kern w:val="0"/>
                      <w:sz w:val="21"/>
                      <w:szCs w:val="21"/>
                      <w:highlight w:val="none"/>
                      <w:lang w:val="en-US" w:eastAsia="zh-CN" w:bidi="ar-SA"/>
                      <w14:ligatures w14:val="none"/>
                    </w:rPr>
                    <w:t>混结构，建筑面积</w:t>
                  </w:r>
                </w:p>
                <w:p w14:paraId="0EC8AD60">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snapToGrid w:val="0"/>
                      <w:color w:val="auto"/>
                      <w:kern w:val="0"/>
                      <w:sz w:val="21"/>
                      <w:szCs w:val="21"/>
                      <w:highlight w:val="none"/>
                      <w:lang w:val="en-US" w:eastAsia="zh-CN" w:bidi="ar-SA"/>
                      <w14:ligatures w14:val="none"/>
                    </w:rPr>
                    <w:t>75.61</w:t>
                  </w:r>
                  <w:r>
                    <w:rPr>
                      <w:rFonts w:hint="default" w:ascii="Times New Roman" w:hAnsi="Times New Roman" w:eastAsia="宋体" w:cs="Times New Roman"/>
                      <w:snapToGrid w:val="0"/>
                      <w:color w:val="auto"/>
                      <w:kern w:val="0"/>
                      <w:sz w:val="21"/>
                      <w:szCs w:val="21"/>
                      <w:highlight w:val="none"/>
                      <w:lang w:val="en-US" w:eastAsia="zh-CN" w:bidi="ar-SA"/>
                      <w14:ligatures w14:val="none"/>
                    </w:rPr>
                    <w:t>m</w:t>
                  </w:r>
                  <w:r>
                    <w:rPr>
                      <w:rFonts w:hint="default" w:ascii="Times New Roman" w:hAnsi="Times New Roman" w:eastAsia="宋体" w:cs="Times New Roman"/>
                      <w:snapToGrid w:val="0"/>
                      <w:color w:val="auto"/>
                      <w:kern w:val="0"/>
                      <w:sz w:val="21"/>
                      <w:szCs w:val="21"/>
                      <w:highlight w:val="none"/>
                      <w:vertAlign w:val="superscript"/>
                      <w:lang w:val="en-US" w:eastAsia="zh-CN" w:bidi="ar-SA"/>
                      <w14:ligatures w14:val="none"/>
                    </w:rPr>
                    <w:t>2</w:t>
                  </w:r>
                  <w:r>
                    <w:rPr>
                      <w:rFonts w:hint="default" w:ascii="Times New Roman" w:hAnsi="Times New Roman" w:eastAsia="宋体" w:cs="Times New Roman"/>
                      <w:snapToGrid w:val="0"/>
                      <w:color w:val="auto"/>
                      <w:kern w:val="0"/>
                      <w:sz w:val="21"/>
                      <w:szCs w:val="21"/>
                      <w:highlight w:val="none"/>
                      <w:lang w:val="en-US" w:eastAsia="zh-CN" w:bidi="ar-SA"/>
                      <w14:ligatures w14:val="none"/>
                    </w:rPr>
                    <w:t>，储存雷管。雷管储存量</w:t>
                  </w:r>
                  <w:r>
                    <w:rPr>
                      <w:rFonts w:hint="eastAsia" w:cs="Times New Roman"/>
                      <w:snapToGrid w:val="0"/>
                      <w:color w:val="auto"/>
                      <w:kern w:val="0"/>
                      <w:sz w:val="21"/>
                      <w:szCs w:val="21"/>
                      <w:highlight w:val="none"/>
                      <w:lang w:val="en-US" w:eastAsia="zh-CN" w:bidi="ar-SA"/>
                      <w14:ligatures w14:val="none"/>
                    </w:rPr>
                    <w:t>3</w:t>
                  </w:r>
                  <w:r>
                    <w:rPr>
                      <w:rFonts w:hint="default" w:ascii="Times New Roman" w:hAnsi="Times New Roman" w:eastAsia="宋体" w:cs="Times New Roman"/>
                      <w:snapToGrid w:val="0"/>
                      <w:color w:val="auto"/>
                      <w:kern w:val="0"/>
                      <w:sz w:val="21"/>
                      <w:szCs w:val="21"/>
                      <w:highlight w:val="none"/>
                      <w:lang w:val="en-US" w:eastAsia="zh-CN" w:bidi="ar-SA"/>
                      <w14:ligatures w14:val="none"/>
                    </w:rPr>
                    <w:t>万发</w:t>
                  </w:r>
                  <w:r>
                    <w:rPr>
                      <w:rFonts w:hint="eastAsia" w:cs="Times New Roman"/>
                      <w:snapToGrid w:val="0"/>
                      <w:color w:val="auto"/>
                      <w:kern w:val="0"/>
                      <w:sz w:val="21"/>
                      <w:szCs w:val="21"/>
                      <w:highlight w:val="none"/>
                      <w:lang w:val="en-US" w:eastAsia="zh-CN" w:bidi="ar-SA"/>
                      <w14:ligatures w14:val="none"/>
                    </w:rPr>
                    <w:t>，存量0.03吨</w:t>
                  </w:r>
                  <w:r>
                    <w:rPr>
                      <w:rFonts w:hint="default" w:ascii="Times New Roman" w:hAnsi="Times New Roman" w:eastAsia="宋体" w:cs="Times New Roman"/>
                      <w:snapToGrid w:val="0"/>
                      <w:color w:val="auto"/>
                      <w:kern w:val="0"/>
                      <w:sz w:val="21"/>
                      <w:szCs w:val="21"/>
                      <w:highlight w:val="none"/>
                      <w:lang w:val="en-US" w:eastAsia="zh-CN" w:bidi="ar-SA"/>
                      <w14:ligatures w14:val="none"/>
                    </w:rPr>
                    <w:t>。</w:t>
                  </w:r>
                </w:p>
              </w:tc>
              <w:tc>
                <w:tcPr>
                  <w:tcW w:w="753" w:type="dxa"/>
                  <w:tcBorders>
                    <w:tl2br w:val="nil"/>
                    <w:tr2bl w:val="nil"/>
                  </w:tcBorders>
                  <w:vAlign w:val="center"/>
                </w:tcPr>
                <w:p w14:paraId="453428E3">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14:paraId="20FFA8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507" w:type="dxa"/>
                  <w:tcBorders>
                    <w:tl2br w:val="nil"/>
                    <w:tr2bl w:val="nil"/>
                  </w:tcBorders>
                  <w:vAlign w:val="center"/>
                </w:tcPr>
                <w:p w14:paraId="4C5A0AE6">
                  <w:pPr>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储运工程</w:t>
                  </w:r>
                </w:p>
              </w:tc>
              <w:tc>
                <w:tcPr>
                  <w:tcW w:w="2048" w:type="dxa"/>
                  <w:gridSpan w:val="2"/>
                  <w:tcBorders>
                    <w:tl2br w:val="nil"/>
                    <w:tr2bl w:val="nil"/>
                  </w:tcBorders>
                  <w:vAlign w:val="center"/>
                </w:tcPr>
                <w:p w14:paraId="5D4AA95D">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炸药库和值班室连接道路</w:t>
                  </w:r>
                </w:p>
              </w:tc>
              <w:tc>
                <w:tcPr>
                  <w:tcW w:w="4955" w:type="dxa"/>
                  <w:tcBorders>
                    <w:tl2br w:val="nil"/>
                    <w:tr2bl w:val="nil"/>
                  </w:tcBorders>
                  <w:vAlign w:val="center"/>
                </w:tcPr>
                <w:p w14:paraId="6905CA1C">
                  <w:pPr>
                    <w:spacing w:line="240" w:lineRule="auto"/>
                    <w:jc w:val="center"/>
                    <w:rPr>
                      <w:rFonts w:hint="default"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炸药库和值班室</w:t>
                  </w:r>
                  <w:r>
                    <w:rPr>
                      <w:rFonts w:hint="eastAsia" w:cs="Times New Roman"/>
                      <w:snapToGrid w:val="0"/>
                      <w:color w:val="auto"/>
                      <w:kern w:val="0"/>
                      <w:sz w:val="21"/>
                      <w:szCs w:val="21"/>
                      <w:highlight w:val="none"/>
                      <w:lang w:val="en-US" w:eastAsia="zh-CN" w:bidi="ar-SA"/>
                      <w14:ligatures w14:val="none"/>
                    </w:rPr>
                    <w:t>的</w:t>
                  </w:r>
                  <w:r>
                    <w:rPr>
                      <w:rFonts w:hint="default" w:ascii="Times New Roman" w:hAnsi="Times New Roman" w:eastAsia="宋体" w:cs="Times New Roman"/>
                      <w:snapToGrid w:val="0"/>
                      <w:color w:val="auto"/>
                      <w:kern w:val="0"/>
                      <w:sz w:val="21"/>
                      <w:szCs w:val="21"/>
                      <w:highlight w:val="none"/>
                      <w:lang w:val="en-US" w:eastAsia="zh-CN" w:bidi="ar-SA"/>
                      <w14:ligatures w14:val="none"/>
                    </w:rPr>
                    <w:t>连接道路</w:t>
                  </w:r>
                  <w:r>
                    <w:rPr>
                      <w:rFonts w:hint="eastAsia" w:cs="Times New Roman"/>
                      <w:snapToGrid w:val="0"/>
                      <w:color w:val="auto"/>
                      <w:kern w:val="0"/>
                      <w:sz w:val="21"/>
                      <w:szCs w:val="21"/>
                      <w:highlight w:val="none"/>
                      <w:lang w:val="en-US" w:eastAsia="zh-CN" w:bidi="ar-SA"/>
                      <w14:ligatures w14:val="none"/>
                    </w:rPr>
                    <w:t>依托现有道路</w:t>
                  </w:r>
                </w:p>
              </w:tc>
              <w:tc>
                <w:tcPr>
                  <w:tcW w:w="753" w:type="dxa"/>
                  <w:tcBorders>
                    <w:tl2br w:val="nil"/>
                    <w:tr2bl w:val="nil"/>
                  </w:tcBorders>
                  <w:vAlign w:val="center"/>
                </w:tcPr>
                <w:p w14:paraId="7700EEE5">
                  <w:pPr>
                    <w:spacing w:line="240" w:lineRule="auto"/>
                    <w:jc w:val="center"/>
                    <w:rPr>
                      <w:rFonts w:hint="default" w:cs="Times New Roman"/>
                      <w:color w:val="auto"/>
                      <w:sz w:val="21"/>
                      <w:szCs w:val="21"/>
                      <w:highlight w:val="none"/>
                      <w:lang w:val="en-US" w:eastAsia="zh-CN"/>
                    </w:rPr>
                  </w:pPr>
                  <w:r>
                    <w:rPr>
                      <w:rFonts w:hint="eastAsia" w:cs="Times New Roman"/>
                      <w:snapToGrid w:val="0"/>
                      <w:color w:val="auto"/>
                      <w:kern w:val="0"/>
                      <w:sz w:val="21"/>
                      <w:szCs w:val="21"/>
                      <w:highlight w:val="none"/>
                      <w:lang w:val="en-US" w:eastAsia="zh-CN" w:bidi="ar-SA"/>
                      <w14:ligatures w14:val="none"/>
                    </w:rPr>
                    <w:t>依托</w:t>
                  </w:r>
                </w:p>
              </w:tc>
            </w:tr>
            <w:tr w14:paraId="2A10E7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507" w:type="dxa"/>
                  <w:vMerge w:val="restart"/>
                  <w:tcBorders>
                    <w:tl2br w:val="nil"/>
                    <w:tr2bl w:val="nil"/>
                  </w:tcBorders>
                  <w:vAlign w:val="center"/>
                </w:tcPr>
                <w:p w14:paraId="5C51D044">
                  <w:pPr>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辅助工程</w:t>
                  </w:r>
                </w:p>
              </w:tc>
              <w:tc>
                <w:tcPr>
                  <w:tcW w:w="2048" w:type="dxa"/>
                  <w:gridSpan w:val="2"/>
                  <w:tcBorders>
                    <w:tl2br w:val="nil"/>
                    <w:tr2bl w:val="nil"/>
                  </w:tcBorders>
                  <w:vAlign w:val="center"/>
                </w:tcPr>
                <w:p w14:paraId="6E77E7AF">
                  <w:pPr>
                    <w:spacing w:line="240" w:lineRule="auto"/>
                    <w:jc w:val="center"/>
                    <w:rPr>
                      <w:rFonts w:hint="default" w:cs="Times New Roman"/>
                      <w:snapToGrid w:val="0"/>
                      <w:color w:val="auto"/>
                      <w:kern w:val="0"/>
                      <w:sz w:val="21"/>
                      <w:szCs w:val="21"/>
                      <w:highlight w:val="none"/>
                      <w:lang w:val="en-US" w:eastAsia="zh-CN" w:bidi="ar-SA"/>
                      <w14:ligatures w14:val="none"/>
                    </w:rPr>
                  </w:pPr>
                  <w:r>
                    <w:rPr>
                      <w:rFonts w:hint="default" w:cs="Times New Roman"/>
                      <w:snapToGrid w:val="0"/>
                      <w:color w:val="auto"/>
                      <w:kern w:val="0"/>
                      <w:sz w:val="21"/>
                      <w:szCs w:val="21"/>
                      <w:highlight w:val="none"/>
                      <w:lang w:val="en-US" w:eastAsia="zh-CN" w:bidi="ar-SA"/>
                      <w14:ligatures w14:val="none"/>
                    </w:rPr>
                    <w:t>值班室</w:t>
                  </w:r>
                </w:p>
              </w:tc>
              <w:tc>
                <w:tcPr>
                  <w:tcW w:w="4955" w:type="dxa"/>
                  <w:tcBorders>
                    <w:tl2br w:val="nil"/>
                    <w:tr2bl w:val="nil"/>
                  </w:tcBorders>
                  <w:vAlign w:val="center"/>
                </w:tcPr>
                <w:p w14:paraId="5D263352">
                  <w:pPr>
                    <w:spacing w:line="240" w:lineRule="auto"/>
                    <w:jc w:val="center"/>
                    <w:rPr>
                      <w:rFonts w:hint="default" w:cs="Times New Roman"/>
                      <w:snapToGrid w:val="0"/>
                      <w:color w:val="auto"/>
                      <w:kern w:val="0"/>
                      <w:sz w:val="21"/>
                      <w:szCs w:val="21"/>
                      <w:highlight w:val="none"/>
                      <w:lang w:val="en-US" w:eastAsia="zh-CN" w:bidi="ar-SA"/>
                      <w14:ligatures w14:val="none"/>
                    </w:rPr>
                  </w:pPr>
                  <w:r>
                    <w:rPr>
                      <w:rFonts w:hint="eastAsia" w:cs="Times New Roman"/>
                      <w:snapToGrid w:val="0"/>
                      <w:color w:val="auto"/>
                      <w:kern w:val="0"/>
                      <w:sz w:val="21"/>
                      <w:szCs w:val="21"/>
                      <w:highlight w:val="none"/>
                      <w:lang w:val="en-US" w:eastAsia="zh-CN" w:bidi="ar-SA"/>
                      <w14:ligatures w14:val="none"/>
                    </w:rPr>
                    <w:t>值班室1座，建筑面积114.76m</w:t>
                  </w:r>
                  <w:r>
                    <w:rPr>
                      <w:rFonts w:hint="eastAsia" w:cs="Times New Roman"/>
                      <w:snapToGrid w:val="0"/>
                      <w:color w:val="auto"/>
                      <w:kern w:val="0"/>
                      <w:sz w:val="21"/>
                      <w:szCs w:val="21"/>
                      <w:highlight w:val="none"/>
                      <w:vertAlign w:val="superscript"/>
                      <w:lang w:val="en-US" w:eastAsia="zh-CN" w:bidi="ar-SA"/>
                      <w14:ligatures w14:val="none"/>
                    </w:rPr>
                    <w:t>2</w:t>
                  </w:r>
                  <w:r>
                    <w:rPr>
                      <w:rFonts w:hint="eastAsia" w:cs="Times New Roman"/>
                      <w:snapToGrid w:val="0"/>
                      <w:color w:val="auto"/>
                      <w:kern w:val="0"/>
                      <w:sz w:val="21"/>
                      <w:szCs w:val="21"/>
                      <w:highlight w:val="none"/>
                      <w:lang w:val="en-US" w:eastAsia="zh-CN" w:bidi="ar-SA"/>
                      <w14:ligatures w14:val="none"/>
                    </w:rPr>
                    <w:t>，为1栋1F砖混结构建筑，主要功能为值班人员办公、食堂、休息，设置防爆及应急工具。</w:t>
                  </w:r>
                </w:p>
              </w:tc>
              <w:tc>
                <w:tcPr>
                  <w:tcW w:w="753" w:type="dxa"/>
                  <w:tcBorders>
                    <w:tl2br w:val="nil"/>
                    <w:tr2bl w:val="nil"/>
                  </w:tcBorders>
                  <w:vAlign w:val="center"/>
                </w:tcPr>
                <w:p w14:paraId="7A2F5702">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14:paraId="24AE5C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507" w:type="dxa"/>
                  <w:vMerge w:val="continue"/>
                  <w:tcBorders>
                    <w:tl2br w:val="nil"/>
                    <w:tr2bl w:val="nil"/>
                  </w:tcBorders>
                  <w:vAlign w:val="center"/>
                </w:tcPr>
                <w:p w14:paraId="792D0A52">
                  <w:pPr>
                    <w:spacing w:line="240" w:lineRule="auto"/>
                    <w:jc w:val="center"/>
                    <w:rPr>
                      <w:rFonts w:hint="eastAsia" w:cs="Times New Roman"/>
                      <w:b/>
                      <w:bCs/>
                      <w:color w:val="auto"/>
                      <w:sz w:val="21"/>
                      <w:szCs w:val="21"/>
                      <w:highlight w:val="none"/>
                      <w:lang w:val="en-US" w:eastAsia="zh-CN"/>
                    </w:rPr>
                  </w:pPr>
                </w:p>
              </w:tc>
              <w:tc>
                <w:tcPr>
                  <w:tcW w:w="2048" w:type="dxa"/>
                  <w:gridSpan w:val="2"/>
                  <w:tcBorders>
                    <w:tl2br w:val="nil"/>
                    <w:tr2bl w:val="nil"/>
                  </w:tcBorders>
                  <w:vAlign w:val="center"/>
                </w:tcPr>
                <w:p w14:paraId="7957305A">
                  <w:pPr>
                    <w:spacing w:line="240" w:lineRule="auto"/>
                    <w:jc w:val="center"/>
                    <w:rPr>
                      <w:rFonts w:hint="eastAsia" w:cs="Times New Roman"/>
                      <w:snapToGrid w:val="0"/>
                      <w:color w:val="auto"/>
                      <w:kern w:val="0"/>
                      <w:sz w:val="21"/>
                      <w:szCs w:val="21"/>
                      <w:highlight w:val="none"/>
                      <w:lang w:val="en-US" w:eastAsia="zh-CN" w:bidi="ar-SA"/>
                      <w14:ligatures w14:val="none"/>
                    </w:rPr>
                  </w:pPr>
                  <w:r>
                    <w:rPr>
                      <w:rFonts w:hint="eastAsia" w:cs="Times New Roman"/>
                      <w:snapToGrid w:val="0"/>
                      <w:color w:val="auto"/>
                      <w:kern w:val="0"/>
                      <w:sz w:val="21"/>
                      <w:szCs w:val="21"/>
                      <w:highlight w:val="none"/>
                      <w:lang w:val="en-US" w:eastAsia="zh-CN" w:bidi="ar-SA"/>
                      <w14:ligatures w14:val="none"/>
                    </w:rPr>
                    <w:t>消防水池</w:t>
                  </w:r>
                </w:p>
              </w:tc>
              <w:tc>
                <w:tcPr>
                  <w:tcW w:w="4955" w:type="dxa"/>
                  <w:tcBorders>
                    <w:tl2br w:val="nil"/>
                    <w:tr2bl w:val="nil"/>
                  </w:tcBorders>
                  <w:vAlign w:val="center"/>
                </w:tcPr>
                <w:p w14:paraId="67831DE3">
                  <w:pPr>
                    <w:spacing w:line="240" w:lineRule="auto"/>
                    <w:jc w:val="center"/>
                    <w:rPr>
                      <w:rFonts w:hint="eastAsia" w:cs="Times New Roman"/>
                      <w:snapToGrid w:val="0"/>
                      <w:color w:val="auto"/>
                      <w:kern w:val="0"/>
                      <w:sz w:val="21"/>
                      <w:szCs w:val="21"/>
                      <w:highlight w:val="none"/>
                      <w:lang w:val="en-US" w:eastAsia="zh-CN" w:bidi="ar-SA"/>
                      <w14:ligatures w14:val="none"/>
                    </w:rPr>
                  </w:pPr>
                  <w:r>
                    <w:rPr>
                      <w:rFonts w:hint="eastAsia" w:cs="Times New Roman"/>
                      <w:snapToGrid w:val="0"/>
                      <w:color w:val="auto"/>
                      <w:kern w:val="0"/>
                      <w:sz w:val="21"/>
                      <w:szCs w:val="21"/>
                      <w:highlight w:val="none"/>
                      <w:lang w:val="en-US" w:eastAsia="zh-CN" w:bidi="ar-SA"/>
                      <w14:ligatures w14:val="none"/>
                    </w:rPr>
                    <w:t>炸药库区建设1个消防水池，容积187.2m</w:t>
                  </w:r>
                  <w:r>
                    <w:rPr>
                      <w:rFonts w:hint="eastAsia" w:cs="Times New Roman"/>
                      <w:snapToGrid w:val="0"/>
                      <w:color w:val="auto"/>
                      <w:kern w:val="0"/>
                      <w:sz w:val="21"/>
                      <w:szCs w:val="21"/>
                      <w:highlight w:val="none"/>
                      <w:vertAlign w:val="superscript"/>
                      <w:lang w:val="en-US" w:eastAsia="zh-CN" w:bidi="ar-SA"/>
                      <w14:ligatures w14:val="none"/>
                    </w:rPr>
                    <w:t>3</w:t>
                  </w:r>
                  <w:r>
                    <w:rPr>
                      <w:rFonts w:hint="eastAsia" w:cs="Times New Roman"/>
                      <w:snapToGrid w:val="0"/>
                      <w:color w:val="auto"/>
                      <w:kern w:val="0"/>
                      <w:sz w:val="21"/>
                      <w:szCs w:val="21"/>
                      <w:highlight w:val="none"/>
                      <w:lang w:val="en-US" w:eastAsia="zh-CN" w:bidi="ar-SA"/>
                      <w14:ligatures w14:val="none"/>
                    </w:rPr>
                    <w:t>。</w:t>
                  </w:r>
                </w:p>
              </w:tc>
              <w:tc>
                <w:tcPr>
                  <w:tcW w:w="753" w:type="dxa"/>
                  <w:tcBorders>
                    <w:tl2br w:val="nil"/>
                    <w:tr2bl w:val="nil"/>
                  </w:tcBorders>
                  <w:vAlign w:val="center"/>
                </w:tcPr>
                <w:p w14:paraId="6AB106D8">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14:paraId="71A56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168" w:hRule="atLeast"/>
                <w:jc w:val="center"/>
              </w:trPr>
              <w:tc>
                <w:tcPr>
                  <w:tcW w:w="507" w:type="dxa"/>
                  <w:vMerge w:val="continue"/>
                  <w:tcBorders>
                    <w:tl2br w:val="nil"/>
                    <w:tr2bl w:val="nil"/>
                  </w:tcBorders>
                  <w:vAlign w:val="center"/>
                </w:tcPr>
                <w:p w14:paraId="15C96689">
                  <w:pPr>
                    <w:spacing w:line="240" w:lineRule="auto"/>
                    <w:jc w:val="center"/>
                    <w:rPr>
                      <w:rFonts w:hint="eastAsia" w:cs="Times New Roman"/>
                      <w:b/>
                      <w:bCs/>
                      <w:color w:val="auto"/>
                      <w:sz w:val="21"/>
                      <w:szCs w:val="21"/>
                      <w:highlight w:val="none"/>
                      <w:lang w:val="en-US" w:eastAsia="zh-CN"/>
                    </w:rPr>
                  </w:pPr>
                </w:p>
              </w:tc>
              <w:tc>
                <w:tcPr>
                  <w:tcW w:w="2048" w:type="dxa"/>
                  <w:gridSpan w:val="2"/>
                  <w:tcBorders>
                    <w:tl2br w:val="nil"/>
                    <w:tr2bl w:val="nil"/>
                  </w:tcBorders>
                  <w:vAlign w:val="center"/>
                </w:tcPr>
                <w:p w14:paraId="0E715684">
                  <w:pPr>
                    <w:spacing w:line="240" w:lineRule="auto"/>
                    <w:jc w:val="center"/>
                    <w:rPr>
                      <w:rFonts w:hint="eastAsia" w:cs="Times New Roman"/>
                      <w:snapToGrid w:val="0"/>
                      <w:color w:val="auto"/>
                      <w:kern w:val="0"/>
                      <w:sz w:val="21"/>
                      <w:szCs w:val="21"/>
                      <w:highlight w:val="none"/>
                      <w:lang w:val="en-US" w:eastAsia="zh-CN" w:bidi="ar-SA"/>
                      <w14:ligatures w14:val="none"/>
                    </w:rPr>
                  </w:pPr>
                  <w:r>
                    <w:rPr>
                      <w:rFonts w:hint="eastAsia" w:cs="Times New Roman"/>
                      <w:snapToGrid w:val="0"/>
                      <w:color w:val="auto"/>
                      <w:kern w:val="0"/>
                      <w:sz w:val="21"/>
                      <w:szCs w:val="21"/>
                      <w:highlight w:val="none"/>
                      <w:lang w:val="en-US" w:eastAsia="zh-CN" w:bidi="ar-SA"/>
                      <w14:ligatures w14:val="none"/>
                    </w:rPr>
                    <w:t>防护围墙</w:t>
                  </w:r>
                </w:p>
              </w:tc>
              <w:tc>
                <w:tcPr>
                  <w:tcW w:w="4955" w:type="dxa"/>
                  <w:tcBorders>
                    <w:tl2br w:val="nil"/>
                    <w:tr2bl w:val="nil"/>
                  </w:tcBorders>
                  <w:vAlign w:val="center"/>
                </w:tcPr>
                <w:p w14:paraId="1CF7478B">
                  <w:pPr>
                    <w:spacing w:line="240" w:lineRule="auto"/>
                    <w:jc w:val="center"/>
                    <w:rPr>
                      <w:rFonts w:hint="eastAsia" w:cs="Times New Roman"/>
                      <w:snapToGrid w:val="0"/>
                      <w:color w:val="auto"/>
                      <w:kern w:val="0"/>
                      <w:sz w:val="21"/>
                      <w:szCs w:val="21"/>
                      <w:highlight w:val="none"/>
                      <w:lang w:val="en-US" w:eastAsia="zh-CN" w:bidi="ar-SA"/>
                      <w14:ligatures w14:val="none"/>
                    </w:rPr>
                  </w:pPr>
                  <w:r>
                    <w:rPr>
                      <w:rFonts w:hint="eastAsia" w:cs="Times New Roman"/>
                      <w:snapToGrid w:val="0"/>
                      <w:color w:val="auto"/>
                      <w:kern w:val="0"/>
                      <w:sz w:val="21"/>
                      <w:szCs w:val="21"/>
                      <w:highlight w:val="none"/>
                      <w:lang w:val="en-US" w:eastAsia="zh-CN" w:bidi="ar-SA"/>
                      <w14:ligatures w14:val="none"/>
                    </w:rPr>
                    <w:t>炸药库、雷管库外围设置防护围墙，高度2.5m。</w:t>
                  </w:r>
                </w:p>
              </w:tc>
              <w:tc>
                <w:tcPr>
                  <w:tcW w:w="753" w:type="dxa"/>
                  <w:tcBorders>
                    <w:tl2br w:val="nil"/>
                    <w:tr2bl w:val="nil"/>
                  </w:tcBorders>
                  <w:vAlign w:val="center"/>
                </w:tcPr>
                <w:p w14:paraId="7679AB56">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14:paraId="19A05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507" w:type="dxa"/>
                  <w:vMerge w:val="continue"/>
                  <w:tcBorders>
                    <w:tl2br w:val="nil"/>
                    <w:tr2bl w:val="nil"/>
                  </w:tcBorders>
                  <w:vAlign w:val="center"/>
                </w:tcPr>
                <w:p w14:paraId="1AD48D42">
                  <w:pPr>
                    <w:spacing w:line="240" w:lineRule="auto"/>
                    <w:jc w:val="center"/>
                    <w:rPr>
                      <w:rFonts w:hint="eastAsia" w:cs="Times New Roman"/>
                      <w:b/>
                      <w:bCs/>
                      <w:color w:val="auto"/>
                      <w:sz w:val="21"/>
                      <w:szCs w:val="21"/>
                      <w:highlight w:val="none"/>
                      <w:lang w:val="en-US" w:eastAsia="zh-CN"/>
                    </w:rPr>
                  </w:pPr>
                </w:p>
              </w:tc>
              <w:tc>
                <w:tcPr>
                  <w:tcW w:w="2048" w:type="dxa"/>
                  <w:gridSpan w:val="2"/>
                  <w:tcBorders>
                    <w:tl2br w:val="nil"/>
                    <w:tr2bl w:val="nil"/>
                  </w:tcBorders>
                  <w:vAlign w:val="center"/>
                </w:tcPr>
                <w:p w14:paraId="76322F03">
                  <w:pPr>
                    <w:spacing w:line="240" w:lineRule="auto"/>
                    <w:jc w:val="center"/>
                    <w:rPr>
                      <w:rFonts w:hint="default" w:cs="Times New Roman"/>
                      <w:snapToGrid w:val="0"/>
                      <w:color w:val="auto"/>
                      <w:kern w:val="0"/>
                      <w:sz w:val="21"/>
                      <w:szCs w:val="21"/>
                      <w:highlight w:val="none"/>
                      <w:lang w:val="en-US" w:eastAsia="zh-CN" w:bidi="ar-SA"/>
                      <w14:ligatures w14:val="none"/>
                    </w:rPr>
                  </w:pPr>
                  <w:r>
                    <w:rPr>
                      <w:rFonts w:hint="eastAsia" w:cs="Times New Roman"/>
                      <w:snapToGrid w:val="0"/>
                      <w:color w:val="auto"/>
                      <w:kern w:val="0"/>
                      <w:sz w:val="21"/>
                      <w:szCs w:val="21"/>
                      <w:highlight w:val="none"/>
                      <w:lang w:val="en-US" w:eastAsia="zh-CN" w:bidi="ar-SA"/>
                      <w14:ligatures w14:val="none"/>
                    </w:rPr>
                    <w:t>截洪沟</w:t>
                  </w:r>
                </w:p>
              </w:tc>
              <w:tc>
                <w:tcPr>
                  <w:tcW w:w="4955" w:type="dxa"/>
                  <w:tcBorders>
                    <w:tl2br w:val="nil"/>
                    <w:tr2bl w:val="nil"/>
                  </w:tcBorders>
                  <w:vAlign w:val="center"/>
                </w:tcPr>
                <w:p w14:paraId="4222B9B4">
                  <w:pPr>
                    <w:spacing w:line="240" w:lineRule="auto"/>
                    <w:jc w:val="center"/>
                    <w:rPr>
                      <w:rFonts w:hint="default" w:cs="Times New Roman"/>
                      <w:snapToGrid w:val="0"/>
                      <w:color w:val="auto"/>
                      <w:kern w:val="0"/>
                      <w:sz w:val="21"/>
                      <w:szCs w:val="21"/>
                      <w:highlight w:val="none"/>
                      <w:lang w:val="en-US" w:eastAsia="zh-CN" w:bidi="ar-SA"/>
                      <w14:ligatures w14:val="none"/>
                    </w:rPr>
                  </w:pPr>
                  <w:r>
                    <w:rPr>
                      <w:rFonts w:hint="eastAsia" w:cs="Times New Roman"/>
                      <w:snapToGrid w:val="0"/>
                      <w:color w:val="auto"/>
                      <w:kern w:val="0"/>
                      <w:sz w:val="21"/>
                      <w:szCs w:val="21"/>
                      <w:highlight w:val="none"/>
                      <w:lang w:val="en-US" w:eastAsia="zh-CN" w:bidi="ar-SA"/>
                      <w14:ligatures w14:val="none"/>
                    </w:rPr>
                    <w:t>宽1.5m</w:t>
                  </w:r>
                  <w:r>
                    <w:rPr>
                      <w:rFonts w:hint="eastAsia" w:cs="Times New Roman"/>
                      <w:color w:val="auto"/>
                      <w:kern w:val="0"/>
                      <w:sz w:val="21"/>
                      <w:szCs w:val="21"/>
                      <w:highlight w:val="none"/>
                      <w:lang w:eastAsia="zh-CN"/>
                    </w:rPr>
                    <w:t>、</w:t>
                  </w:r>
                  <w:r>
                    <w:rPr>
                      <w:rFonts w:hint="eastAsia" w:cs="Times New Roman"/>
                      <w:color w:val="auto"/>
                      <w:kern w:val="0"/>
                      <w:sz w:val="21"/>
                      <w:szCs w:val="21"/>
                      <w:highlight w:val="none"/>
                      <w:lang w:val="en-US" w:eastAsia="zh-CN"/>
                    </w:rPr>
                    <w:t>长266m、深0.6m。</w:t>
                  </w:r>
                </w:p>
              </w:tc>
              <w:tc>
                <w:tcPr>
                  <w:tcW w:w="753" w:type="dxa"/>
                  <w:tcBorders>
                    <w:tl2br w:val="nil"/>
                    <w:tr2bl w:val="nil"/>
                  </w:tcBorders>
                  <w:vAlign w:val="center"/>
                </w:tcPr>
                <w:p w14:paraId="5DF8424F">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bookmarkEnd w:id="2"/>
            <w:tr w14:paraId="0DFA0F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268" w:hRule="atLeast"/>
                <w:jc w:val="center"/>
              </w:trPr>
              <w:tc>
                <w:tcPr>
                  <w:tcW w:w="507" w:type="dxa"/>
                  <w:vMerge w:val="restart"/>
                  <w:tcBorders>
                    <w:tl2br w:val="nil"/>
                    <w:tr2bl w:val="nil"/>
                  </w:tcBorders>
                  <w:vAlign w:val="center"/>
                </w:tcPr>
                <w:p w14:paraId="6148A1A4">
                  <w:pPr>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公用工程</w:t>
                  </w:r>
                </w:p>
              </w:tc>
              <w:tc>
                <w:tcPr>
                  <w:tcW w:w="2048" w:type="dxa"/>
                  <w:gridSpan w:val="2"/>
                  <w:tcBorders>
                    <w:tl2br w:val="nil"/>
                    <w:tr2bl w:val="nil"/>
                  </w:tcBorders>
                  <w:shd w:val="clear" w:color="auto" w:fill="auto"/>
                  <w:vAlign w:val="center"/>
                </w:tcPr>
                <w:p w14:paraId="499704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bidi="ar-SA"/>
                      <w14:ligatures w14:val="none"/>
                    </w:rPr>
                  </w:pPr>
                  <w:r>
                    <w:rPr>
                      <w:rFonts w:hint="default" w:ascii="Times New Roman" w:hAnsi="Times New Roman" w:eastAsia="宋体" w:cs="Times New Roman"/>
                      <w:color w:val="auto"/>
                      <w:sz w:val="21"/>
                      <w:szCs w:val="21"/>
                      <w:highlight w:val="none"/>
                      <w:vertAlign w:val="baseline"/>
                      <w:lang w:val="en-US" w:eastAsia="zh-CN"/>
                    </w:rPr>
                    <w:t>供水</w:t>
                  </w:r>
                </w:p>
              </w:tc>
              <w:tc>
                <w:tcPr>
                  <w:tcW w:w="4955" w:type="dxa"/>
                  <w:tcBorders>
                    <w:tl2br w:val="nil"/>
                    <w:tr2bl w:val="nil"/>
                  </w:tcBorders>
                  <w:shd w:val="clear" w:color="auto" w:fill="auto"/>
                  <w:vAlign w:val="center"/>
                </w:tcPr>
                <w:p w14:paraId="238EEF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bidi="ar-SA"/>
                      <w14:ligatures w14:val="none"/>
                    </w:rPr>
                  </w:pPr>
                  <w:r>
                    <w:rPr>
                      <w:rFonts w:hint="eastAsia" w:cs="Times New Roman"/>
                      <w:color w:val="auto"/>
                      <w:kern w:val="0"/>
                      <w:sz w:val="21"/>
                      <w:szCs w:val="21"/>
                      <w:highlight w:val="none"/>
                      <w:lang w:val="en-US" w:eastAsia="zh-CN"/>
                    </w:rPr>
                    <w:t>从若羌县购买桶装水</w:t>
                  </w:r>
                  <w:r>
                    <w:rPr>
                      <w:rFonts w:hint="eastAsia" w:cs="Times New Roman"/>
                      <w:color w:val="auto"/>
                      <w:kern w:val="0"/>
                      <w:sz w:val="21"/>
                      <w:szCs w:val="21"/>
                      <w:highlight w:val="none"/>
                      <w:lang w:eastAsia="zh-CN"/>
                    </w:rPr>
                    <w:t>。</w:t>
                  </w:r>
                </w:p>
              </w:tc>
              <w:tc>
                <w:tcPr>
                  <w:tcW w:w="753" w:type="dxa"/>
                  <w:tcBorders>
                    <w:tl2br w:val="nil"/>
                    <w:tr2bl w:val="nil"/>
                  </w:tcBorders>
                  <w:vAlign w:val="center"/>
                </w:tcPr>
                <w:p w14:paraId="60607C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17852B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507" w:type="dxa"/>
                  <w:vMerge w:val="continue"/>
                  <w:tcBorders>
                    <w:tl2br w:val="nil"/>
                    <w:tr2bl w:val="nil"/>
                  </w:tcBorders>
                  <w:vAlign w:val="center"/>
                </w:tcPr>
                <w:p w14:paraId="57ECD076">
                  <w:pPr>
                    <w:widowControl/>
                    <w:spacing w:line="240" w:lineRule="auto"/>
                    <w:jc w:val="center"/>
                    <w:rPr>
                      <w:rFonts w:hint="default" w:ascii="Times New Roman" w:hAnsi="Times New Roman" w:eastAsia="宋体" w:cs="Times New Roman"/>
                      <w:b/>
                      <w:bCs/>
                      <w:color w:val="auto"/>
                      <w:sz w:val="21"/>
                      <w:szCs w:val="21"/>
                      <w:highlight w:val="none"/>
                    </w:rPr>
                  </w:pPr>
                </w:p>
              </w:tc>
              <w:tc>
                <w:tcPr>
                  <w:tcW w:w="2048" w:type="dxa"/>
                  <w:gridSpan w:val="2"/>
                  <w:tcBorders>
                    <w:tl2br w:val="nil"/>
                    <w:tr2bl w:val="nil"/>
                  </w:tcBorders>
                  <w:shd w:val="clear" w:color="auto" w:fill="auto"/>
                  <w:vAlign w:val="center"/>
                </w:tcPr>
                <w:p w14:paraId="5D7511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bidi="ar-SA"/>
                      <w14:ligatures w14:val="none"/>
                    </w:rPr>
                  </w:pPr>
                  <w:r>
                    <w:rPr>
                      <w:rFonts w:hint="default" w:ascii="Times New Roman" w:hAnsi="Times New Roman" w:eastAsia="宋体" w:cs="Times New Roman"/>
                      <w:color w:val="auto"/>
                      <w:sz w:val="21"/>
                      <w:szCs w:val="21"/>
                      <w:highlight w:val="none"/>
                      <w:vertAlign w:val="baseline"/>
                      <w:lang w:val="en-US" w:eastAsia="zh-CN"/>
                    </w:rPr>
                    <w:t>排水</w:t>
                  </w:r>
                </w:p>
              </w:tc>
              <w:tc>
                <w:tcPr>
                  <w:tcW w:w="4955" w:type="dxa"/>
                  <w:tcBorders>
                    <w:tl2br w:val="nil"/>
                    <w:tr2bl w:val="nil"/>
                  </w:tcBorders>
                  <w:shd w:val="clear" w:color="auto" w:fill="auto"/>
                  <w:vAlign w:val="center"/>
                </w:tcPr>
                <w:p w14:paraId="2E8546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项目食堂废水经隔油预处理后与生活污水经地埋式一体化污水处理设施处理达标；春夏秋季用于洒水降尘，冬季储存于水箱，次年回暖后回用。</w:t>
                  </w:r>
                </w:p>
              </w:tc>
              <w:tc>
                <w:tcPr>
                  <w:tcW w:w="753" w:type="dxa"/>
                  <w:tcBorders>
                    <w:tl2br w:val="nil"/>
                    <w:tr2bl w:val="nil"/>
                  </w:tcBorders>
                  <w:vAlign w:val="center"/>
                </w:tcPr>
                <w:p w14:paraId="5B64AC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1E4595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330" w:hRule="atLeast"/>
                <w:jc w:val="center"/>
              </w:trPr>
              <w:tc>
                <w:tcPr>
                  <w:tcW w:w="507" w:type="dxa"/>
                  <w:vMerge w:val="continue"/>
                  <w:tcBorders>
                    <w:tl2br w:val="nil"/>
                    <w:tr2bl w:val="nil"/>
                  </w:tcBorders>
                  <w:vAlign w:val="center"/>
                </w:tcPr>
                <w:p w14:paraId="155FE0D5">
                  <w:pPr>
                    <w:widowControl/>
                    <w:spacing w:line="240" w:lineRule="auto"/>
                    <w:jc w:val="center"/>
                    <w:rPr>
                      <w:rFonts w:hint="default" w:ascii="Times New Roman" w:hAnsi="Times New Roman" w:eastAsia="宋体" w:cs="Times New Roman"/>
                      <w:b/>
                      <w:bCs/>
                      <w:color w:val="auto"/>
                      <w:sz w:val="21"/>
                      <w:szCs w:val="21"/>
                      <w:highlight w:val="none"/>
                    </w:rPr>
                  </w:pPr>
                </w:p>
              </w:tc>
              <w:tc>
                <w:tcPr>
                  <w:tcW w:w="2048" w:type="dxa"/>
                  <w:gridSpan w:val="2"/>
                  <w:tcBorders>
                    <w:tl2br w:val="nil"/>
                    <w:tr2bl w:val="nil"/>
                  </w:tcBorders>
                  <w:shd w:val="clear" w:color="auto" w:fill="auto"/>
                  <w:vAlign w:val="center"/>
                </w:tcPr>
                <w:p w14:paraId="1C23B4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bidi="ar-SA"/>
                      <w14:ligatures w14:val="none"/>
                    </w:rPr>
                  </w:pPr>
                  <w:r>
                    <w:rPr>
                      <w:rFonts w:hint="default" w:ascii="Times New Roman" w:hAnsi="Times New Roman" w:eastAsia="宋体" w:cs="Times New Roman"/>
                      <w:color w:val="auto"/>
                      <w:sz w:val="21"/>
                      <w:szCs w:val="21"/>
                      <w:highlight w:val="none"/>
                      <w:vertAlign w:val="baseline"/>
                      <w:lang w:val="en-US" w:eastAsia="zh-CN"/>
                    </w:rPr>
                    <w:t>供电</w:t>
                  </w:r>
                </w:p>
              </w:tc>
              <w:tc>
                <w:tcPr>
                  <w:tcW w:w="4955" w:type="dxa"/>
                  <w:tcBorders>
                    <w:tl2br w:val="nil"/>
                    <w:tr2bl w:val="nil"/>
                  </w:tcBorders>
                  <w:shd w:val="clear" w:color="auto" w:fill="auto"/>
                  <w:vAlign w:val="center"/>
                </w:tcPr>
                <w:p w14:paraId="5B0AAE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2"/>
                      <w:sz w:val="21"/>
                      <w:szCs w:val="21"/>
                      <w:highlight w:val="none"/>
                      <w:lang w:val="en-US" w:eastAsia="zh-CN" w:bidi="ar-SA"/>
                      <w14:ligatures w14:val="none"/>
                    </w:rPr>
                  </w:pPr>
                  <w:r>
                    <w:rPr>
                      <w:rFonts w:hint="eastAsia" w:cs="Times New Roman"/>
                      <w:color w:val="auto"/>
                      <w:kern w:val="0"/>
                      <w:sz w:val="21"/>
                      <w:szCs w:val="21"/>
                      <w:highlight w:val="none"/>
                      <w:lang w:val="en-US" w:eastAsia="zh-CN"/>
                    </w:rPr>
                    <w:t>电网接入</w:t>
                  </w:r>
                </w:p>
              </w:tc>
              <w:tc>
                <w:tcPr>
                  <w:tcW w:w="753" w:type="dxa"/>
                  <w:tcBorders>
                    <w:tl2br w:val="nil"/>
                    <w:tr2bl w:val="nil"/>
                  </w:tcBorders>
                  <w:vAlign w:val="center"/>
                </w:tcPr>
                <w:p w14:paraId="05AFCC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w:t>
                  </w:r>
                </w:p>
              </w:tc>
            </w:tr>
            <w:tr w14:paraId="4FA8E5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354" w:hRule="atLeast"/>
                <w:jc w:val="center"/>
              </w:trPr>
              <w:tc>
                <w:tcPr>
                  <w:tcW w:w="507" w:type="dxa"/>
                  <w:vMerge w:val="continue"/>
                  <w:tcBorders>
                    <w:tl2br w:val="nil"/>
                    <w:tr2bl w:val="nil"/>
                  </w:tcBorders>
                  <w:vAlign w:val="center"/>
                </w:tcPr>
                <w:p w14:paraId="044BF1ED">
                  <w:pPr>
                    <w:widowControl/>
                    <w:spacing w:line="240" w:lineRule="auto"/>
                    <w:jc w:val="center"/>
                    <w:rPr>
                      <w:rFonts w:hint="default" w:ascii="Times New Roman" w:hAnsi="Times New Roman" w:eastAsia="宋体" w:cs="Times New Roman"/>
                      <w:b/>
                      <w:bCs/>
                      <w:color w:val="auto"/>
                      <w:sz w:val="21"/>
                      <w:szCs w:val="21"/>
                      <w:highlight w:val="none"/>
                    </w:rPr>
                  </w:pPr>
                </w:p>
              </w:tc>
              <w:tc>
                <w:tcPr>
                  <w:tcW w:w="2048" w:type="dxa"/>
                  <w:gridSpan w:val="2"/>
                  <w:tcBorders>
                    <w:tl2br w:val="nil"/>
                    <w:tr2bl w:val="nil"/>
                  </w:tcBorders>
                  <w:shd w:val="clear" w:color="auto" w:fill="auto"/>
                  <w:vAlign w:val="center"/>
                </w:tcPr>
                <w:p w14:paraId="3D0814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bidi="ar-SA"/>
                      <w14:ligatures w14:val="none"/>
                    </w:rPr>
                  </w:pPr>
                  <w:r>
                    <w:rPr>
                      <w:rFonts w:hint="default" w:ascii="Times New Roman" w:hAnsi="Times New Roman" w:eastAsia="宋体" w:cs="Times New Roman"/>
                      <w:color w:val="auto"/>
                      <w:sz w:val="21"/>
                      <w:szCs w:val="21"/>
                      <w:highlight w:val="none"/>
                      <w:vertAlign w:val="baseline"/>
                      <w:lang w:val="en-US" w:eastAsia="zh-CN"/>
                    </w:rPr>
                    <w:t>供热</w:t>
                  </w:r>
                </w:p>
              </w:tc>
              <w:tc>
                <w:tcPr>
                  <w:tcW w:w="4955" w:type="dxa"/>
                  <w:tcBorders>
                    <w:tl2br w:val="nil"/>
                    <w:tr2bl w:val="nil"/>
                  </w:tcBorders>
                  <w:shd w:val="clear" w:color="auto" w:fill="auto"/>
                  <w:vAlign w:val="center"/>
                </w:tcPr>
                <w:p w14:paraId="0D67D6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2"/>
                      <w:sz w:val="21"/>
                      <w:szCs w:val="21"/>
                      <w:highlight w:val="none"/>
                      <w:lang w:val="en-US" w:eastAsia="zh-CN" w:bidi="ar-SA"/>
                      <w14:ligatures w14:val="none"/>
                    </w:rPr>
                  </w:pPr>
                  <w:r>
                    <w:rPr>
                      <w:rFonts w:hint="eastAsia" w:cs="Times New Roman"/>
                      <w:color w:val="auto"/>
                      <w:kern w:val="0"/>
                      <w:sz w:val="21"/>
                      <w:szCs w:val="21"/>
                      <w:highlight w:val="none"/>
                      <w:lang w:val="en-US" w:eastAsia="zh-CN"/>
                    </w:rPr>
                    <w:t>电供暖</w:t>
                  </w:r>
                  <w:r>
                    <w:rPr>
                      <w:rFonts w:hint="eastAsia" w:cs="Times New Roman"/>
                      <w:color w:val="auto"/>
                      <w:sz w:val="21"/>
                      <w:szCs w:val="21"/>
                      <w:highlight w:val="none"/>
                      <w:lang w:val="en-US" w:eastAsia="zh-CN"/>
                    </w:rPr>
                    <w:t>。</w:t>
                  </w:r>
                </w:p>
              </w:tc>
              <w:tc>
                <w:tcPr>
                  <w:tcW w:w="753" w:type="dxa"/>
                  <w:tcBorders>
                    <w:tl2br w:val="nil"/>
                    <w:tr2bl w:val="nil"/>
                  </w:tcBorders>
                  <w:vAlign w:val="center"/>
                </w:tcPr>
                <w:p w14:paraId="44081D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5E44B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507" w:type="dxa"/>
                  <w:vMerge w:val="restart"/>
                  <w:tcBorders>
                    <w:tl2br w:val="nil"/>
                    <w:tr2bl w:val="nil"/>
                  </w:tcBorders>
                  <w:vAlign w:val="center"/>
                </w:tcPr>
                <w:p w14:paraId="2E6695C0">
                  <w:pPr>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环保工程</w:t>
                  </w:r>
                </w:p>
              </w:tc>
              <w:tc>
                <w:tcPr>
                  <w:tcW w:w="486" w:type="dxa"/>
                  <w:vMerge w:val="restart"/>
                  <w:tcBorders>
                    <w:tl2br w:val="nil"/>
                    <w:tr2bl w:val="nil"/>
                  </w:tcBorders>
                  <w:vAlign w:val="center"/>
                </w:tcPr>
                <w:p w14:paraId="48A5AA76">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废气治理</w:t>
                  </w:r>
                </w:p>
              </w:tc>
              <w:tc>
                <w:tcPr>
                  <w:tcW w:w="1562" w:type="dxa"/>
                  <w:tcBorders>
                    <w:tl2br w:val="nil"/>
                    <w:tr2bl w:val="nil"/>
                  </w:tcBorders>
                  <w:shd w:val="clear" w:color="auto" w:fill="auto"/>
                  <w:vAlign w:val="center"/>
                </w:tcPr>
                <w:p w14:paraId="113C5F4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spacing w:val="8"/>
                      <w:sz w:val="21"/>
                      <w:szCs w:val="21"/>
                      <w:highlight w:val="none"/>
                    </w:rPr>
                    <w:t>食堂油烟</w:t>
                  </w:r>
                </w:p>
              </w:tc>
              <w:tc>
                <w:tcPr>
                  <w:tcW w:w="4955" w:type="dxa"/>
                  <w:tcBorders>
                    <w:tl2br w:val="nil"/>
                    <w:tr2bl w:val="nil"/>
                  </w:tcBorders>
                  <w:shd w:val="clear" w:color="auto" w:fill="auto"/>
                  <w:vAlign w:val="center"/>
                </w:tcPr>
                <w:p w14:paraId="7086777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pP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食堂油烟经油烟净化器</w:t>
                  </w:r>
                  <w:r>
                    <w:rPr>
                      <w:rFonts w:hint="eastAsia" w:cs="Times New Roman"/>
                      <w:snapToGrid w:val="0"/>
                      <w:color w:val="auto"/>
                      <w:spacing w:val="0"/>
                      <w:kern w:val="0"/>
                      <w:sz w:val="21"/>
                      <w:szCs w:val="21"/>
                      <w:highlight w:val="none"/>
                      <w:lang w:val="en-US" w:eastAsia="zh-CN" w:bidi="ar-SA"/>
                      <w14:ligatures w14:val="none"/>
                    </w:rPr>
                    <w:t>处理后</w:t>
                  </w: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排放</w:t>
                  </w:r>
                  <w:r>
                    <w:rPr>
                      <w:rFonts w:hint="eastAsia" w:cs="Times New Roman"/>
                      <w:snapToGrid w:val="0"/>
                      <w:color w:val="auto"/>
                      <w:spacing w:val="0"/>
                      <w:kern w:val="0"/>
                      <w:sz w:val="21"/>
                      <w:szCs w:val="21"/>
                      <w:highlight w:val="none"/>
                      <w:lang w:val="en-US" w:eastAsia="zh-CN" w:bidi="ar-SA"/>
                      <w14:ligatures w14:val="none"/>
                    </w:rPr>
                    <w:t>。</w:t>
                  </w:r>
                </w:p>
              </w:tc>
              <w:tc>
                <w:tcPr>
                  <w:tcW w:w="753" w:type="dxa"/>
                  <w:tcBorders>
                    <w:tl2br w:val="nil"/>
                    <w:tr2bl w:val="nil"/>
                  </w:tcBorders>
                  <w:vAlign w:val="center"/>
                </w:tcPr>
                <w:p w14:paraId="23534A0E">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w:t>
                  </w:r>
                </w:p>
              </w:tc>
            </w:tr>
            <w:tr w14:paraId="60407F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507" w:type="dxa"/>
                  <w:vMerge w:val="continue"/>
                  <w:tcBorders>
                    <w:tl2br w:val="nil"/>
                    <w:tr2bl w:val="nil"/>
                  </w:tcBorders>
                  <w:vAlign w:val="center"/>
                </w:tcPr>
                <w:p w14:paraId="28334174">
                  <w:pPr>
                    <w:spacing w:line="240" w:lineRule="auto"/>
                    <w:jc w:val="center"/>
                    <w:rPr>
                      <w:rFonts w:hint="eastAsia" w:cs="Times New Roman"/>
                      <w:b/>
                      <w:bCs/>
                      <w:color w:val="auto"/>
                      <w:sz w:val="21"/>
                      <w:szCs w:val="21"/>
                      <w:highlight w:val="none"/>
                      <w:lang w:val="en-US" w:eastAsia="zh-CN"/>
                    </w:rPr>
                  </w:pPr>
                </w:p>
              </w:tc>
              <w:tc>
                <w:tcPr>
                  <w:tcW w:w="486" w:type="dxa"/>
                  <w:vMerge w:val="continue"/>
                  <w:tcBorders>
                    <w:tl2br w:val="nil"/>
                    <w:tr2bl w:val="nil"/>
                  </w:tcBorders>
                  <w:vAlign w:val="center"/>
                </w:tcPr>
                <w:p w14:paraId="59DECB15">
                  <w:pPr>
                    <w:spacing w:line="240" w:lineRule="auto"/>
                    <w:jc w:val="center"/>
                    <w:rPr>
                      <w:rFonts w:hint="eastAsia" w:cs="Times New Roman"/>
                      <w:color w:val="auto"/>
                      <w:sz w:val="21"/>
                      <w:szCs w:val="21"/>
                      <w:highlight w:val="none"/>
                      <w:lang w:val="en-US" w:eastAsia="zh-CN"/>
                    </w:rPr>
                  </w:pPr>
                </w:p>
              </w:tc>
              <w:tc>
                <w:tcPr>
                  <w:tcW w:w="1562" w:type="dxa"/>
                  <w:tcBorders>
                    <w:tl2br w:val="nil"/>
                    <w:tr2bl w:val="nil"/>
                  </w:tcBorders>
                  <w:shd w:val="clear" w:color="auto" w:fill="auto"/>
                  <w:vAlign w:val="center"/>
                </w:tcPr>
                <w:p w14:paraId="129017B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eastAsia="宋体"/>
                      <w:spacing w:val="8"/>
                      <w:sz w:val="20"/>
                      <w:szCs w:val="20"/>
                      <w:highlight w:val="none"/>
                      <w:lang w:val="en-US" w:eastAsia="zh-CN"/>
                    </w:rPr>
                  </w:pP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运输扬尘及汽车尾气</w:t>
                  </w:r>
                </w:p>
              </w:tc>
              <w:tc>
                <w:tcPr>
                  <w:tcW w:w="4955" w:type="dxa"/>
                  <w:tcBorders>
                    <w:tl2br w:val="nil"/>
                    <w:tr2bl w:val="nil"/>
                  </w:tcBorders>
                  <w:shd w:val="clear" w:color="auto" w:fill="auto"/>
                  <w:vAlign w:val="center"/>
                </w:tcPr>
                <w:p w14:paraId="118A234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pP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运输车辆减速慢行，加强对进出车辆的管理，减少进出车辆怠速和频繁启动。</w:t>
                  </w:r>
                </w:p>
              </w:tc>
              <w:tc>
                <w:tcPr>
                  <w:tcW w:w="753" w:type="dxa"/>
                  <w:tcBorders>
                    <w:tl2br w:val="nil"/>
                    <w:tr2bl w:val="nil"/>
                  </w:tcBorders>
                  <w:vAlign w:val="center"/>
                </w:tcPr>
                <w:p w14:paraId="102E9C3C">
                  <w:pPr>
                    <w:spacing w:line="240" w:lineRule="auto"/>
                    <w:jc w:val="center"/>
                    <w:rPr>
                      <w:rFonts w:hint="default" w:ascii="Times New Roman" w:hAnsi="Times New Roman" w:eastAsia="宋体" w:cs="Times New Roman"/>
                      <w:color w:val="auto"/>
                      <w:sz w:val="21"/>
                      <w:szCs w:val="21"/>
                      <w:highlight w:val="none"/>
                      <w:lang w:val="en-US" w:eastAsia="zh-CN"/>
                    </w:rPr>
                  </w:pPr>
                </w:p>
              </w:tc>
            </w:tr>
            <w:tr w14:paraId="7AE8A3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651" w:hRule="atLeast"/>
                <w:jc w:val="center"/>
              </w:trPr>
              <w:tc>
                <w:tcPr>
                  <w:tcW w:w="507" w:type="dxa"/>
                  <w:vMerge w:val="continue"/>
                  <w:tcBorders>
                    <w:tl2br w:val="nil"/>
                    <w:tr2bl w:val="nil"/>
                  </w:tcBorders>
                  <w:vAlign w:val="center"/>
                </w:tcPr>
                <w:p w14:paraId="4F705F16">
                  <w:pPr>
                    <w:widowControl/>
                    <w:spacing w:line="240" w:lineRule="auto"/>
                    <w:jc w:val="center"/>
                    <w:rPr>
                      <w:rFonts w:hint="default" w:ascii="Times New Roman" w:hAnsi="Times New Roman" w:eastAsia="宋体" w:cs="Times New Roman"/>
                      <w:color w:val="auto"/>
                      <w:sz w:val="21"/>
                      <w:szCs w:val="21"/>
                      <w:highlight w:val="none"/>
                    </w:rPr>
                  </w:pPr>
                </w:p>
              </w:tc>
              <w:tc>
                <w:tcPr>
                  <w:tcW w:w="486" w:type="dxa"/>
                  <w:vMerge w:val="restart"/>
                  <w:tcBorders>
                    <w:tl2br w:val="nil"/>
                    <w:tr2bl w:val="nil"/>
                  </w:tcBorders>
                  <w:vAlign w:val="center"/>
                </w:tcPr>
                <w:p w14:paraId="03D70924">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废水治理</w:t>
                  </w:r>
                </w:p>
              </w:tc>
              <w:tc>
                <w:tcPr>
                  <w:tcW w:w="1562" w:type="dxa"/>
                  <w:tcBorders>
                    <w:tl2br w:val="nil"/>
                    <w:tr2bl w:val="nil"/>
                  </w:tcBorders>
                  <w:vAlign w:val="center"/>
                </w:tcPr>
                <w:p w14:paraId="7DC81FDF">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生活污水</w:t>
                  </w:r>
                </w:p>
              </w:tc>
              <w:tc>
                <w:tcPr>
                  <w:tcW w:w="4955" w:type="dxa"/>
                  <w:tcBorders>
                    <w:tl2br w:val="nil"/>
                    <w:tr2bl w:val="nil"/>
                  </w:tcBorders>
                  <w:vAlign w:val="center"/>
                </w:tcPr>
                <w:p w14:paraId="1D4F67FF">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项目生活污水经地埋式一体化污水处理设施</w:t>
                  </w:r>
                  <w:r>
                    <w:rPr>
                      <w:rFonts w:hint="eastAsia"/>
                      <w:sz w:val="21"/>
                      <w:szCs w:val="21"/>
                      <w:highlight w:val="none"/>
                      <w:lang w:eastAsia="zh-CN"/>
                    </w:rPr>
                    <w:t>（设计规模</w:t>
                  </w:r>
                  <w:r>
                    <w:rPr>
                      <w:rFonts w:hint="eastAsia"/>
                      <w:sz w:val="21"/>
                      <w:szCs w:val="21"/>
                      <w:highlight w:val="none"/>
                      <w:lang w:val="en-US" w:eastAsia="zh-CN"/>
                    </w:rPr>
                    <w:t>1</w:t>
                  </w:r>
                  <w:r>
                    <w:rPr>
                      <w:rFonts w:hint="eastAsia"/>
                      <w:sz w:val="21"/>
                      <w:szCs w:val="21"/>
                      <w:highlight w:val="none"/>
                      <w:lang w:eastAsia="zh-CN"/>
                    </w:rPr>
                    <w:t>m</w:t>
                  </w:r>
                  <w:r>
                    <w:rPr>
                      <w:rFonts w:hint="eastAsia"/>
                      <w:sz w:val="21"/>
                      <w:szCs w:val="21"/>
                      <w:highlight w:val="none"/>
                      <w:vertAlign w:val="superscript"/>
                      <w:lang w:eastAsia="zh-CN"/>
                    </w:rPr>
                    <w:t>3</w:t>
                  </w:r>
                  <w:r>
                    <w:rPr>
                      <w:rFonts w:hint="eastAsia"/>
                      <w:sz w:val="21"/>
                      <w:szCs w:val="21"/>
                      <w:highlight w:val="none"/>
                      <w:lang w:eastAsia="zh-CN"/>
                    </w:rPr>
                    <w:t>/d，选用格栅+A/O+二沉+消毒组合工艺）</w:t>
                  </w:r>
                  <w:r>
                    <w:rPr>
                      <w:rFonts w:hint="default" w:ascii="Times New Roman" w:hAnsi="Times New Roman" w:eastAsia="宋体" w:cs="Times New Roman"/>
                      <w:color w:val="auto"/>
                      <w:sz w:val="21"/>
                      <w:szCs w:val="21"/>
                      <w:highlight w:val="none"/>
                      <w:lang w:val="en-US" w:eastAsia="zh-CN"/>
                    </w:rPr>
                    <w:t>处理后，春夏秋季用于洒水降尘，冬季储存于水箱，次年回暖后回用，不外排。</w:t>
                  </w:r>
                </w:p>
              </w:tc>
              <w:tc>
                <w:tcPr>
                  <w:tcW w:w="753" w:type="dxa"/>
                  <w:tcBorders>
                    <w:tl2br w:val="nil"/>
                    <w:tr2bl w:val="nil"/>
                  </w:tcBorders>
                  <w:vAlign w:val="center"/>
                </w:tcPr>
                <w:p w14:paraId="3113ED1E">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w:t>
                  </w:r>
                </w:p>
              </w:tc>
            </w:tr>
            <w:tr w14:paraId="566690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651" w:hRule="atLeast"/>
                <w:jc w:val="center"/>
              </w:trPr>
              <w:tc>
                <w:tcPr>
                  <w:tcW w:w="507" w:type="dxa"/>
                  <w:vMerge w:val="continue"/>
                  <w:tcBorders>
                    <w:tl2br w:val="nil"/>
                    <w:tr2bl w:val="nil"/>
                  </w:tcBorders>
                  <w:vAlign w:val="center"/>
                </w:tcPr>
                <w:p w14:paraId="4E29B994">
                  <w:pPr>
                    <w:widowControl/>
                    <w:spacing w:line="240" w:lineRule="auto"/>
                    <w:jc w:val="center"/>
                    <w:rPr>
                      <w:rFonts w:hint="default" w:ascii="Times New Roman" w:hAnsi="Times New Roman" w:eastAsia="宋体" w:cs="Times New Roman"/>
                      <w:color w:val="auto"/>
                      <w:sz w:val="21"/>
                      <w:szCs w:val="21"/>
                      <w:highlight w:val="none"/>
                    </w:rPr>
                  </w:pPr>
                </w:p>
              </w:tc>
              <w:tc>
                <w:tcPr>
                  <w:tcW w:w="486" w:type="dxa"/>
                  <w:vMerge w:val="continue"/>
                  <w:tcBorders>
                    <w:tl2br w:val="nil"/>
                    <w:tr2bl w:val="nil"/>
                  </w:tcBorders>
                  <w:vAlign w:val="center"/>
                </w:tcPr>
                <w:p w14:paraId="50C2B376">
                  <w:pPr>
                    <w:spacing w:line="240" w:lineRule="auto"/>
                    <w:jc w:val="center"/>
                    <w:rPr>
                      <w:rFonts w:hint="eastAsia" w:cs="Times New Roman"/>
                      <w:color w:val="auto"/>
                      <w:sz w:val="21"/>
                      <w:szCs w:val="21"/>
                      <w:highlight w:val="none"/>
                      <w:lang w:val="en-US" w:eastAsia="zh-CN"/>
                    </w:rPr>
                  </w:pPr>
                </w:p>
              </w:tc>
              <w:tc>
                <w:tcPr>
                  <w:tcW w:w="1562" w:type="dxa"/>
                  <w:tcBorders>
                    <w:tl2br w:val="nil"/>
                    <w:tr2bl w:val="nil"/>
                  </w:tcBorders>
                  <w:vAlign w:val="center"/>
                </w:tcPr>
                <w:p w14:paraId="2E36C75E">
                  <w:pPr>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食堂废水</w:t>
                  </w:r>
                </w:p>
              </w:tc>
              <w:tc>
                <w:tcPr>
                  <w:tcW w:w="4955" w:type="dxa"/>
                  <w:tcBorders>
                    <w:tl2br w:val="nil"/>
                    <w:tr2bl w:val="nil"/>
                  </w:tcBorders>
                  <w:vAlign w:val="center"/>
                </w:tcPr>
                <w:p w14:paraId="5DE7F165">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食堂废水</w:t>
                  </w:r>
                  <w:r>
                    <w:rPr>
                      <w:rFonts w:hint="eastAsia" w:cs="Times New Roman"/>
                      <w:color w:val="auto"/>
                      <w:sz w:val="21"/>
                      <w:szCs w:val="21"/>
                      <w:highlight w:val="none"/>
                      <w:lang w:val="en-US" w:eastAsia="zh-CN"/>
                    </w:rPr>
                    <w:t>经</w:t>
                  </w:r>
                  <w:r>
                    <w:rPr>
                      <w:rFonts w:hint="default" w:ascii="Times New Roman" w:hAnsi="Times New Roman" w:eastAsia="宋体" w:cs="Times New Roman"/>
                      <w:color w:val="auto"/>
                      <w:sz w:val="21"/>
                      <w:szCs w:val="21"/>
                      <w:highlight w:val="none"/>
                      <w:lang w:val="en-US" w:eastAsia="zh-CN"/>
                    </w:rPr>
                    <w:t>隔油预处理后与其余生活污水一并进入地埋式一体化污水处理设施</w:t>
                  </w:r>
                </w:p>
              </w:tc>
              <w:tc>
                <w:tcPr>
                  <w:tcW w:w="753" w:type="dxa"/>
                  <w:tcBorders>
                    <w:tl2br w:val="nil"/>
                    <w:tr2bl w:val="nil"/>
                  </w:tcBorders>
                  <w:vAlign w:val="center"/>
                </w:tcPr>
                <w:p w14:paraId="0ECB335A">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489238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627" w:hRule="atLeast"/>
                <w:jc w:val="center"/>
              </w:trPr>
              <w:tc>
                <w:tcPr>
                  <w:tcW w:w="507" w:type="dxa"/>
                  <w:vMerge w:val="continue"/>
                  <w:tcBorders>
                    <w:tl2br w:val="nil"/>
                    <w:tr2bl w:val="nil"/>
                  </w:tcBorders>
                  <w:vAlign w:val="center"/>
                </w:tcPr>
                <w:p w14:paraId="42DE5F62">
                  <w:pPr>
                    <w:widowControl/>
                    <w:spacing w:line="240" w:lineRule="auto"/>
                    <w:jc w:val="center"/>
                    <w:rPr>
                      <w:rFonts w:hint="default" w:ascii="Times New Roman" w:hAnsi="Times New Roman" w:eastAsia="宋体" w:cs="Times New Roman"/>
                      <w:color w:val="auto"/>
                      <w:sz w:val="21"/>
                      <w:szCs w:val="21"/>
                      <w:highlight w:val="none"/>
                    </w:rPr>
                  </w:pPr>
                </w:p>
              </w:tc>
              <w:tc>
                <w:tcPr>
                  <w:tcW w:w="486" w:type="dxa"/>
                  <w:tcBorders>
                    <w:tl2br w:val="nil"/>
                    <w:tr2bl w:val="nil"/>
                  </w:tcBorders>
                  <w:vAlign w:val="center"/>
                </w:tcPr>
                <w:p w14:paraId="2228DE62">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噪声治理</w:t>
                  </w:r>
                </w:p>
              </w:tc>
              <w:tc>
                <w:tcPr>
                  <w:tcW w:w="1562" w:type="dxa"/>
                  <w:tcBorders>
                    <w:tl2br w:val="nil"/>
                    <w:tr2bl w:val="nil"/>
                  </w:tcBorders>
                  <w:vAlign w:val="center"/>
                </w:tcPr>
                <w:p w14:paraId="79ACF660">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设备噪声</w:t>
                  </w:r>
                </w:p>
              </w:tc>
              <w:tc>
                <w:tcPr>
                  <w:tcW w:w="4955" w:type="dxa"/>
                  <w:tcBorders>
                    <w:tl2br w:val="nil"/>
                    <w:tr2bl w:val="nil"/>
                  </w:tcBorders>
                  <w:vAlign w:val="center"/>
                </w:tcPr>
                <w:p w14:paraId="1A4ECBCB">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车辆减速慢行，禁止鸣笛。</w:t>
                  </w:r>
                </w:p>
              </w:tc>
              <w:tc>
                <w:tcPr>
                  <w:tcW w:w="753" w:type="dxa"/>
                  <w:tcBorders>
                    <w:tl2br w:val="nil"/>
                    <w:tr2bl w:val="nil"/>
                  </w:tcBorders>
                  <w:vAlign w:val="center"/>
                </w:tcPr>
                <w:p w14:paraId="12B46D5F">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w:t>
                  </w:r>
                </w:p>
              </w:tc>
            </w:tr>
            <w:tr w14:paraId="0C73F7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507" w:type="dxa"/>
                  <w:vMerge w:val="continue"/>
                  <w:tcBorders>
                    <w:tl2br w:val="nil"/>
                    <w:tr2bl w:val="nil"/>
                  </w:tcBorders>
                  <w:vAlign w:val="center"/>
                </w:tcPr>
                <w:p w14:paraId="56B5E2A7">
                  <w:pPr>
                    <w:widowControl/>
                    <w:spacing w:line="240" w:lineRule="auto"/>
                    <w:jc w:val="center"/>
                    <w:rPr>
                      <w:rFonts w:hint="default" w:ascii="Times New Roman" w:hAnsi="Times New Roman" w:eastAsia="宋体" w:cs="Times New Roman"/>
                      <w:color w:val="auto"/>
                      <w:sz w:val="21"/>
                      <w:szCs w:val="21"/>
                      <w:highlight w:val="none"/>
                    </w:rPr>
                  </w:pPr>
                </w:p>
              </w:tc>
              <w:tc>
                <w:tcPr>
                  <w:tcW w:w="486" w:type="dxa"/>
                  <w:vMerge w:val="restart"/>
                  <w:tcBorders>
                    <w:tl2br w:val="nil"/>
                    <w:tr2bl w:val="nil"/>
                  </w:tcBorders>
                  <w:vAlign w:val="center"/>
                </w:tcPr>
                <w:p w14:paraId="33A7552F">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固废治理</w:t>
                  </w:r>
                </w:p>
              </w:tc>
              <w:tc>
                <w:tcPr>
                  <w:tcW w:w="1562" w:type="dxa"/>
                  <w:tcBorders>
                    <w:tl2br w:val="nil"/>
                    <w:tr2bl w:val="nil"/>
                  </w:tcBorders>
                  <w:vAlign w:val="center"/>
                </w:tcPr>
                <w:p w14:paraId="71C9E722">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生活垃圾</w:t>
                  </w:r>
                </w:p>
              </w:tc>
              <w:tc>
                <w:tcPr>
                  <w:tcW w:w="4955" w:type="dxa"/>
                  <w:tcBorders>
                    <w:tl2br w:val="nil"/>
                    <w:tr2bl w:val="nil"/>
                  </w:tcBorders>
                  <w:vAlign w:val="center"/>
                </w:tcPr>
                <w:p w14:paraId="2AE5E593">
                  <w:pPr>
                    <w:spacing w:line="240" w:lineRule="auto"/>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集中收集后</w:t>
                  </w:r>
                  <w:r>
                    <w:rPr>
                      <w:rFonts w:hint="eastAsia" w:cs="Times New Roman"/>
                      <w:color w:val="auto"/>
                      <w:sz w:val="21"/>
                      <w:szCs w:val="21"/>
                      <w:highlight w:val="none"/>
                      <w:lang w:val="en-US" w:eastAsia="zh-CN"/>
                    </w:rPr>
                    <w:t>清运至</w:t>
                  </w:r>
                  <w:r>
                    <w:rPr>
                      <w:rFonts w:hint="default" w:ascii="Times New Roman" w:hAnsi="Times New Roman" w:eastAsia="宋体" w:cs="Times New Roman"/>
                      <w:color w:val="auto"/>
                      <w:sz w:val="21"/>
                      <w:szCs w:val="21"/>
                      <w:highlight w:val="none"/>
                    </w:rPr>
                    <w:t>环卫部门</w:t>
                  </w:r>
                  <w:r>
                    <w:rPr>
                      <w:rFonts w:hint="eastAsia" w:cs="Times New Roman"/>
                      <w:color w:val="auto"/>
                      <w:sz w:val="21"/>
                      <w:szCs w:val="21"/>
                      <w:highlight w:val="none"/>
                      <w:lang w:val="en-US" w:eastAsia="zh-CN"/>
                    </w:rPr>
                    <w:t>指定地点</w:t>
                  </w:r>
                  <w:r>
                    <w:rPr>
                      <w:rFonts w:hint="eastAsia" w:cs="Times New Roman"/>
                      <w:color w:val="auto"/>
                      <w:sz w:val="21"/>
                      <w:szCs w:val="21"/>
                      <w:highlight w:val="none"/>
                      <w:lang w:eastAsia="zh-CN"/>
                    </w:rPr>
                    <w:t>。</w:t>
                  </w:r>
                </w:p>
              </w:tc>
              <w:tc>
                <w:tcPr>
                  <w:tcW w:w="753" w:type="dxa"/>
                  <w:tcBorders>
                    <w:tl2br w:val="nil"/>
                    <w:tr2bl w:val="nil"/>
                  </w:tcBorders>
                  <w:vAlign w:val="center"/>
                </w:tcPr>
                <w:p w14:paraId="35D07765">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w:t>
                  </w:r>
                </w:p>
              </w:tc>
            </w:tr>
            <w:tr w14:paraId="5BEE20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507" w:type="dxa"/>
                  <w:vMerge w:val="continue"/>
                  <w:tcBorders>
                    <w:tl2br w:val="nil"/>
                    <w:tr2bl w:val="nil"/>
                  </w:tcBorders>
                  <w:vAlign w:val="center"/>
                </w:tcPr>
                <w:p w14:paraId="55D5D1A2">
                  <w:pPr>
                    <w:widowControl/>
                    <w:spacing w:line="240" w:lineRule="auto"/>
                    <w:jc w:val="center"/>
                    <w:rPr>
                      <w:rFonts w:hint="default" w:ascii="Times New Roman" w:hAnsi="Times New Roman" w:eastAsia="宋体" w:cs="Times New Roman"/>
                      <w:color w:val="auto"/>
                      <w:sz w:val="21"/>
                      <w:szCs w:val="21"/>
                      <w:highlight w:val="none"/>
                    </w:rPr>
                  </w:pPr>
                </w:p>
              </w:tc>
              <w:tc>
                <w:tcPr>
                  <w:tcW w:w="486" w:type="dxa"/>
                  <w:vMerge w:val="continue"/>
                  <w:tcBorders>
                    <w:tl2br w:val="nil"/>
                    <w:tr2bl w:val="nil"/>
                  </w:tcBorders>
                  <w:vAlign w:val="center"/>
                </w:tcPr>
                <w:p w14:paraId="7C73902A">
                  <w:pPr>
                    <w:spacing w:line="240" w:lineRule="auto"/>
                    <w:jc w:val="center"/>
                    <w:rPr>
                      <w:rFonts w:hint="default" w:ascii="Times New Roman" w:hAnsi="Times New Roman" w:eastAsia="宋体" w:cs="Times New Roman"/>
                      <w:color w:val="auto"/>
                      <w:sz w:val="21"/>
                      <w:szCs w:val="21"/>
                      <w:highlight w:val="none"/>
                    </w:rPr>
                  </w:pPr>
                </w:p>
              </w:tc>
              <w:tc>
                <w:tcPr>
                  <w:tcW w:w="1562" w:type="dxa"/>
                  <w:tcBorders>
                    <w:tl2br w:val="nil"/>
                    <w:tr2bl w:val="nil"/>
                  </w:tcBorders>
                  <w:vAlign w:val="center"/>
                </w:tcPr>
                <w:p w14:paraId="47592002">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过期、残次、破损炸药/雷管</w:t>
                  </w:r>
                </w:p>
              </w:tc>
              <w:tc>
                <w:tcPr>
                  <w:tcW w:w="4955" w:type="dxa"/>
                  <w:tcBorders>
                    <w:tl2br w:val="nil"/>
                    <w:tr2bl w:val="nil"/>
                  </w:tcBorders>
                  <w:vAlign w:val="center"/>
                </w:tcPr>
                <w:p w14:paraId="52108CCA">
                  <w:pPr>
                    <w:spacing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由民用爆炸物品行业主管部门、所在地县级人民政府公安机关组织监督销毁</w:t>
                  </w:r>
                </w:p>
              </w:tc>
              <w:tc>
                <w:tcPr>
                  <w:tcW w:w="753" w:type="dxa"/>
                  <w:tcBorders>
                    <w:tl2br w:val="nil"/>
                    <w:tr2bl w:val="nil"/>
                  </w:tcBorders>
                  <w:vAlign w:val="center"/>
                </w:tcPr>
                <w:p w14:paraId="6BFBF5A9">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bl>
          <w:p w14:paraId="19CE257B">
            <w:pPr>
              <w:keepNext w:val="0"/>
              <w:keepLines w:val="0"/>
              <w:pageBreakBefore w:val="0"/>
              <w:widowControl w:val="0"/>
              <w:shd w:val="clear"/>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2.1.</w:t>
            </w:r>
            <w:r>
              <w:rPr>
                <w:rFonts w:hint="default" w:ascii="Times New Roman" w:hAnsi="Times New Roman" w:eastAsia="宋体"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rPr>
              <w:t>主要设备</w:t>
            </w:r>
          </w:p>
          <w:p w14:paraId="54DEA4FE">
            <w:pPr>
              <w:keepNext w:val="0"/>
              <w:keepLines w:val="0"/>
              <w:pageBreakBefore w:val="0"/>
              <w:widowControl w:val="0"/>
              <w:shd w:val="clear"/>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Cs/>
                <w:color w:val="auto"/>
                <w:sz w:val="24"/>
                <w:szCs w:val="24"/>
                <w:highlight w:val="none"/>
              </w:rPr>
              <w:t>项目为仓储，无生产性设备，主要设备为消防设备及监控设施，项目主要设备</w:t>
            </w:r>
            <w:r>
              <w:rPr>
                <w:rFonts w:hint="eastAsia" w:cs="Times New Roman"/>
                <w:bCs/>
                <w:color w:val="auto"/>
                <w:sz w:val="24"/>
                <w:szCs w:val="24"/>
                <w:highlight w:val="none"/>
                <w:lang w:eastAsia="zh-CN"/>
              </w:rPr>
              <w:t>见下</w:t>
            </w:r>
            <w:r>
              <w:rPr>
                <w:rFonts w:hint="default" w:ascii="Times New Roman" w:hAnsi="Times New Roman" w:eastAsia="宋体" w:cs="Times New Roman"/>
                <w:bCs/>
                <w:color w:val="auto"/>
                <w:sz w:val="24"/>
                <w:szCs w:val="24"/>
                <w:highlight w:val="none"/>
              </w:rPr>
              <w:t>表2</w:t>
            </w:r>
            <w:r>
              <w:rPr>
                <w:rFonts w:hint="eastAsia" w:cs="Times New Roman"/>
                <w:bCs/>
                <w:color w:val="auto"/>
                <w:sz w:val="24"/>
                <w:szCs w:val="24"/>
                <w:highlight w:val="none"/>
                <w:lang w:val="en-US" w:eastAsia="zh-CN"/>
              </w:rPr>
              <w:t>.1</w:t>
            </w:r>
            <w:r>
              <w:rPr>
                <w:rFonts w:hint="default" w:ascii="Times New Roman" w:hAnsi="Times New Roman" w:eastAsia="宋体" w:cs="Times New Roman"/>
                <w:bCs/>
                <w:color w:val="auto"/>
                <w:sz w:val="24"/>
                <w:szCs w:val="24"/>
                <w:highlight w:val="none"/>
              </w:rPr>
              <w:t>-2：</w:t>
            </w:r>
          </w:p>
          <w:p w14:paraId="0AD8D49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表2</w:t>
            </w:r>
            <w:r>
              <w:rPr>
                <w:rFonts w:hint="eastAsia" w:ascii="Times New Roman" w:hAnsi="Times New Roman" w:eastAsia="宋体"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lang w:val="en-US" w:eastAsia="zh-CN"/>
              </w:rPr>
              <w:t>-2  主要设备一览表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250"/>
              <w:gridCol w:w="2983"/>
              <w:gridCol w:w="1270"/>
              <w:gridCol w:w="1076"/>
            </w:tblGrid>
            <w:tr w14:paraId="643F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694" w:type="dxa"/>
                  <w:tcBorders>
                    <w:tl2br w:val="nil"/>
                    <w:tr2bl w:val="nil"/>
                  </w:tcBorders>
                  <w:noWrap w:val="0"/>
                  <w:vAlign w:val="center"/>
                </w:tcPr>
                <w:p w14:paraId="48CAB4A9">
                  <w:pPr>
                    <w:spacing w:line="240" w:lineRule="auto"/>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color w:val="auto"/>
                      <w:sz w:val="21"/>
                      <w:szCs w:val="21"/>
                      <w:highlight w:val="none"/>
                    </w:rPr>
                    <w:t>序号</w:t>
                  </w:r>
                </w:p>
              </w:tc>
              <w:tc>
                <w:tcPr>
                  <w:tcW w:w="2250" w:type="dxa"/>
                  <w:tcBorders>
                    <w:tl2br w:val="nil"/>
                    <w:tr2bl w:val="nil"/>
                  </w:tcBorders>
                  <w:noWrap w:val="0"/>
                  <w:vAlign w:val="center"/>
                </w:tcPr>
                <w:p w14:paraId="2E0B949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设备名称</w:t>
                  </w:r>
                </w:p>
              </w:tc>
              <w:tc>
                <w:tcPr>
                  <w:tcW w:w="2983" w:type="dxa"/>
                  <w:tcBorders>
                    <w:tl2br w:val="nil"/>
                    <w:tr2bl w:val="nil"/>
                  </w:tcBorders>
                  <w:noWrap w:val="0"/>
                  <w:vAlign w:val="center"/>
                </w:tcPr>
                <w:p w14:paraId="3104D6E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规格型号</w:t>
                  </w:r>
                </w:p>
              </w:tc>
              <w:tc>
                <w:tcPr>
                  <w:tcW w:w="1270" w:type="dxa"/>
                  <w:tcBorders>
                    <w:tl2br w:val="nil"/>
                    <w:tr2bl w:val="nil"/>
                  </w:tcBorders>
                  <w:noWrap w:val="0"/>
                  <w:vAlign w:val="center"/>
                </w:tcPr>
                <w:p w14:paraId="7E9CDA3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单位</w:t>
                  </w:r>
                </w:p>
              </w:tc>
              <w:tc>
                <w:tcPr>
                  <w:tcW w:w="1076" w:type="dxa"/>
                  <w:tcBorders>
                    <w:tl2br w:val="nil"/>
                    <w:tr2bl w:val="nil"/>
                  </w:tcBorders>
                  <w:noWrap w:val="0"/>
                  <w:vAlign w:val="center"/>
                </w:tcPr>
                <w:p w14:paraId="11C6BFC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w:t>
                  </w:r>
                </w:p>
              </w:tc>
            </w:tr>
            <w:tr w14:paraId="1981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94" w:type="dxa"/>
                  <w:tcBorders>
                    <w:tl2br w:val="nil"/>
                    <w:tr2bl w:val="nil"/>
                  </w:tcBorders>
                  <w:noWrap w:val="0"/>
                  <w:vAlign w:val="center"/>
                </w:tcPr>
                <w:p w14:paraId="1F670296">
                  <w:pPr>
                    <w:spacing w:line="240" w:lineRule="auto"/>
                    <w:jc w:val="center"/>
                    <w:textAlignment w:val="center"/>
                    <w:rPr>
                      <w:rFonts w:hint="eastAsia"/>
                      <w:color w:val="auto"/>
                      <w:szCs w:val="21"/>
                      <w:highlight w:val="none"/>
                      <w:lang w:val="en-US"/>
                    </w:rPr>
                  </w:pPr>
                  <w:r>
                    <w:rPr>
                      <w:rFonts w:hint="default" w:ascii="Times New Roman" w:hAnsi="Times New Roman" w:eastAsia="宋体" w:cs="Times New Roman"/>
                      <w:color w:val="auto"/>
                      <w:sz w:val="21"/>
                      <w:szCs w:val="21"/>
                      <w:highlight w:val="none"/>
                    </w:rPr>
                    <w:t>1</w:t>
                  </w:r>
                </w:p>
              </w:tc>
              <w:tc>
                <w:tcPr>
                  <w:tcW w:w="2250" w:type="dxa"/>
                  <w:tcBorders>
                    <w:tl2br w:val="nil"/>
                    <w:tr2bl w:val="nil"/>
                  </w:tcBorders>
                  <w:noWrap w:val="0"/>
                  <w:vAlign w:val="center"/>
                </w:tcPr>
                <w:p w14:paraId="2AF299A7">
                  <w:pPr>
                    <w:pStyle w:val="72"/>
                    <w:ind w:left="-22" w:leftChars="-9"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干粉灭火器</w:t>
                  </w:r>
                </w:p>
              </w:tc>
              <w:tc>
                <w:tcPr>
                  <w:tcW w:w="2983" w:type="dxa"/>
                  <w:tcBorders>
                    <w:tl2br w:val="nil"/>
                    <w:tr2bl w:val="nil"/>
                  </w:tcBorders>
                  <w:noWrap w:val="0"/>
                  <w:vAlign w:val="center"/>
                </w:tcPr>
                <w:p w14:paraId="33B2EC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w:t>
                  </w:r>
                </w:p>
              </w:tc>
              <w:tc>
                <w:tcPr>
                  <w:tcW w:w="1270" w:type="dxa"/>
                  <w:tcBorders>
                    <w:tl2br w:val="nil"/>
                    <w:tr2bl w:val="nil"/>
                  </w:tcBorders>
                  <w:noWrap w:val="0"/>
                  <w:vAlign w:val="center"/>
                </w:tcPr>
                <w:p w14:paraId="0A1BF425">
                  <w:pPr>
                    <w:pStyle w:val="72"/>
                    <w:ind w:left="-22" w:leftChars="-9" w:firstLine="0" w:firstLineChars="0"/>
                    <w:rPr>
                      <w:rFonts w:hint="eastAsia" w:ascii="Times New Roman" w:hAnsi="Times New Roman" w:eastAsia="宋体" w:cs="Times New Roman"/>
                      <w:color w:val="auto"/>
                      <w:sz w:val="21"/>
                      <w:szCs w:val="21"/>
                      <w:highlight w:val="none"/>
                      <w:lang w:eastAsia="zh-CN"/>
                    </w:rPr>
                  </w:pPr>
                  <w:r>
                    <w:rPr>
                      <w:rFonts w:hint="eastAsia"/>
                      <w:color w:val="auto"/>
                      <w:szCs w:val="21"/>
                      <w:highlight w:val="none"/>
                      <w:lang w:val="en-US" w:eastAsia="zh-CN"/>
                    </w:rPr>
                    <w:t>个</w:t>
                  </w:r>
                </w:p>
              </w:tc>
              <w:tc>
                <w:tcPr>
                  <w:tcW w:w="1076" w:type="dxa"/>
                  <w:tcBorders>
                    <w:tl2br w:val="nil"/>
                    <w:tr2bl w:val="nil"/>
                  </w:tcBorders>
                  <w:noWrap w:val="0"/>
                  <w:vAlign w:val="center"/>
                </w:tcPr>
                <w:p w14:paraId="2FCBEA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20</w:t>
                  </w:r>
                </w:p>
              </w:tc>
            </w:tr>
            <w:tr w14:paraId="0841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694" w:type="dxa"/>
                  <w:tcBorders>
                    <w:tl2br w:val="nil"/>
                    <w:tr2bl w:val="nil"/>
                  </w:tcBorders>
                  <w:noWrap w:val="0"/>
                  <w:vAlign w:val="center"/>
                </w:tcPr>
                <w:p w14:paraId="35BD13CC">
                  <w:pPr>
                    <w:spacing w:line="240" w:lineRule="auto"/>
                    <w:jc w:val="center"/>
                    <w:textAlignment w:val="center"/>
                    <w:rPr>
                      <w:rFonts w:hint="eastAsia"/>
                      <w:color w:val="auto"/>
                      <w:szCs w:val="21"/>
                      <w:highlight w:val="none"/>
                      <w:lang w:val="en-US"/>
                    </w:rPr>
                  </w:pPr>
                  <w:r>
                    <w:rPr>
                      <w:rFonts w:hint="eastAsia" w:cs="Times New Roman"/>
                      <w:color w:val="auto"/>
                      <w:sz w:val="21"/>
                      <w:szCs w:val="21"/>
                      <w:highlight w:val="none"/>
                      <w:lang w:val="en-US" w:eastAsia="zh-CN"/>
                    </w:rPr>
                    <w:t>2</w:t>
                  </w:r>
                </w:p>
              </w:tc>
              <w:tc>
                <w:tcPr>
                  <w:tcW w:w="2250" w:type="dxa"/>
                  <w:tcBorders>
                    <w:tl2br w:val="nil"/>
                    <w:tr2bl w:val="nil"/>
                  </w:tcBorders>
                  <w:noWrap w:val="0"/>
                  <w:vAlign w:val="center"/>
                </w:tcPr>
                <w:p w14:paraId="433ED523">
                  <w:pPr>
                    <w:pStyle w:val="72"/>
                    <w:ind w:left="-22" w:leftChars="-9"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视频监控系统</w:t>
                  </w:r>
                </w:p>
              </w:tc>
              <w:tc>
                <w:tcPr>
                  <w:tcW w:w="2983" w:type="dxa"/>
                  <w:tcBorders>
                    <w:tl2br w:val="nil"/>
                    <w:tr2bl w:val="nil"/>
                  </w:tcBorders>
                  <w:noWrap w:val="0"/>
                  <w:vAlign w:val="center"/>
                </w:tcPr>
                <w:p w14:paraId="40E997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w:t>
                  </w:r>
                </w:p>
              </w:tc>
              <w:tc>
                <w:tcPr>
                  <w:tcW w:w="1270" w:type="dxa"/>
                  <w:tcBorders>
                    <w:tl2br w:val="nil"/>
                    <w:tr2bl w:val="nil"/>
                  </w:tcBorders>
                  <w:noWrap w:val="0"/>
                  <w:vAlign w:val="center"/>
                </w:tcPr>
                <w:p w14:paraId="6C29A417">
                  <w:pPr>
                    <w:pStyle w:val="72"/>
                    <w:ind w:left="-22" w:leftChars="-9" w:firstLine="0" w:firstLineChars="0"/>
                    <w:rPr>
                      <w:rFonts w:hint="eastAsia" w:ascii="Times New Roman" w:hAnsi="Times New Roman" w:eastAsia="宋体" w:cs="Times New Roman"/>
                      <w:color w:val="auto"/>
                      <w:sz w:val="21"/>
                      <w:szCs w:val="21"/>
                      <w:highlight w:val="none"/>
                      <w:lang w:val="zh-CN" w:eastAsia="zh-CN"/>
                    </w:rPr>
                  </w:pPr>
                  <w:r>
                    <w:rPr>
                      <w:rFonts w:hint="eastAsia"/>
                      <w:color w:val="auto"/>
                      <w:szCs w:val="21"/>
                      <w:highlight w:val="none"/>
                      <w:lang w:val="en-US" w:eastAsia="zh-CN"/>
                    </w:rPr>
                    <w:t>套</w:t>
                  </w:r>
                </w:p>
              </w:tc>
              <w:tc>
                <w:tcPr>
                  <w:tcW w:w="1076" w:type="dxa"/>
                  <w:tcBorders>
                    <w:tl2br w:val="nil"/>
                    <w:tr2bl w:val="nil"/>
                  </w:tcBorders>
                  <w:noWrap w:val="0"/>
                  <w:vAlign w:val="center"/>
                </w:tcPr>
                <w:p w14:paraId="612856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14:paraId="7546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94" w:type="dxa"/>
                  <w:tcBorders>
                    <w:tl2br w:val="nil"/>
                    <w:tr2bl w:val="nil"/>
                  </w:tcBorders>
                  <w:noWrap w:val="0"/>
                  <w:vAlign w:val="center"/>
                </w:tcPr>
                <w:p w14:paraId="48D5F87C">
                  <w:pPr>
                    <w:spacing w:line="240" w:lineRule="auto"/>
                    <w:jc w:val="center"/>
                    <w:textAlignment w:val="center"/>
                    <w:rPr>
                      <w:rFonts w:hint="eastAsia"/>
                      <w:color w:val="auto"/>
                      <w:szCs w:val="21"/>
                      <w:highlight w:val="none"/>
                      <w:lang w:val="en-US"/>
                    </w:rPr>
                  </w:pPr>
                  <w:r>
                    <w:rPr>
                      <w:rFonts w:hint="eastAsia" w:cs="Times New Roman"/>
                      <w:color w:val="auto"/>
                      <w:sz w:val="21"/>
                      <w:szCs w:val="21"/>
                      <w:highlight w:val="none"/>
                      <w:lang w:val="en-US" w:eastAsia="zh-CN"/>
                    </w:rPr>
                    <w:t>3</w:t>
                  </w:r>
                </w:p>
              </w:tc>
              <w:tc>
                <w:tcPr>
                  <w:tcW w:w="2250" w:type="dxa"/>
                  <w:tcBorders>
                    <w:tl2br w:val="nil"/>
                    <w:tr2bl w:val="nil"/>
                  </w:tcBorders>
                  <w:noWrap w:val="0"/>
                  <w:vAlign w:val="center"/>
                </w:tcPr>
                <w:p w14:paraId="44289435">
                  <w:pPr>
                    <w:pStyle w:val="72"/>
                    <w:ind w:left="-22" w:leftChars="-9"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消除人体静电装置</w:t>
                  </w:r>
                </w:p>
              </w:tc>
              <w:tc>
                <w:tcPr>
                  <w:tcW w:w="2983" w:type="dxa"/>
                  <w:tcBorders>
                    <w:tl2br w:val="nil"/>
                    <w:tr2bl w:val="nil"/>
                  </w:tcBorders>
                  <w:noWrap w:val="0"/>
                  <w:vAlign w:val="center"/>
                </w:tcPr>
                <w:p w14:paraId="3C1BA2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1270" w:type="dxa"/>
                  <w:tcBorders>
                    <w:tl2br w:val="nil"/>
                    <w:tr2bl w:val="nil"/>
                  </w:tcBorders>
                  <w:noWrap w:val="0"/>
                  <w:vAlign w:val="center"/>
                </w:tcPr>
                <w:p w14:paraId="1C1F226C">
                  <w:pPr>
                    <w:pStyle w:val="72"/>
                    <w:ind w:left="-22" w:leftChars="-9" w:firstLine="0" w:firstLineChars="0"/>
                    <w:rPr>
                      <w:rFonts w:hint="default" w:ascii="Times New Roman" w:hAnsi="Times New Roman" w:eastAsia="宋体" w:cs="Times New Roman"/>
                      <w:color w:val="auto"/>
                      <w:sz w:val="21"/>
                      <w:szCs w:val="21"/>
                      <w:highlight w:val="none"/>
                      <w:lang w:val="zh-CN"/>
                    </w:rPr>
                  </w:pPr>
                  <w:r>
                    <w:rPr>
                      <w:rFonts w:hint="eastAsia"/>
                      <w:color w:val="auto"/>
                      <w:szCs w:val="21"/>
                      <w:highlight w:val="none"/>
                    </w:rPr>
                    <w:t>台</w:t>
                  </w:r>
                </w:p>
              </w:tc>
              <w:tc>
                <w:tcPr>
                  <w:tcW w:w="1076" w:type="dxa"/>
                  <w:tcBorders>
                    <w:tl2br w:val="nil"/>
                    <w:tr2bl w:val="nil"/>
                  </w:tcBorders>
                  <w:noWrap w:val="0"/>
                  <w:vAlign w:val="center"/>
                </w:tcPr>
                <w:p w14:paraId="2E728E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r>
            <w:tr w14:paraId="3A6D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694" w:type="dxa"/>
                  <w:tcBorders>
                    <w:tl2br w:val="nil"/>
                    <w:tr2bl w:val="nil"/>
                  </w:tcBorders>
                  <w:noWrap w:val="0"/>
                  <w:vAlign w:val="center"/>
                </w:tcPr>
                <w:p w14:paraId="2FAD80DB">
                  <w:pPr>
                    <w:spacing w:line="240" w:lineRule="auto"/>
                    <w:jc w:val="center"/>
                    <w:textAlignment w:val="center"/>
                    <w:rPr>
                      <w:rFonts w:hint="eastAsia"/>
                      <w:color w:val="auto"/>
                      <w:szCs w:val="21"/>
                      <w:highlight w:val="none"/>
                      <w:lang w:val="en-US"/>
                    </w:rPr>
                  </w:pPr>
                  <w:r>
                    <w:rPr>
                      <w:rFonts w:hint="eastAsia" w:cs="Times New Roman"/>
                      <w:color w:val="auto"/>
                      <w:sz w:val="21"/>
                      <w:szCs w:val="21"/>
                      <w:highlight w:val="none"/>
                      <w:lang w:val="en-US" w:eastAsia="zh-CN"/>
                    </w:rPr>
                    <w:t>4</w:t>
                  </w:r>
                </w:p>
              </w:tc>
              <w:tc>
                <w:tcPr>
                  <w:tcW w:w="2250" w:type="dxa"/>
                  <w:tcBorders>
                    <w:tl2br w:val="nil"/>
                    <w:tr2bl w:val="nil"/>
                  </w:tcBorders>
                  <w:noWrap w:val="0"/>
                  <w:vAlign w:val="center"/>
                </w:tcPr>
                <w:p w14:paraId="0C28C9A3">
                  <w:pPr>
                    <w:pStyle w:val="72"/>
                    <w:ind w:left="-22" w:leftChars="-9"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避雷针</w:t>
                  </w:r>
                </w:p>
              </w:tc>
              <w:tc>
                <w:tcPr>
                  <w:tcW w:w="2983" w:type="dxa"/>
                  <w:tcBorders>
                    <w:tl2br w:val="nil"/>
                    <w:tr2bl w:val="nil"/>
                  </w:tcBorders>
                  <w:noWrap w:val="0"/>
                  <w:vAlign w:val="center"/>
                </w:tcPr>
                <w:p w14:paraId="7569CB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1270" w:type="dxa"/>
                  <w:tcBorders>
                    <w:tl2br w:val="nil"/>
                    <w:tr2bl w:val="nil"/>
                  </w:tcBorders>
                  <w:noWrap w:val="0"/>
                  <w:vAlign w:val="center"/>
                </w:tcPr>
                <w:p w14:paraId="186C6564">
                  <w:pPr>
                    <w:pStyle w:val="72"/>
                    <w:ind w:left="-22" w:leftChars="-9" w:firstLine="0" w:firstLineChars="0"/>
                    <w:rPr>
                      <w:rFonts w:hint="eastAsia" w:ascii="Times New Roman" w:hAnsi="Times New Roman" w:eastAsia="宋体" w:cs="Times New Roman"/>
                      <w:color w:val="auto"/>
                      <w:sz w:val="21"/>
                      <w:szCs w:val="21"/>
                      <w:highlight w:val="none"/>
                      <w:lang w:eastAsia="zh-CN"/>
                    </w:rPr>
                  </w:pPr>
                  <w:r>
                    <w:rPr>
                      <w:rFonts w:hint="eastAsia"/>
                      <w:color w:val="auto"/>
                      <w:szCs w:val="21"/>
                      <w:highlight w:val="none"/>
                      <w:lang w:val="en-US" w:eastAsia="zh-CN"/>
                    </w:rPr>
                    <w:t>个</w:t>
                  </w:r>
                </w:p>
              </w:tc>
              <w:tc>
                <w:tcPr>
                  <w:tcW w:w="1076" w:type="dxa"/>
                  <w:tcBorders>
                    <w:tl2br w:val="nil"/>
                    <w:tr2bl w:val="nil"/>
                  </w:tcBorders>
                  <w:noWrap w:val="0"/>
                  <w:vAlign w:val="center"/>
                </w:tcPr>
                <w:p w14:paraId="3AEBAA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3</w:t>
                  </w:r>
                </w:p>
              </w:tc>
            </w:tr>
          </w:tbl>
          <w:p w14:paraId="6B6F5EAF">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rPr>
              <w:t>2.</w:t>
            </w:r>
            <w:r>
              <w:rPr>
                <w:rFonts w:hint="eastAsia" w:cs="Times New Roman"/>
                <w:b/>
                <w:bCs/>
                <w:color w:val="auto"/>
                <w:highlight w:val="none"/>
                <w:lang w:val="en-US" w:eastAsia="zh-CN"/>
              </w:rPr>
              <w:t>2</w:t>
            </w:r>
            <w:r>
              <w:rPr>
                <w:rFonts w:hint="default" w:ascii="Times New Roman" w:hAnsi="Times New Roman" w:eastAsia="宋体" w:cs="Times New Roman"/>
                <w:b/>
                <w:bCs/>
                <w:color w:val="auto"/>
                <w:highlight w:val="none"/>
                <w:lang w:val="en-US" w:eastAsia="zh-CN"/>
              </w:rPr>
              <w:t>主要原辅材料、能源</w:t>
            </w:r>
          </w:p>
          <w:p w14:paraId="2719453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表2</w:t>
            </w:r>
            <w:r>
              <w:rPr>
                <w:rFonts w:hint="eastAsia"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w:t>
            </w:r>
            <w:r>
              <w:rPr>
                <w:rFonts w:hint="eastAsia" w:ascii="Times New Roman" w:hAnsi="Times New Roman" w:eastAsia="宋体"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lang w:val="en-US" w:eastAsia="zh-CN"/>
              </w:rPr>
              <w:t xml:space="preserve">  主要原辅料、能源一览表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779"/>
              <w:gridCol w:w="1700"/>
              <w:gridCol w:w="1150"/>
              <w:gridCol w:w="2100"/>
              <w:gridCol w:w="724"/>
            </w:tblGrid>
            <w:tr w14:paraId="1731AA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0" w:type="dxa"/>
                  <w:tcBorders>
                    <w:tl2br w:val="nil"/>
                    <w:tr2bl w:val="nil"/>
                  </w:tcBorders>
                  <w:vAlign w:val="center"/>
                </w:tcPr>
                <w:p w14:paraId="428120AE">
                  <w:pPr>
                    <w:spacing w:line="240" w:lineRule="auto"/>
                    <w:jc w:val="center"/>
                    <w:textAlignment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color w:val="auto"/>
                      <w:sz w:val="21"/>
                      <w:szCs w:val="21"/>
                      <w:highlight w:val="none"/>
                    </w:rPr>
                    <w:t>序号</w:t>
                  </w:r>
                </w:p>
              </w:tc>
              <w:tc>
                <w:tcPr>
                  <w:tcW w:w="1779" w:type="dxa"/>
                  <w:tcBorders>
                    <w:tl2br w:val="nil"/>
                    <w:tr2bl w:val="nil"/>
                  </w:tcBorders>
                  <w:vAlign w:val="center"/>
                </w:tcPr>
                <w:p w14:paraId="2D72EA03">
                  <w:pPr>
                    <w:spacing w:line="240" w:lineRule="auto"/>
                    <w:jc w:val="center"/>
                    <w:textAlignment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名称</w:t>
                  </w:r>
                </w:p>
              </w:tc>
              <w:tc>
                <w:tcPr>
                  <w:tcW w:w="1700" w:type="dxa"/>
                  <w:tcBorders>
                    <w:tl2br w:val="nil"/>
                    <w:tr2bl w:val="nil"/>
                  </w:tcBorders>
                  <w:vAlign w:val="center"/>
                </w:tcPr>
                <w:p w14:paraId="2FEF4391">
                  <w:pPr>
                    <w:spacing w:line="240" w:lineRule="auto"/>
                    <w:jc w:val="center"/>
                    <w:textAlignment w:val="center"/>
                    <w:rPr>
                      <w:rFonts w:hint="eastAsia" w:ascii="Times New Roman" w:hAnsi="Times New Roman" w:eastAsia="宋体" w:cs="Times New Roman"/>
                      <w:b/>
                      <w:color w:val="auto"/>
                      <w:sz w:val="21"/>
                      <w:szCs w:val="21"/>
                      <w:highlight w:val="none"/>
                      <w:lang w:eastAsia="zh-CN"/>
                    </w:rPr>
                  </w:pPr>
                  <w:r>
                    <w:rPr>
                      <w:rFonts w:hint="eastAsia" w:cs="Times New Roman"/>
                      <w:b/>
                      <w:color w:val="auto"/>
                      <w:sz w:val="21"/>
                      <w:szCs w:val="21"/>
                      <w:highlight w:val="none"/>
                      <w:lang w:val="en-US" w:eastAsia="zh-CN"/>
                    </w:rPr>
                    <w:t>储存量</w:t>
                  </w:r>
                </w:p>
              </w:tc>
              <w:tc>
                <w:tcPr>
                  <w:tcW w:w="1150" w:type="dxa"/>
                  <w:tcBorders>
                    <w:tl2br w:val="nil"/>
                    <w:tr2bl w:val="nil"/>
                  </w:tcBorders>
                  <w:vAlign w:val="center"/>
                </w:tcPr>
                <w:p w14:paraId="0A695396">
                  <w:pPr>
                    <w:spacing w:line="240" w:lineRule="auto"/>
                    <w:jc w:val="center"/>
                    <w:textAlignment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单位</w:t>
                  </w:r>
                </w:p>
              </w:tc>
              <w:tc>
                <w:tcPr>
                  <w:tcW w:w="2100" w:type="dxa"/>
                  <w:tcBorders>
                    <w:tl2br w:val="nil"/>
                    <w:tr2bl w:val="nil"/>
                  </w:tcBorders>
                  <w:vAlign w:val="center"/>
                </w:tcPr>
                <w:p w14:paraId="23A0DD00">
                  <w:pPr>
                    <w:spacing w:line="240" w:lineRule="auto"/>
                    <w:jc w:val="center"/>
                    <w:textAlignment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来源</w:t>
                  </w:r>
                </w:p>
              </w:tc>
              <w:tc>
                <w:tcPr>
                  <w:tcW w:w="724" w:type="dxa"/>
                  <w:tcBorders>
                    <w:tl2br w:val="nil"/>
                    <w:tr2bl w:val="nil"/>
                  </w:tcBorders>
                  <w:vAlign w:val="center"/>
                </w:tcPr>
                <w:p w14:paraId="781EAB83">
                  <w:pPr>
                    <w:spacing w:line="240" w:lineRule="auto"/>
                    <w:jc w:val="center"/>
                    <w:textAlignment w:val="center"/>
                    <w:rPr>
                      <w:rFonts w:hint="eastAsia" w:ascii="Times New Roman" w:hAnsi="Times New Roman" w:eastAsia="宋体" w:cs="Times New Roman"/>
                      <w:b/>
                      <w:color w:val="auto"/>
                      <w:sz w:val="21"/>
                      <w:szCs w:val="21"/>
                      <w:highlight w:val="none"/>
                      <w:lang w:val="en-US" w:eastAsia="zh-CN"/>
                    </w:rPr>
                  </w:pPr>
                  <w:r>
                    <w:rPr>
                      <w:rFonts w:hint="eastAsia" w:cs="Times New Roman"/>
                      <w:b/>
                      <w:color w:val="auto"/>
                      <w:sz w:val="21"/>
                      <w:szCs w:val="21"/>
                      <w:highlight w:val="none"/>
                      <w:lang w:val="en-US" w:eastAsia="zh-CN"/>
                    </w:rPr>
                    <w:t>备注</w:t>
                  </w:r>
                </w:p>
              </w:tc>
            </w:tr>
            <w:tr w14:paraId="788EC3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0" w:type="dxa"/>
                  <w:tcBorders>
                    <w:tl2br w:val="nil"/>
                    <w:tr2bl w:val="nil"/>
                  </w:tcBorders>
                  <w:vAlign w:val="center"/>
                </w:tcPr>
                <w:p w14:paraId="084D9E84">
                  <w:pPr>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779" w:type="dxa"/>
                  <w:tcBorders>
                    <w:tl2br w:val="nil"/>
                    <w:tr2bl w:val="nil"/>
                  </w:tcBorders>
                  <w:vAlign w:val="center"/>
                </w:tcPr>
                <w:p w14:paraId="3C85E336">
                  <w:pPr>
                    <w:pStyle w:val="55"/>
                    <w:spacing w:line="240" w:lineRule="auto"/>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水</w:t>
                  </w:r>
                </w:p>
              </w:tc>
              <w:tc>
                <w:tcPr>
                  <w:tcW w:w="1700" w:type="dxa"/>
                  <w:tcBorders>
                    <w:tl2br w:val="nil"/>
                    <w:tr2bl w:val="nil"/>
                  </w:tcBorders>
                  <w:vAlign w:val="center"/>
                </w:tcPr>
                <w:p w14:paraId="1A0A9B6B">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i w:val="0"/>
                      <w:iCs w:val="0"/>
                      <w:snapToGrid w:val="0"/>
                      <w:color w:val="auto"/>
                      <w:kern w:val="0"/>
                      <w:sz w:val="21"/>
                      <w:szCs w:val="21"/>
                      <w:highlight w:val="none"/>
                      <w:u w:val="none"/>
                      <w:lang w:val="en-US" w:eastAsia="zh-CN" w:bidi="ar"/>
                      <w14:ligatures w14:val="none"/>
                    </w:rPr>
                    <w:t>500</w:t>
                  </w:r>
                </w:p>
              </w:tc>
              <w:tc>
                <w:tcPr>
                  <w:tcW w:w="1150" w:type="dxa"/>
                  <w:tcBorders>
                    <w:tl2br w:val="nil"/>
                    <w:tr2bl w:val="nil"/>
                  </w:tcBorders>
                  <w:vAlign w:val="center"/>
                </w:tcPr>
                <w:p w14:paraId="7D28F739">
                  <w:pPr>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rPr>
                    <w:t>/a</w:t>
                  </w:r>
                </w:p>
              </w:tc>
              <w:tc>
                <w:tcPr>
                  <w:tcW w:w="2100" w:type="dxa"/>
                  <w:tcBorders>
                    <w:tl2br w:val="nil"/>
                    <w:tr2bl w:val="nil"/>
                  </w:tcBorders>
                  <w:shd w:val="clear" w:color="auto" w:fill="auto"/>
                  <w:vAlign w:val="center"/>
                </w:tcPr>
                <w:p w14:paraId="1BB5FDA9">
                  <w:pPr>
                    <w:spacing w:line="240" w:lineRule="auto"/>
                    <w:jc w:val="center"/>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snapToGrid w:val="0"/>
                      <w:color w:val="auto"/>
                      <w:kern w:val="0"/>
                      <w:sz w:val="21"/>
                      <w:szCs w:val="21"/>
                      <w:highlight w:val="none"/>
                      <w:lang w:val="en-US" w:eastAsia="zh-CN" w:bidi="ar-SA"/>
                      <w14:ligatures w14:val="none"/>
                    </w:rPr>
                    <w:t>外购</w:t>
                  </w:r>
                </w:p>
              </w:tc>
              <w:tc>
                <w:tcPr>
                  <w:tcW w:w="724" w:type="dxa"/>
                  <w:tcBorders>
                    <w:tl2br w:val="nil"/>
                    <w:tr2bl w:val="nil"/>
                  </w:tcBorders>
                  <w:vAlign w:val="center"/>
                </w:tcPr>
                <w:p w14:paraId="1A0F2F57">
                  <w:pPr>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2C6B83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0" w:type="dxa"/>
                  <w:tcBorders>
                    <w:tl2br w:val="nil"/>
                    <w:tr2bl w:val="nil"/>
                  </w:tcBorders>
                  <w:vAlign w:val="center"/>
                </w:tcPr>
                <w:p w14:paraId="172A8F4A">
                  <w:pPr>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779" w:type="dxa"/>
                  <w:tcBorders>
                    <w:tl2br w:val="nil"/>
                    <w:tr2bl w:val="nil"/>
                  </w:tcBorders>
                  <w:vAlign w:val="center"/>
                </w:tcPr>
                <w:p w14:paraId="0FB27ADF">
                  <w:pPr>
                    <w:pStyle w:val="55"/>
                    <w:spacing w:line="240" w:lineRule="auto"/>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电</w:t>
                  </w:r>
                </w:p>
              </w:tc>
              <w:tc>
                <w:tcPr>
                  <w:tcW w:w="1700" w:type="dxa"/>
                  <w:tcBorders>
                    <w:tl2br w:val="nil"/>
                    <w:tr2bl w:val="nil"/>
                  </w:tcBorders>
                  <w:vAlign w:val="center"/>
                </w:tcPr>
                <w:p w14:paraId="42176AE8">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i w:val="0"/>
                      <w:iCs w:val="0"/>
                      <w:snapToGrid w:val="0"/>
                      <w:color w:val="auto"/>
                      <w:kern w:val="0"/>
                      <w:sz w:val="21"/>
                      <w:szCs w:val="21"/>
                      <w:highlight w:val="none"/>
                      <w:u w:val="none"/>
                      <w:lang w:val="en-US" w:eastAsia="zh-CN" w:bidi="ar"/>
                      <w14:ligatures w14:val="none"/>
                    </w:rPr>
                    <w:t>8000</w:t>
                  </w:r>
                </w:p>
              </w:tc>
              <w:tc>
                <w:tcPr>
                  <w:tcW w:w="1150" w:type="dxa"/>
                  <w:tcBorders>
                    <w:tl2br w:val="nil"/>
                    <w:tr2bl w:val="nil"/>
                  </w:tcBorders>
                  <w:vAlign w:val="center"/>
                </w:tcPr>
                <w:p w14:paraId="0BB57275">
                  <w:pPr>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kW·h</w:t>
                  </w:r>
                  <w:r>
                    <w:rPr>
                      <w:rFonts w:hint="default" w:ascii="Times New Roman" w:hAnsi="Times New Roman" w:eastAsia="宋体" w:cs="Times New Roman"/>
                      <w:color w:val="auto"/>
                      <w:sz w:val="21"/>
                      <w:szCs w:val="21"/>
                      <w:highlight w:val="none"/>
                    </w:rPr>
                    <w:t>/a</w:t>
                  </w:r>
                </w:p>
              </w:tc>
              <w:tc>
                <w:tcPr>
                  <w:tcW w:w="2100" w:type="dxa"/>
                  <w:tcBorders>
                    <w:tl2br w:val="nil"/>
                    <w:tr2bl w:val="nil"/>
                  </w:tcBorders>
                  <w:shd w:val="clear" w:color="auto" w:fill="auto"/>
                  <w:vAlign w:val="center"/>
                </w:tcPr>
                <w:p w14:paraId="676D9986">
                  <w:pPr>
                    <w:spacing w:line="240" w:lineRule="auto"/>
                    <w:jc w:val="center"/>
                    <w:textAlignment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color w:val="auto"/>
                      <w:sz w:val="21"/>
                      <w:szCs w:val="21"/>
                      <w:highlight w:val="none"/>
                      <w:lang w:val="en-US" w:eastAsia="zh-CN"/>
                    </w:rPr>
                    <w:t>电网供应</w:t>
                  </w:r>
                </w:p>
              </w:tc>
              <w:tc>
                <w:tcPr>
                  <w:tcW w:w="724" w:type="dxa"/>
                  <w:tcBorders>
                    <w:tl2br w:val="nil"/>
                    <w:tr2bl w:val="nil"/>
                  </w:tcBorders>
                  <w:vAlign w:val="center"/>
                </w:tcPr>
                <w:p w14:paraId="04ED6599">
                  <w:pPr>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bl>
          <w:p w14:paraId="4E9C68A4">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cs="Times New Roman"/>
                <w:b/>
                <w:bCs/>
                <w:color w:val="auto"/>
                <w:highlight w:val="none"/>
                <w:lang w:val="en-US" w:eastAsia="zh-CN"/>
              </w:rPr>
            </w:pPr>
            <w:r>
              <w:rPr>
                <w:rFonts w:hint="eastAsia" w:cs="Times New Roman"/>
                <w:b/>
                <w:bCs/>
                <w:color w:val="auto"/>
                <w:highlight w:val="none"/>
                <w:lang w:val="en-US" w:eastAsia="zh-CN"/>
              </w:rPr>
              <w:t>理化性质分析：</w:t>
            </w:r>
          </w:p>
          <w:p w14:paraId="1876A76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highlight w:val="none"/>
                <w:lang w:val="en-US" w:eastAsia="zh-CN"/>
              </w:rPr>
            </w:pPr>
            <w:r>
              <w:rPr>
                <w:rFonts w:hint="eastAsia" w:cs="Times New Roman"/>
                <w:bCs/>
                <w:color w:val="auto"/>
                <w:highlight w:val="none"/>
                <w:lang w:val="en-US" w:eastAsia="zh-CN"/>
              </w:rPr>
              <w:t>（1）炸药</w:t>
            </w:r>
          </w:p>
          <w:p w14:paraId="5D63879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s="Times New Roman"/>
                <w:bCs/>
                <w:color w:val="auto"/>
                <w:highlight w:val="none"/>
                <w:lang w:val="en-US" w:eastAsia="zh-CN"/>
              </w:rPr>
            </w:pPr>
            <w:r>
              <w:rPr>
                <w:rFonts w:hint="default" w:ascii="Times New Roman" w:hAnsi="Times New Roman" w:eastAsia="宋体" w:cs="Times New Roman"/>
                <w:bCs/>
                <w:color w:val="auto"/>
                <w:highlight w:val="none"/>
                <w:lang w:val="en-US" w:eastAsia="zh-CN"/>
              </w:rPr>
              <w:t>本项目存放的炸药主要为乳化炸药</w:t>
            </w:r>
            <w:r>
              <w:rPr>
                <w:rFonts w:hint="eastAsia" w:cs="Times New Roman"/>
                <w:bCs/>
                <w:color w:val="auto"/>
                <w:highlight w:val="none"/>
                <w:lang w:val="en-US" w:eastAsia="zh-CN"/>
              </w:rPr>
              <w:t>和铵油炸药</w:t>
            </w:r>
            <w:r>
              <w:rPr>
                <w:rFonts w:hint="default" w:ascii="Times New Roman" w:hAnsi="Times New Roman" w:eastAsia="宋体" w:cs="Times New Roman"/>
                <w:bCs/>
                <w:color w:val="auto"/>
                <w:highlight w:val="none"/>
                <w:lang w:val="en-US" w:eastAsia="zh-CN"/>
              </w:rPr>
              <w:t>，乳化炸药组分为</w:t>
            </w:r>
            <w:r>
              <w:rPr>
                <w:rFonts w:hint="eastAsia" w:cs="Times New Roman"/>
                <w:bCs/>
                <w:color w:val="auto"/>
                <w:highlight w:val="none"/>
                <w:lang w:val="en-US" w:eastAsia="zh-CN"/>
              </w:rPr>
              <w:t>硝酸铵水溶液、乳胶基质；铵油炸药</w:t>
            </w:r>
            <w:r>
              <w:rPr>
                <w:rFonts w:hint="default" w:ascii="Times New Roman" w:hAnsi="Times New Roman" w:eastAsia="宋体" w:cs="Times New Roman"/>
                <w:bCs/>
                <w:color w:val="auto"/>
                <w:highlight w:val="none"/>
                <w:lang w:val="en-US" w:eastAsia="zh-CN"/>
              </w:rPr>
              <w:t>组分</w:t>
            </w:r>
            <w:r>
              <w:rPr>
                <w:rFonts w:hint="eastAsia" w:ascii="Times New Roman" w:hAnsi="Times New Roman" w:eastAsia="宋体" w:cs="Times New Roman"/>
                <w:bCs/>
                <w:color w:val="auto"/>
                <w:highlight w:val="none"/>
                <w:lang w:val="en-US" w:eastAsia="zh-CN"/>
              </w:rPr>
              <w:t>为</w:t>
            </w:r>
            <w:r>
              <w:rPr>
                <w:rFonts w:hint="eastAsia" w:cs="Times New Roman"/>
                <w:bCs/>
                <w:color w:val="auto"/>
                <w:highlight w:val="none"/>
                <w:lang w:val="en-US" w:eastAsia="zh-CN"/>
              </w:rPr>
              <w:t>硝酸铵、柴油</w:t>
            </w:r>
            <w:r>
              <w:rPr>
                <w:rFonts w:hint="default" w:ascii="Times New Roman" w:hAnsi="Times New Roman" w:eastAsia="宋体" w:cs="Times New Roman"/>
                <w:bCs/>
                <w:color w:val="auto"/>
                <w:highlight w:val="none"/>
                <w:lang w:val="en-US" w:eastAsia="zh-CN"/>
              </w:rPr>
              <w:t>等</w:t>
            </w:r>
            <w:r>
              <w:rPr>
                <w:rFonts w:hint="eastAsia" w:cs="Times New Roman"/>
                <w:bCs/>
                <w:color w:val="auto"/>
                <w:highlight w:val="none"/>
                <w:lang w:val="en-US" w:eastAsia="zh-CN"/>
              </w:rPr>
              <w:t>。</w:t>
            </w:r>
          </w:p>
          <w:p w14:paraId="4EC476F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表2</w:t>
            </w:r>
            <w:r>
              <w:rPr>
                <w:rFonts w:hint="eastAsia"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 xml:space="preserve">  硝酸铵基本特性分析表</w:t>
            </w:r>
          </w:p>
          <w:tbl>
            <w:tblPr>
              <w:tblStyle w:val="28"/>
              <w:tblW w:w="8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3100"/>
              <w:gridCol w:w="3584"/>
            </w:tblGrid>
            <w:tr w14:paraId="327B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restart"/>
                  <w:vAlign w:val="center"/>
                </w:tcPr>
                <w:p w14:paraId="0210AFE7">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eastAsia"/>
                      <w:b/>
                      <w:bCs/>
                      <w:kern w:val="0"/>
                      <w:sz w:val="21"/>
                      <w:szCs w:val="21"/>
                      <w:highlight w:val="none"/>
                      <w:vertAlign w:val="baseline"/>
                      <w:lang w:val="en-US" w:eastAsia="zh-CN"/>
                      <w14:ligatures w14:val="none"/>
                    </w:rPr>
                    <w:t>标识</w:t>
                  </w:r>
                </w:p>
              </w:tc>
              <w:tc>
                <w:tcPr>
                  <w:tcW w:w="3100" w:type="dxa"/>
                </w:tcPr>
                <w:p w14:paraId="12DF0E1F">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eastAsia"/>
                      <w:kern w:val="0"/>
                      <w:sz w:val="21"/>
                      <w:szCs w:val="21"/>
                      <w:highlight w:val="none"/>
                      <w:vertAlign w:val="baseline"/>
                      <w:lang w:val="en-US" w:eastAsia="zh-CN"/>
                      <w14:ligatures w14:val="none"/>
                    </w:rPr>
                    <w:t>中文名：硝酸铵</w:t>
                  </w:r>
                </w:p>
              </w:tc>
              <w:tc>
                <w:tcPr>
                  <w:tcW w:w="3584" w:type="dxa"/>
                </w:tcPr>
                <w:p w14:paraId="1E2A0F5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英文名：Ammoniumnitrate</w:t>
                  </w:r>
                </w:p>
              </w:tc>
            </w:tr>
            <w:tr w14:paraId="517C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vAlign w:val="center"/>
                </w:tcPr>
                <w:p w14:paraId="38184C73">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p>
              </w:tc>
              <w:tc>
                <w:tcPr>
                  <w:tcW w:w="3100" w:type="dxa"/>
                </w:tcPr>
                <w:p w14:paraId="18513389">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危规号：51069UN</w:t>
                  </w:r>
                </w:p>
              </w:tc>
              <w:tc>
                <w:tcPr>
                  <w:tcW w:w="3584" w:type="dxa"/>
                </w:tcPr>
                <w:p w14:paraId="7290302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分子式：NH</w:t>
                  </w:r>
                  <w:r>
                    <w:rPr>
                      <w:rFonts w:hint="default"/>
                      <w:kern w:val="0"/>
                      <w:sz w:val="21"/>
                      <w:szCs w:val="21"/>
                      <w:highlight w:val="none"/>
                      <w:vertAlign w:val="subscript"/>
                      <w:lang w:val="en-US" w:eastAsia="zh-CN"/>
                      <w14:ligatures w14:val="none"/>
                    </w:rPr>
                    <w:t>4</w:t>
                  </w:r>
                  <w:r>
                    <w:rPr>
                      <w:rFonts w:hint="default"/>
                      <w:kern w:val="0"/>
                      <w:sz w:val="21"/>
                      <w:szCs w:val="21"/>
                      <w:highlight w:val="none"/>
                      <w:vertAlign w:val="baseline"/>
                      <w:lang w:val="en-US" w:eastAsia="zh-CN"/>
                      <w14:ligatures w14:val="none"/>
                    </w:rPr>
                    <w:t>NO</w:t>
                  </w:r>
                  <w:r>
                    <w:rPr>
                      <w:rFonts w:hint="default"/>
                      <w:kern w:val="0"/>
                      <w:sz w:val="21"/>
                      <w:szCs w:val="21"/>
                      <w:highlight w:val="none"/>
                      <w:vertAlign w:val="subscript"/>
                      <w:lang w:val="en-US" w:eastAsia="zh-CN"/>
                      <w14:ligatures w14:val="none"/>
                    </w:rPr>
                    <w:t>3</w:t>
                  </w:r>
                </w:p>
              </w:tc>
            </w:tr>
            <w:tr w14:paraId="53EC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vAlign w:val="center"/>
                </w:tcPr>
                <w:p w14:paraId="2AF7B5F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p>
              </w:tc>
              <w:tc>
                <w:tcPr>
                  <w:tcW w:w="3100" w:type="dxa"/>
                </w:tcPr>
                <w:p w14:paraId="7B278839">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分子量：80.05</w:t>
                  </w:r>
                </w:p>
              </w:tc>
              <w:tc>
                <w:tcPr>
                  <w:tcW w:w="3584" w:type="dxa"/>
                </w:tcPr>
                <w:p w14:paraId="50256036">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CAS号：6484-52-2</w:t>
                  </w:r>
                </w:p>
              </w:tc>
            </w:tr>
            <w:tr w14:paraId="1853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restart"/>
                  <w:vAlign w:val="center"/>
                </w:tcPr>
                <w:p w14:paraId="5F3DA276">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理化特性</w:t>
                  </w:r>
                </w:p>
              </w:tc>
              <w:tc>
                <w:tcPr>
                  <w:tcW w:w="3100" w:type="dxa"/>
                </w:tcPr>
                <w:p w14:paraId="3B04929B">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熔点：169.6℃；</w:t>
                  </w:r>
                </w:p>
              </w:tc>
              <w:tc>
                <w:tcPr>
                  <w:tcW w:w="3584" w:type="dxa"/>
                </w:tcPr>
                <w:p w14:paraId="381ED370">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分解温度：210℃；</w:t>
                  </w:r>
                </w:p>
              </w:tc>
            </w:tr>
            <w:tr w14:paraId="0EED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4919EFE8">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3100" w:type="dxa"/>
                </w:tcPr>
                <w:p w14:paraId="098FA0B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相对密度（水=1）：1.725(25℃)；</w:t>
                  </w:r>
                </w:p>
              </w:tc>
              <w:tc>
                <w:tcPr>
                  <w:tcW w:w="3584" w:type="dxa"/>
                </w:tcPr>
                <w:p w14:paraId="417E6CC4">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400℃能引起爆炸；爆发点300℃</w:t>
                  </w:r>
                </w:p>
              </w:tc>
            </w:tr>
            <w:tr w14:paraId="3969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18C973AD">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6684" w:type="dxa"/>
                  <w:gridSpan w:val="2"/>
                </w:tcPr>
                <w:p w14:paraId="1ADCC694">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外观性状：无色正交结晶或白色细小颗粒状结晶，吸湿、结块性很强。</w:t>
                  </w:r>
                </w:p>
              </w:tc>
            </w:tr>
            <w:tr w14:paraId="5CE0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227F666D">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6684" w:type="dxa"/>
                  <w:gridSpan w:val="2"/>
                </w:tcPr>
                <w:p w14:paraId="366D111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易溶于水，溶解度随温度升高而迅速增加，溶于水时大量吸热，溶于丙酮和氨中，微溶于乙醇，不溶于乙醚</w:t>
                  </w:r>
                  <w:r>
                    <w:rPr>
                      <w:rFonts w:hint="eastAsia"/>
                      <w:kern w:val="0"/>
                      <w:sz w:val="21"/>
                      <w:szCs w:val="21"/>
                      <w:highlight w:val="none"/>
                      <w:vertAlign w:val="baseline"/>
                      <w:lang w:val="en-US" w:eastAsia="zh-CN"/>
                      <w14:ligatures w14:val="none"/>
                    </w:rPr>
                    <w:t>。</w:t>
                  </w:r>
                </w:p>
              </w:tc>
            </w:tr>
            <w:tr w14:paraId="7B58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5CBECE4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6684" w:type="dxa"/>
                  <w:gridSpan w:val="2"/>
                </w:tcPr>
                <w:p w14:paraId="714F9C22">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主要用途：肥料、吸湿剂，硝酸盐原料，用于工业炸药的氧化剂等。</w:t>
                  </w:r>
                </w:p>
              </w:tc>
            </w:tr>
            <w:tr w14:paraId="4461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408879A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危险特性</w:t>
                  </w:r>
                </w:p>
              </w:tc>
              <w:tc>
                <w:tcPr>
                  <w:tcW w:w="6684" w:type="dxa"/>
                  <w:gridSpan w:val="2"/>
                </w:tcPr>
                <w:p w14:paraId="35B86EF4">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强氧化剂，能助长燃烧火势并引起着火，与可燃物粉末混合能发生激烈反应而爆炸。受强烈震动也会起爆。各种有机杂质均能显著地增加硝酸铵的爆炸灵敏性。将硝酸铵加热熔化，即慢慢分解。在通风不良的密闭条件下储存，会发生分解，分解速度随温度升高而加速，温度升高到302℃分解就急剧加速，放出有毒气体，甚至燃烧、爆炸。</w:t>
                  </w:r>
                </w:p>
              </w:tc>
            </w:tr>
            <w:tr w14:paraId="39BC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09821BFF">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毒性危害</w:t>
                  </w:r>
                </w:p>
              </w:tc>
              <w:tc>
                <w:tcPr>
                  <w:tcW w:w="6684" w:type="dxa"/>
                  <w:gridSpan w:val="2"/>
                </w:tcPr>
                <w:p w14:paraId="02F75577">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本品对呼吸道、眼睛、皮肤有刺激性，吸入粉尘时会出现恶心、呕吐、头痛，甚至意识丧失、呼吸困难等症状，大量接触可引起高铁血红蛋白血症，口服过量可致死。火灾时往往会产生有毒的氧化氮气体，吸入会中毒。</w:t>
                  </w:r>
                </w:p>
              </w:tc>
            </w:tr>
            <w:tr w14:paraId="217B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08B5F5AD">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急救措施</w:t>
                  </w:r>
                </w:p>
              </w:tc>
              <w:tc>
                <w:tcPr>
                  <w:tcW w:w="6684" w:type="dxa"/>
                  <w:gridSpan w:val="2"/>
                </w:tcPr>
                <w:p w14:paraId="35C6138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应使患者迅速脱离污染区至空气新鲜处，保持呼吸畅通，安置休息并保暖。如呼吸困难或停止呼吸，及时就医；进入眼睛或皮肤接触，用大量水冲洗，注意切勿溅及黏膜。吸入毒气的患者须立即送医院救治</w:t>
                  </w:r>
                </w:p>
              </w:tc>
            </w:tr>
            <w:tr w14:paraId="3DE6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0BBFEBE4">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事故处理</w:t>
                  </w:r>
                </w:p>
              </w:tc>
              <w:tc>
                <w:tcPr>
                  <w:tcW w:w="6684" w:type="dxa"/>
                  <w:gridSpan w:val="2"/>
                </w:tcPr>
                <w:p w14:paraId="16857A87">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消防措施：发现有火患时，仓间应开启，以提供大量的通风，并应以大量的水扑救，不可使用蒸气或惰性气体。如果火场中有大量物资存在时须注意防护。</w:t>
                  </w:r>
                  <w:r>
                    <w:rPr>
                      <w:rFonts w:hint="eastAsia"/>
                      <w:kern w:val="0"/>
                      <w:sz w:val="21"/>
                      <w:szCs w:val="21"/>
                      <w:highlight w:val="none"/>
                      <w:vertAlign w:val="baseline"/>
                      <w:lang w:val="en-US" w:eastAsia="zh-CN"/>
                      <w14:ligatures w14:val="none"/>
                    </w:rPr>
                    <w:t>需</w:t>
                  </w:r>
                  <w:r>
                    <w:rPr>
                      <w:rFonts w:hint="default"/>
                      <w:kern w:val="0"/>
                      <w:sz w:val="21"/>
                      <w:szCs w:val="21"/>
                      <w:highlight w:val="none"/>
                      <w:vertAlign w:val="baseline"/>
                      <w:lang w:val="en-US" w:eastAsia="zh-CN"/>
                      <w14:ligatures w14:val="none"/>
                    </w:rPr>
                    <w:t>有无人操纵的固定水塔或雾状水施救。人员应转移至安全地带。不得使油脂、木炭或</w:t>
                  </w:r>
                  <w:r>
                    <w:rPr>
                      <w:rFonts w:hint="eastAsia"/>
                      <w:kern w:val="0"/>
                      <w:sz w:val="21"/>
                      <w:szCs w:val="21"/>
                      <w:highlight w:val="none"/>
                      <w:vertAlign w:val="baseline"/>
                      <w:lang w:val="en-US" w:eastAsia="zh-CN"/>
                      <w14:ligatures w14:val="none"/>
                    </w:rPr>
                    <w:t>其他</w:t>
                  </w:r>
                  <w:r>
                    <w:rPr>
                      <w:rFonts w:hint="default"/>
                      <w:kern w:val="0"/>
                      <w:sz w:val="21"/>
                      <w:szCs w:val="21"/>
                      <w:highlight w:val="none"/>
                      <w:vertAlign w:val="baseline"/>
                      <w:lang w:val="en-US" w:eastAsia="zh-CN"/>
                      <w14:ligatures w14:val="none"/>
                    </w:rPr>
                    <w:t>可燃物带入硝酸铵仓区，以防止引起全部猛烈爆炸。对熔融的硝酸铵在用水施救时必须避免爆溅致使火势蔓延。在扑救时，应戴好氧气防毒面具，并须在上风方向操作。</w:t>
                  </w:r>
                </w:p>
              </w:tc>
            </w:tr>
            <w:tr w14:paraId="32D6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0358A49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储运注意事项</w:t>
                  </w:r>
                </w:p>
              </w:tc>
              <w:tc>
                <w:tcPr>
                  <w:tcW w:w="6684" w:type="dxa"/>
                  <w:gridSpan w:val="2"/>
                </w:tcPr>
                <w:p w14:paraId="511E9C69">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储存于干燥通风库房中，专仓专储。与有机物、酸类等严加隔离，防止引起爆炸。应避免与金属性粉末、油类、有机物质、木屑等易燃、易爆的物质混合贮运。硝酸铵不能和石灰氮，草木灰等碱性肥料混合贮运，避免阳光直射。可在铁路棚车内以及其他带蓬或带盖的交通工具内运输。轻装轻卸，防止包装破损。</w:t>
                  </w:r>
                </w:p>
              </w:tc>
            </w:tr>
            <w:tr w14:paraId="35FF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3" w:type="dxa"/>
                  <w:gridSpan w:val="3"/>
                </w:tcPr>
                <w:p w14:paraId="5E885A9D">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注：多孔粒状硝酸铵颗粒的内部具有较多空穴和裂隙，堆积密度一般0.75～0.85g/cm</w:t>
                  </w:r>
                  <w:r>
                    <w:rPr>
                      <w:rFonts w:hint="default"/>
                      <w:kern w:val="0"/>
                      <w:sz w:val="21"/>
                      <w:szCs w:val="21"/>
                      <w:highlight w:val="none"/>
                      <w:vertAlign w:val="superscript"/>
                      <w:lang w:val="en-US" w:eastAsia="zh-CN"/>
                      <w14:ligatures w14:val="none"/>
                    </w:rPr>
                    <w:t>3</w:t>
                  </w:r>
                  <w:r>
                    <w:rPr>
                      <w:rFonts w:hint="default"/>
                      <w:kern w:val="0"/>
                      <w:sz w:val="21"/>
                      <w:szCs w:val="21"/>
                      <w:highlight w:val="none"/>
                      <w:vertAlign w:val="baseline"/>
                      <w:lang w:val="en-US" w:eastAsia="zh-CN"/>
                      <w14:ligatures w14:val="none"/>
                    </w:rPr>
                    <w:t>，空隙率约0.45g/cm</w:t>
                  </w:r>
                  <w:r>
                    <w:rPr>
                      <w:rFonts w:hint="default"/>
                      <w:kern w:val="0"/>
                      <w:sz w:val="21"/>
                      <w:szCs w:val="21"/>
                      <w:highlight w:val="none"/>
                      <w:vertAlign w:val="superscript"/>
                      <w:lang w:val="en-US" w:eastAsia="zh-CN"/>
                      <w14:ligatures w14:val="none"/>
                    </w:rPr>
                    <w:t>3</w:t>
                  </w:r>
                  <w:r>
                    <w:rPr>
                      <w:rFonts w:hint="default"/>
                      <w:kern w:val="0"/>
                      <w:sz w:val="21"/>
                      <w:szCs w:val="21"/>
                      <w:highlight w:val="none"/>
                      <w:vertAlign w:val="baseline"/>
                      <w:lang w:val="en-US" w:eastAsia="zh-CN"/>
                      <w14:ligatures w14:val="none"/>
                    </w:rPr>
                    <w:t>以上。这种硝酸铵</w:t>
                  </w:r>
                  <w:r>
                    <w:rPr>
                      <w:rFonts w:hint="eastAsia"/>
                      <w:kern w:val="0"/>
                      <w:sz w:val="21"/>
                      <w:szCs w:val="21"/>
                      <w:highlight w:val="none"/>
                      <w:vertAlign w:val="baseline"/>
                      <w:lang w:val="en-US" w:eastAsia="zh-CN"/>
                      <w14:ligatures w14:val="none"/>
                    </w:rPr>
                    <w:t>（</w:t>
                  </w:r>
                  <w:r>
                    <w:rPr>
                      <w:rFonts w:hint="default"/>
                      <w:kern w:val="0"/>
                      <w:sz w:val="21"/>
                      <w:szCs w:val="21"/>
                      <w:highlight w:val="none"/>
                      <w:vertAlign w:val="baseline"/>
                      <w:lang w:val="en-US" w:eastAsia="zh-CN"/>
                      <w14:ligatures w14:val="none"/>
                    </w:rPr>
                    <w:t>二次颗粒或凝聚颗粒</w:t>
                  </w:r>
                  <w:r>
                    <w:rPr>
                      <w:rFonts w:hint="eastAsia"/>
                      <w:kern w:val="0"/>
                      <w:sz w:val="21"/>
                      <w:szCs w:val="21"/>
                      <w:highlight w:val="none"/>
                      <w:vertAlign w:val="baseline"/>
                      <w:lang w:val="en-US" w:eastAsia="zh-CN"/>
                      <w14:ligatures w14:val="none"/>
                    </w:rPr>
                    <w:t>）</w:t>
                  </w:r>
                  <w:r>
                    <w:rPr>
                      <w:rFonts w:hint="default"/>
                      <w:kern w:val="0"/>
                      <w:sz w:val="21"/>
                      <w:szCs w:val="21"/>
                      <w:highlight w:val="none"/>
                      <w:vertAlign w:val="baseline"/>
                      <w:lang w:val="en-US" w:eastAsia="zh-CN"/>
                      <w14:ligatures w14:val="none"/>
                    </w:rPr>
                    <w:t>是由许多小球形晶粒</w:t>
                  </w:r>
                  <w:r>
                    <w:rPr>
                      <w:rFonts w:hint="eastAsia"/>
                      <w:kern w:val="0"/>
                      <w:sz w:val="21"/>
                      <w:szCs w:val="21"/>
                      <w:highlight w:val="none"/>
                      <w:vertAlign w:val="baseline"/>
                      <w:lang w:val="en-US" w:eastAsia="zh-CN"/>
                      <w14:ligatures w14:val="none"/>
                    </w:rPr>
                    <w:t>（</w:t>
                  </w:r>
                  <w:r>
                    <w:rPr>
                      <w:rFonts w:hint="default"/>
                      <w:kern w:val="0"/>
                      <w:sz w:val="21"/>
                      <w:szCs w:val="21"/>
                      <w:highlight w:val="none"/>
                      <w:vertAlign w:val="baseline"/>
                      <w:lang w:val="en-US" w:eastAsia="zh-CN"/>
                      <w14:ligatures w14:val="none"/>
                    </w:rPr>
                    <w:t>一次颗粒或单一颗粒</w:t>
                  </w:r>
                  <w:r>
                    <w:rPr>
                      <w:rFonts w:hint="eastAsia"/>
                      <w:kern w:val="0"/>
                      <w:sz w:val="21"/>
                      <w:szCs w:val="21"/>
                      <w:highlight w:val="none"/>
                      <w:vertAlign w:val="baseline"/>
                      <w:lang w:val="en-US" w:eastAsia="zh-CN"/>
                      <w14:ligatures w14:val="none"/>
                    </w:rPr>
                    <w:t>）</w:t>
                  </w:r>
                  <w:r>
                    <w:rPr>
                      <w:rFonts w:hint="default"/>
                      <w:kern w:val="0"/>
                      <w:sz w:val="21"/>
                      <w:szCs w:val="21"/>
                      <w:highlight w:val="none"/>
                      <w:vertAlign w:val="baseline"/>
                      <w:lang w:val="en-US" w:eastAsia="zh-CN"/>
                      <w14:ligatures w14:val="none"/>
                    </w:rPr>
                    <w:t>互相积聚而形成的。一次颗粒自身的表面也不光滑，所以相互间有空隙。在粒度相等的情况下，多孔粒状硝酸铵吸附燃料油的有效表面积比粒状硝酸铵大得多。由于多孔粒状硝酸铵的吸油能力强，而且吸附的燃料油分布在颗粒的孔隙内，所以用它制得的多孔粒状铵油炸药可以储存较长时间。多孔粒状硝酸铵与普通粉状硝酸铵相比，除了其具有大量孔隙外，基本的危险特性与粉状硝酸铵没有明显区别。</w:t>
                  </w:r>
                </w:p>
              </w:tc>
            </w:tr>
          </w:tbl>
          <w:p w14:paraId="0D68E1B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表2</w:t>
            </w:r>
            <w:r>
              <w:rPr>
                <w:rFonts w:hint="eastAsia"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lang w:val="en-US" w:eastAsia="zh-CN"/>
              </w:rPr>
              <w:t xml:space="preserve">  乳胶基质基本特性分析表</w:t>
            </w:r>
          </w:p>
          <w:tbl>
            <w:tblPr>
              <w:tblStyle w:val="28"/>
              <w:tblW w:w="8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3100"/>
              <w:gridCol w:w="3584"/>
            </w:tblGrid>
            <w:tr w14:paraId="3792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9" w:type="dxa"/>
                  <w:vMerge w:val="restart"/>
                  <w:vAlign w:val="center"/>
                </w:tcPr>
                <w:p w14:paraId="79C9D747">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eastAsia"/>
                      <w:b/>
                      <w:bCs/>
                      <w:kern w:val="0"/>
                      <w:sz w:val="21"/>
                      <w:szCs w:val="21"/>
                      <w:highlight w:val="none"/>
                      <w:vertAlign w:val="baseline"/>
                      <w:lang w:val="en-US" w:eastAsia="zh-CN"/>
                      <w14:ligatures w14:val="none"/>
                    </w:rPr>
                    <w:t>标识</w:t>
                  </w:r>
                </w:p>
              </w:tc>
              <w:tc>
                <w:tcPr>
                  <w:tcW w:w="3100" w:type="dxa"/>
                </w:tcPr>
                <w:p w14:paraId="006B7234">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eastAsia"/>
                      <w:kern w:val="0"/>
                      <w:sz w:val="21"/>
                      <w:szCs w:val="21"/>
                      <w:highlight w:val="none"/>
                      <w:vertAlign w:val="baseline"/>
                      <w:lang w:val="en-US" w:eastAsia="zh-CN"/>
                      <w14:ligatures w14:val="none"/>
                    </w:rPr>
                    <w:t>中文名：乳胶基质</w:t>
                  </w:r>
                </w:p>
              </w:tc>
              <w:tc>
                <w:tcPr>
                  <w:tcW w:w="3584" w:type="dxa"/>
                </w:tcPr>
                <w:p w14:paraId="24CEEACB">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英文名：Latex base</w:t>
                  </w:r>
                </w:p>
              </w:tc>
            </w:tr>
            <w:tr w14:paraId="0B30D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vAlign w:val="center"/>
                </w:tcPr>
                <w:p w14:paraId="354CA2F4">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p>
              </w:tc>
              <w:tc>
                <w:tcPr>
                  <w:tcW w:w="3100" w:type="dxa"/>
                </w:tcPr>
                <w:p w14:paraId="2C1C7AD9">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水相（分散相，占比75%~85%）</w:t>
                  </w:r>
                </w:p>
              </w:tc>
              <w:tc>
                <w:tcPr>
                  <w:tcW w:w="3584" w:type="dxa"/>
                </w:tcPr>
                <w:p w14:paraId="7F1AD414">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油相（连续相，占比10%~20%）</w:t>
                  </w:r>
                </w:p>
              </w:tc>
            </w:tr>
            <w:tr w14:paraId="4C42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vAlign w:val="center"/>
                </w:tcPr>
                <w:p w14:paraId="06F9C713">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p>
              </w:tc>
              <w:tc>
                <w:tcPr>
                  <w:tcW w:w="3100" w:type="dxa"/>
                </w:tcPr>
                <w:p w14:paraId="2968D82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乳化剂（占比2%~5%）</w:t>
                  </w:r>
                </w:p>
              </w:tc>
              <w:tc>
                <w:tcPr>
                  <w:tcW w:w="3584" w:type="dxa"/>
                </w:tcPr>
                <w:p w14:paraId="60C78BA4">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eastAsia"/>
                      <w:kern w:val="0"/>
                      <w:sz w:val="21"/>
                      <w:szCs w:val="21"/>
                      <w:highlight w:val="none"/>
                      <w:vertAlign w:val="baseline"/>
                      <w:lang w:val="en-US" w:eastAsia="zh-CN"/>
                      <w14:ligatures w14:val="none"/>
                    </w:rPr>
                    <w:t>/</w:t>
                  </w:r>
                </w:p>
              </w:tc>
            </w:tr>
            <w:tr w14:paraId="4F4C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restart"/>
                  <w:vAlign w:val="center"/>
                </w:tcPr>
                <w:p w14:paraId="3E0A1520">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理化特性</w:t>
                  </w:r>
                </w:p>
              </w:tc>
              <w:tc>
                <w:tcPr>
                  <w:tcW w:w="3100" w:type="dxa"/>
                </w:tcPr>
                <w:p w14:paraId="2DA20A1F">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1.35</w:t>
                  </w:r>
                  <w:r>
                    <w:rPr>
                      <w:rFonts w:hint="eastAsia"/>
                      <w:kern w:val="0"/>
                      <w:sz w:val="21"/>
                      <w:szCs w:val="21"/>
                      <w:highlight w:val="none"/>
                      <w:vertAlign w:val="baseline"/>
                      <w:lang w:val="en-US" w:eastAsia="zh-CN"/>
                      <w14:ligatures w14:val="none"/>
                    </w:rPr>
                    <w:t>~</w:t>
                  </w:r>
                  <w:r>
                    <w:rPr>
                      <w:rFonts w:hint="default"/>
                      <w:kern w:val="0"/>
                      <w:sz w:val="21"/>
                      <w:szCs w:val="21"/>
                      <w:highlight w:val="none"/>
                      <w:vertAlign w:val="baseline"/>
                      <w:lang w:val="en-US" w:eastAsia="zh-CN"/>
                      <w14:ligatures w14:val="none"/>
                    </w:rPr>
                    <w:t>1.40 g/cm</w:t>
                  </w:r>
                  <w:r>
                    <w:rPr>
                      <w:rFonts w:hint="default"/>
                      <w:kern w:val="0"/>
                      <w:sz w:val="21"/>
                      <w:szCs w:val="21"/>
                      <w:highlight w:val="none"/>
                      <w:vertAlign w:val="superscript"/>
                      <w:lang w:val="en-US" w:eastAsia="zh-CN"/>
                      <w14:ligatures w14:val="none"/>
                    </w:rPr>
                    <w:t>3</w:t>
                  </w:r>
                </w:p>
              </w:tc>
              <w:tc>
                <w:tcPr>
                  <w:tcW w:w="3584" w:type="dxa"/>
                </w:tcPr>
                <w:p w14:paraId="36B3155A">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20℃标准工况下粘度为90</w:t>
                  </w:r>
                  <w:r>
                    <w:rPr>
                      <w:rFonts w:hint="eastAsia"/>
                      <w:kern w:val="0"/>
                      <w:sz w:val="21"/>
                      <w:szCs w:val="21"/>
                      <w:highlight w:val="none"/>
                      <w:vertAlign w:val="baseline"/>
                      <w:lang w:val="en-US" w:eastAsia="zh-CN"/>
                      <w14:ligatures w14:val="none"/>
                    </w:rPr>
                    <w:t>~</w:t>
                  </w:r>
                  <w:r>
                    <w:rPr>
                      <w:rFonts w:hint="default"/>
                      <w:kern w:val="0"/>
                      <w:sz w:val="21"/>
                      <w:szCs w:val="21"/>
                      <w:highlight w:val="none"/>
                      <w:vertAlign w:val="baseline"/>
                      <w:lang w:val="en-US" w:eastAsia="zh-CN"/>
                      <w14:ligatures w14:val="none"/>
                    </w:rPr>
                    <w:t>100 Pa</w:t>
                  </w:r>
                  <w:r>
                    <w:rPr>
                      <w:rFonts w:hint="eastAsia"/>
                      <w:kern w:val="0"/>
                      <w:sz w:val="21"/>
                      <w:szCs w:val="21"/>
                      <w:highlight w:val="none"/>
                      <w:vertAlign w:val="baseline"/>
                      <w:lang w:val="en-US" w:eastAsia="zh-CN"/>
                      <w14:ligatures w14:val="none"/>
                    </w:rPr>
                    <w:t>·</w:t>
                  </w:r>
                  <w:r>
                    <w:rPr>
                      <w:rFonts w:hint="default"/>
                      <w:kern w:val="0"/>
                      <w:sz w:val="21"/>
                      <w:szCs w:val="21"/>
                      <w:highlight w:val="none"/>
                      <w:vertAlign w:val="baseline"/>
                      <w:lang w:val="en-US" w:eastAsia="zh-CN"/>
                      <w14:ligatures w14:val="none"/>
                    </w:rPr>
                    <w:t>s，属于高粘度膏体</w:t>
                  </w:r>
                </w:p>
              </w:tc>
            </w:tr>
            <w:tr w14:paraId="6DE7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173012AF">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3100" w:type="dxa"/>
                </w:tcPr>
                <w:p w14:paraId="4F4CA3D9">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常规配方凝点≤0℃</w:t>
                  </w:r>
                </w:p>
              </w:tc>
              <w:tc>
                <w:tcPr>
                  <w:tcW w:w="3584" w:type="dxa"/>
                </w:tcPr>
                <w:p w14:paraId="299BC0E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整体呈弱酸性至中性，pH区间5.5~7.5</w:t>
                  </w:r>
                </w:p>
              </w:tc>
            </w:tr>
            <w:tr w14:paraId="39EB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31A17CE6">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6684" w:type="dxa"/>
                  <w:gridSpan w:val="2"/>
                </w:tcPr>
                <w:p w14:paraId="32A2A5AA">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外观性状：乳黄色/浅棕黄色均匀膏状、可塑性胶体</w:t>
                  </w:r>
                  <w:r>
                    <w:rPr>
                      <w:rFonts w:hint="eastAsia"/>
                      <w:kern w:val="0"/>
                      <w:sz w:val="21"/>
                      <w:szCs w:val="21"/>
                      <w:highlight w:val="none"/>
                      <w:vertAlign w:val="baseline"/>
                      <w:lang w:val="en-US" w:eastAsia="zh-CN"/>
                      <w14:ligatures w14:val="none"/>
                    </w:rPr>
                    <w:t>，质地柔软，形态类似橡皮泥，无明显流动性，无肉眼可见分层、结块、气泡；无刺激性异味，仅有轻微油品气味。</w:t>
                  </w:r>
                </w:p>
              </w:tc>
            </w:tr>
            <w:tr w14:paraId="3BE0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71BA2106">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6684" w:type="dxa"/>
                  <w:gridSpan w:val="2"/>
                </w:tcPr>
                <w:p w14:paraId="6A048323">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eastAsia"/>
                      <w:kern w:val="0"/>
                      <w:sz w:val="21"/>
                      <w:szCs w:val="21"/>
                      <w:highlight w:val="none"/>
                      <w:vertAlign w:val="baseline"/>
                      <w:lang w:val="en-US" w:eastAsia="zh-CN"/>
                      <w14:ligatures w14:val="none"/>
                    </w:rPr>
                    <w:t>整体不溶于水，微观油包水结构赋予极强抗水性能，浸泡在水中不会破乳、溶解，遇水不失效，是乳化炸药核心优势之一。</w:t>
                  </w:r>
                </w:p>
              </w:tc>
            </w:tr>
            <w:tr w14:paraId="3B8C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44075D1A">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危险特性</w:t>
                  </w:r>
                </w:p>
              </w:tc>
              <w:tc>
                <w:tcPr>
                  <w:tcW w:w="6684" w:type="dxa"/>
                  <w:gridSpan w:val="2"/>
                </w:tcPr>
                <w:p w14:paraId="08EC3BD7">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纯乳胶基质闪点较高（柴油组分闪点约330℃），不易被明火直接点燃；持续强火焰灼烧时，先发生熔融、分解，继而燃烧，燃烧伴随黄色火焰与少量烟气，燃烧产物含有毒氮氧化物、CO。</w:t>
                  </w:r>
                </w:p>
              </w:tc>
            </w:tr>
            <w:tr w14:paraId="0C54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0939A54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毒性危害</w:t>
                  </w:r>
                </w:p>
              </w:tc>
              <w:tc>
                <w:tcPr>
                  <w:tcW w:w="6684" w:type="dxa"/>
                  <w:gridSpan w:val="2"/>
                </w:tcPr>
                <w:p w14:paraId="673E93C5">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长期或反复接触膏体，其中柴油、乳化剂会对皮肤产生脱脂作用，造成皮肤干燥、脱皮、皲裂，部分人员可引发接触性皮炎；破损皮肤接触后，刺激感加剧。常温下基质挥发性极低，几乎无蒸气逸出；高温分解、燃烧产生的氮氧化物、一氧化碳为有毒气体，吸入后会引发头痛、眩晕、咽喉刺痛，高浓度吸入可导致麻醉、呼吸困难。</w:t>
                  </w:r>
                </w:p>
              </w:tc>
            </w:tr>
            <w:tr w14:paraId="57D2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63536A9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储运注意事项</w:t>
                  </w:r>
                </w:p>
              </w:tc>
              <w:tc>
                <w:tcPr>
                  <w:tcW w:w="6684" w:type="dxa"/>
                  <w:gridSpan w:val="2"/>
                </w:tcPr>
                <w:p w14:paraId="08A6244D">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适宜储存温度：5℃~35℃；避免长期低于0℃（防止凝冻、相分离）、高于 40℃（加速分解老化），适配本项目山间库区昼夜温差大的特点。</w:t>
                  </w:r>
                </w:p>
              </w:tc>
            </w:tr>
          </w:tbl>
          <w:p w14:paraId="7A4395C1">
            <w:pPr>
              <w:pStyle w:val="34"/>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napToGrid w:val="0"/>
                <w:sz w:val="24"/>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表2</w:t>
            </w:r>
            <w:r>
              <w:rPr>
                <w:rFonts w:hint="eastAsia"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lang w:val="en-US" w:eastAsia="zh-CN"/>
              </w:rPr>
              <w:t xml:space="preserve">  </w:t>
            </w:r>
            <w:r>
              <w:rPr>
                <w:rFonts w:hint="eastAsia" w:ascii="Times New Roman" w:hAnsi="Times New Roman" w:eastAsia="宋体" w:cs="Times New Roman"/>
                <w:b/>
                <w:bCs/>
                <w:color w:val="auto"/>
                <w:sz w:val="21"/>
                <w:szCs w:val="21"/>
                <w:highlight w:val="none"/>
                <w:lang w:val="en-US" w:eastAsia="zh-CN"/>
              </w:rPr>
              <w:t>柴油</w:t>
            </w:r>
            <w:r>
              <w:rPr>
                <w:rFonts w:hint="default" w:ascii="Times New Roman" w:hAnsi="Times New Roman" w:eastAsia="宋体" w:cs="Times New Roman"/>
                <w:b/>
                <w:bCs/>
                <w:color w:val="auto"/>
                <w:sz w:val="21"/>
                <w:szCs w:val="21"/>
                <w:highlight w:val="none"/>
                <w:lang w:val="en-US" w:eastAsia="zh-CN"/>
              </w:rPr>
              <w:t>基本特性分析表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109"/>
              <w:gridCol w:w="443"/>
              <w:gridCol w:w="458"/>
              <w:gridCol w:w="1464"/>
              <w:gridCol w:w="573"/>
              <w:gridCol w:w="882"/>
              <w:gridCol w:w="1086"/>
              <w:gridCol w:w="798"/>
              <w:gridCol w:w="475"/>
            </w:tblGrid>
            <w:tr w14:paraId="498326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10"/>
                  <w:tcBorders>
                    <w:tl2br w:val="nil"/>
                    <w:tr2bl w:val="nil"/>
                  </w:tcBorders>
                  <w:noWrap w:val="0"/>
                  <w:vAlign w:val="center"/>
                </w:tcPr>
                <w:p w14:paraId="39F2885F">
                  <w:pPr>
                    <w:pStyle w:val="61"/>
                    <w:rPr>
                      <w:highlight w:val="none"/>
                    </w:rPr>
                  </w:pPr>
                  <w:r>
                    <w:rPr>
                      <w:highlight w:val="none"/>
                    </w:rPr>
                    <w:t>物料安全数据表</w:t>
                  </w:r>
                </w:p>
              </w:tc>
            </w:tr>
            <w:tr w14:paraId="136545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tcBorders>
                    <w:tl2br w:val="nil"/>
                    <w:tr2bl w:val="nil"/>
                  </w:tcBorders>
                  <w:noWrap w:val="0"/>
                  <w:vAlign w:val="center"/>
                </w:tcPr>
                <w:p w14:paraId="139CF759">
                  <w:pPr>
                    <w:pStyle w:val="61"/>
                    <w:rPr>
                      <w:highlight w:val="none"/>
                    </w:rPr>
                  </w:pPr>
                  <w:r>
                    <w:rPr>
                      <w:highlight w:val="none"/>
                    </w:rPr>
                    <w:t>CAS</w:t>
                  </w:r>
                </w:p>
              </w:tc>
              <w:tc>
                <w:tcPr>
                  <w:tcW w:w="671" w:type="pct"/>
                  <w:tcBorders>
                    <w:tl2br w:val="nil"/>
                    <w:tr2bl w:val="nil"/>
                  </w:tcBorders>
                  <w:noWrap w:val="0"/>
                  <w:vAlign w:val="center"/>
                </w:tcPr>
                <w:p w14:paraId="7E0CD0EE">
                  <w:pPr>
                    <w:pStyle w:val="61"/>
                    <w:rPr>
                      <w:highlight w:val="none"/>
                    </w:rPr>
                  </w:pPr>
                  <w:r>
                    <w:rPr>
                      <w:rFonts w:hint="eastAsia"/>
                      <w:highlight w:val="none"/>
                    </w:rPr>
                    <w:t>68334-30-5</w:t>
                  </w:r>
                </w:p>
              </w:tc>
              <w:tc>
                <w:tcPr>
                  <w:tcW w:w="545" w:type="pct"/>
                  <w:gridSpan w:val="2"/>
                  <w:tcBorders>
                    <w:tl2br w:val="nil"/>
                    <w:tr2bl w:val="nil"/>
                  </w:tcBorders>
                  <w:noWrap w:val="0"/>
                  <w:vAlign w:val="center"/>
                </w:tcPr>
                <w:p w14:paraId="377098D5">
                  <w:pPr>
                    <w:pStyle w:val="61"/>
                    <w:rPr>
                      <w:highlight w:val="none"/>
                    </w:rPr>
                  </w:pPr>
                  <w:r>
                    <w:rPr>
                      <w:highlight w:val="none"/>
                    </w:rPr>
                    <w:t>RTECS</w:t>
                  </w:r>
                </w:p>
              </w:tc>
              <w:tc>
                <w:tcPr>
                  <w:tcW w:w="886" w:type="pct"/>
                  <w:tcBorders>
                    <w:tl2br w:val="nil"/>
                    <w:tr2bl w:val="nil"/>
                  </w:tcBorders>
                  <w:noWrap w:val="0"/>
                  <w:vAlign w:val="center"/>
                </w:tcPr>
                <w:p w14:paraId="0023630E">
                  <w:pPr>
                    <w:pStyle w:val="61"/>
                    <w:rPr>
                      <w:highlight w:val="none"/>
                    </w:rPr>
                  </w:pPr>
                  <w:r>
                    <w:rPr>
                      <w:highlight w:val="none"/>
                    </w:rPr>
                    <w:t>HZl770000</w:t>
                  </w:r>
                </w:p>
              </w:tc>
              <w:tc>
                <w:tcPr>
                  <w:tcW w:w="347" w:type="pct"/>
                  <w:tcBorders>
                    <w:tl2br w:val="nil"/>
                    <w:tr2bl w:val="nil"/>
                  </w:tcBorders>
                  <w:noWrap w:val="0"/>
                  <w:vAlign w:val="center"/>
                </w:tcPr>
                <w:p w14:paraId="181E024E">
                  <w:pPr>
                    <w:pStyle w:val="61"/>
                    <w:rPr>
                      <w:highlight w:val="none"/>
                    </w:rPr>
                  </w:pPr>
                  <w:r>
                    <w:rPr>
                      <w:highlight w:val="none"/>
                    </w:rPr>
                    <w:t>UN</w:t>
                  </w:r>
                </w:p>
              </w:tc>
              <w:tc>
                <w:tcPr>
                  <w:tcW w:w="534" w:type="pct"/>
                  <w:tcBorders>
                    <w:tl2br w:val="nil"/>
                    <w:tr2bl w:val="nil"/>
                  </w:tcBorders>
                  <w:noWrap w:val="0"/>
                  <w:vAlign w:val="center"/>
                </w:tcPr>
                <w:p w14:paraId="23DDA0C9">
                  <w:pPr>
                    <w:pStyle w:val="61"/>
                    <w:rPr>
                      <w:highlight w:val="none"/>
                    </w:rPr>
                  </w:pPr>
                  <w:r>
                    <w:rPr>
                      <w:highlight w:val="none"/>
                    </w:rPr>
                    <w:t>/</w:t>
                  </w:r>
                </w:p>
              </w:tc>
              <w:tc>
                <w:tcPr>
                  <w:tcW w:w="1140" w:type="pct"/>
                  <w:gridSpan w:val="2"/>
                  <w:tcBorders>
                    <w:tl2br w:val="nil"/>
                    <w:tr2bl w:val="nil"/>
                  </w:tcBorders>
                  <w:noWrap w:val="0"/>
                  <w:vAlign w:val="center"/>
                </w:tcPr>
                <w:p w14:paraId="7956C2F8">
                  <w:pPr>
                    <w:pStyle w:val="61"/>
                    <w:rPr>
                      <w:highlight w:val="none"/>
                    </w:rPr>
                  </w:pPr>
                  <w:r>
                    <w:rPr>
                      <w:highlight w:val="none"/>
                    </w:rPr>
                    <w:t>危编号</w:t>
                  </w:r>
                </w:p>
              </w:tc>
              <w:tc>
                <w:tcPr>
                  <w:tcW w:w="286" w:type="pct"/>
                  <w:tcBorders>
                    <w:tl2br w:val="nil"/>
                    <w:tr2bl w:val="nil"/>
                  </w:tcBorders>
                  <w:noWrap w:val="0"/>
                  <w:vAlign w:val="center"/>
                </w:tcPr>
                <w:p w14:paraId="78685B3C">
                  <w:pPr>
                    <w:pStyle w:val="61"/>
                    <w:rPr>
                      <w:highlight w:val="none"/>
                    </w:rPr>
                  </w:pPr>
                  <w:r>
                    <w:rPr>
                      <w:highlight w:val="none"/>
                    </w:rPr>
                    <w:t>/</w:t>
                  </w:r>
                </w:p>
              </w:tc>
            </w:tr>
            <w:tr w14:paraId="1A7273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tcBorders>
                    <w:tl2br w:val="nil"/>
                    <w:tr2bl w:val="nil"/>
                  </w:tcBorders>
                  <w:noWrap w:val="0"/>
                  <w:vAlign w:val="center"/>
                </w:tcPr>
                <w:p w14:paraId="6C0E6578">
                  <w:pPr>
                    <w:pStyle w:val="61"/>
                    <w:rPr>
                      <w:highlight w:val="none"/>
                    </w:rPr>
                  </w:pPr>
                  <w:r>
                    <w:rPr>
                      <w:highlight w:val="none"/>
                    </w:rPr>
                    <w:t>中文名称</w:t>
                  </w:r>
                </w:p>
              </w:tc>
              <w:tc>
                <w:tcPr>
                  <w:tcW w:w="2102" w:type="pct"/>
                  <w:gridSpan w:val="4"/>
                  <w:tcBorders>
                    <w:tl2br w:val="nil"/>
                    <w:tr2bl w:val="nil"/>
                  </w:tcBorders>
                  <w:noWrap w:val="0"/>
                  <w:vAlign w:val="center"/>
                </w:tcPr>
                <w:p w14:paraId="74D2FBC2">
                  <w:pPr>
                    <w:pStyle w:val="61"/>
                    <w:rPr>
                      <w:highlight w:val="none"/>
                    </w:rPr>
                  </w:pPr>
                  <w:r>
                    <w:rPr>
                      <w:rFonts w:hint="eastAsia"/>
                      <w:highlight w:val="none"/>
                      <w:lang w:eastAsia="zh-CN"/>
                    </w:rPr>
                    <w:t>柴油</w:t>
                  </w:r>
                  <w:r>
                    <w:rPr>
                      <w:highlight w:val="none"/>
                    </w:rPr>
                    <w:t>（0#普通</w:t>
                  </w:r>
                  <w:r>
                    <w:rPr>
                      <w:rFonts w:hint="eastAsia"/>
                      <w:highlight w:val="none"/>
                      <w:lang w:eastAsia="zh-CN"/>
                    </w:rPr>
                    <w:t>柴油</w:t>
                  </w:r>
                  <w:r>
                    <w:rPr>
                      <w:highlight w:val="none"/>
                    </w:rPr>
                    <w:t>、车用</w:t>
                  </w:r>
                  <w:r>
                    <w:rPr>
                      <w:rFonts w:hint="eastAsia"/>
                      <w:highlight w:val="none"/>
                      <w:lang w:eastAsia="zh-CN"/>
                    </w:rPr>
                    <w:t>柴油</w:t>
                  </w:r>
                  <w:r>
                    <w:rPr>
                      <w:highlight w:val="none"/>
                    </w:rPr>
                    <w:t>）</w:t>
                  </w:r>
                </w:p>
              </w:tc>
              <w:tc>
                <w:tcPr>
                  <w:tcW w:w="347" w:type="pct"/>
                  <w:vMerge w:val="restart"/>
                  <w:tcBorders>
                    <w:tl2br w:val="nil"/>
                    <w:tr2bl w:val="nil"/>
                  </w:tcBorders>
                  <w:noWrap w:val="0"/>
                  <w:vAlign w:val="center"/>
                </w:tcPr>
                <w:p w14:paraId="3C49E482">
                  <w:pPr>
                    <w:pStyle w:val="61"/>
                    <w:rPr>
                      <w:highlight w:val="none"/>
                    </w:rPr>
                  </w:pPr>
                  <w:r>
                    <w:rPr>
                      <w:highlight w:val="none"/>
                    </w:rPr>
                    <w:t>理化性质</w:t>
                  </w:r>
                </w:p>
              </w:tc>
              <w:tc>
                <w:tcPr>
                  <w:tcW w:w="1961" w:type="pct"/>
                  <w:gridSpan w:val="4"/>
                  <w:tcBorders>
                    <w:tl2br w:val="nil"/>
                    <w:tr2bl w:val="nil"/>
                  </w:tcBorders>
                  <w:noWrap w:val="0"/>
                  <w:vAlign w:val="center"/>
                </w:tcPr>
                <w:p w14:paraId="015D1BB3">
                  <w:pPr>
                    <w:pStyle w:val="61"/>
                    <w:rPr>
                      <w:highlight w:val="none"/>
                    </w:rPr>
                  </w:pPr>
                  <w:r>
                    <w:rPr>
                      <w:highlight w:val="none"/>
                    </w:rPr>
                    <w:t>外观及性状</w:t>
                  </w:r>
                  <w:r>
                    <w:rPr>
                      <w:rFonts w:hint="eastAsia"/>
                      <w:highlight w:val="none"/>
                    </w:rPr>
                    <w:t>：</w:t>
                  </w:r>
                  <w:r>
                    <w:rPr>
                      <w:highlight w:val="none"/>
                    </w:rPr>
                    <w:t>稍</w:t>
                  </w:r>
                  <w:r>
                    <w:rPr>
                      <w:rFonts w:hint="eastAsia"/>
                      <w:highlight w:val="none"/>
                      <w:lang w:eastAsia="zh-CN"/>
                    </w:rPr>
                    <w:t>有黏性的</w:t>
                  </w:r>
                  <w:r>
                    <w:rPr>
                      <w:highlight w:val="none"/>
                    </w:rPr>
                    <w:t>棕色液体。</w:t>
                  </w:r>
                </w:p>
              </w:tc>
            </w:tr>
            <w:tr w14:paraId="1FDEF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tcBorders>
                    <w:tl2br w:val="nil"/>
                    <w:tr2bl w:val="nil"/>
                  </w:tcBorders>
                  <w:noWrap w:val="0"/>
                  <w:vAlign w:val="center"/>
                </w:tcPr>
                <w:p w14:paraId="4756894B">
                  <w:pPr>
                    <w:pStyle w:val="61"/>
                    <w:rPr>
                      <w:highlight w:val="none"/>
                    </w:rPr>
                  </w:pPr>
                  <w:r>
                    <w:rPr>
                      <w:highlight w:val="none"/>
                    </w:rPr>
                    <w:t>英文名称</w:t>
                  </w:r>
                </w:p>
              </w:tc>
              <w:tc>
                <w:tcPr>
                  <w:tcW w:w="2102" w:type="pct"/>
                  <w:gridSpan w:val="4"/>
                  <w:tcBorders>
                    <w:tl2br w:val="nil"/>
                    <w:tr2bl w:val="nil"/>
                  </w:tcBorders>
                  <w:noWrap w:val="0"/>
                  <w:vAlign w:val="center"/>
                </w:tcPr>
                <w:p w14:paraId="5DA93EA1">
                  <w:pPr>
                    <w:pStyle w:val="61"/>
                    <w:rPr>
                      <w:highlight w:val="none"/>
                    </w:rPr>
                  </w:pPr>
                  <w:r>
                    <w:rPr>
                      <w:rFonts w:hint="eastAsia"/>
                      <w:highlight w:val="none"/>
                      <w:lang w:eastAsia="zh-CN"/>
                    </w:rPr>
                    <w:t xml:space="preserve">Diesel; </w:t>
                  </w:r>
                  <w:r>
                    <w:rPr>
                      <w:highlight w:val="none"/>
                    </w:rPr>
                    <w:t>Dieselfuel</w:t>
                  </w:r>
                </w:p>
              </w:tc>
              <w:tc>
                <w:tcPr>
                  <w:tcW w:w="347" w:type="pct"/>
                  <w:vMerge w:val="continue"/>
                  <w:tcBorders>
                    <w:tl2br w:val="nil"/>
                    <w:tr2bl w:val="nil"/>
                  </w:tcBorders>
                  <w:noWrap w:val="0"/>
                  <w:vAlign w:val="center"/>
                </w:tcPr>
                <w:p w14:paraId="4A5A8C41">
                  <w:pPr>
                    <w:pStyle w:val="61"/>
                    <w:rPr>
                      <w:highlight w:val="none"/>
                    </w:rPr>
                  </w:pPr>
                </w:p>
              </w:tc>
              <w:tc>
                <w:tcPr>
                  <w:tcW w:w="534" w:type="pct"/>
                  <w:vMerge w:val="restart"/>
                  <w:tcBorders>
                    <w:tl2br w:val="nil"/>
                    <w:tr2bl w:val="nil"/>
                  </w:tcBorders>
                  <w:noWrap w:val="0"/>
                  <w:vAlign w:val="center"/>
                </w:tcPr>
                <w:p w14:paraId="15D434E6">
                  <w:pPr>
                    <w:pStyle w:val="61"/>
                    <w:rPr>
                      <w:highlight w:val="none"/>
                    </w:rPr>
                  </w:pPr>
                  <w:r>
                    <w:rPr>
                      <w:highlight w:val="none"/>
                    </w:rPr>
                    <w:t>溶解度：不溶</w:t>
                  </w:r>
                </w:p>
              </w:tc>
              <w:tc>
                <w:tcPr>
                  <w:tcW w:w="1426" w:type="pct"/>
                  <w:gridSpan w:val="3"/>
                  <w:tcBorders>
                    <w:tl2br w:val="nil"/>
                    <w:tr2bl w:val="nil"/>
                  </w:tcBorders>
                  <w:noWrap w:val="0"/>
                  <w:vAlign w:val="center"/>
                </w:tcPr>
                <w:p w14:paraId="4CFDC684">
                  <w:pPr>
                    <w:pStyle w:val="61"/>
                    <w:rPr>
                      <w:highlight w:val="none"/>
                    </w:rPr>
                  </w:pPr>
                  <w:r>
                    <w:rPr>
                      <w:rFonts w:hint="eastAsia"/>
                      <w:highlight w:val="none"/>
                      <w:lang w:eastAsia="zh-CN"/>
                    </w:rPr>
                    <w:t>蒸汽压</w:t>
                  </w:r>
                  <w:r>
                    <w:rPr>
                      <w:rFonts w:hint="eastAsia"/>
                      <w:highlight w:val="none"/>
                    </w:rPr>
                    <w:t>：</w:t>
                  </w:r>
                  <w:r>
                    <w:rPr>
                      <w:highlight w:val="none"/>
                    </w:rPr>
                    <w:t>无资料</w:t>
                  </w:r>
                </w:p>
              </w:tc>
            </w:tr>
            <w:tr w14:paraId="3B00E8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tcBorders>
                    <w:tl2br w:val="nil"/>
                    <w:tr2bl w:val="nil"/>
                  </w:tcBorders>
                  <w:noWrap w:val="0"/>
                  <w:vAlign w:val="center"/>
                </w:tcPr>
                <w:p w14:paraId="1A0BBA64">
                  <w:pPr>
                    <w:pStyle w:val="61"/>
                    <w:rPr>
                      <w:highlight w:val="none"/>
                    </w:rPr>
                  </w:pPr>
                  <w:r>
                    <w:rPr>
                      <w:highlight w:val="none"/>
                    </w:rPr>
                    <w:t>分子式</w:t>
                  </w:r>
                </w:p>
              </w:tc>
              <w:tc>
                <w:tcPr>
                  <w:tcW w:w="2102" w:type="pct"/>
                  <w:gridSpan w:val="4"/>
                  <w:tcBorders>
                    <w:tl2br w:val="nil"/>
                    <w:tr2bl w:val="nil"/>
                  </w:tcBorders>
                  <w:noWrap w:val="0"/>
                  <w:vAlign w:val="center"/>
                </w:tcPr>
                <w:p w14:paraId="64D7655A">
                  <w:pPr>
                    <w:pStyle w:val="61"/>
                    <w:rPr>
                      <w:highlight w:val="none"/>
                    </w:rPr>
                  </w:pPr>
                  <w:r>
                    <w:rPr>
                      <w:highlight w:val="none"/>
                    </w:rPr>
                    <w:t>C4</w:t>
                  </w:r>
                  <w:r>
                    <w:rPr>
                      <w:rFonts w:eastAsia="微软雅黑"/>
                      <w:highlight w:val="none"/>
                    </w:rPr>
                    <w:t>−</w:t>
                  </w:r>
                  <w:r>
                    <w:rPr>
                      <w:highlight w:val="none"/>
                    </w:rPr>
                    <w:t>C12</w:t>
                  </w:r>
                  <w:r>
                    <w:rPr>
                      <w:rFonts w:hint="eastAsia"/>
                      <w:highlight w:val="none"/>
                      <w:lang w:eastAsia="zh-CN"/>
                    </w:rPr>
                    <w:t>（</w:t>
                  </w:r>
                  <w:r>
                    <w:rPr>
                      <w:highlight w:val="none"/>
                    </w:rPr>
                    <w:t>脂肪烃和环烃</w:t>
                  </w:r>
                  <w:r>
                    <w:rPr>
                      <w:rFonts w:hint="eastAsia"/>
                      <w:highlight w:val="none"/>
                      <w:lang w:eastAsia="zh-CN"/>
                    </w:rPr>
                    <w:t>）</w:t>
                  </w:r>
                </w:p>
              </w:tc>
              <w:tc>
                <w:tcPr>
                  <w:tcW w:w="347" w:type="pct"/>
                  <w:vMerge w:val="continue"/>
                  <w:tcBorders>
                    <w:tl2br w:val="nil"/>
                    <w:tr2bl w:val="nil"/>
                  </w:tcBorders>
                  <w:noWrap w:val="0"/>
                  <w:vAlign w:val="center"/>
                </w:tcPr>
                <w:p w14:paraId="57587242">
                  <w:pPr>
                    <w:pStyle w:val="61"/>
                    <w:rPr>
                      <w:highlight w:val="none"/>
                    </w:rPr>
                  </w:pPr>
                </w:p>
              </w:tc>
              <w:tc>
                <w:tcPr>
                  <w:tcW w:w="534" w:type="pct"/>
                  <w:vMerge w:val="continue"/>
                  <w:tcBorders>
                    <w:tl2br w:val="nil"/>
                    <w:tr2bl w:val="nil"/>
                  </w:tcBorders>
                  <w:noWrap w:val="0"/>
                  <w:vAlign w:val="center"/>
                </w:tcPr>
                <w:p w14:paraId="064A45F1">
                  <w:pPr>
                    <w:pStyle w:val="61"/>
                    <w:rPr>
                      <w:highlight w:val="none"/>
                    </w:rPr>
                  </w:pPr>
                </w:p>
              </w:tc>
              <w:tc>
                <w:tcPr>
                  <w:tcW w:w="657" w:type="pct"/>
                  <w:vMerge w:val="restart"/>
                  <w:tcBorders>
                    <w:tl2br w:val="nil"/>
                    <w:tr2bl w:val="nil"/>
                  </w:tcBorders>
                  <w:noWrap w:val="0"/>
                  <w:vAlign w:val="center"/>
                </w:tcPr>
                <w:p w14:paraId="3DC627C2">
                  <w:pPr>
                    <w:pStyle w:val="61"/>
                    <w:rPr>
                      <w:highlight w:val="none"/>
                    </w:rPr>
                  </w:pPr>
                  <w:r>
                    <w:rPr>
                      <w:highlight w:val="none"/>
                    </w:rPr>
                    <w:t>相对密度</w:t>
                  </w:r>
                </w:p>
              </w:tc>
              <w:tc>
                <w:tcPr>
                  <w:tcW w:w="769" w:type="pct"/>
                  <w:gridSpan w:val="2"/>
                  <w:tcBorders>
                    <w:tl2br w:val="nil"/>
                    <w:tr2bl w:val="nil"/>
                  </w:tcBorders>
                  <w:noWrap w:val="0"/>
                  <w:vAlign w:val="center"/>
                </w:tcPr>
                <w:p w14:paraId="58967A1A">
                  <w:pPr>
                    <w:pStyle w:val="61"/>
                    <w:rPr>
                      <w:highlight w:val="none"/>
                    </w:rPr>
                  </w:pPr>
                  <w:r>
                    <w:rPr>
                      <w:highlight w:val="none"/>
                    </w:rPr>
                    <w:t>空气：无资料</w:t>
                  </w:r>
                </w:p>
              </w:tc>
            </w:tr>
            <w:tr w14:paraId="763BBB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restart"/>
                  <w:tcBorders>
                    <w:tl2br w:val="nil"/>
                    <w:tr2bl w:val="nil"/>
                  </w:tcBorders>
                  <w:noWrap w:val="0"/>
                  <w:vAlign w:val="center"/>
                </w:tcPr>
                <w:p w14:paraId="3BDB5C87">
                  <w:pPr>
                    <w:pStyle w:val="61"/>
                    <w:rPr>
                      <w:highlight w:val="none"/>
                    </w:rPr>
                  </w:pPr>
                  <w:r>
                    <w:rPr>
                      <w:highlight w:val="none"/>
                    </w:rPr>
                    <w:t>燃烧爆炸危险性</w:t>
                  </w:r>
                </w:p>
              </w:tc>
              <w:tc>
                <w:tcPr>
                  <w:tcW w:w="939" w:type="pct"/>
                  <w:gridSpan w:val="2"/>
                  <w:tcBorders>
                    <w:tl2br w:val="nil"/>
                    <w:tr2bl w:val="nil"/>
                  </w:tcBorders>
                  <w:noWrap w:val="0"/>
                  <w:vAlign w:val="center"/>
                </w:tcPr>
                <w:p w14:paraId="76D838DE">
                  <w:pPr>
                    <w:pStyle w:val="61"/>
                    <w:rPr>
                      <w:highlight w:val="none"/>
                    </w:rPr>
                  </w:pPr>
                  <w:r>
                    <w:rPr>
                      <w:highlight w:val="none"/>
                    </w:rPr>
                    <w:t>闪点</w:t>
                  </w:r>
                  <w:r>
                    <w:rPr>
                      <w:rFonts w:hint="eastAsia"/>
                      <w:highlight w:val="none"/>
                    </w:rPr>
                    <w:t>：</w:t>
                  </w:r>
                  <w:r>
                    <w:rPr>
                      <w:highlight w:val="none"/>
                    </w:rPr>
                    <w:t>62～63℃</w:t>
                  </w:r>
                </w:p>
              </w:tc>
              <w:tc>
                <w:tcPr>
                  <w:tcW w:w="1163" w:type="pct"/>
                  <w:gridSpan w:val="2"/>
                  <w:tcBorders>
                    <w:tl2br w:val="nil"/>
                    <w:tr2bl w:val="nil"/>
                  </w:tcBorders>
                  <w:noWrap w:val="0"/>
                  <w:vAlign w:val="center"/>
                </w:tcPr>
                <w:p w14:paraId="620C216E">
                  <w:pPr>
                    <w:pStyle w:val="61"/>
                    <w:rPr>
                      <w:highlight w:val="none"/>
                    </w:rPr>
                  </w:pPr>
                  <w:r>
                    <w:rPr>
                      <w:highlight w:val="none"/>
                    </w:rPr>
                    <w:t>引燃温度</w:t>
                  </w:r>
                  <w:r>
                    <w:rPr>
                      <w:rFonts w:hint="eastAsia"/>
                      <w:highlight w:val="none"/>
                      <w:lang w:eastAsia="zh-CN"/>
                    </w:rPr>
                    <w:t>（</w:t>
                  </w:r>
                  <w:r>
                    <w:rPr>
                      <w:highlight w:val="none"/>
                    </w:rPr>
                    <w:t>℃</w:t>
                  </w:r>
                  <w:r>
                    <w:rPr>
                      <w:rFonts w:hint="eastAsia"/>
                      <w:highlight w:val="none"/>
                      <w:lang w:eastAsia="zh-CN"/>
                    </w:rPr>
                    <w:t>）</w:t>
                  </w:r>
                  <w:r>
                    <w:rPr>
                      <w:highlight w:val="none"/>
                    </w:rPr>
                    <w:t>：257℃</w:t>
                  </w:r>
                </w:p>
              </w:tc>
              <w:tc>
                <w:tcPr>
                  <w:tcW w:w="347" w:type="pct"/>
                  <w:vMerge w:val="continue"/>
                  <w:tcBorders>
                    <w:tl2br w:val="nil"/>
                    <w:tr2bl w:val="nil"/>
                  </w:tcBorders>
                  <w:noWrap w:val="0"/>
                  <w:vAlign w:val="center"/>
                </w:tcPr>
                <w:p w14:paraId="3029C44A">
                  <w:pPr>
                    <w:pStyle w:val="61"/>
                    <w:rPr>
                      <w:highlight w:val="none"/>
                    </w:rPr>
                  </w:pPr>
                </w:p>
              </w:tc>
              <w:tc>
                <w:tcPr>
                  <w:tcW w:w="534" w:type="pct"/>
                  <w:vMerge w:val="continue"/>
                  <w:tcBorders>
                    <w:tl2br w:val="nil"/>
                    <w:tr2bl w:val="nil"/>
                  </w:tcBorders>
                  <w:noWrap w:val="0"/>
                  <w:vAlign w:val="center"/>
                </w:tcPr>
                <w:p w14:paraId="775FF77A">
                  <w:pPr>
                    <w:pStyle w:val="61"/>
                    <w:rPr>
                      <w:highlight w:val="none"/>
                    </w:rPr>
                  </w:pPr>
                </w:p>
              </w:tc>
              <w:tc>
                <w:tcPr>
                  <w:tcW w:w="657" w:type="pct"/>
                  <w:vMerge w:val="continue"/>
                  <w:tcBorders>
                    <w:tl2br w:val="nil"/>
                    <w:tr2bl w:val="nil"/>
                  </w:tcBorders>
                  <w:noWrap w:val="0"/>
                  <w:vAlign w:val="center"/>
                </w:tcPr>
                <w:p w14:paraId="75BE4B83">
                  <w:pPr>
                    <w:pStyle w:val="61"/>
                    <w:rPr>
                      <w:highlight w:val="none"/>
                    </w:rPr>
                  </w:pPr>
                </w:p>
              </w:tc>
              <w:tc>
                <w:tcPr>
                  <w:tcW w:w="769" w:type="pct"/>
                  <w:gridSpan w:val="2"/>
                  <w:tcBorders>
                    <w:tl2br w:val="nil"/>
                    <w:tr2bl w:val="nil"/>
                  </w:tcBorders>
                  <w:noWrap w:val="0"/>
                  <w:vAlign w:val="center"/>
                </w:tcPr>
                <w:p w14:paraId="4976C02D">
                  <w:pPr>
                    <w:pStyle w:val="61"/>
                    <w:rPr>
                      <w:highlight w:val="none"/>
                    </w:rPr>
                  </w:pPr>
                  <w:r>
                    <w:rPr>
                      <w:highlight w:val="none"/>
                    </w:rPr>
                    <w:t>水：0.9</w:t>
                  </w:r>
                </w:p>
              </w:tc>
            </w:tr>
            <w:tr w14:paraId="4090B7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2CCC3649">
                  <w:pPr>
                    <w:pStyle w:val="61"/>
                    <w:rPr>
                      <w:highlight w:val="none"/>
                    </w:rPr>
                  </w:pPr>
                </w:p>
              </w:tc>
              <w:tc>
                <w:tcPr>
                  <w:tcW w:w="939" w:type="pct"/>
                  <w:gridSpan w:val="2"/>
                  <w:tcBorders>
                    <w:tl2br w:val="nil"/>
                    <w:tr2bl w:val="nil"/>
                  </w:tcBorders>
                  <w:noWrap w:val="0"/>
                  <w:vAlign w:val="center"/>
                </w:tcPr>
                <w:p w14:paraId="3F2F7FE2">
                  <w:pPr>
                    <w:pStyle w:val="61"/>
                    <w:rPr>
                      <w:highlight w:val="none"/>
                    </w:rPr>
                  </w:pPr>
                  <w:r>
                    <w:rPr>
                      <w:highlight w:val="none"/>
                    </w:rPr>
                    <w:t>自燃点</w:t>
                  </w:r>
                  <w:r>
                    <w:rPr>
                      <w:rFonts w:hint="eastAsia"/>
                      <w:highlight w:val="none"/>
                    </w:rPr>
                    <w:t>：</w:t>
                  </w:r>
                  <w:r>
                    <w:rPr>
                      <w:highlight w:val="none"/>
                    </w:rPr>
                    <w:t>约250℃</w:t>
                  </w:r>
                </w:p>
              </w:tc>
              <w:tc>
                <w:tcPr>
                  <w:tcW w:w="1163" w:type="pct"/>
                  <w:gridSpan w:val="2"/>
                  <w:tcBorders>
                    <w:tl2br w:val="nil"/>
                    <w:tr2bl w:val="nil"/>
                  </w:tcBorders>
                  <w:noWrap w:val="0"/>
                  <w:vAlign w:val="center"/>
                </w:tcPr>
                <w:p w14:paraId="0E4A706D">
                  <w:pPr>
                    <w:pStyle w:val="61"/>
                    <w:rPr>
                      <w:highlight w:val="none"/>
                    </w:rPr>
                  </w:pPr>
                  <w:r>
                    <w:rPr>
                      <w:highlight w:val="none"/>
                    </w:rPr>
                    <w:t>火灾危险性分类</w:t>
                  </w:r>
                  <w:r>
                    <w:rPr>
                      <w:rFonts w:hint="eastAsia"/>
                      <w:highlight w:val="none"/>
                    </w:rPr>
                    <w:t>：</w:t>
                  </w:r>
                  <w:r>
                    <w:rPr>
                      <w:highlight w:val="none"/>
                    </w:rPr>
                    <w:t>乙B</w:t>
                  </w:r>
                </w:p>
              </w:tc>
              <w:tc>
                <w:tcPr>
                  <w:tcW w:w="347" w:type="pct"/>
                  <w:vMerge w:val="restart"/>
                  <w:tcBorders>
                    <w:tl2br w:val="nil"/>
                    <w:tr2bl w:val="nil"/>
                  </w:tcBorders>
                  <w:noWrap w:val="0"/>
                  <w:vAlign w:val="center"/>
                </w:tcPr>
                <w:p w14:paraId="0F53A39F">
                  <w:pPr>
                    <w:pStyle w:val="61"/>
                    <w:rPr>
                      <w:highlight w:val="none"/>
                    </w:rPr>
                  </w:pPr>
                  <w:r>
                    <w:rPr>
                      <w:highlight w:val="none"/>
                    </w:rPr>
                    <w:t>毒害性及健康危害</w:t>
                  </w:r>
                </w:p>
              </w:tc>
              <w:tc>
                <w:tcPr>
                  <w:tcW w:w="1961" w:type="pct"/>
                  <w:gridSpan w:val="4"/>
                  <w:tcBorders>
                    <w:tl2br w:val="nil"/>
                    <w:tr2bl w:val="nil"/>
                  </w:tcBorders>
                  <w:noWrap w:val="0"/>
                  <w:vAlign w:val="center"/>
                </w:tcPr>
                <w:p w14:paraId="6596995A">
                  <w:pPr>
                    <w:pStyle w:val="61"/>
                    <w:rPr>
                      <w:highlight w:val="none"/>
                    </w:rPr>
                  </w:pPr>
                  <w:r>
                    <w:rPr>
                      <w:highlight w:val="none"/>
                    </w:rPr>
                    <w:t>职业性接触毒物危害程度分级</w:t>
                  </w:r>
                  <w:r>
                    <w:rPr>
                      <w:rFonts w:hint="eastAsia"/>
                      <w:highlight w:val="none"/>
                    </w:rPr>
                    <w:t>：</w:t>
                  </w:r>
                  <w:r>
                    <w:rPr>
                      <w:highlight w:val="none"/>
                    </w:rPr>
                    <w:t>无资料</w:t>
                  </w:r>
                </w:p>
              </w:tc>
            </w:tr>
            <w:tr w14:paraId="6F8720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230B8DA9">
                  <w:pPr>
                    <w:pStyle w:val="61"/>
                    <w:rPr>
                      <w:highlight w:val="none"/>
                    </w:rPr>
                  </w:pPr>
                </w:p>
              </w:tc>
              <w:tc>
                <w:tcPr>
                  <w:tcW w:w="2102" w:type="pct"/>
                  <w:gridSpan w:val="4"/>
                  <w:vMerge w:val="restart"/>
                  <w:tcBorders>
                    <w:tl2br w:val="nil"/>
                    <w:tr2bl w:val="nil"/>
                  </w:tcBorders>
                  <w:noWrap w:val="0"/>
                  <w:vAlign w:val="center"/>
                </w:tcPr>
                <w:p w14:paraId="31300439">
                  <w:pPr>
                    <w:pStyle w:val="61"/>
                    <w:rPr>
                      <w:highlight w:val="none"/>
                    </w:rPr>
                  </w:pPr>
                  <w:r>
                    <w:rPr>
                      <w:highlight w:val="none"/>
                    </w:rPr>
                    <w:t>危险特性</w:t>
                  </w:r>
                  <w:r>
                    <w:rPr>
                      <w:rFonts w:hint="eastAsia"/>
                      <w:highlight w:val="none"/>
                    </w:rPr>
                    <w:t>：</w:t>
                  </w:r>
                  <w:r>
                    <w:rPr>
                      <w:highlight w:val="none"/>
                    </w:rPr>
                    <w:t>遇明火、高热或与氧化剂接触，有引起燃烧爆炸的危险。若遇高热，容器内压增大，有开裂和爆炸的危险。</w:t>
                  </w:r>
                </w:p>
              </w:tc>
              <w:tc>
                <w:tcPr>
                  <w:tcW w:w="347" w:type="pct"/>
                  <w:vMerge w:val="continue"/>
                  <w:tcBorders>
                    <w:tl2br w:val="nil"/>
                    <w:tr2bl w:val="nil"/>
                  </w:tcBorders>
                  <w:noWrap w:val="0"/>
                  <w:vAlign w:val="center"/>
                </w:tcPr>
                <w:p w14:paraId="1E4B6439">
                  <w:pPr>
                    <w:pStyle w:val="61"/>
                    <w:rPr>
                      <w:highlight w:val="none"/>
                    </w:rPr>
                  </w:pPr>
                </w:p>
              </w:tc>
              <w:tc>
                <w:tcPr>
                  <w:tcW w:w="1961" w:type="pct"/>
                  <w:gridSpan w:val="4"/>
                  <w:tcBorders>
                    <w:tl2br w:val="nil"/>
                    <w:tr2bl w:val="nil"/>
                  </w:tcBorders>
                  <w:noWrap w:val="0"/>
                  <w:vAlign w:val="center"/>
                </w:tcPr>
                <w:p w14:paraId="646BCB1E">
                  <w:pPr>
                    <w:pStyle w:val="61"/>
                    <w:rPr>
                      <w:highlight w:val="none"/>
                    </w:rPr>
                  </w:pPr>
                  <w:r>
                    <w:rPr>
                      <w:highlight w:val="none"/>
                    </w:rPr>
                    <w:t>毒性资料</w:t>
                  </w:r>
                  <w:r>
                    <w:rPr>
                      <w:rFonts w:hint="eastAsia"/>
                      <w:highlight w:val="none"/>
                    </w:rPr>
                    <w:t>：</w:t>
                  </w:r>
                  <w:r>
                    <w:rPr>
                      <w:highlight w:val="none"/>
                    </w:rPr>
                    <w:t>无资料</w:t>
                  </w:r>
                </w:p>
              </w:tc>
            </w:tr>
            <w:tr w14:paraId="1FE11D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4624977D">
                  <w:pPr>
                    <w:pStyle w:val="61"/>
                    <w:rPr>
                      <w:highlight w:val="none"/>
                    </w:rPr>
                  </w:pPr>
                </w:p>
              </w:tc>
              <w:tc>
                <w:tcPr>
                  <w:tcW w:w="2102" w:type="pct"/>
                  <w:gridSpan w:val="4"/>
                  <w:vMerge w:val="continue"/>
                  <w:tcBorders>
                    <w:tl2br w:val="nil"/>
                    <w:tr2bl w:val="nil"/>
                  </w:tcBorders>
                  <w:noWrap w:val="0"/>
                  <w:vAlign w:val="center"/>
                </w:tcPr>
                <w:p w14:paraId="0045D468">
                  <w:pPr>
                    <w:pStyle w:val="61"/>
                    <w:rPr>
                      <w:highlight w:val="none"/>
                    </w:rPr>
                  </w:pPr>
                </w:p>
              </w:tc>
              <w:tc>
                <w:tcPr>
                  <w:tcW w:w="347" w:type="pct"/>
                  <w:vMerge w:val="continue"/>
                  <w:tcBorders>
                    <w:tl2br w:val="nil"/>
                    <w:tr2bl w:val="nil"/>
                  </w:tcBorders>
                  <w:noWrap w:val="0"/>
                  <w:vAlign w:val="center"/>
                </w:tcPr>
                <w:p w14:paraId="61316709">
                  <w:pPr>
                    <w:pStyle w:val="61"/>
                    <w:rPr>
                      <w:highlight w:val="none"/>
                    </w:rPr>
                  </w:pPr>
                </w:p>
              </w:tc>
              <w:tc>
                <w:tcPr>
                  <w:tcW w:w="1961" w:type="pct"/>
                  <w:gridSpan w:val="4"/>
                  <w:tcBorders>
                    <w:tl2br w:val="nil"/>
                    <w:tr2bl w:val="nil"/>
                  </w:tcBorders>
                  <w:noWrap w:val="0"/>
                  <w:vAlign w:val="center"/>
                </w:tcPr>
                <w:p w14:paraId="29744BB8">
                  <w:pPr>
                    <w:pStyle w:val="61"/>
                    <w:rPr>
                      <w:highlight w:val="none"/>
                    </w:rPr>
                  </w:pPr>
                  <w:r>
                    <w:rPr>
                      <w:highlight w:val="none"/>
                    </w:rPr>
                    <w:t>职业接触限值</w:t>
                  </w:r>
                </w:p>
              </w:tc>
            </w:tr>
            <w:tr w14:paraId="6BF920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0631F512">
                  <w:pPr>
                    <w:pStyle w:val="61"/>
                    <w:rPr>
                      <w:highlight w:val="none"/>
                    </w:rPr>
                  </w:pPr>
                </w:p>
              </w:tc>
              <w:tc>
                <w:tcPr>
                  <w:tcW w:w="2102" w:type="pct"/>
                  <w:gridSpan w:val="4"/>
                  <w:vMerge w:val="continue"/>
                  <w:tcBorders>
                    <w:tl2br w:val="nil"/>
                    <w:tr2bl w:val="nil"/>
                  </w:tcBorders>
                  <w:noWrap w:val="0"/>
                  <w:vAlign w:val="center"/>
                </w:tcPr>
                <w:p w14:paraId="23A44FED">
                  <w:pPr>
                    <w:pStyle w:val="61"/>
                    <w:rPr>
                      <w:highlight w:val="none"/>
                    </w:rPr>
                  </w:pPr>
                </w:p>
              </w:tc>
              <w:tc>
                <w:tcPr>
                  <w:tcW w:w="347" w:type="pct"/>
                  <w:vMerge w:val="continue"/>
                  <w:tcBorders>
                    <w:tl2br w:val="nil"/>
                    <w:tr2bl w:val="nil"/>
                  </w:tcBorders>
                  <w:noWrap w:val="0"/>
                  <w:vAlign w:val="center"/>
                </w:tcPr>
                <w:p w14:paraId="19CC092F">
                  <w:pPr>
                    <w:pStyle w:val="61"/>
                    <w:rPr>
                      <w:highlight w:val="none"/>
                    </w:rPr>
                  </w:pPr>
                </w:p>
              </w:tc>
              <w:tc>
                <w:tcPr>
                  <w:tcW w:w="1961" w:type="pct"/>
                  <w:gridSpan w:val="4"/>
                  <w:tcBorders>
                    <w:tl2br w:val="nil"/>
                    <w:tr2bl w:val="nil"/>
                  </w:tcBorders>
                  <w:noWrap w:val="0"/>
                  <w:vAlign w:val="center"/>
                </w:tcPr>
                <w:p w14:paraId="1E0EB787">
                  <w:pPr>
                    <w:pStyle w:val="61"/>
                    <w:rPr>
                      <w:highlight w:val="none"/>
                    </w:rPr>
                  </w:pPr>
                  <w:r>
                    <w:rPr>
                      <w:highlight w:val="none"/>
                    </w:rPr>
                    <w:t>MAC</w:t>
                  </w:r>
                  <w:r>
                    <w:rPr>
                      <w:rFonts w:hint="eastAsia"/>
                      <w:highlight w:val="none"/>
                    </w:rPr>
                    <w:t>：</w:t>
                  </w:r>
                  <w:r>
                    <w:rPr>
                      <w:highlight w:val="none"/>
                    </w:rPr>
                    <w:t>无资料</w:t>
                  </w:r>
                </w:p>
              </w:tc>
            </w:tr>
            <w:tr w14:paraId="192846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7B3389CD">
                  <w:pPr>
                    <w:pStyle w:val="61"/>
                    <w:rPr>
                      <w:highlight w:val="none"/>
                    </w:rPr>
                  </w:pPr>
                </w:p>
              </w:tc>
              <w:tc>
                <w:tcPr>
                  <w:tcW w:w="2102" w:type="pct"/>
                  <w:gridSpan w:val="4"/>
                  <w:tcBorders>
                    <w:tl2br w:val="nil"/>
                    <w:tr2bl w:val="nil"/>
                  </w:tcBorders>
                  <w:noWrap w:val="0"/>
                  <w:vAlign w:val="center"/>
                </w:tcPr>
                <w:p w14:paraId="4EB62FF3">
                  <w:pPr>
                    <w:pStyle w:val="61"/>
                    <w:rPr>
                      <w:highlight w:val="none"/>
                    </w:rPr>
                  </w:pPr>
                  <w:r>
                    <w:rPr>
                      <w:highlight w:val="none"/>
                    </w:rPr>
                    <w:t>燃烧</w:t>
                  </w:r>
                  <w:r>
                    <w:rPr>
                      <w:rFonts w:hint="eastAsia"/>
                      <w:highlight w:val="none"/>
                      <w:lang w:eastAsia="zh-CN"/>
                    </w:rPr>
                    <w:t>（</w:t>
                  </w:r>
                  <w:r>
                    <w:rPr>
                      <w:highlight w:val="none"/>
                    </w:rPr>
                    <w:t>分解</w:t>
                  </w:r>
                  <w:r>
                    <w:rPr>
                      <w:rFonts w:hint="eastAsia"/>
                      <w:highlight w:val="none"/>
                      <w:lang w:eastAsia="zh-CN"/>
                    </w:rPr>
                    <w:t>）</w:t>
                  </w:r>
                  <w:r>
                    <w:rPr>
                      <w:highlight w:val="none"/>
                    </w:rPr>
                    <w:t>产物</w:t>
                  </w:r>
                  <w:r>
                    <w:rPr>
                      <w:rFonts w:hint="eastAsia"/>
                      <w:highlight w:val="none"/>
                    </w:rPr>
                    <w:t>：</w:t>
                  </w:r>
                  <w:r>
                    <w:rPr>
                      <w:highlight w:val="none"/>
                    </w:rPr>
                    <w:t>一氧化碳、二氧化碳。</w:t>
                  </w:r>
                </w:p>
              </w:tc>
              <w:tc>
                <w:tcPr>
                  <w:tcW w:w="347" w:type="pct"/>
                  <w:vMerge w:val="continue"/>
                  <w:tcBorders>
                    <w:tl2br w:val="nil"/>
                    <w:tr2bl w:val="nil"/>
                  </w:tcBorders>
                  <w:noWrap w:val="0"/>
                  <w:vAlign w:val="center"/>
                </w:tcPr>
                <w:p w14:paraId="0B930C65">
                  <w:pPr>
                    <w:pStyle w:val="61"/>
                    <w:rPr>
                      <w:highlight w:val="none"/>
                    </w:rPr>
                  </w:pPr>
                </w:p>
              </w:tc>
              <w:tc>
                <w:tcPr>
                  <w:tcW w:w="1961" w:type="pct"/>
                  <w:gridSpan w:val="4"/>
                  <w:tcBorders>
                    <w:tl2br w:val="nil"/>
                    <w:tr2bl w:val="nil"/>
                  </w:tcBorders>
                  <w:noWrap w:val="0"/>
                  <w:vAlign w:val="center"/>
                </w:tcPr>
                <w:p w14:paraId="41FD9C96">
                  <w:pPr>
                    <w:pStyle w:val="61"/>
                    <w:rPr>
                      <w:highlight w:val="none"/>
                    </w:rPr>
                  </w:pPr>
                  <w:r>
                    <w:rPr>
                      <w:highlight w:val="none"/>
                    </w:rPr>
                    <w:t>PC-TWA</w:t>
                  </w:r>
                  <w:r>
                    <w:rPr>
                      <w:rFonts w:hint="eastAsia"/>
                      <w:highlight w:val="none"/>
                    </w:rPr>
                    <w:t>：</w:t>
                  </w:r>
                  <w:r>
                    <w:rPr>
                      <w:highlight w:val="none"/>
                    </w:rPr>
                    <w:t>无资料</w:t>
                  </w:r>
                </w:p>
              </w:tc>
            </w:tr>
            <w:tr w14:paraId="657AE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62AF5810">
                  <w:pPr>
                    <w:pStyle w:val="61"/>
                    <w:rPr>
                      <w:highlight w:val="none"/>
                    </w:rPr>
                  </w:pPr>
                </w:p>
              </w:tc>
              <w:tc>
                <w:tcPr>
                  <w:tcW w:w="2102" w:type="pct"/>
                  <w:gridSpan w:val="4"/>
                  <w:tcBorders>
                    <w:tl2br w:val="nil"/>
                    <w:tr2bl w:val="nil"/>
                  </w:tcBorders>
                  <w:noWrap w:val="0"/>
                  <w:vAlign w:val="center"/>
                </w:tcPr>
                <w:p w14:paraId="6B67FC2A">
                  <w:pPr>
                    <w:pStyle w:val="61"/>
                    <w:rPr>
                      <w:highlight w:val="none"/>
                    </w:rPr>
                  </w:pPr>
                  <w:r>
                    <w:rPr>
                      <w:highlight w:val="none"/>
                    </w:rPr>
                    <w:t>禁忌物</w:t>
                  </w:r>
                  <w:r>
                    <w:rPr>
                      <w:rFonts w:hint="eastAsia"/>
                      <w:highlight w:val="none"/>
                    </w:rPr>
                    <w:t>：</w:t>
                  </w:r>
                  <w:r>
                    <w:rPr>
                      <w:highlight w:val="none"/>
                    </w:rPr>
                    <w:t>强氧化剂、卤素。</w:t>
                  </w:r>
                </w:p>
              </w:tc>
              <w:tc>
                <w:tcPr>
                  <w:tcW w:w="347" w:type="pct"/>
                  <w:vMerge w:val="continue"/>
                  <w:tcBorders>
                    <w:tl2br w:val="nil"/>
                    <w:tr2bl w:val="nil"/>
                  </w:tcBorders>
                  <w:noWrap w:val="0"/>
                  <w:vAlign w:val="center"/>
                </w:tcPr>
                <w:p w14:paraId="23ED370F">
                  <w:pPr>
                    <w:pStyle w:val="61"/>
                    <w:rPr>
                      <w:highlight w:val="none"/>
                    </w:rPr>
                  </w:pPr>
                </w:p>
              </w:tc>
              <w:tc>
                <w:tcPr>
                  <w:tcW w:w="1961" w:type="pct"/>
                  <w:gridSpan w:val="4"/>
                  <w:tcBorders>
                    <w:tl2br w:val="nil"/>
                    <w:tr2bl w:val="nil"/>
                  </w:tcBorders>
                  <w:noWrap w:val="0"/>
                  <w:vAlign w:val="center"/>
                </w:tcPr>
                <w:p w14:paraId="3281C5D1">
                  <w:pPr>
                    <w:pStyle w:val="61"/>
                    <w:rPr>
                      <w:highlight w:val="none"/>
                    </w:rPr>
                  </w:pPr>
                  <w:r>
                    <w:rPr>
                      <w:highlight w:val="none"/>
                    </w:rPr>
                    <w:t>PC-STEL</w:t>
                  </w:r>
                  <w:r>
                    <w:rPr>
                      <w:rFonts w:hint="eastAsia"/>
                      <w:highlight w:val="none"/>
                    </w:rPr>
                    <w:t>：</w:t>
                  </w:r>
                  <w:r>
                    <w:rPr>
                      <w:highlight w:val="none"/>
                    </w:rPr>
                    <w:t>无资料</w:t>
                  </w:r>
                </w:p>
              </w:tc>
            </w:tr>
            <w:tr w14:paraId="6382C3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6BC17BA6">
                  <w:pPr>
                    <w:pStyle w:val="61"/>
                    <w:rPr>
                      <w:highlight w:val="none"/>
                    </w:rPr>
                  </w:pPr>
                </w:p>
              </w:tc>
              <w:tc>
                <w:tcPr>
                  <w:tcW w:w="2102" w:type="pct"/>
                  <w:gridSpan w:val="4"/>
                  <w:tcBorders>
                    <w:tl2br w:val="nil"/>
                    <w:tr2bl w:val="nil"/>
                  </w:tcBorders>
                  <w:noWrap w:val="0"/>
                  <w:vAlign w:val="center"/>
                </w:tcPr>
                <w:p w14:paraId="5D5C4468">
                  <w:pPr>
                    <w:pStyle w:val="61"/>
                    <w:rPr>
                      <w:highlight w:val="none"/>
                    </w:rPr>
                  </w:pPr>
                  <w:r>
                    <w:rPr>
                      <w:highlight w:val="none"/>
                    </w:rPr>
                    <w:t>避免接触的条件</w:t>
                  </w:r>
                  <w:r>
                    <w:rPr>
                      <w:rFonts w:hint="eastAsia"/>
                      <w:highlight w:val="none"/>
                    </w:rPr>
                    <w:t>：</w:t>
                  </w:r>
                  <w:r>
                    <w:rPr>
                      <w:highlight w:val="none"/>
                    </w:rPr>
                    <w:t>无资料</w:t>
                  </w:r>
                </w:p>
              </w:tc>
              <w:tc>
                <w:tcPr>
                  <w:tcW w:w="347" w:type="pct"/>
                  <w:vMerge w:val="continue"/>
                  <w:tcBorders>
                    <w:tl2br w:val="nil"/>
                    <w:tr2bl w:val="nil"/>
                  </w:tcBorders>
                  <w:noWrap w:val="0"/>
                  <w:vAlign w:val="center"/>
                </w:tcPr>
                <w:p w14:paraId="2E5DE320">
                  <w:pPr>
                    <w:pStyle w:val="61"/>
                    <w:rPr>
                      <w:highlight w:val="none"/>
                    </w:rPr>
                  </w:pPr>
                </w:p>
              </w:tc>
              <w:tc>
                <w:tcPr>
                  <w:tcW w:w="1961" w:type="pct"/>
                  <w:gridSpan w:val="4"/>
                  <w:tcBorders>
                    <w:tl2br w:val="nil"/>
                    <w:tr2bl w:val="nil"/>
                  </w:tcBorders>
                  <w:noWrap w:val="0"/>
                  <w:vAlign w:val="center"/>
                </w:tcPr>
                <w:p w14:paraId="14345655">
                  <w:pPr>
                    <w:pStyle w:val="61"/>
                    <w:rPr>
                      <w:highlight w:val="none"/>
                    </w:rPr>
                  </w:pPr>
                  <w:r>
                    <w:rPr>
                      <w:highlight w:val="none"/>
                    </w:rPr>
                    <w:t>侵入途径及健康危害</w:t>
                  </w:r>
                </w:p>
              </w:tc>
            </w:tr>
            <w:tr w14:paraId="75D628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0C6D44C1">
                  <w:pPr>
                    <w:pStyle w:val="61"/>
                    <w:rPr>
                      <w:highlight w:val="none"/>
                    </w:rPr>
                  </w:pPr>
                </w:p>
              </w:tc>
              <w:tc>
                <w:tcPr>
                  <w:tcW w:w="2102" w:type="pct"/>
                  <w:gridSpan w:val="4"/>
                  <w:tcBorders>
                    <w:tl2br w:val="nil"/>
                    <w:tr2bl w:val="nil"/>
                  </w:tcBorders>
                  <w:noWrap w:val="0"/>
                  <w:vAlign w:val="center"/>
                </w:tcPr>
                <w:p w14:paraId="402312AD">
                  <w:pPr>
                    <w:pStyle w:val="61"/>
                    <w:rPr>
                      <w:highlight w:val="none"/>
                    </w:rPr>
                  </w:pPr>
                  <w:r>
                    <w:rPr>
                      <w:highlight w:val="none"/>
                    </w:rPr>
                    <w:t>灭火剂</w:t>
                  </w:r>
                  <w:r>
                    <w:rPr>
                      <w:rFonts w:hint="eastAsia"/>
                      <w:highlight w:val="none"/>
                    </w:rPr>
                    <w:t>：</w:t>
                  </w:r>
                  <w:r>
                    <w:rPr>
                      <w:highlight w:val="none"/>
                    </w:rPr>
                    <w:t>泡沫、二氧化碳、干粉、1211灭火剂、砂土。</w:t>
                  </w:r>
                </w:p>
              </w:tc>
              <w:tc>
                <w:tcPr>
                  <w:tcW w:w="347" w:type="pct"/>
                  <w:vMerge w:val="continue"/>
                  <w:tcBorders>
                    <w:tl2br w:val="nil"/>
                    <w:tr2bl w:val="nil"/>
                  </w:tcBorders>
                  <w:noWrap w:val="0"/>
                  <w:vAlign w:val="center"/>
                </w:tcPr>
                <w:p w14:paraId="59ACB363">
                  <w:pPr>
                    <w:pStyle w:val="61"/>
                    <w:rPr>
                      <w:highlight w:val="none"/>
                    </w:rPr>
                  </w:pPr>
                </w:p>
              </w:tc>
              <w:tc>
                <w:tcPr>
                  <w:tcW w:w="1961" w:type="pct"/>
                  <w:gridSpan w:val="4"/>
                  <w:tcBorders>
                    <w:tl2br w:val="nil"/>
                    <w:tr2bl w:val="nil"/>
                  </w:tcBorders>
                  <w:noWrap w:val="0"/>
                  <w:vAlign w:val="center"/>
                </w:tcPr>
                <w:p w14:paraId="1EDFE48A">
                  <w:pPr>
                    <w:pStyle w:val="61"/>
                    <w:rPr>
                      <w:highlight w:val="none"/>
                    </w:rPr>
                  </w:pPr>
                  <w:r>
                    <w:rPr>
                      <w:highlight w:val="none"/>
                    </w:rPr>
                    <w:t>侵入途径</w:t>
                  </w:r>
                  <w:r>
                    <w:rPr>
                      <w:rFonts w:hint="eastAsia"/>
                      <w:highlight w:val="none"/>
                    </w:rPr>
                    <w:t>：</w:t>
                  </w:r>
                  <w:r>
                    <w:rPr>
                      <w:highlight w:val="none"/>
                    </w:rPr>
                    <w:t>吸入</w:t>
                  </w:r>
                  <w:r>
                    <w:rPr>
                      <w:rFonts w:hint="eastAsia"/>
                      <w:highlight w:val="none"/>
                    </w:rPr>
                    <w:t>、</w:t>
                  </w:r>
                  <w:r>
                    <w:rPr>
                      <w:highlight w:val="none"/>
                    </w:rPr>
                    <w:t>食入</w:t>
                  </w:r>
                  <w:r>
                    <w:rPr>
                      <w:rFonts w:hint="eastAsia"/>
                      <w:highlight w:val="none"/>
                    </w:rPr>
                    <w:t>、</w:t>
                  </w:r>
                  <w:r>
                    <w:rPr>
                      <w:highlight w:val="none"/>
                    </w:rPr>
                    <w:t>经皮吸收</w:t>
                  </w:r>
                </w:p>
              </w:tc>
            </w:tr>
            <w:tr w14:paraId="4C9A87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6D97F995">
                  <w:pPr>
                    <w:pStyle w:val="61"/>
                    <w:rPr>
                      <w:highlight w:val="none"/>
                    </w:rPr>
                  </w:pPr>
                </w:p>
              </w:tc>
              <w:tc>
                <w:tcPr>
                  <w:tcW w:w="2102" w:type="pct"/>
                  <w:gridSpan w:val="4"/>
                  <w:tcBorders>
                    <w:tl2br w:val="nil"/>
                    <w:tr2bl w:val="nil"/>
                  </w:tcBorders>
                  <w:noWrap w:val="0"/>
                  <w:vAlign w:val="center"/>
                </w:tcPr>
                <w:p w14:paraId="2B4541AC">
                  <w:pPr>
                    <w:pStyle w:val="61"/>
                    <w:rPr>
                      <w:highlight w:val="none"/>
                    </w:rPr>
                  </w:pPr>
                  <w:r>
                    <w:rPr>
                      <w:highlight w:val="none"/>
                    </w:rPr>
                    <w:t>禁用灭火剂</w:t>
                  </w:r>
                  <w:r>
                    <w:rPr>
                      <w:rFonts w:hint="eastAsia"/>
                      <w:highlight w:val="none"/>
                    </w:rPr>
                    <w:t>：</w:t>
                  </w:r>
                  <w:r>
                    <w:rPr>
                      <w:highlight w:val="none"/>
                    </w:rPr>
                    <w:t>水</w:t>
                  </w:r>
                </w:p>
              </w:tc>
              <w:tc>
                <w:tcPr>
                  <w:tcW w:w="347" w:type="pct"/>
                  <w:vMerge w:val="continue"/>
                  <w:tcBorders>
                    <w:tl2br w:val="nil"/>
                    <w:tr2bl w:val="nil"/>
                  </w:tcBorders>
                  <w:noWrap w:val="0"/>
                  <w:vAlign w:val="center"/>
                </w:tcPr>
                <w:p w14:paraId="7DB25764">
                  <w:pPr>
                    <w:pStyle w:val="61"/>
                    <w:rPr>
                      <w:highlight w:val="none"/>
                    </w:rPr>
                  </w:pPr>
                </w:p>
              </w:tc>
              <w:tc>
                <w:tcPr>
                  <w:tcW w:w="1961" w:type="pct"/>
                  <w:gridSpan w:val="4"/>
                  <w:vMerge w:val="restart"/>
                  <w:tcBorders>
                    <w:tl2br w:val="nil"/>
                    <w:tr2bl w:val="nil"/>
                  </w:tcBorders>
                  <w:noWrap w:val="0"/>
                  <w:vAlign w:val="center"/>
                </w:tcPr>
                <w:p w14:paraId="0C28A238">
                  <w:pPr>
                    <w:pStyle w:val="61"/>
                    <w:rPr>
                      <w:highlight w:val="none"/>
                    </w:rPr>
                  </w:pPr>
                  <w:r>
                    <w:rPr>
                      <w:highlight w:val="none"/>
                    </w:rPr>
                    <w:t>健康危害</w:t>
                  </w:r>
                  <w:r>
                    <w:rPr>
                      <w:rFonts w:hint="eastAsia"/>
                      <w:highlight w:val="none"/>
                    </w:rPr>
                    <w:t>：</w:t>
                  </w:r>
                  <w:r>
                    <w:rPr>
                      <w:highlight w:val="none"/>
                    </w:rPr>
                    <w:t>皮肤接触</w:t>
                  </w:r>
                  <w:r>
                    <w:rPr>
                      <w:rFonts w:hint="eastAsia"/>
                      <w:highlight w:val="none"/>
                      <w:lang w:eastAsia="zh-CN"/>
                    </w:rPr>
                    <w:t>柴油</w:t>
                  </w:r>
                  <w:r>
                    <w:rPr>
                      <w:highlight w:val="none"/>
                    </w:rPr>
                    <w:t>可引起接触性皮炎、油性痤疮，吸入可引起吸入性肺炎。能经胎盘进入胎儿血中。</w:t>
                  </w:r>
                  <w:r>
                    <w:rPr>
                      <w:rFonts w:hint="eastAsia"/>
                      <w:highlight w:val="none"/>
                      <w:lang w:eastAsia="zh-CN"/>
                    </w:rPr>
                    <w:t>柴油</w:t>
                  </w:r>
                  <w:r>
                    <w:rPr>
                      <w:highlight w:val="none"/>
                    </w:rPr>
                    <w:t>废气可引起眼、鼻</w:t>
                  </w:r>
                  <w:r>
                    <w:rPr>
                      <w:rFonts w:hint="eastAsia"/>
                      <w:highlight w:val="none"/>
                      <w:lang w:eastAsia="zh-CN"/>
                    </w:rPr>
                    <w:t>刺激症状</w:t>
                  </w:r>
                  <w:r>
                    <w:rPr>
                      <w:highlight w:val="none"/>
                    </w:rPr>
                    <w:t>，头晕及头痛。</w:t>
                  </w:r>
                </w:p>
              </w:tc>
            </w:tr>
            <w:tr w14:paraId="2DDCD4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restart"/>
                  <w:tcBorders>
                    <w:tl2br w:val="nil"/>
                    <w:tr2bl w:val="nil"/>
                  </w:tcBorders>
                  <w:noWrap w:val="0"/>
                  <w:vAlign w:val="center"/>
                </w:tcPr>
                <w:p w14:paraId="09FF44B3">
                  <w:pPr>
                    <w:pStyle w:val="61"/>
                    <w:rPr>
                      <w:highlight w:val="none"/>
                    </w:rPr>
                  </w:pPr>
                  <w:r>
                    <w:rPr>
                      <w:highlight w:val="none"/>
                    </w:rPr>
                    <w:t>急救措施</w:t>
                  </w:r>
                </w:p>
              </w:tc>
              <w:tc>
                <w:tcPr>
                  <w:tcW w:w="2102" w:type="pct"/>
                  <w:gridSpan w:val="4"/>
                  <w:tcBorders>
                    <w:tl2br w:val="nil"/>
                    <w:tr2bl w:val="nil"/>
                  </w:tcBorders>
                  <w:noWrap w:val="0"/>
                  <w:vAlign w:val="center"/>
                </w:tcPr>
                <w:p w14:paraId="36C35DB8">
                  <w:pPr>
                    <w:pStyle w:val="61"/>
                    <w:rPr>
                      <w:highlight w:val="none"/>
                    </w:rPr>
                  </w:pPr>
                  <w:r>
                    <w:rPr>
                      <w:highlight w:val="none"/>
                    </w:rPr>
                    <w:t>皮肤接触</w:t>
                  </w:r>
                  <w:r>
                    <w:rPr>
                      <w:rFonts w:hint="eastAsia"/>
                      <w:highlight w:val="none"/>
                    </w:rPr>
                    <w:t>：</w:t>
                  </w:r>
                  <w:r>
                    <w:rPr>
                      <w:highlight w:val="none"/>
                    </w:rPr>
                    <w:t>脱去污染的衣着，用肥皂和大量清水清洗污染皮肤。</w:t>
                  </w:r>
                </w:p>
              </w:tc>
              <w:tc>
                <w:tcPr>
                  <w:tcW w:w="347" w:type="pct"/>
                  <w:vMerge w:val="continue"/>
                  <w:tcBorders>
                    <w:tl2br w:val="nil"/>
                    <w:tr2bl w:val="nil"/>
                  </w:tcBorders>
                  <w:noWrap w:val="0"/>
                  <w:vAlign w:val="center"/>
                </w:tcPr>
                <w:p w14:paraId="42613F5D">
                  <w:pPr>
                    <w:pStyle w:val="61"/>
                    <w:rPr>
                      <w:highlight w:val="none"/>
                    </w:rPr>
                  </w:pPr>
                </w:p>
              </w:tc>
              <w:tc>
                <w:tcPr>
                  <w:tcW w:w="1961" w:type="pct"/>
                  <w:gridSpan w:val="4"/>
                  <w:vMerge w:val="continue"/>
                  <w:tcBorders>
                    <w:tl2br w:val="nil"/>
                    <w:tr2bl w:val="nil"/>
                  </w:tcBorders>
                  <w:noWrap w:val="0"/>
                  <w:vAlign w:val="center"/>
                </w:tcPr>
                <w:p w14:paraId="1DC3C34E">
                  <w:pPr>
                    <w:pStyle w:val="61"/>
                    <w:rPr>
                      <w:highlight w:val="none"/>
                    </w:rPr>
                  </w:pPr>
                </w:p>
              </w:tc>
            </w:tr>
            <w:tr w14:paraId="0A1B63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03FCF3B6">
                  <w:pPr>
                    <w:pStyle w:val="61"/>
                    <w:rPr>
                      <w:highlight w:val="none"/>
                    </w:rPr>
                  </w:pPr>
                </w:p>
              </w:tc>
              <w:tc>
                <w:tcPr>
                  <w:tcW w:w="2102" w:type="pct"/>
                  <w:gridSpan w:val="4"/>
                  <w:tcBorders>
                    <w:tl2br w:val="nil"/>
                    <w:tr2bl w:val="nil"/>
                  </w:tcBorders>
                  <w:noWrap w:val="0"/>
                  <w:vAlign w:val="center"/>
                </w:tcPr>
                <w:p w14:paraId="23F41500">
                  <w:pPr>
                    <w:pStyle w:val="61"/>
                    <w:rPr>
                      <w:highlight w:val="none"/>
                    </w:rPr>
                  </w:pPr>
                  <w:r>
                    <w:rPr>
                      <w:highlight w:val="none"/>
                    </w:rPr>
                    <w:t>眼睛接触：无资料</w:t>
                  </w:r>
                </w:p>
              </w:tc>
              <w:tc>
                <w:tcPr>
                  <w:tcW w:w="347" w:type="pct"/>
                  <w:vMerge w:val="continue"/>
                  <w:tcBorders>
                    <w:tl2br w:val="nil"/>
                    <w:tr2bl w:val="nil"/>
                  </w:tcBorders>
                  <w:noWrap w:val="0"/>
                  <w:vAlign w:val="center"/>
                </w:tcPr>
                <w:p w14:paraId="66DA9A47">
                  <w:pPr>
                    <w:pStyle w:val="61"/>
                    <w:rPr>
                      <w:highlight w:val="none"/>
                    </w:rPr>
                  </w:pPr>
                </w:p>
              </w:tc>
              <w:tc>
                <w:tcPr>
                  <w:tcW w:w="1961" w:type="pct"/>
                  <w:gridSpan w:val="4"/>
                  <w:vMerge w:val="continue"/>
                  <w:tcBorders>
                    <w:tl2br w:val="nil"/>
                    <w:tr2bl w:val="nil"/>
                  </w:tcBorders>
                  <w:noWrap w:val="0"/>
                  <w:vAlign w:val="center"/>
                </w:tcPr>
                <w:p w14:paraId="7AF1FAF8">
                  <w:pPr>
                    <w:pStyle w:val="61"/>
                    <w:rPr>
                      <w:highlight w:val="none"/>
                    </w:rPr>
                  </w:pPr>
                </w:p>
              </w:tc>
            </w:tr>
            <w:tr w14:paraId="115153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31D4B3D6">
                  <w:pPr>
                    <w:pStyle w:val="61"/>
                    <w:rPr>
                      <w:highlight w:val="none"/>
                    </w:rPr>
                  </w:pPr>
                </w:p>
              </w:tc>
              <w:tc>
                <w:tcPr>
                  <w:tcW w:w="2102" w:type="pct"/>
                  <w:gridSpan w:val="4"/>
                  <w:tcBorders>
                    <w:tl2br w:val="nil"/>
                    <w:tr2bl w:val="nil"/>
                  </w:tcBorders>
                  <w:noWrap w:val="0"/>
                  <w:vAlign w:val="center"/>
                </w:tcPr>
                <w:p w14:paraId="0D2EFC03">
                  <w:pPr>
                    <w:pStyle w:val="61"/>
                    <w:rPr>
                      <w:highlight w:val="none"/>
                    </w:rPr>
                  </w:pPr>
                  <w:r>
                    <w:rPr>
                      <w:highlight w:val="none"/>
                    </w:rPr>
                    <w:t>吸入：无资料</w:t>
                  </w:r>
                </w:p>
              </w:tc>
              <w:tc>
                <w:tcPr>
                  <w:tcW w:w="347" w:type="pct"/>
                  <w:vMerge w:val="restart"/>
                  <w:tcBorders>
                    <w:tl2br w:val="nil"/>
                    <w:tr2bl w:val="nil"/>
                  </w:tcBorders>
                  <w:noWrap w:val="0"/>
                  <w:vAlign w:val="center"/>
                </w:tcPr>
                <w:p w14:paraId="1BA2DA24">
                  <w:pPr>
                    <w:pStyle w:val="61"/>
                    <w:rPr>
                      <w:highlight w:val="none"/>
                    </w:rPr>
                  </w:pPr>
                  <w:r>
                    <w:rPr>
                      <w:highlight w:val="none"/>
                    </w:rPr>
                    <w:t>泄漏处理</w:t>
                  </w:r>
                </w:p>
              </w:tc>
              <w:tc>
                <w:tcPr>
                  <w:tcW w:w="1961" w:type="pct"/>
                  <w:gridSpan w:val="4"/>
                  <w:vMerge w:val="restart"/>
                  <w:tcBorders>
                    <w:tl2br w:val="nil"/>
                    <w:tr2bl w:val="nil"/>
                  </w:tcBorders>
                  <w:noWrap w:val="0"/>
                  <w:vAlign w:val="center"/>
                </w:tcPr>
                <w:p w14:paraId="5FB1E65B">
                  <w:pPr>
                    <w:pStyle w:val="61"/>
                    <w:rPr>
                      <w:highlight w:val="none"/>
                    </w:rPr>
                  </w:pPr>
                  <w:r>
                    <w:rPr>
                      <w:highlight w:val="none"/>
                    </w:rPr>
                    <w:t>切断火源。应急处理人员戴好防毒面具，穿化学防护服。在确保安全情况下堵漏。用活性炭或</w:t>
                  </w:r>
                  <w:r>
                    <w:rPr>
                      <w:rFonts w:hint="eastAsia"/>
                      <w:highlight w:val="none"/>
                      <w:lang w:eastAsia="zh-CN"/>
                    </w:rPr>
                    <w:t>其他</w:t>
                  </w:r>
                  <w:r>
                    <w:rPr>
                      <w:highlight w:val="none"/>
                    </w:rPr>
                    <w:t>惰性材料吸收，然后收集运到空旷处焚烧。如大量泄漏，利用围堤收容，然后收集、转移、回收或无害处理后废弃。</w:t>
                  </w:r>
                </w:p>
              </w:tc>
            </w:tr>
            <w:tr w14:paraId="5CD80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564DC610">
                  <w:pPr>
                    <w:pStyle w:val="61"/>
                    <w:rPr>
                      <w:highlight w:val="none"/>
                    </w:rPr>
                  </w:pPr>
                </w:p>
              </w:tc>
              <w:tc>
                <w:tcPr>
                  <w:tcW w:w="2102" w:type="pct"/>
                  <w:gridSpan w:val="4"/>
                  <w:tcBorders>
                    <w:tl2br w:val="nil"/>
                    <w:tr2bl w:val="nil"/>
                  </w:tcBorders>
                  <w:noWrap w:val="0"/>
                  <w:vAlign w:val="center"/>
                </w:tcPr>
                <w:p w14:paraId="03675A5D">
                  <w:pPr>
                    <w:pStyle w:val="61"/>
                    <w:rPr>
                      <w:highlight w:val="none"/>
                    </w:rPr>
                  </w:pPr>
                  <w:r>
                    <w:rPr>
                      <w:highlight w:val="none"/>
                    </w:rPr>
                    <w:t>食入：无资料</w:t>
                  </w:r>
                </w:p>
              </w:tc>
              <w:tc>
                <w:tcPr>
                  <w:tcW w:w="347" w:type="pct"/>
                  <w:vMerge w:val="continue"/>
                  <w:tcBorders>
                    <w:tl2br w:val="nil"/>
                    <w:tr2bl w:val="nil"/>
                  </w:tcBorders>
                  <w:noWrap w:val="0"/>
                  <w:vAlign w:val="center"/>
                </w:tcPr>
                <w:p w14:paraId="2ED732C2">
                  <w:pPr>
                    <w:pStyle w:val="61"/>
                    <w:rPr>
                      <w:highlight w:val="none"/>
                    </w:rPr>
                  </w:pPr>
                </w:p>
              </w:tc>
              <w:tc>
                <w:tcPr>
                  <w:tcW w:w="1961" w:type="pct"/>
                  <w:gridSpan w:val="4"/>
                  <w:vMerge w:val="continue"/>
                  <w:tcBorders>
                    <w:tl2br w:val="nil"/>
                    <w:tr2bl w:val="nil"/>
                  </w:tcBorders>
                  <w:noWrap w:val="0"/>
                  <w:vAlign w:val="center"/>
                </w:tcPr>
                <w:p w14:paraId="54BB2E0E">
                  <w:pPr>
                    <w:pStyle w:val="61"/>
                    <w:rPr>
                      <w:highlight w:val="none"/>
                    </w:rPr>
                  </w:pPr>
                </w:p>
              </w:tc>
            </w:tr>
            <w:tr w14:paraId="21D463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restart"/>
                  <w:tcBorders>
                    <w:tl2br w:val="nil"/>
                    <w:tr2bl w:val="nil"/>
                  </w:tcBorders>
                  <w:noWrap w:val="0"/>
                  <w:vAlign w:val="center"/>
                </w:tcPr>
                <w:p w14:paraId="6232B6A1">
                  <w:pPr>
                    <w:pStyle w:val="61"/>
                    <w:rPr>
                      <w:highlight w:val="none"/>
                    </w:rPr>
                  </w:pPr>
                  <w:r>
                    <w:rPr>
                      <w:highlight w:val="none"/>
                    </w:rPr>
                    <w:t>防护措施</w:t>
                  </w:r>
                </w:p>
              </w:tc>
              <w:tc>
                <w:tcPr>
                  <w:tcW w:w="2102" w:type="pct"/>
                  <w:gridSpan w:val="4"/>
                  <w:tcBorders>
                    <w:tl2br w:val="nil"/>
                    <w:tr2bl w:val="nil"/>
                  </w:tcBorders>
                  <w:noWrap w:val="0"/>
                  <w:vAlign w:val="center"/>
                </w:tcPr>
                <w:p w14:paraId="4C833A2D">
                  <w:pPr>
                    <w:pStyle w:val="61"/>
                    <w:rPr>
                      <w:highlight w:val="none"/>
                    </w:rPr>
                  </w:pPr>
                  <w:r>
                    <w:rPr>
                      <w:highlight w:val="none"/>
                    </w:rPr>
                    <w:t>呼吸系统防护</w:t>
                  </w:r>
                  <w:r>
                    <w:rPr>
                      <w:rFonts w:hint="eastAsia"/>
                      <w:highlight w:val="none"/>
                    </w:rPr>
                    <w:t>：</w:t>
                  </w:r>
                  <w:r>
                    <w:rPr>
                      <w:highlight w:val="none"/>
                    </w:rPr>
                    <w:t>一般不</w:t>
                  </w:r>
                  <w:r>
                    <w:rPr>
                      <w:rFonts w:hint="eastAsia"/>
                      <w:highlight w:val="none"/>
                      <w:lang w:eastAsia="zh-CN"/>
                    </w:rPr>
                    <w:t>需要</w:t>
                  </w:r>
                  <w:r>
                    <w:rPr>
                      <w:highlight w:val="none"/>
                    </w:rPr>
                    <w:t>特殊防护，但建议特殊情况下，</w:t>
                  </w:r>
                  <w:r>
                    <w:rPr>
                      <w:rFonts w:hint="eastAsia"/>
                      <w:highlight w:val="none"/>
                      <w:lang w:val="en-US" w:eastAsia="zh-CN"/>
                    </w:rPr>
                    <w:t>佩戴</w:t>
                  </w:r>
                  <w:r>
                    <w:rPr>
                      <w:highlight w:val="none"/>
                    </w:rPr>
                    <w:t>供气式呼吸器。</w:t>
                  </w:r>
                </w:p>
              </w:tc>
              <w:tc>
                <w:tcPr>
                  <w:tcW w:w="347" w:type="pct"/>
                  <w:vMerge w:val="continue"/>
                  <w:tcBorders>
                    <w:tl2br w:val="nil"/>
                    <w:tr2bl w:val="nil"/>
                  </w:tcBorders>
                  <w:noWrap w:val="0"/>
                  <w:vAlign w:val="center"/>
                </w:tcPr>
                <w:p w14:paraId="6C72F593">
                  <w:pPr>
                    <w:pStyle w:val="61"/>
                    <w:rPr>
                      <w:highlight w:val="none"/>
                    </w:rPr>
                  </w:pPr>
                </w:p>
              </w:tc>
              <w:tc>
                <w:tcPr>
                  <w:tcW w:w="1961" w:type="pct"/>
                  <w:gridSpan w:val="4"/>
                  <w:vMerge w:val="continue"/>
                  <w:tcBorders>
                    <w:tl2br w:val="nil"/>
                    <w:tr2bl w:val="nil"/>
                  </w:tcBorders>
                  <w:noWrap w:val="0"/>
                  <w:vAlign w:val="center"/>
                </w:tcPr>
                <w:p w14:paraId="71451BF1">
                  <w:pPr>
                    <w:pStyle w:val="61"/>
                    <w:rPr>
                      <w:highlight w:val="none"/>
                    </w:rPr>
                  </w:pPr>
                </w:p>
              </w:tc>
            </w:tr>
            <w:tr w14:paraId="6936C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093777D9">
                  <w:pPr>
                    <w:pStyle w:val="61"/>
                    <w:rPr>
                      <w:highlight w:val="none"/>
                    </w:rPr>
                  </w:pPr>
                </w:p>
              </w:tc>
              <w:tc>
                <w:tcPr>
                  <w:tcW w:w="2102" w:type="pct"/>
                  <w:gridSpan w:val="4"/>
                  <w:tcBorders>
                    <w:tl2br w:val="nil"/>
                    <w:tr2bl w:val="nil"/>
                  </w:tcBorders>
                  <w:noWrap w:val="0"/>
                  <w:vAlign w:val="center"/>
                </w:tcPr>
                <w:p w14:paraId="3AA640A6">
                  <w:pPr>
                    <w:pStyle w:val="61"/>
                    <w:rPr>
                      <w:highlight w:val="none"/>
                    </w:rPr>
                  </w:pPr>
                  <w:r>
                    <w:rPr>
                      <w:highlight w:val="none"/>
                    </w:rPr>
                    <w:t>眼睛防护</w:t>
                  </w:r>
                  <w:r>
                    <w:rPr>
                      <w:rFonts w:hint="eastAsia"/>
                      <w:highlight w:val="none"/>
                    </w:rPr>
                    <w:t>：</w:t>
                  </w:r>
                  <w:r>
                    <w:rPr>
                      <w:highlight w:val="none"/>
                    </w:rPr>
                    <w:t>必要时戴安全防护眼镜。</w:t>
                  </w:r>
                </w:p>
              </w:tc>
              <w:tc>
                <w:tcPr>
                  <w:tcW w:w="347" w:type="pct"/>
                  <w:vMerge w:val="continue"/>
                  <w:tcBorders>
                    <w:tl2br w:val="nil"/>
                    <w:tr2bl w:val="nil"/>
                  </w:tcBorders>
                  <w:noWrap w:val="0"/>
                  <w:vAlign w:val="center"/>
                </w:tcPr>
                <w:p w14:paraId="3849055F">
                  <w:pPr>
                    <w:pStyle w:val="61"/>
                    <w:rPr>
                      <w:highlight w:val="none"/>
                    </w:rPr>
                  </w:pPr>
                </w:p>
              </w:tc>
              <w:tc>
                <w:tcPr>
                  <w:tcW w:w="1961" w:type="pct"/>
                  <w:gridSpan w:val="4"/>
                  <w:vMerge w:val="continue"/>
                  <w:tcBorders>
                    <w:tl2br w:val="nil"/>
                    <w:tr2bl w:val="nil"/>
                  </w:tcBorders>
                  <w:noWrap w:val="0"/>
                  <w:vAlign w:val="center"/>
                </w:tcPr>
                <w:p w14:paraId="3941D74C">
                  <w:pPr>
                    <w:pStyle w:val="61"/>
                    <w:rPr>
                      <w:highlight w:val="none"/>
                    </w:rPr>
                  </w:pPr>
                </w:p>
              </w:tc>
            </w:tr>
            <w:tr w14:paraId="544F93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67EADF19">
                  <w:pPr>
                    <w:pStyle w:val="61"/>
                    <w:rPr>
                      <w:highlight w:val="none"/>
                    </w:rPr>
                  </w:pPr>
                </w:p>
              </w:tc>
              <w:tc>
                <w:tcPr>
                  <w:tcW w:w="2102" w:type="pct"/>
                  <w:gridSpan w:val="4"/>
                  <w:tcBorders>
                    <w:tl2br w:val="nil"/>
                    <w:tr2bl w:val="nil"/>
                  </w:tcBorders>
                  <w:noWrap w:val="0"/>
                  <w:vAlign w:val="center"/>
                </w:tcPr>
                <w:p w14:paraId="0E2449FD">
                  <w:pPr>
                    <w:pStyle w:val="61"/>
                    <w:rPr>
                      <w:highlight w:val="none"/>
                    </w:rPr>
                  </w:pPr>
                  <w:r>
                    <w:rPr>
                      <w:highlight w:val="none"/>
                    </w:rPr>
                    <w:t>手防护</w:t>
                  </w:r>
                  <w:r>
                    <w:rPr>
                      <w:rFonts w:hint="eastAsia"/>
                      <w:highlight w:val="none"/>
                    </w:rPr>
                    <w:t>：</w:t>
                  </w:r>
                  <w:r>
                    <w:rPr>
                      <w:highlight w:val="none"/>
                    </w:rPr>
                    <w:t>必要时戴防护手套。</w:t>
                  </w:r>
                </w:p>
              </w:tc>
              <w:tc>
                <w:tcPr>
                  <w:tcW w:w="347" w:type="pct"/>
                  <w:vMerge w:val="restart"/>
                  <w:tcBorders>
                    <w:tl2br w:val="nil"/>
                    <w:tr2bl w:val="nil"/>
                  </w:tcBorders>
                  <w:noWrap w:val="0"/>
                  <w:vAlign w:val="center"/>
                </w:tcPr>
                <w:p w14:paraId="467AC6E2">
                  <w:pPr>
                    <w:pStyle w:val="61"/>
                    <w:rPr>
                      <w:highlight w:val="none"/>
                    </w:rPr>
                  </w:pPr>
                  <w:r>
                    <w:rPr>
                      <w:highlight w:val="none"/>
                    </w:rPr>
                    <w:t>包装</w:t>
                  </w:r>
                </w:p>
              </w:tc>
              <w:tc>
                <w:tcPr>
                  <w:tcW w:w="1961" w:type="pct"/>
                  <w:gridSpan w:val="4"/>
                  <w:tcBorders>
                    <w:tl2br w:val="nil"/>
                    <w:tr2bl w:val="nil"/>
                  </w:tcBorders>
                  <w:noWrap w:val="0"/>
                  <w:vAlign w:val="center"/>
                </w:tcPr>
                <w:p w14:paraId="3C793997">
                  <w:pPr>
                    <w:pStyle w:val="61"/>
                    <w:rPr>
                      <w:highlight w:val="none"/>
                    </w:rPr>
                  </w:pPr>
                  <w:r>
                    <w:rPr>
                      <w:highlight w:val="none"/>
                    </w:rPr>
                    <w:t>危险性类别：第3.3类中闪点易燃液体</w:t>
                  </w:r>
                </w:p>
              </w:tc>
            </w:tr>
            <w:tr w14:paraId="5B86BD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4F1E64AF">
                  <w:pPr>
                    <w:pStyle w:val="61"/>
                    <w:rPr>
                      <w:highlight w:val="none"/>
                    </w:rPr>
                  </w:pPr>
                </w:p>
              </w:tc>
              <w:tc>
                <w:tcPr>
                  <w:tcW w:w="2102" w:type="pct"/>
                  <w:gridSpan w:val="4"/>
                  <w:tcBorders>
                    <w:tl2br w:val="nil"/>
                    <w:tr2bl w:val="nil"/>
                  </w:tcBorders>
                  <w:noWrap w:val="0"/>
                  <w:vAlign w:val="center"/>
                </w:tcPr>
                <w:p w14:paraId="6474FCB6">
                  <w:pPr>
                    <w:pStyle w:val="61"/>
                    <w:rPr>
                      <w:highlight w:val="none"/>
                    </w:rPr>
                  </w:pPr>
                  <w:r>
                    <w:rPr>
                      <w:highlight w:val="none"/>
                    </w:rPr>
                    <w:t>身体防护</w:t>
                  </w:r>
                  <w:r>
                    <w:rPr>
                      <w:rFonts w:hint="eastAsia"/>
                      <w:highlight w:val="none"/>
                    </w:rPr>
                    <w:t>：</w:t>
                  </w:r>
                  <w:r>
                    <w:rPr>
                      <w:highlight w:val="none"/>
                    </w:rPr>
                    <w:t>穿防静电工作服；必要时戴防护手套。</w:t>
                  </w:r>
                </w:p>
              </w:tc>
              <w:tc>
                <w:tcPr>
                  <w:tcW w:w="347" w:type="pct"/>
                  <w:vMerge w:val="continue"/>
                  <w:tcBorders>
                    <w:tl2br w:val="nil"/>
                    <w:tr2bl w:val="nil"/>
                  </w:tcBorders>
                  <w:noWrap w:val="0"/>
                  <w:vAlign w:val="center"/>
                </w:tcPr>
                <w:p w14:paraId="687D265D">
                  <w:pPr>
                    <w:pStyle w:val="61"/>
                    <w:rPr>
                      <w:highlight w:val="none"/>
                    </w:rPr>
                  </w:pPr>
                </w:p>
              </w:tc>
              <w:tc>
                <w:tcPr>
                  <w:tcW w:w="1961" w:type="pct"/>
                  <w:gridSpan w:val="4"/>
                  <w:tcBorders>
                    <w:tl2br w:val="nil"/>
                    <w:tr2bl w:val="nil"/>
                  </w:tcBorders>
                  <w:noWrap w:val="0"/>
                  <w:vAlign w:val="center"/>
                </w:tcPr>
                <w:p w14:paraId="6E39C448">
                  <w:pPr>
                    <w:pStyle w:val="61"/>
                    <w:rPr>
                      <w:highlight w:val="none"/>
                    </w:rPr>
                  </w:pPr>
                  <w:r>
                    <w:rPr>
                      <w:highlight w:val="none"/>
                    </w:rPr>
                    <w:t>危险货物包装标志：7</w:t>
                  </w:r>
                </w:p>
              </w:tc>
            </w:tr>
            <w:tr w14:paraId="5E2510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tcBorders>
                    <w:tl2br w:val="nil"/>
                    <w:tr2bl w:val="nil"/>
                  </w:tcBorders>
                  <w:noWrap w:val="0"/>
                  <w:vAlign w:val="center"/>
                </w:tcPr>
                <w:p w14:paraId="6C64BD44">
                  <w:pPr>
                    <w:pStyle w:val="61"/>
                    <w:rPr>
                      <w:highlight w:val="none"/>
                    </w:rPr>
                  </w:pPr>
                  <w:r>
                    <w:rPr>
                      <w:highlight w:val="none"/>
                    </w:rPr>
                    <w:t>储存</w:t>
                  </w:r>
                </w:p>
              </w:tc>
              <w:tc>
                <w:tcPr>
                  <w:tcW w:w="4410" w:type="pct"/>
                  <w:gridSpan w:val="9"/>
                  <w:tcBorders>
                    <w:tl2br w:val="nil"/>
                    <w:tr2bl w:val="nil"/>
                  </w:tcBorders>
                  <w:noWrap w:val="0"/>
                  <w:vAlign w:val="center"/>
                </w:tcPr>
                <w:p w14:paraId="3432DF42">
                  <w:pPr>
                    <w:pStyle w:val="61"/>
                    <w:rPr>
                      <w:highlight w:val="none"/>
                    </w:rPr>
                  </w:pPr>
                  <w:r>
                    <w:rPr>
                      <w:highlight w:val="none"/>
                    </w:rPr>
                    <w:t>储运注意事项：储存于阴凉、远离火种、热源。防止阳光直射。保持容器密封。应与氧化剂分开存放。</w:t>
                  </w:r>
                  <w:r>
                    <w:rPr>
                      <w:rFonts w:hint="eastAsia"/>
                      <w:highlight w:val="none"/>
                      <w:lang w:eastAsia="zh-CN"/>
                    </w:rPr>
                    <w:t>储罐</w:t>
                  </w:r>
                  <w:r>
                    <w:rPr>
                      <w:highlight w:val="none"/>
                    </w:rPr>
                    <w:t>时要有防火防爆技术措施。禁止使用易产生火花的机械设备和工具。充装要控制流速，注意防止静电积聚。搬运时要轻装轻卸，防止包装及容器损坏。</w:t>
                  </w:r>
                </w:p>
              </w:tc>
            </w:tr>
          </w:tbl>
          <w:p w14:paraId="2D532C71">
            <w:pPr>
              <w:pStyle w:val="34"/>
              <w:numPr>
                <w:ilvl w:val="0"/>
                <w:numId w:val="0"/>
              </w:numPr>
              <w:ind w:firstLine="480" w:firstLineChars="200"/>
              <w:jc w:val="both"/>
              <w:rPr>
                <w:rFonts w:hint="default"/>
                <w:highlight w:val="none"/>
                <w:lang w:val="en-US" w:eastAsia="zh-CN"/>
              </w:rPr>
            </w:pPr>
            <w:r>
              <w:rPr>
                <w:rFonts w:hint="eastAsia" w:ascii="Times New Roman" w:hAnsi="Times New Roman" w:eastAsia="宋体" w:cs="Times New Roman"/>
                <w:snapToGrid w:val="0"/>
                <w:sz w:val="24"/>
                <w:szCs w:val="21"/>
                <w:highlight w:val="none"/>
                <w:lang w:val="en-US" w:eastAsia="zh-CN" w:bidi="ar-SA"/>
              </w:rPr>
              <w:t>（2）</w:t>
            </w:r>
            <w:r>
              <w:rPr>
                <w:rFonts w:hint="eastAsia"/>
                <w:highlight w:val="none"/>
                <w:lang w:val="en-US" w:eastAsia="zh-CN"/>
              </w:rPr>
              <w:t>雷管主要为二硝基重氮酚和黑索金</w:t>
            </w:r>
          </w:p>
          <w:p w14:paraId="2C91E4C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表2</w:t>
            </w:r>
            <w:r>
              <w:rPr>
                <w:rFonts w:hint="eastAsia"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5</w:t>
            </w:r>
            <w:r>
              <w:rPr>
                <w:rFonts w:hint="default" w:ascii="Times New Roman" w:hAnsi="Times New Roman" w:eastAsia="宋体" w:cs="Times New Roman"/>
                <w:b/>
                <w:bCs/>
                <w:color w:val="auto"/>
                <w:sz w:val="21"/>
                <w:szCs w:val="21"/>
                <w:highlight w:val="none"/>
                <w:lang w:val="en-US" w:eastAsia="zh-CN"/>
              </w:rPr>
              <w:t xml:space="preserve">  二硝基重氮酚基本特性分析表</w:t>
            </w:r>
          </w:p>
          <w:tbl>
            <w:tblPr>
              <w:tblStyle w:val="28"/>
              <w:tblW w:w="8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3100"/>
              <w:gridCol w:w="3584"/>
            </w:tblGrid>
            <w:tr w14:paraId="1B0D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restart"/>
                  <w:vAlign w:val="center"/>
                </w:tcPr>
                <w:p w14:paraId="3B1738B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eastAsia"/>
                      <w:b/>
                      <w:bCs/>
                      <w:kern w:val="0"/>
                      <w:sz w:val="21"/>
                      <w:szCs w:val="21"/>
                      <w:highlight w:val="none"/>
                      <w:vertAlign w:val="baseline"/>
                      <w:lang w:val="en-US" w:eastAsia="zh-CN"/>
                      <w14:ligatures w14:val="none"/>
                    </w:rPr>
                    <w:t>标识</w:t>
                  </w:r>
                </w:p>
              </w:tc>
              <w:tc>
                <w:tcPr>
                  <w:tcW w:w="3100" w:type="dxa"/>
                </w:tcPr>
                <w:p w14:paraId="7779C9C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eastAsia"/>
                      <w:kern w:val="0"/>
                      <w:sz w:val="21"/>
                      <w:szCs w:val="21"/>
                      <w:highlight w:val="none"/>
                      <w:vertAlign w:val="baseline"/>
                      <w:lang w:val="en-US" w:eastAsia="zh-CN"/>
                      <w14:ligatures w14:val="none"/>
                    </w:rPr>
                    <w:t>中文名：二硝基重氮酚</w:t>
                  </w:r>
                </w:p>
              </w:tc>
              <w:tc>
                <w:tcPr>
                  <w:tcW w:w="3584" w:type="dxa"/>
                </w:tcPr>
                <w:p w14:paraId="71FC443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英文名：diazodinitrophenol</w:t>
                  </w:r>
                </w:p>
              </w:tc>
            </w:tr>
            <w:tr w14:paraId="458B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vAlign w:val="center"/>
                </w:tcPr>
                <w:p w14:paraId="0A6CE9B9">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p>
              </w:tc>
              <w:tc>
                <w:tcPr>
                  <w:tcW w:w="3100" w:type="dxa"/>
                </w:tcPr>
                <w:p w14:paraId="0E795C6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别名：重氮二硝基苯酚</w:t>
                  </w:r>
                </w:p>
              </w:tc>
              <w:tc>
                <w:tcPr>
                  <w:tcW w:w="3584" w:type="dxa"/>
                </w:tcPr>
                <w:p w14:paraId="7C629CCE">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分子式：C</w:t>
                  </w:r>
                  <w:r>
                    <w:rPr>
                      <w:rFonts w:hint="default"/>
                      <w:kern w:val="0"/>
                      <w:sz w:val="21"/>
                      <w:szCs w:val="21"/>
                      <w:highlight w:val="none"/>
                      <w:vertAlign w:val="subscript"/>
                      <w:lang w:val="en-US" w:eastAsia="zh-CN"/>
                      <w14:ligatures w14:val="none"/>
                    </w:rPr>
                    <w:t>6</w:t>
                  </w:r>
                  <w:r>
                    <w:rPr>
                      <w:rFonts w:hint="default"/>
                      <w:kern w:val="0"/>
                      <w:sz w:val="21"/>
                      <w:szCs w:val="21"/>
                      <w:highlight w:val="none"/>
                      <w:vertAlign w:val="baseline"/>
                      <w:lang w:val="en-US" w:eastAsia="zh-CN"/>
                      <w14:ligatures w14:val="none"/>
                    </w:rPr>
                    <w:t>H</w:t>
                  </w:r>
                  <w:r>
                    <w:rPr>
                      <w:rFonts w:hint="default"/>
                      <w:kern w:val="0"/>
                      <w:sz w:val="21"/>
                      <w:szCs w:val="21"/>
                      <w:highlight w:val="none"/>
                      <w:vertAlign w:val="subscript"/>
                      <w:lang w:val="en-US" w:eastAsia="zh-CN"/>
                      <w14:ligatures w14:val="none"/>
                    </w:rPr>
                    <w:t>2</w:t>
                  </w:r>
                  <w:r>
                    <w:rPr>
                      <w:rFonts w:hint="default"/>
                      <w:kern w:val="0"/>
                      <w:sz w:val="21"/>
                      <w:szCs w:val="21"/>
                      <w:highlight w:val="none"/>
                      <w:vertAlign w:val="baseline"/>
                      <w:lang w:val="en-US" w:eastAsia="zh-CN"/>
                      <w14:ligatures w14:val="none"/>
                    </w:rPr>
                    <w:t>N</w:t>
                  </w:r>
                  <w:r>
                    <w:rPr>
                      <w:rFonts w:hint="default"/>
                      <w:kern w:val="0"/>
                      <w:sz w:val="21"/>
                      <w:szCs w:val="21"/>
                      <w:highlight w:val="none"/>
                      <w:vertAlign w:val="subscript"/>
                      <w:lang w:val="en-US" w:eastAsia="zh-CN"/>
                      <w14:ligatures w14:val="none"/>
                    </w:rPr>
                    <w:t>4</w:t>
                  </w:r>
                  <w:r>
                    <w:rPr>
                      <w:rFonts w:hint="default"/>
                      <w:kern w:val="0"/>
                      <w:sz w:val="21"/>
                      <w:szCs w:val="21"/>
                      <w:highlight w:val="none"/>
                      <w:vertAlign w:val="baseline"/>
                      <w:lang w:val="en-US" w:eastAsia="zh-CN"/>
                      <w14:ligatures w14:val="none"/>
                    </w:rPr>
                    <w:t>O</w:t>
                  </w:r>
                  <w:r>
                    <w:rPr>
                      <w:rFonts w:hint="default"/>
                      <w:kern w:val="0"/>
                      <w:sz w:val="21"/>
                      <w:szCs w:val="21"/>
                      <w:highlight w:val="none"/>
                      <w:vertAlign w:val="subscript"/>
                      <w:lang w:val="en-US" w:eastAsia="zh-CN"/>
                      <w14:ligatures w14:val="none"/>
                    </w:rPr>
                    <w:t>5</w:t>
                  </w:r>
                </w:p>
              </w:tc>
            </w:tr>
            <w:tr w14:paraId="19D0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vAlign w:val="center"/>
                </w:tcPr>
                <w:p w14:paraId="37571D5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p>
              </w:tc>
              <w:tc>
                <w:tcPr>
                  <w:tcW w:w="3100" w:type="dxa"/>
                </w:tcPr>
                <w:p w14:paraId="771AD232">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分子量：210.10</w:t>
                  </w:r>
                </w:p>
              </w:tc>
              <w:tc>
                <w:tcPr>
                  <w:tcW w:w="3584" w:type="dxa"/>
                </w:tcPr>
                <w:p w14:paraId="48629576">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CAS号：87-31-0</w:t>
                  </w:r>
                </w:p>
              </w:tc>
            </w:tr>
            <w:tr w14:paraId="2248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restart"/>
                  <w:vAlign w:val="center"/>
                </w:tcPr>
                <w:p w14:paraId="3EF0D2C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理化特性</w:t>
                  </w:r>
                </w:p>
              </w:tc>
              <w:tc>
                <w:tcPr>
                  <w:tcW w:w="3100" w:type="dxa"/>
                </w:tcPr>
                <w:p w14:paraId="29000052">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闪点：无资料</w:t>
                  </w:r>
                </w:p>
              </w:tc>
              <w:tc>
                <w:tcPr>
                  <w:tcW w:w="3584" w:type="dxa"/>
                </w:tcPr>
                <w:p w14:paraId="7F1A4CD0">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熔点：158℃</w:t>
                  </w:r>
                </w:p>
              </w:tc>
            </w:tr>
            <w:tr w14:paraId="1BEB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0C991F45">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6684" w:type="dxa"/>
                  <w:gridSpan w:val="2"/>
                </w:tcPr>
                <w:p w14:paraId="44EDC46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相对密度（水=1）：1.63；相对蒸气密度（空气=1）：7.3。</w:t>
                  </w:r>
                </w:p>
              </w:tc>
            </w:tr>
            <w:tr w14:paraId="09B2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3C3D679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6684" w:type="dxa"/>
                  <w:gridSpan w:val="2"/>
                </w:tcPr>
                <w:p w14:paraId="1F760740">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外观性状：黄色结晶，在阳光下颜色迅速变深。</w:t>
                  </w:r>
                </w:p>
              </w:tc>
            </w:tr>
            <w:tr w14:paraId="710C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4C6E3AC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6684" w:type="dxa"/>
                  <w:gridSpan w:val="2"/>
                </w:tcPr>
                <w:p w14:paraId="7E5578D0">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溶解性：微溶于水，溶于热乙醇、多数有机溶剂。</w:t>
                  </w:r>
                </w:p>
              </w:tc>
            </w:tr>
            <w:tr w14:paraId="33E1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765BCDF2">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6684" w:type="dxa"/>
                  <w:gridSpan w:val="2"/>
                </w:tcPr>
                <w:p w14:paraId="12B018C6">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主要用途：用作起爆炸药。产品对摩擦敏感，运输应加 40%的水润湿。</w:t>
                  </w:r>
                </w:p>
              </w:tc>
            </w:tr>
            <w:tr w14:paraId="7646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26D59A1A">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危险特性</w:t>
                  </w:r>
                </w:p>
              </w:tc>
              <w:tc>
                <w:tcPr>
                  <w:tcW w:w="6684" w:type="dxa"/>
                  <w:gridSpan w:val="2"/>
                </w:tcPr>
                <w:p w14:paraId="0CF57D87">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干燥时，即使数量很少，如接触火焰、火花或受到震动、撞击、摩擦亦会引危险特性起分解爆炸。但其撞击感度和摩擦感度低于雷汞、叠氮化铅。火焰感度较敏感，与雷汞近似。含水 40%以上时安定性较好。该物质具有腐蚀性。</w:t>
                  </w:r>
                </w:p>
              </w:tc>
            </w:tr>
            <w:tr w14:paraId="475D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637758B8">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毒性危害</w:t>
                  </w:r>
                </w:p>
              </w:tc>
              <w:tc>
                <w:tcPr>
                  <w:tcW w:w="6684" w:type="dxa"/>
                  <w:gridSpan w:val="2"/>
                </w:tcPr>
                <w:p w14:paraId="4387350B">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未见毒理学资料。同时接触环三次甲基三硝基胺</w:t>
                  </w:r>
                  <w:r>
                    <w:rPr>
                      <w:rFonts w:hint="eastAsia"/>
                      <w:kern w:val="0"/>
                      <w:sz w:val="21"/>
                      <w:szCs w:val="21"/>
                      <w:highlight w:val="none"/>
                      <w:vertAlign w:val="baseline"/>
                      <w:lang w:val="en-US" w:eastAsia="zh-CN"/>
                      <w14:ligatures w14:val="none"/>
                    </w:rPr>
                    <w:t>（</w:t>
                  </w:r>
                  <w:r>
                    <w:rPr>
                      <w:rFonts w:hint="default"/>
                      <w:kern w:val="0"/>
                      <w:sz w:val="21"/>
                      <w:szCs w:val="21"/>
                      <w:highlight w:val="none"/>
                      <w:vertAlign w:val="baseline"/>
                      <w:lang w:val="en-US" w:eastAsia="zh-CN"/>
                      <w14:ligatures w14:val="none"/>
                    </w:rPr>
                    <w:t>黑索金</w:t>
                  </w:r>
                  <w:r>
                    <w:rPr>
                      <w:rFonts w:hint="eastAsia"/>
                      <w:kern w:val="0"/>
                      <w:sz w:val="21"/>
                      <w:szCs w:val="21"/>
                      <w:highlight w:val="none"/>
                      <w:vertAlign w:val="baseline"/>
                      <w:lang w:val="en-US" w:eastAsia="zh-CN"/>
                      <w14:ligatures w14:val="none"/>
                    </w:rPr>
                    <w:t>）</w:t>
                  </w:r>
                  <w:r>
                    <w:rPr>
                      <w:rFonts w:hint="default"/>
                      <w:kern w:val="0"/>
                      <w:sz w:val="21"/>
                      <w:szCs w:val="21"/>
                      <w:highlight w:val="none"/>
                      <w:vertAlign w:val="baseline"/>
                      <w:lang w:val="en-US" w:eastAsia="zh-CN"/>
                      <w14:ligatures w14:val="none"/>
                    </w:rPr>
                    <w:t>粉尘的工人，有消化系统和造血系统障碍的表现。皮肤接触可发生皮炎。</w:t>
                  </w:r>
                </w:p>
              </w:tc>
            </w:tr>
            <w:tr w14:paraId="6442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1DA71DF9">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急救措施</w:t>
                  </w:r>
                </w:p>
              </w:tc>
              <w:tc>
                <w:tcPr>
                  <w:tcW w:w="6684" w:type="dxa"/>
                  <w:gridSpan w:val="2"/>
                </w:tcPr>
                <w:p w14:paraId="78F5E6DD">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皮肤接触：脱去污染的衣着，用肥皂水和清水彻底冲洗皮肤。</w:t>
                  </w:r>
                </w:p>
                <w:p w14:paraId="16870A44">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眼睛接触：提起眼睑，用流动清水或生理盐水冲洗，就医。</w:t>
                  </w:r>
                </w:p>
                <w:p w14:paraId="3E3EB2F7">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吸入：迅速脱离现场至空气新鲜处。保持呼吸道通畅。如呼吸困难，给输氧。如呼吸停止，立即进行人工呼吸，就医。</w:t>
                  </w:r>
                </w:p>
                <w:p w14:paraId="20D905F7">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食入：用水漱口，给饮牛奶或蛋清，就医。</w:t>
                  </w:r>
                </w:p>
              </w:tc>
            </w:tr>
            <w:tr w14:paraId="5818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48507CAB">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防护措施</w:t>
                  </w:r>
                </w:p>
              </w:tc>
              <w:tc>
                <w:tcPr>
                  <w:tcW w:w="6684" w:type="dxa"/>
                  <w:gridSpan w:val="2"/>
                </w:tcPr>
                <w:p w14:paraId="0FCCF18F">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呼吸系统防护：可能接触其</w:t>
                  </w:r>
                  <w:r>
                    <w:rPr>
                      <w:rFonts w:hint="eastAsia"/>
                      <w:kern w:val="0"/>
                      <w:sz w:val="21"/>
                      <w:szCs w:val="21"/>
                      <w:highlight w:val="none"/>
                      <w:vertAlign w:val="baseline"/>
                      <w:lang w:val="en-US" w:eastAsia="zh-CN"/>
                      <w14:ligatures w14:val="none"/>
                    </w:rPr>
                    <w:t>粉尘</w:t>
                  </w:r>
                  <w:r>
                    <w:rPr>
                      <w:rFonts w:hint="default"/>
                      <w:kern w:val="0"/>
                      <w:sz w:val="21"/>
                      <w:szCs w:val="21"/>
                      <w:highlight w:val="none"/>
                      <w:vertAlign w:val="baseline"/>
                      <w:lang w:val="en-US" w:eastAsia="zh-CN"/>
                      <w14:ligatures w14:val="none"/>
                    </w:rPr>
                    <w:t>时，必须佩戴</w:t>
                  </w:r>
                  <w:r>
                    <w:rPr>
                      <w:rFonts w:hint="eastAsia"/>
                      <w:kern w:val="0"/>
                      <w:sz w:val="21"/>
                      <w:szCs w:val="21"/>
                      <w:highlight w:val="none"/>
                      <w:vertAlign w:val="baseline"/>
                      <w:lang w:val="en-US" w:eastAsia="zh-CN"/>
                      <w14:ligatures w14:val="none"/>
                    </w:rPr>
                    <w:t>自</w:t>
                  </w:r>
                  <w:r>
                    <w:rPr>
                      <w:rFonts w:hint="default"/>
                      <w:kern w:val="0"/>
                      <w:sz w:val="21"/>
                      <w:szCs w:val="21"/>
                      <w:highlight w:val="none"/>
                      <w:vertAlign w:val="baseline"/>
                      <w:lang w:val="en-US" w:eastAsia="zh-CN"/>
                      <w14:ligatures w14:val="none"/>
                    </w:rPr>
                    <w:t>吸过滤式</w:t>
                  </w:r>
                  <w:r>
                    <w:rPr>
                      <w:rFonts w:hint="eastAsia"/>
                      <w:kern w:val="0"/>
                      <w:sz w:val="21"/>
                      <w:szCs w:val="21"/>
                      <w:highlight w:val="none"/>
                      <w:vertAlign w:val="baseline"/>
                      <w:lang w:val="en-US" w:eastAsia="zh-CN"/>
                      <w14:ligatures w14:val="none"/>
                    </w:rPr>
                    <w:t>防尘口罩。</w:t>
                  </w:r>
                  <w:r>
                    <w:rPr>
                      <w:rFonts w:hint="default"/>
                      <w:kern w:val="0"/>
                      <w:sz w:val="21"/>
                      <w:szCs w:val="21"/>
                      <w:highlight w:val="none"/>
                      <w:vertAlign w:val="baseline"/>
                      <w:lang w:val="en-US" w:eastAsia="zh-CN"/>
                      <w14:ligatures w14:val="none"/>
                    </w:rPr>
                    <w:t>眼睛防护：戴化学安全防护眼镜。</w:t>
                  </w:r>
                </w:p>
                <w:p w14:paraId="78401FF6">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身体防护：穿紧袖工作服，长筒胶鞋。</w:t>
                  </w:r>
                </w:p>
                <w:p w14:paraId="5887F575">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手防护：戴橡胶手套。</w:t>
                  </w:r>
                </w:p>
                <w:p w14:paraId="4048CAD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eastAsia"/>
                      <w:kern w:val="0"/>
                      <w:sz w:val="21"/>
                      <w:szCs w:val="21"/>
                      <w:highlight w:val="none"/>
                      <w:vertAlign w:val="baseline"/>
                      <w:lang w:val="en-US" w:eastAsia="zh-CN"/>
                      <w14:ligatures w14:val="none"/>
                    </w:rPr>
                    <w:t>其他</w:t>
                  </w:r>
                  <w:r>
                    <w:rPr>
                      <w:rFonts w:hint="default"/>
                      <w:kern w:val="0"/>
                      <w:sz w:val="21"/>
                      <w:szCs w:val="21"/>
                      <w:highlight w:val="none"/>
                      <w:vertAlign w:val="baseline"/>
                      <w:lang w:val="en-US" w:eastAsia="zh-CN"/>
                      <w14:ligatures w14:val="none"/>
                    </w:rPr>
                    <w:t>：尽可能减少直接接触。工作完毕，淋浴更衣。工作服不准带至非作业场所。保持良好的卫生习惯。</w:t>
                  </w:r>
                </w:p>
              </w:tc>
            </w:tr>
            <w:tr w14:paraId="417B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78138663">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泄漏应急</w:t>
                  </w:r>
                  <w:r>
                    <w:rPr>
                      <w:rFonts w:hint="eastAsia"/>
                      <w:b/>
                      <w:bCs/>
                      <w:kern w:val="0"/>
                      <w:sz w:val="21"/>
                      <w:szCs w:val="21"/>
                      <w:highlight w:val="none"/>
                      <w:vertAlign w:val="baseline"/>
                      <w:lang w:val="en-US" w:eastAsia="zh-CN"/>
                      <w14:ligatures w14:val="none"/>
                    </w:rPr>
                    <w:t>措施</w:t>
                  </w:r>
                </w:p>
              </w:tc>
              <w:tc>
                <w:tcPr>
                  <w:tcW w:w="6684" w:type="dxa"/>
                  <w:gridSpan w:val="2"/>
                </w:tcPr>
                <w:p w14:paraId="314D2C1E">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隔离泄漏污染区，限制出入。切断火源。建议应急处理人员戴防尘面具，穿防毒服。不要直接接触泄漏物。避免</w:t>
                  </w:r>
                  <w:r>
                    <w:rPr>
                      <w:rFonts w:hint="eastAsia"/>
                      <w:kern w:val="0"/>
                      <w:sz w:val="21"/>
                      <w:szCs w:val="21"/>
                      <w:highlight w:val="none"/>
                      <w:vertAlign w:val="baseline"/>
                      <w:lang w:val="en-US" w:eastAsia="zh-CN"/>
                      <w14:ligatures w14:val="none"/>
                    </w:rPr>
                    <w:t>振动、撞击和摩擦</w:t>
                  </w:r>
                  <w:r>
                    <w:rPr>
                      <w:rFonts w:hint="default"/>
                      <w:kern w:val="0"/>
                      <w:sz w:val="21"/>
                      <w:szCs w:val="21"/>
                      <w:highlight w:val="none"/>
                      <w:vertAlign w:val="baseline"/>
                      <w:lang w:val="en-US" w:eastAsia="zh-CN"/>
                      <w14:ligatures w14:val="none"/>
                    </w:rPr>
                    <w:t>。小量</w:t>
                  </w:r>
                  <w:r>
                    <w:rPr>
                      <w:rFonts w:hint="eastAsia"/>
                      <w:kern w:val="0"/>
                      <w:sz w:val="21"/>
                      <w:szCs w:val="21"/>
                      <w:highlight w:val="none"/>
                      <w:vertAlign w:val="baseline"/>
                      <w:lang w:val="en-US" w:eastAsia="zh-CN"/>
                      <w14:ligatures w14:val="none"/>
                    </w:rPr>
                    <w:t>泄</w:t>
                  </w:r>
                  <w:r>
                    <w:rPr>
                      <w:rFonts w:hint="default"/>
                      <w:kern w:val="0"/>
                      <w:sz w:val="21"/>
                      <w:szCs w:val="21"/>
                      <w:highlight w:val="none"/>
                      <w:vertAlign w:val="baseline"/>
                      <w:lang w:val="en-US" w:eastAsia="zh-CN"/>
                      <w14:ligatures w14:val="none"/>
                    </w:rPr>
                    <w:t>漏：使用无火花工具收入塑料桶内。运至空旷处引爆；大量泄漏：用水润湿，然后收集回收或运至废物处理场所处置。</w:t>
                  </w:r>
                </w:p>
              </w:tc>
            </w:tr>
          </w:tbl>
          <w:p w14:paraId="2D2BD5E8">
            <w:pPr>
              <w:pStyle w:val="34"/>
              <w:rPr>
                <w:rFonts w:hint="default"/>
                <w:highlight w:val="none"/>
                <w:lang w:val="en-US" w:eastAsia="zh-CN"/>
              </w:rPr>
            </w:pPr>
            <w:r>
              <w:rPr>
                <w:rFonts w:hint="default"/>
                <w:highlight w:val="none"/>
                <w:lang w:val="en-US" w:eastAsia="zh-CN"/>
              </w:rPr>
              <w:t>黑索金化学名为环三亚甲基三硝胺，又名为旋风炸药，基本特性分析见下表。</w:t>
            </w:r>
          </w:p>
          <w:p w14:paraId="19FF3D8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表2</w:t>
            </w:r>
            <w:r>
              <w:rPr>
                <w:rFonts w:hint="eastAsia"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6</w:t>
            </w:r>
            <w:r>
              <w:rPr>
                <w:rFonts w:hint="default" w:ascii="Times New Roman" w:hAnsi="Times New Roman" w:eastAsia="宋体" w:cs="Times New Roman"/>
                <w:b/>
                <w:bCs/>
                <w:color w:val="auto"/>
                <w:sz w:val="21"/>
                <w:szCs w:val="21"/>
                <w:highlight w:val="none"/>
                <w:lang w:val="en-US" w:eastAsia="zh-CN"/>
              </w:rPr>
              <w:t xml:space="preserve">  环三亚甲基三硝胺基本特性分析表</w:t>
            </w:r>
          </w:p>
          <w:tbl>
            <w:tblPr>
              <w:tblStyle w:val="28"/>
              <w:tblW w:w="8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3100"/>
              <w:gridCol w:w="3584"/>
            </w:tblGrid>
            <w:tr w14:paraId="5AED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restart"/>
                  <w:vAlign w:val="center"/>
                </w:tcPr>
                <w:p w14:paraId="4F04FA4E">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eastAsia"/>
                      <w:b/>
                      <w:bCs/>
                      <w:kern w:val="0"/>
                      <w:sz w:val="21"/>
                      <w:szCs w:val="21"/>
                      <w:highlight w:val="none"/>
                      <w:vertAlign w:val="baseline"/>
                      <w:lang w:val="en-US" w:eastAsia="zh-CN"/>
                      <w14:ligatures w14:val="none"/>
                    </w:rPr>
                    <w:t>标识</w:t>
                  </w:r>
                </w:p>
              </w:tc>
              <w:tc>
                <w:tcPr>
                  <w:tcW w:w="3100" w:type="dxa"/>
                </w:tcPr>
                <w:p w14:paraId="1F0CDB1F">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中文名：环三亚甲基三硝胺</w:t>
                  </w:r>
                </w:p>
              </w:tc>
              <w:tc>
                <w:tcPr>
                  <w:tcW w:w="3584" w:type="dxa"/>
                </w:tcPr>
                <w:p w14:paraId="4B29642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英文名：cyclonite</w:t>
                  </w:r>
                </w:p>
              </w:tc>
            </w:tr>
            <w:tr w14:paraId="78E3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vAlign w:val="center"/>
                </w:tcPr>
                <w:p w14:paraId="70501BB8">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p>
              </w:tc>
              <w:tc>
                <w:tcPr>
                  <w:tcW w:w="3100" w:type="dxa"/>
                </w:tcPr>
                <w:p w14:paraId="248DBC1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别名：旋风炸药</w:t>
                  </w:r>
                </w:p>
              </w:tc>
              <w:tc>
                <w:tcPr>
                  <w:tcW w:w="3584" w:type="dxa"/>
                </w:tcPr>
                <w:p w14:paraId="61CF985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分子式：C</w:t>
                  </w:r>
                  <w:r>
                    <w:rPr>
                      <w:rFonts w:hint="default"/>
                      <w:kern w:val="0"/>
                      <w:sz w:val="21"/>
                      <w:szCs w:val="21"/>
                      <w:highlight w:val="none"/>
                      <w:vertAlign w:val="subscript"/>
                      <w:lang w:val="en-US" w:eastAsia="zh-CN"/>
                      <w14:ligatures w14:val="none"/>
                    </w:rPr>
                    <w:t>3</w:t>
                  </w:r>
                  <w:r>
                    <w:rPr>
                      <w:rFonts w:hint="default"/>
                      <w:kern w:val="0"/>
                      <w:sz w:val="21"/>
                      <w:szCs w:val="21"/>
                      <w:highlight w:val="none"/>
                      <w:vertAlign w:val="baseline"/>
                      <w:lang w:val="en-US" w:eastAsia="zh-CN"/>
                      <w14:ligatures w14:val="none"/>
                    </w:rPr>
                    <w:t>H</w:t>
                  </w:r>
                  <w:r>
                    <w:rPr>
                      <w:rFonts w:hint="default"/>
                      <w:kern w:val="0"/>
                      <w:sz w:val="21"/>
                      <w:szCs w:val="21"/>
                      <w:highlight w:val="none"/>
                      <w:vertAlign w:val="subscript"/>
                      <w:lang w:val="en-US" w:eastAsia="zh-CN"/>
                      <w14:ligatures w14:val="none"/>
                    </w:rPr>
                    <w:t>6</w:t>
                  </w:r>
                  <w:r>
                    <w:rPr>
                      <w:rFonts w:hint="default"/>
                      <w:kern w:val="0"/>
                      <w:sz w:val="21"/>
                      <w:szCs w:val="21"/>
                      <w:highlight w:val="none"/>
                      <w:vertAlign w:val="baseline"/>
                      <w:lang w:val="en-US" w:eastAsia="zh-CN"/>
                      <w14:ligatures w14:val="none"/>
                    </w:rPr>
                    <w:t>N</w:t>
                  </w:r>
                  <w:r>
                    <w:rPr>
                      <w:rFonts w:hint="default"/>
                      <w:kern w:val="0"/>
                      <w:sz w:val="21"/>
                      <w:szCs w:val="21"/>
                      <w:highlight w:val="none"/>
                      <w:vertAlign w:val="subscript"/>
                      <w:lang w:val="en-US" w:eastAsia="zh-CN"/>
                      <w14:ligatures w14:val="none"/>
                    </w:rPr>
                    <w:t>6</w:t>
                  </w:r>
                  <w:r>
                    <w:rPr>
                      <w:rFonts w:hint="default"/>
                      <w:kern w:val="0"/>
                      <w:sz w:val="21"/>
                      <w:szCs w:val="21"/>
                      <w:highlight w:val="none"/>
                      <w:vertAlign w:val="baseline"/>
                      <w:lang w:val="en-US" w:eastAsia="zh-CN"/>
                      <w14:ligatures w14:val="none"/>
                    </w:rPr>
                    <w:t>O</w:t>
                  </w:r>
                  <w:r>
                    <w:rPr>
                      <w:rFonts w:hint="default"/>
                      <w:kern w:val="0"/>
                      <w:sz w:val="21"/>
                      <w:szCs w:val="21"/>
                      <w:highlight w:val="none"/>
                      <w:vertAlign w:val="subscript"/>
                      <w:lang w:val="en-US" w:eastAsia="zh-CN"/>
                      <w14:ligatures w14:val="none"/>
                    </w:rPr>
                    <w:t>6</w:t>
                  </w:r>
                </w:p>
              </w:tc>
            </w:tr>
            <w:tr w14:paraId="632E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vAlign w:val="center"/>
                </w:tcPr>
                <w:p w14:paraId="3B10C88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p>
              </w:tc>
              <w:tc>
                <w:tcPr>
                  <w:tcW w:w="3100" w:type="dxa"/>
                </w:tcPr>
                <w:p w14:paraId="7B9616A8">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分子量：222.116</w:t>
                  </w:r>
                </w:p>
              </w:tc>
              <w:tc>
                <w:tcPr>
                  <w:tcW w:w="3584" w:type="dxa"/>
                </w:tcPr>
                <w:p w14:paraId="784D6364">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CAS号：121-82-4</w:t>
                  </w:r>
                </w:p>
              </w:tc>
            </w:tr>
            <w:tr w14:paraId="3B93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1599" w:type="dxa"/>
                  <w:vMerge w:val="restart"/>
                  <w:vAlign w:val="center"/>
                </w:tcPr>
                <w:p w14:paraId="11FCCA33">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理化特性</w:t>
                  </w:r>
                </w:p>
              </w:tc>
              <w:tc>
                <w:tcPr>
                  <w:tcW w:w="3100" w:type="dxa"/>
                </w:tcPr>
                <w:p w14:paraId="49122542">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闪点：405.6℃</w:t>
                  </w:r>
                </w:p>
              </w:tc>
              <w:tc>
                <w:tcPr>
                  <w:tcW w:w="3584" w:type="dxa"/>
                </w:tcPr>
                <w:p w14:paraId="70FEBF0B">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熔点：205℃</w:t>
                  </w:r>
                </w:p>
              </w:tc>
            </w:tr>
            <w:tr w14:paraId="06B7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33C9B3C2">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3100" w:type="dxa"/>
                </w:tcPr>
                <w:p w14:paraId="6171EE1D">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沸点：747℃</w:t>
                  </w:r>
                </w:p>
              </w:tc>
              <w:tc>
                <w:tcPr>
                  <w:tcW w:w="3584" w:type="dxa"/>
                </w:tcPr>
                <w:p w14:paraId="6BBC6163">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折射率：1.668</w:t>
                  </w:r>
                </w:p>
              </w:tc>
            </w:tr>
            <w:tr w14:paraId="3C9C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3C95259A">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6684" w:type="dxa"/>
                  <w:gridSpan w:val="2"/>
                </w:tcPr>
                <w:p w14:paraId="5B78A797">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相对密度（水=1）：1.89</w:t>
                  </w:r>
                </w:p>
              </w:tc>
            </w:tr>
            <w:tr w14:paraId="5AD8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3C13F823">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6684" w:type="dxa"/>
                  <w:gridSpan w:val="2"/>
                </w:tcPr>
                <w:p w14:paraId="549E86B8">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外观性状：白色结晶性粉末。</w:t>
                  </w:r>
                </w:p>
              </w:tc>
            </w:tr>
            <w:tr w14:paraId="5323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290B4AB9">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6684" w:type="dxa"/>
                  <w:gridSpan w:val="2"/>
                </w:tcPr>
                <w:p w14:paraId="60B10F5D">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溶解性：不溶于水，溶于丙酮。</w:t>
                  </w:r>
                </w:p>
              </w:tc>
            </w:tr>
            <w:tr w14:paraId="67E7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Merge w:val="continue"/>
                </w:tcPr>
                <w:p w14:paraId="7D62AED2">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kern w:val="0"/>
                      <w:sz w:val="21"/>
                      <w:szCs w:val="21"/>
                      <w:highlight w:val="none"/>
                      <w:vertAlign w:val="baseline"/>
                      <w:lang w:val="en-US" w:eastAsia="zh-CN"/>
                      <w14:ligatures w14:val="none"/>
                    </w:rPr>
                  </w:pPr>
                </w:p>
              </w:tc>
              <w:tc>
                <w:tcPr>
                  <w:tcW w:w="6684" w:type="dxa"/>
                  <w:gridSpan w:val="2"/>
                </w:tcPr>
                <w:p w14:paraId="5AE3D8AA">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主要用途：用作起爆炸药。</w:t>
                  </w:r>
                </w:p>
              </w:tc>
            </w:tr>
            <w:tr w14:paraId="666C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53C31D86">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危险特性</w:t>
                  </w:r>
                </w:p>
              </w:tc>
              <w:tc>
                <w:tcPr>
                  <w:tcW w:w="6684" w:type="dxa"/>
                  <w:gridSpan w:val="2"/>
                </w:tcPr>
                <w:p w14:paraId="10D905DB">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遇明火、高温、震动、撞击、</w:t>
                  </w:r>
                  <w:r>
                    <w:rPr>
                      <w:rFonts w:hint="eastAsia"/>
                      <w:kern w:val="0"/>
                      <w:sz w:val="21"/>
                      <w:szCs w:val="21"/>
                      <w:highlight w:val="none"/>
                      <w:vertAlign w:val="baseline"/>
                      <w:lang w:val="en-US" w:eastAsia="zh-CN"/>
                      <w14:ligatures w14:val="none"/>
                    </w:rPr>
                    <w:t>摩擦</w:t>
                  </w:r>
                  <w:r>
                    <w:rPr>
                      <w:rFonts w:hint="default"/>
                      <w:kern w:val="0"/>
                      <w:sz w:val="21"/>
                      <w:szCs w:val="21"/>
                      <w:highlight w:val="none"/>
                      <w:vertAlign w:val="baseline"/>
                      <w:lang w:val="en-US" w:eastAsia="zh-CN"/>
                      <w14:ligatures w14:val="none"/>
                    </w:rPr>
                    <w:t>能引起燃烧爆炸。是一种爆炸力极</w:t>
                  </w:r>
                  <w:r>
                    <w:rPr>
                      <w:rFonts w:hint="eastAsia"/>
                      <w:kern w:val="0"/>
                      <w:sz w:val="21"/>
                      <w:szCs w:val="21"/>
                      <w:highlight w:val="none"/>
                      <w:vertAlign w:val="baseline"/>
                      <w:lang w:val="en-US" w:eastAsia="zh-CN"/>
                      <w14:ligatures w14:val="none"/>
                    </w:rPr>
                    <w:t>大</w:t>
                  </w:r>
                  <w:r>
                    <w:rPr>
                      <w:rFonts w:hint="default"/>
                      <w:kern w:val="0"/>
                      <w:sz w:val="21"/>
                      <w:szCs w:val="21"/>
                      <w:highlight w:val="none"/>
                      <w:vertAlign w:val="baseline"/>
                      <w:lang w:val="en-US" w:eastAsia="zh-CN"/>
                      <w14:ligatures w14:val="none"/>
                    </w:rPr>
                    <w:t>的烈性炸药，比TNT猛烈1.5倍。</w:t>
                  </w:r>
                </w:p>
              </w:tc>
            </w:tr>
            <w:tr w14:paraId="2C6A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2FDBB2E3">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毒性危害</w:t>
                  </w:r>
                </w:p>
              </w:tc>
              <w:tc>
                <w:tcPr>
                  <w:tcW w:w="6684" w:type="dxa"/>
                  <w:gridSpan w:val="2"/>
                </w:tcPr>
                <w:p w14:paraId="6B9B70CA">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吸入后中毒，可发生癫痫样发作；误服可引起头晕、恶心、呕吐、流涎、多汗，重者发生抽搐。</w:t>
                  </w:r>
                </w:p>
              </w:tc>
            </w:tr>
            <w:tr w14:paraId="37CA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3688AA50">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急救措施</w:t>
                  </w:r>
                </w:p>
              </w:tc>
              <w:tc>
                <w:tcPr>
                  <w:tcW w:w="6684" w:type="dxa"/>
                  <w:gridSpan w:val="2"/>
                </w:tcPr>
                <w:p w14:paraId="7146C8E0">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皮肤接触：脱去被污染的衣着，立即用流动清水彻底冲洗。</w:t>
                  </w:r>
                </w:p>
                <w:p w14:paraId="0AEE1FD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眼睛接触：立即提起眼睑，用流动清水冲洗</w:t>
                  </w:r>
                </w:p>
                <w:p w14:paraId="062260BA">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吸入：脱离现场至空气新鲜处。必要时进行人工呼吸。就医。</w:t>
                  </w:r>
                </w:p>
                <w:p w14:paraId="3B839B0F">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食入：患者清醒时饮足量温水，催吐，就医。</w:t>
                  </w:r>
                </w:p>
              </w:tc>
            </w:tr>
            <w:tr w14:paraId="027D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0057AAC1">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防护措施</w:t>
                  </w:r>
                </w:p>
              </w:tc>
              <w:tc>
                <w:tcPr>
                  <w:tcW w:w="6684" w:type="dxa"/>
                  <w:gridSpan w:val="2"/>
                </w:tcPr>
                <w:p w14:paraId="6E6D3ACE">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呼吸系统防护：作业工人应该</w:t>
                  </w:r>
                  <w:r>
                    <w:rPr>
                      <w:rFonts w:hint="eastAsia"/>
                      <w:kern w:val="0"/>
                      <w:sz w:val="21"/>
                      <w:szCs w:val="21"/>
                      <w:highlight w:val="none"/>
                      <w:vertAlign w:val="baseline"/>
                      <w:lang w:val="en-US" w:eastAsia="zh-CN"/>
                      <w14:ligatures w14:val="none"/>
                    </w:rPr>
                    <w:t>佩戴</w:t>
                  </w:r>
                  <w:r>
                    <w:rPr>
                      <w:rFonts w:hint="default"/>
                      <w:kern w:val="0"/>
                      <w:sz w:val="21"/>
                      <w:szCs w:val="21"/>
                      <w:highlight w:val="none"/>
                      <w:vertAlign w:val="baseline"/>
                      <w:lang w:val="en-US" w:eastAsia="zh-CN"/>
                      <w14:ligatures w14:val="none"/>
                    </w:rPr>
                    <w:t>防尘口罩。</w:t>
                  </w:r>
                </w:p>
                <w:p w14:paraId="47F59456">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眼睛防护：可采用安全面罩。</w:t>
                  </w:r>
                </w:p>
                <w:p w14:paraId="1678E0FE">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身体防护：穿工作服。</w:t>
                  </w:r>
                </w:p>
                <w:p w14:paraId="21765450">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手防护：必要时戴防护手套。</w:t>
                  </w:r>
                </w:p>
                <w:p w14:paraId="47FF8EEF">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其他：工作现场禁止吸烟。工作后，淋浴更衣。注意个人清洁卫生。</w:t>
                  </w:r>
                </w:p>
              </w:tc>
            </w:tr>
            <w:tr w14:paraId="035B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9" w:type="dxa"/>
                  <w:vAlign w:val="center"/>
                </w:tcPr>
                <w:p w14:paraId="1D0CC9BE">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kern w:val="0"/>
                      <w:sz w:val="21"/>
                      <w:szCs w:val="21"/>
                      <w:highlight w:val="none"/>
                      <w:vertAlign w:val="baseline"/>
                      <w:lang w:val="en-US" w:eastAsia="zh-CN"/>
                      <w14:ligatures w14:val="none"/>
                    </w:rPr>
                  </w:pPr>
                  <w:r>
                    <w:rPr>
                      <w:rFonts w:hint="default"/>
                      <w:b/>
                      <w:bCs/>
                      <w:kern w:val="0"/>
                      <w:sz w:val="21"/>
                      <w:szCs w:val="21"/>
                      <w:highlight w:val="none"/>
                      <w:vertAlign w:val="baseline"/>
                      <w:lang w:val="en-US" w:eastAsia="zh-CN"/>
                      <w14:ligatures w14:val="none"/>
                    </w:rPr>
                    <w:t>泄漏应急措施</w:t>
                  </w:r>
                </w:p>
              </w:tc>
              <w:tc>
                <w:tcPr>
                  <w:tcW w:w="6684" w:type="dxa"/>
                  <w:gridSpan w:val="2"/>
                </w:tcPr>
                <w:p w14:paraId="17B9A83C">
                  <w:pPr>
                    <w:pStyle w:val="3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kern w:val="0"/>
                      <w:sz w:val="21"/>
                      <w:szCs w:val="21"/>
                      <w:highlight w:val="none"/>
                      <w:vertAlign w:val="baseline"/>
                      <w:lang w:val="en-US" w:eastAsia="zh-CN"/>
                      <w14:ligatures w14:val="none"/>
                    </w:rPr>
                  </w:pPr>
                  <w:r>
                    <w:rPr>
                      <w:rFonts w:hint="default"/>
                      <w:kern w:val="0"/>
                      <w:sz w:val="21"/>
                      <w:szCs w:val="21"/>
                      <w:highlight w:val="none"/>
                      <w:vertAlign w:val="baseline"/>
                      <w:lang w:val="en-US" w:eastAsia="zh-CN"/>
                      <w14:ligatures w14:val="none"/>
                    </w:rPr>
                    <w:t>隔离泄漏污染区，周围</w:t>
                  </w:r>
                  <w:r>
                    <w:rPr>
                      <w:rFonts w:hint="eastAsia"/>
                      <w:kern w:val="0"/>
                      <w:sz w:val="21"/>
                      <w:szCs w:val="21"/>
                      <w:highlight w:val="none"/>
                      <w:vertAlign w:val="baseline"/>
                      <w:lang w:val="en-US" w:eastAsia="zh-CN"/>
                      <w14:ligatures w14:val="none"/>
                    </w:rPr>
                    <w:t>设置</w:t>
                  </w:r>
                  <w:r>
                    <w:rPr>
                      <w:rFonts w:hint="default"/>
                      <w:kern w:val="0"/>
                      <w:sz w:val="21"/>
                      <w:szCs w:val="21"/>
                      <w:highlight w:val="none"/>
                      <w:vertAlign w:val="baseline"/>
                      <w:lang w:val="en-US" w:eastAsia="zh-CN"/>
                      <w14:ligatures w14:val="none"/>
                    </w:rPr>
                    <w:t>警告标志，切断火源。建议应急处理人员戴好防毒面具，穿一般消防防护服。冷却，防止</w:t>
                  </w:r>
                  <w:r>
                    <w:rPr>
                      <w:rFonts w:hint="eastAsia"/>
                      <w:kern w:val="0"/>
                      <w:sz w:val="21"/>
                      <w:szCs w:val="21"/>
                      <w:highlight w:val="none"/>
                      <w:vertAlign w:val="baseline"/>
                      <w:lang w:val="en-US" w:eastAsia="zh-CN"/>
                      <w14:ligatures w14:val="none"/>
                    </w:rPr>
                    <w:t>振动</w:t>
                  </w:r>
                  <w:r>
                    <w:rPr>
                      <w:rFonts w:hint="default"/>
                      <w:kern w:val="0"/>
                      <w:sz w:val="21"/>
                      <w:szCs w:val="21"/>
                      <w:highlight w:val="none"/>
                      <w:vertAlign w:val="baseline"/>
                      <w:lang w:val="en-US" w:eastAsia="zh-CN"/>
                      <w14:ligatures w14:val="none"/>
                    </w:rPr>
                    <w:t>、撞击和摩擦。避免扬尘，使用无火花工具收于干燥、洁净、有盖的容器中，转移到安全场所。也可以用大量水冲洗，经稀释的洗水放入废水系统。大量泄漏：与有关技术部门联系，确定清除方法。</w:t>
                  </w:r>
                </w:p>
              </w:tc>
            </w:tr>
          </w:tbl>
          <w:p w14:paraId="1C88AC4A">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2.4劳动定员及工作制度</w:t>
            </w:r>
          </w:p>
          <w:p w14:paraId="563B362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本项目年工作日为</w:t>
            </w:r>
            <w:r>
              <w:rPr>
                <w:rFonts w:hint="eastAsia" w:cs="Times New Roman"/>
                <w:bCs/>
                <w:color w:val="auto"/>
                <w:highlight w:val="none"/>
                <w:lang w:val="en-US" w:eastAsia="zh-CN"/>
              </w:rPr>
              <w:t>365</w:t>
            </w:r>
            <w:r>
              <w:rPr>
                <w:rFonts w:hint="default" w:ascii="Times New Roman" w:hAnsi="Times New Roman" w:eastAsia="宋体" w:cs="Times New Roman"/>
                <w:bCs/>
                <w:color w:val="auto"/>
                <w:highlight w:val="none"/>
              </w:rPr>
              <w:t>天，</w:t>
            </w:r>
            <w:r>
              <w:rPr>
                <w:rFonts w:hint="eastAsia" w:cs="Times New Roman"/>
                <w:bCs/>
                <w:color w:val="auto"/>
                <w:highlight w:val="none"/>
                <w:lang w:val="en-US" w:eastAsia="zh-CN"/>
              </w:rPr>
              <w:t>24小时值班制</w:t>
            </w:r>
            <w:r>
              <w:rPr>
                <w:rFonts w:hint="eastAsia" w:cs="Times New Roman"/>
                <w:bCs/>
                <w:color w:val="auto"/>
                <w:highlight w:val="none"/>
                <w:lang w:eastAsia="zh-CN"/>
              </w:rPr>
              <w:t>，</w:t>
            </w:r>
            <w:r>
              <w:rPr>
                <w:rFonts w:hint="eastAsia" w:cs="Times New Roman"/>
                <w:bCs/>
                <w:color w:val="auto"/>
                <w:highlight w:val="none"/>
                <w:lang w:val="en-US" w:eastAsia="zh-CN"/>
              </w:rPr>
              <w:t>劳动定员10人</w:t>
            </w:r>
            <w:r>
              <w:rPr>
                <w:rFonts w:hint="default" w:ascii="Times New Roman" w:hAnsi="Times New Roman" w:eastAsia="宋体" w:cs="Times New Roman"/>
                <w:bCs/>
                <w:color w:val="auto"/>
                <w:highlight w:val="none"/>
              </w:rPr>
              <w:t>。</w:t>
            </w:r>
          </w:p>
          <w:p w14:paraId="00122E21">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2.5公用工程</w:t>
            </w:r>
          </w:p>
          <w:p w14:paraId="2BF37AD2">
            <w:pPr>
              <w:keepNext w:val="0"/>
              <w:keepLines w:val="0"/>
              <w:pageBreakBefore w:val="0"/>
              <w:widowControl w:val="0"/>
              <w:shd w:val="clear"/>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2.5.1</w:t>
            </w:r>
            <w:r>
              <w:rPr>
                <w:rFonts w:hint="eastAsia" w:cs="Times New Roman"/>
                <w:b/>
                <w:bCs/>
                <w:color w:val="auto"/>
                <w:highlight w:val="none"/>
                <w:lang w:val="en-US" w:eastAsia="zh-CN"/>
              </w:rPr>
              <w:t>施工期</w:t>
            </w:r>
            <w:r>
              <w:rPr>
                <w:rFonts w:hint="default" w:ascii="Times New Roman" w:hAnsi="Times New Roman" w:eastAsia="宋体" w:cs="Times New Roman"/>
                <w:b/>
                <w:bCs/>
                <w:color w:val="auto"/>
                <w:highlight w:val="none"/>
              </w:rPr>
              <w:t>供排水</w:t>
            </w:r>
          </w:p>
          <w:p w14:paraId="31B105D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项目</w:t>
            </w:r>
            <w:r>
              <w:rPr>
                <w:rFonts w:hint="eastAsia" w:cs="Times New Roman"/>
                <w:bCs/>
                <w:color w:val="auto"/>
                <w:highlight w:val="none"/>
                <w:lang w:val="en-US" w:eastAsia="zh-CN"/>
              </w:rPr>
              <w:t>施工期</w:t>
            </w:r>
            <w:r>
              <w:rPr>
                <w:rFonts w:hint="default" w:ascii="Times New Roman" w:hAnsi="Times New Roman" w:eastAsia="宋体" w:cs="Times New Roman"/>
                <w:bCs/>
                <w:color w:val="auto"/>
                <w:highlight w:val="none"/>
              </w:rPr>
              <w:t>用水主要为生活用水</w:t>
            </w:r>
            <w:r>
              <w:rPr>
                <w:rFonts w:hint="eastAsia" w:cs="Times New Roman"/>
                <w:bCs/>
                <w:color w:val="auto"/>
                <w:highlight w:val="none"/>
                <w:lang w:val="en-US" w:eastAsia="zh-CN"/>
              </w:rPr>
              <w:t>、食堂用水</w:t>
            </w:r>
            <w:r>
              <w:rPr>
                <w:rFonts w:hint="default" w:ascii="Times New Roman" w:hAnsi="Times New Roman" w:eastAsia="宋体" w:cs="Times New Roman"/>
                <w:bCs/>
                <w:color w:val="auto"/>
                <w:highlight w:val="none"/>
              </w:rPr>
              <w:t>和</w:t>
            </w:r>
            <w:r>
              <w:rPr>
                <w:rFonts w:hint="eastAsia" w:cs="Times New Roman"/>
                <w:bCs/>
                <w:color w:val="auto"/>
                <w:highlight w:val="none"/>
                <w:lang w:val="en-US" w:eastAsia="zh-CN"/>
              </w:rPr>
              <w:t>洒水降尘</w:t>
            </w:r>
            <w:r>
              <w:rPr>
                <w:rFonts w:hint="default" w:ascii="Times New Roman" w:hAnsi="Times New Roman" w:eastAsia="宋体" w:cs="Times New Roman"/>
                <w:bCs/>
                <w:color w:val="auto"/>
                <w:highlight w:val="none"/>
              </w:rPr>
              <w:t>用水。</w:t>
            </w:r>
          </w:p>
          <w:p w14:paraId="7991748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①生活用水</w:t>
            </w:r>
            <w:r>
              <w:rPr>
                <w:rFonts w:hint="eastAsia" w:cs="Times New Roman"/>
                <w:bCs/>
                <w:color w:val="auto"/>
                <w:highlight w:val="none"/>
                <w:lang w:val="en-US" w:eastAsia="zh-CN"/>
              </w:rPr>
              <w:t>和食堂用水</w:t>
            </w:r>
          </w:p>
          <w:p w14:paraId="643321F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ascii="Times New Roman" w:hAnsi="Times New Roman" w:eastAsia="宋体" w:cs="Times New Roman"/>
                <w:bCs/>
                <w:color w:val="auto"/>
                <w:highlight w:val="none"/>
                <w:lang w:eastAsia="zh-CN"/>
              </w:rPr>
            </w:pPr>
            <w:r>
              <w:rPr>
                <w:rFonts w:hint="default" w:ascii="Times New Roman" w:hAnsi="Times New Roman" w:eastAsia="宋体" w:cs="Times New Roman"/>
                <w:bCs/>
                <w:color w:val="auto"/>
                <w:highlight w:val="none"/>
              </w:rPr>
              <w:t>项目</w:t>
            </w:r>
            <w:r>
              <w:rPr>
                <w:rFonts w:hint="eastAsia" w:cs="Times New Roman"/>
                <w:bCs/>
                <w:color w:val="auto"/>
                <w:highlight w:val="none"/>
                <w:lang w:val="en-US" w:eastAsia="zh-CN"/>
              </w:rPr>
              <w:t>施工期</w:t>
            </w:r>
            <w:r>
              <w:rPr>
                <w:rFonts w:hint="default" w:ascii="Times New Roman" w:hAnsi="Times New Roman" w:eastAsia="宋体" w:cs="Times New Roman"/>
                <w:bCs/>
                <w:color w:val="auto"/>
                <w:highlight w:val="none"/>
              </w:rPr>
              <w:t>废水主要是生活污水</w:t>
            </w:r>
            <w:r>
              <w:rPr>
                <w:rFonts w:hint="eastAsia" w:cs="Times New Roman"/>
                <w:bCs/>
                <w:color w:val="auto"/>
                <w:highlight w:val="none"/>
                <w:lang w:val="en-US" w:eastAsia="zh-CN"/>
              </w:rPr>
              <w:t>和食堂废水</w:t>
            </w:r>
            <w:r>
              <w:rPr>
                <w:rFonts w:hint="default" w:ascii="Times New Roman" w:hAnsi="Times New Roman" w:eastAsia="宋体" w:cs="Times New Roman"/>
                <w:bCs/>
                <w:color w:val="auto"/>
                <w:highlight w:val="none"/>
              </w:rPr>
              <w:t>，本项目定员</w:t>
            </w:r>
            <w:r>
              <w:rPr>
                <w:rFonts w:hint="eastAsia" w:cs="Times New Roman"/>
                <w:bCs/>
                <w:color w:val="auto"/>
                <w:highlight w:val="none"/>
                <w:lang w:val="en-US" w:eastAsia="zh-CN"/>
              </w:rPr>
              <w:t>10</w:t>
            </w:r>
            <w:r>
              <w:rPr>
                <w:rFonts w:hint="default" w:ascii="Times New Roman" w:hAnsi="Times New Roman" w:eastAsia="宋体" w:cs="Times New Roman"/>
                <w:bCs/>
                <w:color w:val="auto"/>
                <w:highlight w:val="none"/>
              </w:rPr>
              <w:t>人，参照《新疆维吾尔自治区生活用水定额》（新政办发〔2007〕105号）规定，用水量按</w:t>
            </w:r>
            <w:r>
              <w:rPr>
                <w:rFonts w:hint="eastAsia" w:cs="Times New Roman"/>
                <w:bCs/>
                <w:color w:val="auto"/>
                <w:highlight w:val="none"/>
                <w:lang w:val="en-US" w:eastAsia="zh-CN"/>
              </w:rPr>
              <w:t>80</w:t>
            </w:r>
            <w:r>
              <w:rPr>
                <w:rFonts w:hint="default" w:ascii="Times New Roman" w:hAnsi="Times New Roman" w:eastAsia="宋体" w:cs="Times New Roman"/>
                <w:bCs/>
                <w:color w:val="auto"/>
                <w:highlight w:val="none"/>
              </w:rPr>
              <w:t>L/人·日计</w:t>
            </w:r>
            <w:r>
              <w:rPr>
                <w:rFonts w:hint="eastAsia" w:cs="Times New Roman"/>
                <w:bCs/>
                <w:color w:val="auto"/>
                <w:highlight w:val="none"/>
                <w:lang w:eastAsia="zh-CN"/>
              </w:rPr>
              <w:t>（</w:t>
            </w:r>
            <w:r>
              <w:rPr>
                <w:rFonts w:hint="eastAsia" w:cs="Times New Roman"/>
                <w:bCs/>
                <w:color w:val="auto"/>
                <w:highlight w:val="none"/>
                <w:lang w:val="en-US" w:eastAsia="zh-CN"/>
              </w:rPr>
              <w:t>包含食堂用水</w:t>
            </w:r>
            <w:r>
              <w:rPr>
                <w:rFonts w:hint="eastAsia" w:cs="Times New Roman"/>
                <w:bCs/>
                <w:color w:val="auto"/>
                <w:highlight w:val="none"/>
                <w:lang w:eastAsia="zh-CN"/>
              </w:rPr>
              <w:t>）</w:t>
            </w:r>
            <w:r>
              <w:rPr>
                <w:rFonts w:hint="default" w:ascii="Times New Roman" w:hAnsi="Times New Roman" w:eastAsia="宋体" w:cs="Times New Roman"/>
                <w:bCs/>
                <w:color w:val="auto"/>
                <w:highlight w:val="none"/>
              </w:rPr>
              <w:t>，则用水量</w:t>
            </w:r>
            <w:r>
              <w:rPr>
                <w:rFonts w:hint="eastAsia" w:cs="Times New Roman"/>
                <w:bCs/>
                <w:color w:val="auto"/>
                <w:highlight w:val="none"/>
                <w:lang w:val="en-US" w:eastAsia="zh-CN"/>
              </w:rPr>
              <w:t>0.8</w:t>
            </w:r>
            <w:r>
              <w:rPr>
                <w:rFonts w:hint="default" w:ascii="Times New Roman" w:hAnsi="Times New Roman" w:eastAsia="宋体" w:cs="Times New Roman"/>
                <w:bCs/>
                <w:color w:val="auto"/>
                <w:highlight w:val="none"/>
              </w:rPr>
              <w:t>m</w:t>
            </w:r>
            <w:r>
              <w:rPr>
                <w:rFonts w:hint="default" w:ascii="Times New Roman" w:hAnsi="Times New Roman" w:eastAsia="宋体" w:cs="Times New Roman"/>
                <w:bCs/>
                <w:color w:val="auto"/>
                <w:highlight w:val="none"/>
                <w:vertAlign w:val="superscript"/>
              </w:rPr>
              <w:t>3</w:t>
            </w:r>
            <w:r>
              <w:rPr>
                <w:rFonts w:hint="default" w:ascii="Times New Roman" w:hAnsi="Times New Roman" w:eastAsia="宋体" w:cs="Times New Roman"/>
                <w:bCs/>
                <w:color w:val="auto"/>
                <w:highlight w:val="none"/>
              </w:rPr>
              <w:t>/d（</w:t>
            </w:r>
            <w:r>
              <w:rPr>
                <w:rFonts w:hint="eastAsia" w:cs="Times New Roman"/>
                <w:bCs/>
                <w:color w:val="auto"/>
                <w:highlight w:val="none"/>
                <w:lang w:val="en-US" w:eastAsia="zh-CN"/>
              </w:rPr>
              <w:t>24</w:t>
            </w:r>
            <w:r>
              <w:rPr>
                <w:rFonts w:hint="default" w:ascii="Times New Roman" w:hAnsi="Times New Roman" w:eastAsia="宋体" w:cs="Times New Roman"/>
                <w:bCs/>
                <w:color w:val="auto"/>
                <w:highlight w:val="none"/>
              </w:rPr>
              <w:t>m</w:t>
            </w:r>
            <w:r>
              <w:rPr>
                <w:rFonts w:hint="default" w:ascii="Times New Roman" w:hAnsi="Times New Roman" w:eastAsia="宋体" w:cs="Times New Roman"/>
                <w:bCs/>
                <w:color w:val="auto"/>
                <w:highlight w:val="none"/>
                <w:vertAlign w:val="superscript"/>
              </w:rPr>
              <w:t>3</w:t>
            </w:r>
            <w:r>
              <w:rPr>
                <w:rFonts w:hint="default" w:ascii="Times New Roman" w:hAnsi="Times New Roman" w:eastAsia="宋体" w:cs="Times New Roman"/>
                <w:bCs/>
                <w:color w:val="auto"/>
                <w:highlight w:val="none"/>
              </w:rPr>
              <w:t>/a），产污系数按0.8计，废水量</w:t>
            </w:r>
            <w:r>
              <w:rPr>
                <w:rFonts w:hint="eastAsia" w:cs="Times New Roman"/>
                <w:bCs/>
                <w:color w:val="auto"/>
                <w:highlight w:val="none"/>
                <w:lang w:val="en-US" w:eastAsia="zh-CN"/>
              </w:rPr>
              <w:t>0.64</w:t>
            </w:r>
            <w:r>
              <w:rPr>
                <w:rFonts w:hint="default" w:ascii="Times New Roman" w:hAnsi="Times New Roman" w:eastAsia="宋体" w:cs="Times New Roman"/>
                <w:bCs/>
                <w:color w:val="auto"/>
                <w:highlight w:val="none"/>
              </w:rPr>
              <w:t>m</w:t>
            </w:r>
            <w:r>
              <w:rPr>
                <w:rFonts w:hint="default" w:ascii="Times New Roman" w:hAnsi="Times New Roman" w:eastAsia="宋体" w:cs="Times New Roman"/>
                <w:bCs/>
                <w:color w:val="auto"/>
                <w:highlight w:val="none"/>
                <w:vertAlign w:val="superscript"/>
              </w:rPr>
              <w:t>3</w:t>
            </w:r>
            <w:r>
              <w:rPr>
                <w:rFonts w:hint="default" w:ascii="Times New Roman" w:hAnsi="Times New Roman" w:eastAsia="宋体" w:cs="Times New Roman"/>
                <w:bCs/>
                <w:color w:val="auto"/>
                <w:highlight w:val="none"/>
              </w:rPr>
              <w:t>/d</w:t>
            </w:r>
            <w:r>
              <w:rPr>
                <w:rFonts w:hint="eastAsia" w:cs="Times New Roman"/>
                <w:bCs/>
                <w:color w:val="auto"/>
                <w:highlight w:val="none"/>
                <w:lang w:eastAsia="zh-CN"/>
              </w:rPr>
              <w:t>；</w:t>
            </w:r>
          </w:p>
          <w:p w14:paraId="3ECAE08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Cs/>
                <w:color w:val="auto"/>
                <w:highlight w:val="none"/>
              </w:rPr>
              <w:t>②</w:t>
            </w:r>
            <w:r>
              <w:rPr>
                <w:rFonts w:hint="eastAsia" w:cs="Times New Roman"/>
                <w:bCs/>
                <w:color w:val="auto"/>
                <w:highlight w:val="none"/>
                <w:lang w:val="en-US" w:eastAsia="zh-CN"/>
              </w:rPr>
              <w:t>洒水降尘</w:t>
            </w:r>
            <w:r>
              <w:rPr>
                <w:rFonts w:hint="default" w:ascii="Times New Roman" w:hAnsi="Times New Roman" w:eastAsia="宋体" w:cs="Times New Roman"/>
                <w:bCs/>
                <w:color w:val="auto"/>
                <w:highlight w:val="none"/>
              </w:rPr>
              <w:t>用水：</w:t>
            </w:r>
            <w:r>
              <w:rPr>
                <w:rFonts w:hint="eastAsia"/>
                <w:color w:val="auto"/>
                <w:sz w:val="24"/>
                <w:szCs w:val="24"/>
                <w:highlight w:val="none"/>
                <w:lang w:eastAsia="zh-CN"/>
              </w:rPr>
              <w:t>本项目</w:t>
            </w:r>
            <w:r>
              <w:rPr>
                <w:rFonts w:hint="eastAsia"/>
                <w:color w:val="auto"/>
                <w:sz w:val="24"/>
                <w:szCs w:val="24"/>
                <w:highlight w:val="none"/>
                <w:lang w:val="en-US" w:eastAsia="zh-CN"/>
              </w:rPr>
              <w:t>施工时间为8h/d，</w:t>
            </w:r>
            <w:r>
              <w:rPr>
                <w:rFonts w:hint="eastAsia"/>
                <w:color w:val="auto"/>
                <w:sz w:val="24"/>
                <w:szCs w:val="24"/>
                <w:highlight w:val="none"/>
                <w:lang w:eastAsia="zh-CN"/>
              </w:rPr>
              <w:t>设计洒水降尘量为</w:t>
            </w:r>
            <w:r>
              <w:rPr>
                <w:rFonts w:hint="eastAsia"/>
                <w:color w:val="auto"/>
                <w:sz w:val="24"/>
                <w:szCs w:val="24"/>
                <w:highlight w:val="none"/>
                <w:lang w:val="en-US" w:eastAsia="zh-CN"/>
              </w:rPr>
              <w:t>0.2m</w:t>
            </w:r>
            <w:r>
              <w:rPr>
                <w:rFonts w:hint="eastAsia"/>
                <w:color w:val="auto"/>
                <w:sz w:val="24"/>
                <w:szCs w:val="24"/>
                <w:highlight w:val="none"/>
                <w:vertAlign w:val="superscript"/>
                <w:lang w:val="en-US" w:eastAsia="zh-CN"/>
              </w:rPr>
              <w:t>3</w:t>
            </w:r>
            <w:r>
              <w:rPr>
                <w:rFonts w:hint="eastAsia"/>
                <w:color w:val="auto"/>
                <w:sz w:val="24"/>
                <w:szCs w:val="24"/>
                <w:highlight w:val="none"/>
                <w:lang w:val="en-US" w:eastAsia="zh-CN"/>
              </w:rPr>
              <w:t>/h，用水量为1.6m</w:t>
            </w:r>
            <w:r>
              <w:rPr>
                <w:rFonts w:hint="eastAsia"/>
                <w:color w:val="auto"/>
                <w:sz w:val="24"/>
                <w:szCs w:val="24"/>
                <w:highlight w:val="none"/>
                <w:vertAlign w:val="superscript"/>
                <w:lang w:val="en-US" w:eastAsia="zh-CN"/>
              </w:rPr>
              <w:t>3</w:t>
            </w:r>
            <w:r>
              <w:rPr>
                <w:rFonts w:hint="eastAsia"/>
                <w:color w:val="auto"/>
                <w:sz w:val="24"/>
                <w:szCs w:val="24"/>
                <w:highlight w:val="none"/>
                <w:lang w:val="en-US" w:eastAsia="zh-CN"/>
              </w:rPr>
              <w:t>/d</w:t>
            </w:r>
            <w:r>
              <w:rPr>
                <w:rFonts w:hint="eastAsia"/>
                <w:color w:val="auto"/>
                <w:spacing w:val="6"/>
                <w:sz w:val="24"/>
                <w:szCs w:val="24"/>
                <w:highlight w:val="none"/>
                <w:lang w:eastAsia="zh-CN"/>
              </w:rPr>
              <w:t>。</w:t>
            </w:r>
          </w:p>
          <w:p w14:paraId="048D34E4">
            <w:pPr>
              <w:keepNext w:val="0"/>
              <w:keepLines w:val="0"/>
              <w:pageBreakBefore w:val="0"/>
              <w:widowControl w:val="0"/>
              <w:shd w:val="clear"/>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2.5.</w:t>
            </w:r>
            <w:r>
              <w:rPr>
                <w:rFonts w:hint="eastAsia" w:cs="Times New Roman"/>
                <w:b/>
                <w:bCs/>
                <w:color w:val="auto"/>
                <w:highlight w:val="none"/>
                <w:lang w:val="en-US" w:eastAsia="zh-CN"/>
              </w:rPr>
              <w:t>2运营期</w:t>
            </w:r>
            <w:r>
              <w:rPr>
                <w:rFonts w:hint="default" w:ascii="Times New Roman" w:hAnsi="Times New Roman" w:eastAsia="宋体" w:cs="Times New Roman"/>
                <w:b/>
                <w:bCs/>
                <w:color w:val="auto"/>
                <w:highlight w:val="none"/>
              </w:rPr>
              <w:t>供排水</w:t>
            </w:r>
          </w:p>
          <w:p w14:paraId="1BD2758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该项目</w:t>
            </w:r>
            <w:r>
              <w:rPr>
                <w:rFonts w:hint="eastAsia" w:cs="Times New Roman"/>
                <w:bCs/>
                <w:color w:val="auto"/>
                <w:highlight w:val="none"/>
                <w:lang w:val="en-US" w:eastAsia="zh-CN"/>
              </w:rPr>
              <w:t>运营期</w:t>
            </w:r>
            <w:r>
              <w:rPr>
                <w:rFonts w:hint="default" w:ascii="Times New Roman" w:hAnsi="Times New Roman" w:eastAsia="宋体" w:cs="Times New Roman"/>
                <w:bCs/>
                <w:color w:val="auto"/>
                <w:highlight w:val="none"/>
              </w:rPr>
              <w:t>用水主要为生活用水</w:t>
            </w:r>
            <w:r>
              <w:rPr>
                <w:rFonts w:hint="eastAsia" w:cs="Times New Roman"/>
                <w:bCs/>
                <w:color w:val="auto"/>
                <w:highlight w:val="none"/>
                <w:lang w:val="en-US" w:eastAsia="zh-CN"/>
              </w:rPr>
              <w:t>和食堂用水</w:t>
            </w:r>
            <w:r>
              <w:rPr>
                <w:rFonts w:hint="default" w:ascii="Times New Roman" w:hAnsi="Times New Roman" w:eastAsia="宋体" w:cs="Times New Roman"/>
                <w:bCs/>
                <w:color w:val="auto"/>
                <w:highlight w:val="none"/>
              </w:rPr>
              <w:t>。</w:t>
            </w:r>
          </w:p>
          <w:p w14:paraId="25089DB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bCs/>
                <w:color w:val="auto"/>
                <w:highlight w:val="none"/>
              </w:rPr>
              <w:t>①生活用水</w:t>
            </w:r>
            <w:r>
              <w:rPr>
                <w:rFonts w:hint="eastAsia" w:cs="Times New Roman"/>
                <w:bCs/>
                <w:color w:val="auto"/>
                <w:highlight w:val="none"/>
                <w:lang w:val="en-US" w:eastAsia="zh-CN"/>
              </w:rPr>
              <w:t>和食堂用水</w:t>
            </w:r>
          </w:p>
          <w:p w14:paraId="2F0939F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cs="Times New Roman"/>
                <w:bCs/>
                <w:color w:val="auto"/>
                <w:highlight w:val="none"/>
                <w:lang w:val="en-US" w:eastAsia="zh-CN"/>
              </w:rPr>
            </w:pPr>
            <w:r>
              <w:rPr>
                <w:rFonts w:hint="default" w:ascii="Times New Roman" w:hAnsi="Times New Roman" w:eastAsia="宋体" w:cs="Times New Roman"/>
                <w:bCs/>
                <w:color w:val="auto"/>
                <w:highlight w:val="none"/>
              </w:rPr>
              <w:t>项目废水主要是生活污水</w:t>
            </w:r>
            <w:r>
              <w:rPr>
                <w:rFonts w:hint="eastAsia" w:cs="Times New Roman"/>
                <w:bCs/>
                <w:color w:val="auto"/>
                <w:highlight w:val="none"/>
                <w:lang w:val="en-US" w:eastAsia="zh-CN"/>
              </w:rPr>
              <w:t>和食堂废水</w:t>
            </w:r>
            <w:r>
              <w:rPr>
                <w:rFonts w:hint="default" w:ascii="Times New Roman" w:hAnsi="Times New Roman" w:eastAsia="宋体" w:cs="Times New Roman"/>
                <w:bCs/>
                <w:color w:val="auto"/>
                <w:highlight w:val="none"/>
              </w:rPr>
              <w:t>，本项目定员</w:t>
            </w:r>
            <w:r>
              <w:rPr>
                <w:rFonts w:hint="eastAsia" w:cs="Times New Roman"/>
                <w:bCs/>
                <w:color w:val="auto"/>
                <w:highlight w:val="none"/>
                <w:lang w:val="en-US" w:eastAsia="zh-CN"/>
              </w:rPr>
              <w:t>10</w:t>
            </w:r>
            <w:r>
              <w:rPr>
                <w:rFonts w:hint="default" w:ascii="Times New Roman" w:hAnsi="Times New Roman" w:eastAsia="宋体" w:cs="Times New Roman"/>
                <w:bCs/>
                <w:color w:val="auto"/>
                <w:highlight w:val="none"/>
              </w:rPr>
              <w:t>人，参照《新疆维吾尔自治区生活用水定额》（新政办发〔2007〕105号）规定，用水量按</w:t>
            </w:r>
            <w:r>
              <w:rPr>
                <w:rFonts w:hint="eastAsia" w:cs="Times New Roman"/>
                <w:bCs/>
                <w:color w:val="auto"/>
                <w:highlight w:val="none"/>
                <w:lang w:val="en-US" w:eastAsia="zh-CN"/>
              </w:rPr>
              <w:t>80</w:t>
            </w:r>
            <w:r>
              <w:rPr>
                <w:rFonts w:hint="default" w:ascii="Times New Roman" w:hAnsi="Times New Roman" w:eastAsia="宋体" w:cs="Times New Roman"/>
                <w:bCs/>
                <w:color w:val="auto"/>
                <w:highlight w:val="none"/>
              </w:rPr>
              <w:t>L/人·日计</w:t>
            </w:r>
            <w:r>
              <w:rPr>
                <w:rFonts w:hint="eastAsia" w:cs="Times New Roman"/>
                <w:bCs/>
                <w:color w:val="auto"/>
                <w:highlight w:val="none"/>
                <w:lang w:eastAsia="zh-CN"/>
              </w:rPr>
              <w:t>（</w:t>
            </w:r>
            <w:r>
              <w:rPr>
                <w:rFonts w:hint="eastAsia" w:cs="Times New Roman"/>
                <w:bCs/>
                <w:color w:val="auto"/>
                <w:highlight w:val="none"/>
                <w:lang w:val="en-US" w:eastAsia="zh-CN"/>
              </w:rPr>
              <w:t>包含食堂用水</w:t>
            </w:r>
            <w:r>
              <w:rPr>
                <w:rFonts w:hint="eastAsia" w:cs="Times New Roman"/>
                <w:bCs/>
                <w:color w:val="auto"/>
                <w:highlight w:val="none"/>
                <w:lang w:eastAsia="zh-CN"/>
              </w:rPr>
              <w:t>）</w:t>
            </w:r>
            <w:r>
              <w:rPr>
                <w:rFonts w:hint="default" w:ascii="Times New Roman" w:hAnsi="Times New Roman" w:eastAsia="宋体" w:cs="Times New Roman"/>
                <w:bCs/>
                <w:color w:val="auto"/>
                <w:highlight w:val="none"/>
              </w:rPr>
              <w:t>，则用水量</w:t>
            </w:r>
            <w:r>
              <w:rPr>
                <w:rFonts w:hint="eastAsia" w:cs="Times New Roman"/>
                <w:bCs/>
                <w:color w:val="auto"/>
                <w:highlight w:val="none"/>
                <w:lang w:val="en-US" w:eastAsia="zh-CN"/>
              </w:rPr>
              <w:t>0.8</w:t>
            </w:r>
            <w:r>
              <w:rPr>
                <w:rFonts w:hint="default" w:ascii="Times New Roman" w:hAnsi="Times New Roman" w:eastAsia="宋体" w:cs="Times New Roman"/>
                <w:bCs/>
                <w:color w:val="auto"/>
                <w:highlight w:val="none"/>
              </w:rPr>
              <w:t>m</w:t>
            </w:r>
            <w:r>
              <w:rPr>
                <w:rFonts w:hint="default" w:ascii="Times New Roman" w:hAnsi="Times New Roman" w:eastAsia="宋体" w:cs="Times New Roman"/>
                <w:bCs/>
                <w:color w:val="auto"/>
                <w:highlight w:val="none"/>
                <w:vertAlign w:val="superscript"/>
              </w:rPr>
              <w:t>3</w:t>
            </w:r>
            <w:r>
              <w:rPr>
                <w:rFonts w:hint="default" w:ascii="Times New Roman" w:hAnsi="Times New Roman" w:eastAsia="宋体" w:cs="Times New Roman"/>
                <w:bCs/>
                <w:color w:val="auto"/>
                <w:highlight w:val="none"/>
              </w:rPr>
              <w:t>/d（</w:t>
            </w:r>
            <w:r>
              <w:rPr>
                <w:rFonts w:hint="eastAsia" w:cs="Times New Roman"/>
                <w:bCs/>
                <w:color w:val="auto"/>
                <w:highlight w:val="none"/>
                <w:lang w:val="en-US" w:eastAsia="zh-CN"/>
              </w:rPr>
              <w:t>292</w:t>
            </w:r>
            <w:r>
              <w:rPr>
                <w:rFonts w:hint="default" w:ascii="Times New Roman" w:hAnsi="Times New Roman" w:eastAsia="宋体" w:cs="Times New Roman"/>
                <w:bCs/>
                <w:color w:val="auto"/>
                <w:highlight w:val="none"/>
              </w:rPr>
              <w:t>m</w:t>
            </w:r>
            <w:r>
              <w:rPr>
                <w:rFonts w:hint="default" w:ascii="Times New Roman" w:hAnsi="Times New Roman" w:eastAsia="宋体" w:cs="Times New Roman"/>
                <w:bCs/>
                <w:color w:val="auto"/>
                <w:highlight w:val="none"/>
                <w:vertAlign w:val="superscript"/>
              </w:rPr>
              <w:t>3</w:t>
            </w:r>
            <w:r>
              <w:rPr>
                <w:rFonts w:hint="default" w:ascii="Times New Roman" w:hAnsi="Times New Roman" w:eastAsia="宋体" w:cs="Times New Roman"/>
                <w:bCs/>
                <w:color w:val="auto"/>
                <w:highlight w:val="none"/>
              </w:rPr>
              <w:t>/a），产污系数按0.8计，废水量</w:t>
            </w:r>
            <w:r>
              <w:rPr>
                <w:rFonts w:hint="eastAsia" w:cs="Times New Roman"/>
                <w:bCs/>
                <w:color w:val="auto"/>
                <w:highlight w:val="none"/>
                <w:lang w:val="en-US" w:eastAsia="zh-CN"/>
              </w:rPr>
              <w:t>0.64</w:t>
            </w:r>
            <w:r>
              <w:rPr>
                <w:rFonts w:hint="default" w:ascii="Times New Roman" w:hAnsi="Times New Roman" w:eastAsia="宋体" w:cs="Times New Roman"/>
                <w:bCs/>
                <w:color w:val="auto"/>
                <w:highlight w:val="none"/>
              </w:rPr>
              <w:t>m</w:t>
            </w:r>
            <w:r>
              <w:rPr>
                <w:rFonts w:hint="default" w:ascii="Times New Roman" w:hAnsi="Times New Roman" w:eastAsia="宋体" w:cs="Times New Roman"/>
                <w:bCs/>
                <w:color w:val="auto"/>
                <w:highlight w:val="none"/>
                <w:vertAlign w:val="superscript"/>
              </w:rPr>
              <w:t>3</w:t>
            </w:r>
            <w:r>
              <w:rPr>
                <w:rFonts w:hint="default" w:ascii="Times New Roman" w:hAnsi="Times New Roman" w:eastAsia="宋体" w:cs="Times New Roman"/>
                <w:bCs/>
                <w:color w:val="auto"/>
                <w:highlight w:val="none"/>
              </w:rPr>
              <w:t>/d（</w:t>
            </w:r>
            <w:r>
              <w:rPr>
                <w:rFonts w:hint="eastAsia" w:cs="Times New Roman"/>
                <w:bCs/>
                <w:color w:val="auto"/>
                <w:highlight w:val="none"/>
                <w:lang w:val="en-US" w:eastAsia="zh-CN"/>
              </w:rPr>
              <w:t>233.6</w:t>
            </w:r>
            <w:r>
              <w:rPr>
                <w:rFonts w:hint="default" w:ascii="Times New Roman" w:hAnsi="Times New Roman" w:eastAsia="宋体" w:cs="Times New Roman"/>
                <w:bCs/>
                <w:color w:val="auto"/>
                <w:highlight w:val="none"/>
              </w:rPr>
              <w:t>m</w:t>
            </w:r>
            <w:r>
              <w:rPr>
                <w:rFonts w:hint="default" w:ascii="Times New Roman" w:hAnsi="Times New Roman" w:eastAsia="宋体" w:cs="Times New Roman"/>
                <w:bCs/>
                <w:color w:val="auto"/>
                <w:highlight w:val="none"/>
                <w:vertAlign w:val="superscript"/>
              </w:rPr>
              <w:t>3</w:t>
            </w:r>
            <w:r>
              <w:rPr>
                <w:rFonts w:hint="default" w:ascii="Times New Roman" w:hAnsi="Times New Roman" w:eastAsia="宋体" w:cs="Times New Roman"/>
                <w:bCs/>
                <w:color w:val="auto"/>
                <w:highlight w:val="none"/>
              </w:rPr>
              <w:t>/a），</w:t>
            </w:r>
            <w:r>
              <w:rPr>
                <w:rFonts w:hint="eastAsia"/>
                <w:color w:val="auto"/>
                <w:highlight w:val="none"/>
                <w:lang w:eastAsia="zh-CN"/>
              </w:rPr>
              <w:t>项目食堂废水经隔油预处理后与生活污水经地埋式一体化污水处理设施处理达标；春夏秋季用于洒水降尘，冬季储存于水箱，次年回暖后回用，</w:t>
            </w:r>
            <w:r>
              <w:rPr>
                <w:rFonts w:hint="default" w:cs="Times New Roman"/>
                <w:bCs/>
                <w:color w:val="auto"/>
                <w:highlight w:val="none"/>
                <w:lang w:val="en-US" w:eastAsia="zh-CN"/>
              </w:rPr>
              <w:t>不外排。</w:t>
            </w:r>
          </w:p>
          <w:p w14:paraId="52DF7D7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Cs/>
                <w:color w:val="auto"/>
                <w:highlight w:val="none"/>
              </w:rPr>
              <w:t>本项目用水和排水量如表2.5-1所示，具体水平衡见图2.5-1。</w:t>
            </w:r>
          </w:p>
          <w:p w14:paraId="5A75011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表2</w:t>
            </w:r>
            <w:r>
              <w:rPr>
                <w:rFonts w:hint="eastAsia" w:ascii="Times New Roman" w:hAnsi="Times New Roman" w:eastAsia="宋体" w:cs="Times New Roman"/>
                <w:b/>
                <w:bCs/>
                <w:color w:val="auto"/>
                <w:sz w:val="21"/>
                <w:szCs w:val="21"/>
                <w:highlight w:val="none"/>
                <w:lang w:val="en-US" w:eastAsia="zh-CN"/>
              </w:rPr>
              <w:t>.5</w:t>
            </w:r>
            <w:r>
              <w:rPr>
                <w:rFonts w:hint="default" w:ascii="Times New Roman" w:hAnsi="Times New Roman" w:eastAsia="宋体" w:cs="Times New Roman"/>
                <w:b/>
                <w:bCs/>
                <w:color w:val="auto"/>
                <w:sz w:val="21"/>
                <w:szCs w:val="21"/>
                <w:highlight w:val="none"/>
                <w:lang w:val="en-US" w:eastAsia="zh-CN"/>
              </w:rPr>
              <w:t>-</w:t>
            </w:r>
            <w:r>
              <w:rPr>
                <w:rFonts w:hint="eastAsia" w:ascii="Times New Roman" w:hAnsi="Times New Roman" w:eastAsia="宋体"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lang w:val="en-US" w:eastAsia="zh-CN"/>
              </w:rPr>
              <w:t xml:space="preserve">  项目用水量统计表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315"/>
              <w:gridCol w:w="1034"/>
              <w:gridCol w:w="980"/>
              <w:gridCol w:w="1118"/>
              <w:gridCol w:w="980"/>
              <w:gridCol w:w="2248"/>
            </w:tblGrid>
            <w:tr w14:paraId="7F9C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61" w:type="pct"/>
                  <w:tcBorders>
                    <w:tl2br w:val="nil"/>
                    <w:tr2bl w:val="nil"/>
                  </w:tcBorders>
                  <w:noWrap w:val="0"/>
                  <w:vAlign w:val="center"/>
                </w:tcPr>
                <w:p w14:paraId="6ED74A99">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序号</w:t>
                  </w:r>
                </w:p>
              </w:tc>
              <w:tc>
                <w:tcPr>
                  <w:tcW w:w="794" w:type="pct"/>
                  <w:tcBorders>
                    <w:tl2br w:val="nil"/>
                    <w:tr2bl w:val="nil"/>
                  </w:tcBorders>
                  <w:noWrap w:val="0"/>
                  <w:vAlign w:val="center"/>
                </w:tcPr>
                <w:p w14:paraId="2FB66ADE">
                  <w:pPr>
                    <w:widowControl/>
                    <w:adjustRightInd w:val="0"/>
                    <w:snapToGrid w:val="0"/>
                    <w:spacing w:line="240" w:lineRule="auto"/>
                    <w:ind w:firstLine="0" w:firstLine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类别</w:t>
                  </w:r>
                </w:p>
              </w:tc>
              <w:tc>
                <w:tcPr>
                  <w:tcW w:w="624" w:type="pct"/>
                  <w:tcBorders>
                    <w:tl2br w:val="nil"/>
                    <w:tr2bl w:val="nil"/>
                  </w:tcBorders>
                  <w:noWrap w:val="0"/>
                  <w:vAlign w:val="center"/>
                </w:tcPr>
                <w:p w14:paraId="45F08321">
                  <w:pPr>
                    <w:widowControl/>
                    <w:adjustRightInd w:val="0"/>
                    <w:snapToGrid w:val="0"/>
                    <w:spacing w:line="240" w:lineRule="auto"/>
                    <w:ind w:firstLine="0" w:firstLine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供水（m</w:t>
                  </w:r>
                  <w:r>
                    <w:rPr>
                      <w:rFonts w:hint="eastAsia" w:ascii="Times New Roman" w:hAnsi="Times New Roman" w:eastAsia="宋体" w:cs="Times New Roman"/>
                      <w:color w:val="auto"/>
                      <w:kern w:val="0"/>
                      <w:sz w:val="21"/>
                      <w:szCs w:val="21"/>
                      <w:highlight w:val="none"/>
                      <w:vertAlign w:val="superscript"/>
                      <w:lang w:val="en-US" w:eastAsia="zh-CN" w:bidi="ar-SA"/>
                    </w:rPr>
                    <w:t>3</w:t>
                  </w:r>
                  <w:r>
                    <w:rPr>
                      <w:rFonts w:hint="eastAsia" w:ascii="Times New Roman" w:hAnsi="Times New Roman" w:eastAsia="宋体" w:cs="Times New Roman"/>
                      <w:color w:val="auto"/>
                      <w:kern w:val="0"/>
                      <w:sz w:val="21"/>
                      <w:szCs w:val="21"/>
                      <w:highlight w:val="none"/>
                      <w:lang w:val="en-US" w:eastAsia="zh-CN" w:bidi="ar-SA"/>
                    </w:rPr>
                    <w:t>/d）</w:t>
                  </w:r>
                </w:p>
              </w:tc>
              <w:tc>
                <w:tcPr>
                  <w:tcW w:w="592" w:type="pct"/>
                  <w:tcBorders>
                    <w:tl2br w:val="nil"/>
                    <w:tr2bl w:val="nil"/>
                  </w:tcBorders>
                  <w:noWrap w:val="0"/>
                  <w:vAlign w:val="center"/>
                </w:tcPr>
                <w:p w14:paraId="3F08C357">
                  <w:pPr>
                    <w:widowControl/>
                    <w:adjustRightInd w:val="0"/>
                    <w:snapToGrid w:val="0"/>
                    <w:spacing w:line="240" w:lineRule="auto"/>
                    <w:ind w:firstLine="0" w:firstLine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损耗（m</w:t>
                  </w:r>
                  <w:r>
                    <w:rPr>
                      <w:rFonts w:hint="eastAsia" w:ascii="Times New Roman" w:hAnsi="Times New Roman" w:eastAsia="宋体" w:cs="Times New Roman"/>
                      <w:color w:val="auto"/>
                      <w:kern w:val="0"/>
                      <w:sz w:val="21"/>
                      <w:szCs w:val="21"/>
                      <w:highlight w:val="none"/>
                      <w:vertAlign w:val="superscript"/>
                      <w:lang w:val="en-US" w:eastAsia="zh-CN" w:bidi="ar-SA"/>
                    </w:rPr>
                    <w:t>3</w:t>
                  </w:r>
                  <w:r>
                    <w:rPr>
                      <w:rFonts w:hint="eastAsia" w:ascii="Times New Roman" w:hAnsi="Times New Roman" w:eastAsia="宋体" w:cs="Times New Roman"/>
                      <w:color w:val="auto"/>
                      <w:kern w:val="0"/>
                      <w:sz w:val="21"/>
                      <w:szCs w:val="21"/>
                      <w:highlight w:val="none"/>
                      <w:lang w:val="en-US" w:eastAsia="zh-CN" w:bidi="ar-SA"/>
                    </w:rPr>
                    <w:t>/d）</w:t>
                  </w:r>
                </w:p>
              </w:tc>
              <w:tc>
                <w:tcPr>
                  <w:tcW w:w="675" w:type="pct"/>
                  <w:tcBorders>
                    <w:tl2br w:val="nil"/>
                    <w:tr2bl w:val="nil"/>
                  </w:tcBorders>
                  <w:noWrap w:val="0"/>
                  <w:vAlign w:val="center"/>
                </w:tcPr>
                <w:p w14:paraId="023C959D">
                  <w:pPr>
                    <w:widowControl/>
                    <w:adjustRightInd w:val="0"/>
                    <w:snapToGrid w:val="0"/>
                    <w:spacing w:line="240" w:lineRule="auto"/>
                    <w:ind w:firstLine="0" w:firstLine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排水（m</w:t>
                  </w:r>
                  <w:r>
                    <w:rPr>
                      <w:rFonts w:hint="eastAsia" w:ascii="Times New Roman" w:hAnsi="Times New Roman" w:eastAsia="宋体" w:cs="Times New Roman"/>
                      <w:color w:val="auto"/>
                      <w:kern w:val="0"/>
                      <w:sz w:val="21"/>
                      <w:szCs w:val="21"/>
                      <w:highlight w:val="none"/>
                      <w:vertAlign w:val="superscript"/>
                      <w:lang w:val="en-US" w:eastAsia="zh-CN" w:bidi="ar-SA"/>
                    </w:rPr>
                    <w:t>3</w:t>
                  </w:r>
                  <w:r>
                    <w:rPr>
                      <w:rFonts w:hint="eastAsia" w:ascii="Times New Roman" w:hAnsi="Times New Roman" w:eastAsia="宋体" w:cs="Times New Roman"/>
                      <w:color w:val="auto"/>
                      <w:kern w:val="0"/>
                      <w:sz w:val="21"/>
                      <w:szCs w:val="21"/>
                      <w:highlight w:val="none"/>
                      <w:lang w:val="en-US" w:eastAsia="zh-CN" w:bidi="ar-SA"/>
                    </w:rPr>
                    <w:t>/d）</w:t>
                  </w:r>
                </w:p>
              </w:tc>
              <w:tc>
                <w:tcPr>
                  <w:tcW w:w="592" w:type="pct"/>
                  <w:tcBorders>
                    <w:tl2br w:val="nil"/>
                    <w:tr2bl w:val="nil"/>
                  </w:tcBorders>
                  <w:noWrap w:val="0"/>
                  <w:vAlign w:val="center"/>
                </w:tcPr>
                <w:p w14:paraId="19C3AD5C">
                  <w:pPr>
                    <w:widowControl/>
                    <w:adjustRightInd w:val="0"/>
                    <w:snapToGrid w:val="0"/>
                    <w:spacing w:line="240" w:lineRule="auto"/>
                    <w:ind w:firstLine="0" w:firstLine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循环（m</w:t>
                  </w:r>
                  <w:r>
                    <w:rPr>
                      <w:rFonts w:hint="eastAsia" w:ascii="Times New Roman" w:hAnsi="Times New Roman" w:eastAsia="宋体" w:cs="Times New Roman"/>
                      <w:color w:val="auto"/>
                      <w:kern w:val="0"/>
                      <w:sz w:val="21"/>
                      <w:szCs w:val="21"/>
                      <w:highlight w:val="none"/>
                      <w:vertAlign w:val="superscript"/>
                      <w:lang w:val="en-US" w:eastAsia="zh-CN" w:bidi="ar-SA"/>
                    </w:rPr>
                    <w:t>3</w:t>
                  </w:r>
                  <w:r>
                    <w:rPr>
                      <w:rFonts w:hint="eastAsia" w:ascii="Times New Roman" w:hAnsi="Times New Roman" w:eastAsia="宋体" w:cs="Times New Roman"/>
                      <w:color w:val="auto"/>
                      <w:kern w:val="0"/>
                      <w:sz w:val="21"/>
                      <w:szCs w:val="21"/>
                      <w:highlight w:val="none"/>
                      <w:lang w:val="en-US" w:eastAsia="zh-CN" w:bidi="ar-SA"/>
                    </w:rPr>
                    <w:t>/d）</w:t>
                  </w:r>
                </w:p>
              </w:tc>
              <w:tc>
                <w:tcPr>
                  <w:tcW w:w="1358" w:type="pct"/>
                  <w:tcBorders>
                    <w:tl2br w:val="nil"/>
                    <w:tr2bl w:val="nil"/>
                  </w:tcBorders>
                  <w:noWrap w:val="0"/>
                  <w:vAlign w:val="center"/>
                </w:tcPr>
                <w:p w14:paraId="7163A663">
                  <w:pPr>
                    <w:widowControl/>
                    <w:adjustRightInd w:val="0"/>
                    <w:snapToGrid w:val="0"/>
                    <w:spacing w:line="240" w:lineRule="auto"/>
                    <w:ind w:firstLine="0" w:firstLine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排水去向</w:t>
                  </w:r>
                </w:p>
              </w:tc>
            </w:tr>
            <w:tr w14:paraId="2C6C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61" w:type="pct"/>
                  <w:tcBorders>
                    <w:tl2br w:val="nil"/>
                    <w:tr2bl w:val="nil"/>
                  </w:tcBorders>
                  <w:noWrap w:val="0"/>
                  <w:vAlign w:val="center"/>
                </w:tcPr>
                <w:p w14:paraId="65436F54">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w:t>
                  </w:r>
                </w:p>
              </w:tc>
              <w:tc>
                <w:tcPr>
                  <w:tcW w:w="794" w:type="pct"/>
                  <w:tcBorders>
                    <w:tl2br w:val="nil"/>
                    <w:tr2bl w:val="nil"/>
                  </w:tcBorders>
                  <w:shd w:val="clear" w:color="auto" w:fill="auto"/>
                  <w:noWrap w:val="0"/>
                  <w:vAlign w:val="center"/>
                </w:tcPr>
                <w:p w14:paraId="71471B50">
                  <w:pPr>
                    <w:widowControl/>
                    <w:adjustRightInd w:val="0"/>
                    <w:snapToGrid w:val="0"/>
                    <w:spacing w:line="240" w:lineRule="auto"/>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ascii="Times New Roman" w:hAnsi="Times New Roman" w:eastAsia="宋体" w:cs="Times New Roman"/>
                      <w:color w:val="auto"/>
                      <w:kern w:val="0"/>
                      <w:sz w:val="21"/>
                      <w:szCs w:val="21"/>
                      <w:highlight w:val="none"/>
                      <w:lang w:val="en-US" w:eastAsia="zh-CN" w:bidi="ar-SA"/>
                    </w:rPr>
                    <w:t>生活</w:t>
                  </w:r>
                  <w:r>
                    <w:rPr>
                      <w:rFonts w:hint="default" w:cs="Times New Roman"/>
                      <w:color w:val="auto"/>
                      <w:kern w:val="0"/>
                      <w:sz w:val="21"/>
                      <w:szCs w:val="21"/>
                      <w:highlight w:val="none"/>
                      <w:lang w:val="en-US" w:eastAsia="zh-CN" w:bidi="ar-SA"/>
                    </w:rPr>
                    <w:t>用水</w:t>
                  </w:r>
                  <w:r>
                    <w:rPr>
                      <w:rFonts w:hint="eastAsia" w:cs="Times New Roman"/>
                      <w:color w:val="auto"/>
                      <w:kern w:val="0"/>
                      <w:sz w:val="21"/>
                      <w:szCs w:val="21"/>
                      <w:highlight w:val="none"/>
                      <w:lang w:val="en-US" w:eastAsia="zh-CN" w:bidi="ar-SA"/>
                    </w:rPr>
                    <w:t>、食堂废水</w:t>
                  </w:r>
                </w:p>
              </w:tc>
              <w:tc>
                <w:tcPr>
                  <w:tcW w:w="624" w:type="pct"/>
                  <w:tcBorders>
                    <w:tl2br w:val="nil"/>
                    <w:tr2bl w:val="nil"/>
                  </w:tcBorders>
                  <w:shd w:val="clear" w:color="auto" w:fill="auto"/>
                  <w:noWrap w:val="0"/>
                  <w:vAlign w:val="center"/>
                </w:tcPr>
                <w:p w14:paraId="354069E5">
                  <w:pPr>
                    <w:widowControl/>
                    <w:adjustRightInd w:val="0"/>
                    <w:snapToGrid w:val="0"/>
                    <w:spacing w:line="240" w:lineRule="auto"/>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color w:val="auto"/>
                      <w:kern w:val="0"/>
                      <w:sz w:val="21"/>
                      <w:szCs w:val="21"/>
                      <w:highlight w:val="none"/>
                      <w:lang w:val="en-US" w:eastAsia="zh-CN" w:bidi="ar-SA"/>
                    </w:rPr>
                    <w:t>0.8</w:t>
                  </w:r>
                </w:p>
              </w:tc>
              <w:tc>
                <w:tcPr>
                  <w:tcW w:w="592" w:type="pct"/>
                  <w:tcBorders>
                    <w:tl2br w:val="nil"/>
                    <w:tr2bl w:val="nil"/>
                  </w:tcBorders>
                  <w:shd w:val="clear" w:color="auto" w:fill="auto"/>
                  <w:noWrap w:val="0"/>
                  <w:vAlign w:val="center"/>
                </w:tcPr>
                <w:p w14:paraId="5FF94C1C">
                  <w:pPr>
                    <w:widowControl/>
                    <w:adjustRightInd w:val="0"/>
                    <w:snapToGrid w:val="0"/>
                    <w:spacing w:line="240" w:lineRule="auto"/>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color w:val="auto"/>
                      <w:kern w:val="0"/>
                      <w:sz w:val="21"/>
                      <w:szCs w:val="21"/>
                      <w:highlight w:val="none"/>
                      <w:lang w:val="en-US" w:eastAsia="zh-CN" w:bidi="ar-SA"/>
                    </w:rPr>
                    <w:t>0.16</w:t>
                  </w:r>
                </w:p>
              </w:tc>
              <w:tc>
                <w:tcPr>
                  <w:tcW w:w="675" w:type="pct"/>
                  <w:tcBorders>
                    <w:tl2br w:val="nil"/>
                    <w:tr2bl w:val="nil"/>
                  </w:tcBorders>
                  <w:shd w:val="clear" w:color="auto" w:fill="auto"/>
                  <w:noWrap w:val="0"/>
                  <w:vAlign w:val="center"/>
                </w:tcPr>
                <w:p w14:paraId="3B51ED7A">
                  <w:pPr>
                    <w:widowControl/>
                    <w:adjustRightInd w:val="0"/>
                    <w:snapToGrid w:val="0"/>
                    <w:spacing w:line="240" w:lineRule="auto"/>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color w:val="auto"/>
                      <w:kern w:val="0"/>
                      <w:sz w:val="21"/>
                      <w:szCs w:val="21"/>
                      <w:highlight w:val="none"/>
                      <w:lang w:val="en-US" w:eastAsia="zh-CN" w:bidi="ar-SA"/>
                    </w:rPr>
                    <w:t>0.64</w:t>
                  </w:r>
                </w:p>
              </w:tc>
              <w:tc>
                <w:tcPr>
                  <w:tcW w:w="592" w:type="pct"/>
                  <w:tcBorders>
                    <w:tl2br w:val="nil"/>
                    <w:tr2bl w:val="nil"/>
                  </w:tcBorders>
                  <w:shd w:val="clear" w:color="auto" w:fill="auto"/>
                  <w:noWrap w:val="0"/>
                  <w:vAlign w:val="center"/>
                </w:tcPr>
                <w:p w14:paraId="7552ED47">
                  <w:pPr>
                    <w:widowControl/>
                    <w:adjustRightInd w:val="0"/>
                    <w:snapToGrid w:val="0"/>
                    <w:spacing w:line="240" w:lineRule="auto"/>
                    <w:ind w:firstLine="0" w:firstLineChars="0"/>
                    <w:jc w:val="center"/>
                    <w:rPr>
                      <w:rFonts w:hint="eastAsia" w:ascii="Times New Roman" w:hAnsi="Times New Roman" w:eastAsia="宋体" w:cs="Times New Roman"/>
                      <w:snapToGrid w:val="0"/>
                      <w:color w:val="auto"/>
                      <w:kern w:val="0"/>
                      <w:sz w:val="21"/>
                      <w:szCs w:val="21"/>
                      <w:highlight w:val="none"/>
                      <w:lang w:val="en-US" w:eastAsia="zh-CN" w:bidi="ar-SA"/>
                      <w14:ligatures w14:val="none"/>
                    </w:rPr>
                  </w:pPr>
                  <w:r>
                    <w:rPr>
                      <w:rFonts w:hint="eastAsia" w:ascii="Times New Roman" w:hAnsi="Times New Roman" w:eastAsia="宋体" w:cs="Times New Roman"/>
                      <w:color w:val="auto"/>
                      <w:kern w:val="0"/>
                      <w:sz w:val="21"/>
                      <w:szCs w:val="21"/>
                      <w:highlight w:val="none"/>
                      <w:lang w:val="en-US" w:eastAsia="zh-CN" w:bidi="ar-SA"/>
                    </w:rPr>
                    <w:t>0</w:t>
                  </w:r>
                </w:p>
              </w:tc>
              <w:tc>
                <w:tcPr>
                  <w:tcW w:w="1358" w:type="pct"/>
                  <w:tcBorders>
                    <w:tl2br w:val="nil"/>
                    <w:tr2bl w:val="nil"/>
                  </w:tcBorders>
                  <w:shd w:val="clear" w:color="auto" w:fill="auto"/>
                  <w:noWrap w:val="0"/>
                  <w:vAlign w:val="center"/>
                </w:tcPr>
                <w:p w14:paraId="69CDBE92">
                  <w:pPr>
                    <w:spacing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项目食堂废水经隔油预处理后与生活污水经地埋式一体化污水处理设施处理达标；春夏秋季用于洒水降尘，冬季储存于水箱，次年回暖后回用，不外排。</w:t>
                  </w:r>
                </w:p>
              </w:tc>
            </w:tr>
          </w:tbl>
          <w:p w14:paraId="229B28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p>
          <w:p w14:paraId="2F614A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sz w:val="24"/>
                <w:szCs w:val="24"/>
                <w:highlight w:val="none"/>
              </w:rPr>
            </w:pPr>
            <w:r>
              <w:rPr>
                <w:rFonts w:hint="default" w:ascii="Times New Roman" w:hAnsi="Times New Roman" w:cs="Times New Roman"/>
                <w:bCs/>
                <w:color w:val="auto"/>
                <w:highlight w:val="none"/>
              </w:rPr>
              <w:pict>
                <v:shape id="_x0000_s1035" o:spid="_x0000_s1035" o:spt="75" type="#_x0000_t75" style="position:absolute;left:0pt;margin-left:3.8pt;margin-top:1.45pt;height:180pt;width:406.5pt;mso-wrap-distance-bottom:0pt;mso-wrap-distance-left:9pt;mso-wrap-distance-right:9pt;mso-wrap-distance-top:0pt;z-index:251659264;mso-width-relative:page;mso-height-relative:page;" o:ole="t" filled="f" o:preferrelative="t" stroked="t" coordsize="21600,21600">
                  <v:path/>
                  <v:fill on="f" focussize="0,0"/>
                  <v:stroke color="#000000" joinstyle="miter"/>
                  <v:imagedata r:id="rId13" o:title=""/>
                  <o:lock v:ext="edit" aspectratio="f"/>
                  <w10:wrap type="square"/>
                </v:shape>
                <o:OLEObject Type="Embed" ProgID="Visio.Drawing.15" ShapeID="_x0000_s1035" DrawAspect="Content" ObjectID="_1468075725" r:id="rId12">
                  <o:LockedField>false</o:LockedField>
                </o:OLEObject>
              </w:pict>
            </w:r>
            <w:r>
              <w:rPr>
                <w:rFonts w:hint="default" w:ascii="Times New Roman" w:hAnsi="Times New Roman" w:eastAsia="宋体" w:cs="Times New Roman"/>
                <w:b/>
                <w:bCs/>
                <w:color w:val="auto"/>
                <w:sz w:val="21"/>
                <w:szCs w:val="21"/>
                <w:highlight w:val="none"/>
                <w:lang w:val="en-US" w:eastAsia="zh-CN"/>
              </w:rPr>
              <w:t>图2.5-1  项目水平衡图</w:t>
            </w:r>
          </w:p>
          <w:p w14:paraId="7249AEF9">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2.6总平面布置合理性分析</w:t>
            </w:r>
          </w:p>
          <w:p w14:paraId="5F0D4E2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eastAsia="宋体" w:cs="Times New Roman"/>
                <w:bCs/>
                <w:color w:val="auto"/>
                <w:highlight w:val="none"/>
                <w:lang w:val="en-US" w:eastAsia="zh-CN"/>
              </w:rPr>
            </w:pPr>
            <w:r>
              <w:rPr>
                <w:rFonts w:hint="default" w:eastAsia="宋体" w:cs="Times New Roman"/>
                <w:bCs/>
                <w:color w:val="auto"/>
                <w:highlight w:val="none"/>
                <w:lang w:val="en-US" w:eastAsia="zh-CN"/>
              </w:rPr>
              <w:t>根据建设项目主体设计资料，项目区占地面积</w:t>
            </w:r>
            <w:r>
              <w:rPr>
                <w:rFonts w:hint="eastAsia" w:cs="Times New Roman"/>
                <w:color w:val="auto"/>
                <w:highlight w:val="none"/>
                <w:lang w:val="en-US" w:eastAsia="zh-CN"/>
              </w:rPr>
              <w:t>9339</w:t>
            </w:r>
            <w:r>
              <w:rPr>
                <w:rFonts w:hint="eastAsia" w:eastAsia="宋体" w:cs="Times New Roman"/>
                <w:bCs/>
                <w:color w:val="auto"/>
                <w:highlight w:val="none"/>
                <w:lang w:val="en-US" w:eastAsia="zh-CN"/>
              </w:rPr>
              <w:t>m</w:t>
            </w:r>
            <w:r>
              <w:rPr>
                <w:rFonts w:hint="eastAsia" w:eastAsia="宋体" w:cs="Times New Roman"/>
                <w:bCs/>
                <w:color w:val="auto"/>
                <w:highlight w:val="none"/>
                <w:vertAlign w:val="superscript"/>
                <w:lang w:val="en-US" w:eastAsia="zh-CN"/>
              </w:rPr>
              <w:t>2</w:t>
            </w:r>
            <w:r>
              <w:rPr>
                <w:rFonts w:hint="eastAsia" w:cs="Times New Roman"/>
                <w:bCs/>
                <w:color w:val="auto"/>
                <w:highlight w:val="none"/>
                <w:lang w:val="en-US" w:eastAsia="zh-CN"/>
              </w:rPr>
              <w:t>，</w:t>
            </w:r>
            <w:r>
              <w:rPr>
                <w:rFonts w:hint="default" w:eastAsia="宋体" w:cs="Times New Roman"/>
                <w:bCs/>
                <w:color w:val="auto"/>
                <w:highlight w:val="none"/>
                <w:lang w:val="en-US" w:eastAsia="zh-CN"/>
              </w:rPr>
              <w:t>库区</w:t>
            </w:r>
            <w:r>
              <w:rPr>
                <w:rFonts w:hint="eastAsia" w:cs="Times New Roman"/>
                <w:bCs/>
                <w:color w:val="auto"/>
                <w:highlight w:val="none"/>
                <w:lang w:val="en-US" w:eastAsia="zh-CN"/>
              </w:rPr>
              <w:t>南</w:t>
            </w:r>
            <w:r>
              <w:rPr>
                <w:rFonts w:hint="default" w:eastAsia="宋体" w:cs="Times New Roman"/>
                <w:bCs/>
                <w:color w:val="auto"/>
                <w:highlight w:val="none"/>
                <w:lang w:val="en-US" w:eastAsia="zh-CN"/>
              </w:rPr>
              <w:t>侧、东侧、西侧三面环山。库区内</w:t>
            </w:r>
            <w:r>
              <w:rPr>
                <w:rFonts w:hint="eastAsia" w:cs="Times New Roman"/>
                <w:bCs/>
                <w:color w:val="auto"/>
                <w:highlight w:val="none"/>
                <w:lang w:val="en-US" w:eastAsia="zh-CN"/>
              </w:rPr>
              <w:t>设</w:t>
            </w:r>
            <w:r>
              <w:rPr>
                <w:rFonts w:hint="default" w:eastAsia="宋体" w:cs="Times New Roman"/>
                <w:bCs/>
                <w:color w:val="auto"/>
                <w:highlight w:val="none"/>
                <w:lang w:val="en-US" w:eastAsia="zh-CN"/>
              </w:rPr>
              <w:t>炸药库房</w:t>
            </w:r>
            <w:r>
              <w:rPr>
                <w:rFonts w:hint="eastAsia" w:cs="Times New Roman"/>
                <w:bCs/>
                <w:color w:val="auto"/>
                <w:highlight w:val="none"/>
                <w:lang w:val="en-US" w:eastAsia="zh-CN"/>
              </w:rPr>
              <w:t>1</w:t>
            </w:r>
            <w:r>
              <w:rPr>
                <w:rFonts w:hint="default" w:eastAsia="宋体" w:cs="Times New Roman"/>
                <w:bCs/>
                <w:color w:val="auto"/>
                <w:highlight w:val="none"/>
                <w:lang w:val="en-US" w:eastAsia="zh-CN"/>
              </w:rPr>
              <w:t>座、雷管库房1座、消防水池1座</w:t>
            </w:r>
            <w:r>
              <w:rPr>
                <w:rFonts w:hint="eastAsia" w:cs="Times New Roman"/>
                <w:bCs/>
                <w:color w:val="auto"/>
                <w:highlight w:val="none"/>
                <w:lang w:val="en-US" w:eastAsia="zh-CN"/>
              </w:rPr>
              <w:t>、值班室</w:t>
            </w:r>
            <w:r>
              <w:rPr>
                <w:rFonts w:hint="default" w:eastAsia="宋体" w:cs="Times New Roman"/>
                <w:bCs/>
                <w:color w:val="auto"/>
                <w:highlight w:val="none"/>
                <w:lang w:val="en-US" w:eastAsia="zh-CN"/>
              </w:rPr>
              <w:t>1座，库区出入口位于库区</w:t>
            </w:r>
            <w:r>
              <w:rPr>
                <w:rFonts w:hint="eastAsia" w:cs="Times New Roman"/>
                <w:bCs/>
                <w:color w:val="auto"/>
                <w:highlight w:val="none"/>
                <w:lang w:val="en-US" w:eastAsia="zh-CN"/>
              </w:rPr>
              <w:t>北</w:t>
            </w:r>
            <w:r>
              <w:rPr>
                <w:rFonts w:hint="default" w:eastAsia="宋体" w:cs="Times New Roman"/>
                <w:bCs/>
                <w:color w:val="auto"/>
                <w:highlight w:val="none"/>
                <w:lang w:val="en-US" w:eastAsia="zh-CN"/>
              </w:rPr>
              <w:t>侧，炸药库房与雷管库房相距</w:t>
            </w:r>
            <w:r>
              <w:rPr>
                <w:rFonts w:hint="eastAsia" w:cs="Times New Roman"/>
                <w:bCs/>
                <w:color w:val="auto"/>
                <w:highlight w:val="none"/>
                <w:lang w:val="en-US" w:eastAsia="zh-CN"/>
              </w:rPr>
              <w:t>25.3</w:t>
            </w:r>
            <w:r>
              <w:rPr>
                <w:rFonts w:hint="default" w:eastAsia="宋体" w:cs="Times New Roman"/>
                <w:bCs/>
                <w:color w:val="auto"/>
                <w:highlight w:val="none"/>
                <w:lang w:val="en-US" w:eastAsia="zh-CN"/>
              </w:rPr>
              <w:t>m，消防水池位于炸药库房</w:t>
            </w:r>
            <w:r>
              <w:rPr>
                <w:rFonts w:hint="eastAsia" w:cs="Times New Roman"/>
                <w:bCs/>
                <w:color w:val="auto"/>
                <w:highlight w:val="none"/>
                <w:lang w:val="en-US" w:eastAsia="zh-CN"/>
              </w:rPr>
              <w:t>东北</w:t>
            </w:r>
            <w:r>
              <w:rPr>
                <w:rFonts w:hint="default" w:eastAsia="宋体" w:cs="Times New Roman"/>
                <w:bCs/>
                <w:color w:val="auto"/>
                <w:highlight w:val="none"/>
                <w:lang w:val="en-US" w:eastAsia="zh-CN"/>
              </w:rPr>
              <w:t>侧，炸药库房、雷管库四周均设置防爆土堆。库区建有高度</w:t>
            </w:r>
            <w:r>
              <w:rPr>
                <w:rFonts w:hint="eastAsia" w:cs="Times New Roman"/>
                <w:bCs/>
                <w:color w:val="auto"/>
                <w:highlight w:val="none"/>
                <w:lang w:val="en-US" w:eastAsia="zh-CN"/>
              </w:rPr>
              <w:t>2.5m</w:t>
            </w:r>
            <w:r>
              <w:rPr>
                <w:rFonts w:hint="default" w:eastAsia="宋体" w:cs="Times New Roman"/>
                <w:bCs/>
                <w:color w:val="auto"/>
                <w:highlight w:val="none"/>
                <w:lang w:val="en-US" w:eastAsia="zh-CN"/>
              </w:rPr>
              <w:t>的实体围墙，围墙上部设有铁丝网和周界报警系统，库区有</w:t>
            </w:r>
            <w:r>
              <w:rPr>
                <w:rFonts w:hint="eastAsia" w:cs="Times New Roman"/>
                <w:bCs/>
                <w:color w:val="auto"/>
                <w:highlight w:val="none"/>
                <w:lang w:val="en-US" w:eastAsia="zh-CN"/>
              </w:rPr>
              <w:t>值班人员</w:t>
            </w:r>
            <w:r>
              <w:rPr>
                <w:rFonts w:hint="default" w:eastAsia="宋体" w:cs="Times New Roman"/>
                <w:bCs/>
                <w:color w:val="auto"/>
                <w:highlight w:val="none"/>
                <w:lang w:val="en-US" w:eastAsia="zh-CN"/>
              </w:rPr>
              <w:t>巡守。</w:t>
            </w:r>
          </w:p>
          <w:p w14:paraId="712A10F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bCs/>
                <w:color w:val="auto"/>
                <w:highlight w:val="none"/>
                <w:lang w:val="en-US"/>
              </w:rPr>
            </w:pPr>
            <w:r>
              <w:rPr>
                <w:rFonts w:hint="default" w:eastAsia="宋体" w:cs="Times New Roman"/>
                <w:bCs/>
                <w:color w:val="auto"/>
                <w:highlight w:val="none"/>
                <w:lang w:val="en-US" w:eastAsia="zh-CN"/>
              </w:rPr>
              <w:t>本项目平面布置具有功能分区明确，</w:t>
            </w:r>
            <w:r>
              <w:rPr>
                <w:rFonts w:hint="eastAsia" w:cs="Times New Roman"/>
                <w:bCs/>
                <w:color w:val="auto"/>
                <w:highlight w:val="none"/>
                <w:lang w:val="en-US" w:eastAsia="zh-CN"/>
              </w:rPr>
              <w:t>场地</w:t>
            </w:r>
            <w:r>
              <w:rPr>
                <w:rFonts w:hint="default" w:eastAsia="宋体" w:cs="Times New Roman"/>
                <w:bCs/>
                <w:color w:val="auto"/>
                <w:highlight w:val="none"/>
                <w:lang w:val="en-US" w:eastAsia="zh-CN"/>
              </w:rPr>
              <w:t>布置顺畅、紧凑合理等特点。</w:t>
            </w:r>
            <w:r>
              <w:rPr>
                <w:rFonts w:hint="eastAsia" w:cs="Times New Roman"/>
                <w:bCs/>
                <w:color w:val="auto"/>
                <w:highlight w:val="none"/>
                <w:lang w:val="en-US" w:eastAsia="zh-CN"/>
              </w:rPr>
              <w:t>项目平面布置图见附图3。</w:t>
            </w:r>
          </w:p>
        </w:tc>
      </w:tr>
      <w:tr w14:paraId="6F581F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85" w:type="dxa"/>
            <w:vAlign w:val="center"/>
          </w:tcPr>
          <w:p w14:paraId="5979E69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工艺流程和产排污环节</w:t>
            </w:r>
          </w:p>
        </w:tc>
        <w:tc>
          <w:tcPr>
            <w:tcW w:w="8499" w:type="dxa"/>
            <w:gridSpan w:val="2"/>
          </w:tcPr>
          <w:p w14:paraId="33CBCAC2">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2.7施工期</w:t>
            </w:r>
          </w:p>
          <w:p w14:paraId="47CB878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bCs/>
                <w:color w:val="auto"/>
                <w:highlight w:val="none"/>
              </w:rPr>
              <w:t>本项目</w:t>
            </w:r>
            <w:r>
              <w:rPr>
                <w:rFonts w:hint="eastAsia" w:cs="Times New Roman"/>
                <w:bCs/>
                <w:color w:val="auto"/>
                <w:highlight w:val="none"/>
                <w:lang w:val="en-US" w:eastAsia="zh-CN"/>
              </w:rPr>
              <w:t>基础工程施工方案及产排污环节见下图</w:t>
            </w:r>
            <w:r>
              <w:rPr>
                <w:rFonts w:hint="default" w:ascii="Times New Roman" w:hAnsi="Times New Roman" w:eastAsia="宋体" w:cs="Times New Roman"/>
                <w:bCs/>
                <w:color w:val="auto"/>
                <w:highlight w:val="none"/>
              </w:rPr>
              <w:t>。</w:t>
            </w:r>
          </w:p>
          <w:p w14:paraId="1457606C">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114300" distR="114300">
                  <wp:extent cx="3417570" cy="1431290"/>
                  <wp:effectExtent l="9525" t="9525" r="17145" b="22225"/>
                  <wp:docPr id="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2"/>
                          <pic:cNvPicPr>
                            <a:picLocks noChangeAspect="1"/>
                          </pic:cNvPicPr>
                        </pic:nvPicPr>
                        <pic:blipFill>
                          <a:blip r:embed="rId14"/>
                          <a:stretch>
                            <a:fillRect/>
                          </a:stretch>
                        </pic:blipFill>
                        <pic:spPr>
                          <a:xfrm>
                            <a:off x="0" y="0"/>
                            <a:ext cx="3417570" cy="1431290"/>
                          </a:xfrm>
                          <a:prstGeom prst="rect">
                            <a:avLst/>
                          </a:prstGeom>
                          <a:noFill/>
                          <a:ln>
                            <a:solidFill>
                              <a:schemeClr val="tx1"/>
                            </a:solidFill>
                          </a:ln>
                        </pic:spPr>
                      </pic:pic>
                    </a:graphicData>
                  </a:graphic>
                </wp:inline>
              </w:drawing>
            </w:r>
          </w:p>
          <w:p w14:paraId="4973640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图2.7-1   施工期工艺流程及排污环节图</w:t>
            </w:r>
          </w:p>
          <w:p w14:paraId="75BBDBC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highlight w:val="none"/>
              </w:rPr>
            </w:pPr>
            <w:r>
              <w:rPr>
                <w:rFonts w:hint="eastAsia" w:ascii="Times New Roman" w:hAnsi="Times New Roman" w:eastAsia="宋体" w:cs="Times New Roman"/>
                <w:b w:val="0"/>
                <w:bCs/>
                <w:color w:val="auto"/>
                <w:highlight w:val="none"/>
                <w:lang w:val="en-US" w:eastAsia="zh-CN"/>
              </w:rPr>
              <w:t>项目施工期产污节点：</w:t>
            </w:r>
          </w:p>
          <w:p w14:paraId="1564E87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highlight w:val="none"/>
              </w:rPr>
            </w:pPr>
            <w:r>
              <w:rPr>
                <w:rFonts w:hint="eastAsia" w:ascii="Times New Roman" w:hAnsi="Times New Roman" w:eastAsia="宋体" w:cs="Times New Roman"/>
                <w:bCs/>
                <w:color w:val="auto"/>
                <w:highlight w:val="none"/>
                <w:lang w:val="en-US" w:eastAsia="zh-CN"/>
              </w:rPr>
              <w:t>废气：基础施工、建设建筑物等造成大量扬尘，施工机械运行排放的尾气；</w:t>
            </w:r>
          </w:p>
          <w:p w14:paraId="1B85CC0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highlight w:val="none"/>
              </w:rPr>
            </w:pPr>
            <w:r>
              <w:rPr>
                <w:rFonts w:hint="eastAsia" w:ascii="Times New Roman" w:hAnsi="Times New Roman" w:eastAsia="宋体" w:cs="Times New Roman"/>
                <w:bCs/>
                <w:color w:val="auto"/>
                <w:highlight w:val="none"/>
                <w:lang w:val="en-US" w:eastAsia="zh-CN"/>
              </w:rPr>
              <w:t>废水：施工人员工地产生的少量生活污水及施工过程中产生施工废水；</w:t>
            </w:r>
          </w:p>
          <w:p w14:paraId="150502D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highlight w:val="none"/>
              </w:rPr>
            </w:pPr>
            <w:r>
              <w:rPr>
                <w:rFonts w:hint="eastAsia" w:ascii="Times New Roman" w:hAnsi="Times New Roman" w:eastAsia="宋体" w:cs="Times New Roman"/>
                <w:bCs/>
                <w:color w:val="auto"/>
                <w:highlight w:val="none"/>
                <w:lang w:val="en-US" w:eastAsia="zh-CN"/>
              </w:rPr>
              <w:t>噪声：施工机械造成</w:t>
            </w:r>
            <w:r>
              <w:rPr>
                <w:rFonts w:hint="eastAsia" w:cs="Times New Roman"/>
                <w:bCs/>
                <w:color w:val="auto"/>
                <w:highlight w:val="none"/>
                <w:lang w:val="en-US" w:eastAsia="zh-CN"/>
              </w:rPr>
              <w:t>，施工过程中的主要高噪声设备有：打桩机等</w:t>
            </w:r>
            <w:r>
              <w:rPr>
                <w:rFonts w:hint="eastAsia" w:ascii="Times New Roman" w:hAnsi="Times New Roman" w:eastAsia="宋体" w:cs="Times New Roman"/>
                <w:bCs/>
                <w:color w:val="auto"/>
                <w:highlight w:val="none"/>
                <w:lang w:val="en-US" w:eastAsia="zh-CN"/>
              </w:rPr>
              <w:t>；</w:t>
            </w:r>
          </w:p>
          <w:p w14:paraId="630A6DB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highlight w:val="none"/>
              </w:rPr>
            </w:pPr>
            <w:r>
              <w:rPr>
                <w:rFonts w:hint="eastAsia" w:ascii="Times New Roman" w:hAnsi="Times New Roman" w:eastAsia="宋体" w:cs="Times New Roman"/>
                <w:bCs/>
                <w:color w:val="auto"/>
                <w:highlight w:val="none"/>
                <w:lang w:val="en-US" w:eastAsia="zh-CN"/>
              </w:rPr>
              <w:t>固废：</w:t>
            </w:r>
            <w:r>
              <w:rPr>
                <w:rFonts w:hint="eastAsia" w:cs="Times New Roman"/>
                <w:bCs/>
                <w:color w:val="auto"/>
                <w:highlight w:val="none"/>
                <w:lang w:val="en-US" w:eastAsia="zh-CN"/>
              </w:rPr>
              <w:t>基坑开挖</w:t>
            </w:r>
            <w:r>
              <w:rPr>
                <w:rFonts w:hint="eastAsia" w:ascii="Times New Roman" w:hAnsi="Times New Roman" w:eastAsia="宋体" w:cs="Times New Roman"/>
                <w:bCs/>
                <w:color w:val="auto"/>
                <w:highlight w:val="none"/>
                <w:lang w:val="en-US" w:eastAsia="zh-CN"/>
              </w:rPr>
              <w:t>将产生一定的土方量，土建工程</w:t>
            </w:r>
            <w:r>
              <w:rPr>
                <w:rFonts w:hint="eastAsia" w:cs="Times New Roman"/>
                <w:bCs/>
                <w:color w:val="auto"/>
                <w:highlight w:val="none"/>
                <w:lang w:val="en-US" w:eastAsia="zh-CN"/>
              </w:rPr>
              <w:t>建筑垃圾</w:t>
            </w:r>
            <w:r>
              <w:rPr>
                <w:rFonts w:hint="eastAsia" w:ascii="Times New Roman" w:hAnsi="Times New Roman" w:eastAsia="宋体" w:cs="Times New Roman"/>
                <w:bCs/>
                <w:color w:val="auto"/>
                <w:highlight w:val="none"/>
                <w:lang w:val="en-US" w:eastAsia="zh-CN"/>
              </w:rPr>
              <w:t>、</w:t>
            </w:r>
            <w:r>
              <w:rPr>
                <w:rFonts w:hint="eastAsia" w:cs="Times New Roman"/>
                <w:bCs/>
                <w:color w:val="auto"/>
                <w:highlight w:val="none"/>
                <w:lang w:val="en-US" w:eastAsia="zh-CN"/>
              </w:rPr>
              <w:t>施工人员</w:t>
            </w:r>
            <w:r>
              <w:rPr>
                <w:rFonts w:hint="eastAsia" w:ascii="Times New Roman" w:hAnsi="Times New Roman" w:eastAsia="宋体" w:cs="Times New Roman"/>
                <w:bCs/>
                <w:color w:val="auto"/>
                <w:highlight w:val="none"/>
                <w:lang w:val="en-US" w:eastAsia="zh-CN"/>
              </w:rPr>
              <w:t>生活垃圾；</w:t>
            </w:r>
          </w:p>
          <w:p w14:paraId="65ED94F1">
            <w:pPr>
              <w:keepNext w:val="0"/>
              <w:keepLines w:val="0"/>
              <w:pageBreakBefore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2.8运营期产污环节</w:t>
            </w:r>
          </w:p>
          <w:p w14:paraId="02DF8EAE">
            <w:pPr>
              <w:keepNext w:val="0"/>
              <w:keepLines w:val="0"/>
              <w:pageBreakBefore w:val="0"/>
              <w:widowControl w:val="0"/>
              <w:kinsoku/>
              <w:wordWrap/>
              <w:overflowPunct/>
              <w:topLinePunct w:val="0"/>
              <w:bidi w:val="0"/>
              <w:adjustRightInd w:val="0"/>
              <w:snapToGrid w:val="0"/>
              <w:spacing w:line="500" w:lineRule="exact"/>
              <w:textAlignment w:val="auto"/>
              <w:rPr>
                <w:rFonts w:hint="default" w:ascii="Times New Roman" w:hAnsi="Times New Roman" w:eastAsia="宋体" w:cs="Times New Roman"/>
                <w:b w:val="0"/>
                <w:bCs/>
                <w:color w:val="auto"/>
                <w:sz w:val="24"/>
                <w:highlight w:val="none"/>
                <w:lang w:val="en-US" w:eastAsia="zh-CN"/>
              </w:rPr>
            </w:pPr>
            <w:r>
              <w:rPr>
                <w:rFonts w:hint="default" w:ascii="Times New Roman" w:hAnsi="Times New Roman" w:eastAsia="宋体" w:cs="Times New Roman"/>
                <w:b/>
                <w:bCs/>
                <w:color w:val="000000" w:themeColor="text1"/>
                <w:highlight w:val="none"/>
                <w14:textFill>
                  <w14:solidFill>
                    <w14:schemeClr w14:val="tx1"/>
                  </w14:solidFill>
                </w14:textFill>
              </w:rPr>
              <w:t>2.</w:t>
            </w: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8.</w:t>
            </w:r>
            <w:r>
              <w:rPr>
                <w:rFonts w:hint="eastAsia" w:cs="Times New Roman"/>
                <w:b/>
                <w:bCs/>
                <w:color w:val="000000" w:themeColor="text1"/>
                <w:highlight w:val="none"/>
                <w:lang w:val="en-US" w:eastAsia="zh-CN"/>
                <w14:textFill>
                  <w14:solidFill>
                    <w14:schemeClr w14:val="tx1"/>
                  </w14:solidFill>
                </w14:textFill>
              </w:rPr>
              <w:t>1</w:t>
            </w:r>
            <w:r>
              <w:rPr>
                <w:rFonts w:hint="default" w:ascii="Times New Roman" w:hAnsi="Times New Roman" w:cs="Times New Roman"/>
                <w:b/>
                <w:bCs/>
                <w:color w:val="000000" w:themeColor="text1"/>
                <w:highlight w:val="none"/>
                <w14:textFill>
                  <w14:solidFill>
                    <w14:schemeClr w14:val="tx1"/>
                  </w14:solidFill>
                </w14:textFill>
              </w:rPr>
              <w:t>工艺流程及产污环节分析</w:t>
            </w:r>
          </w:p>
          <w:p w14:paraId="39A775BF">
            <w:pPr>
              <w:jc w:val="center"/>
              <w:rPr>
                <w:rFonts w:hint="eastAsia" w:ascii="Times New Roman" w:hAnsi="Times New Roman" w:eastAsia="宋体" w:cs="Times New Roman"/>
                <w:b w:val="0"/>
                <w:bCs/>
                <w:color w:val="auto"/>
                <w:sz w:val="24"/>
                <w:highlight w:val="none"/>
                <w:lang w:val="en-US" w:eastAsia="zh-CN"/>
              </w:rPr>
            </w:pPr>
            <w:r>
              <w:rPr>
                <w:rFonts w:hint="default" w:ascii="Times New Roman" w:hAnsi="Times New Roman" w:eastAsia="宋体" w:cs="Times New Roman"/>
                <w:b w:val="0"/>
                <w:bCs/>
                <w:color w:val="auto"/>
                <w:sz w:val="24"/>
                <w:highlight w:val="none"/>
                <w:lang w:val="en-US" w:eastAsia="zh-CN"/>
              </w:rPr>
              <w:object>
                <v:shape id="_x0000_i1025" o:spt="75" type="#_x0000_t75" style="height:420.65pt;width:414.1pt;" o:ole="t" filled="f" o:preferrelative="t" stroked="t" coordsize="21600,21600">
                  <v:path/>
                  <v:fill on="f" focussize="0,0"/>
                  <v:stroke color="#000000" joinstyle="miter"/>
                  <v:imagedata r:id="rId16" o:title=""/>
                  <o:lock v:ext="edit" aspectratio="f"/>
                  <w10:wrap type="none"/>
                  <w10:anchorlock/>
                </v:shape>
                <o:OLEObject Type="Embed" ProgID="Visio.Drawing.15" ShapeID="_x0000_i1025" DrawAspect="Content" ObjectID="_1468075726" r:id="rId15">
                  <o:LockedField>false</o:LockedField>
                </o:OLEObject>
              </w:object>
            </w:r>
            <w:r>
              <w:rPr>
                <w:rFonts w:hint="default" w:ascii="Times New Roman" w:hAnsi="Times New Roman" w:eastAsia="宋体" w:cs="Times New Roman"/>
                <w:b/>
                <w:bCs/>
                <w:color w:val="auto"/>
                <w:sz w:val="21"/>
                <w:szCs w:val="21"/>
                <w:highlight w:val="none"/>
                <w:lang w:val="en-US" w:eastAsia="zh-CN"/>
              </w:rPr>
              <w:t>图2.</w:t>
            </w:r>
            <w:r>
              <w:rPr>
                <w:rFonts w:hint="eastAsia" w:ascii="Times New Roman" w:hAnsi="Times New Roman" w:eastAsia="宋体" w:cs="Times New Roman"/>
                <w:b/>
                <w:bCs/>
                <w:color w:val="auto"/>
                <w:sz w:val="21"/>
                <w:szCs w:val="21"/>
                <w:highlight w:val="none"/>
                <w:lang w:val="en-US" w:eastAsia="zh-CN"/>
              </w:rPr>
              <w:t>8</w:t>
            </w:r>
            <w:r>
              <w:rPr>
                <w:rFonts w:hint="default" w:ascii="Times New Roman" w:hAnsi="Times New Roman" w:eastAsia="宋体" w:cs="Times New Roman"/>
                <w:b/>
                <w:bCs/>
                <w:color w:val="auto"/>
                <w:sz w:val="21"/>
                <w:szCs w:val="21"/>
                <w:highlight w:val="none"/>
                <w:lang w:val="en-US" w:eastAsia="zh-CN"/>
              </w:rPr>
              <w:t xml:space="preserve">-1   </w:t>
            </w:r>
            <w:r>
              <w:rPr>
                <w:rFonts w:hint="eastAsia" w:ascii="Times New Roman" w:hAnsi="Times New Roman" w:eastAsia="宋体" w:cs="Times New Roman"/>
                <w:b/>
                <w:bCs/>
                <w:color w:val="auto"/>
                <w:sz w:val="21"/>
                <w:szCs w:val="21"/>
                <w:highlight w:val="none"/>
                <w:lang w:val="en-US" w:eastAsia="zh-CN"/>
              </w:rPr>
              <w:t>运营</w:t>
            </w:r>
            <w:r>
              <w:rPr>
                <w:rFonts w:hint="default" w:ascii="Times New Roman" w:hAnsi="Times New Roman" w:eastAsia="宋体" w:cs="Times New Roman"/>
                <w:b/>
                <w:bCs/>
                <w:color w:val="auto"/>
                <w:sz w:val="21"/>
                <w:szCs w:val="21"/>
                <w:highlight w:val="none"/>
                <w:lang w:val="en-US" w:eastAsia="zh-CN"/>
              </w:rPr>
              <w:t>期工艺流程及排污环节图</w:t>
            </w:r>
          </w:p>
          <w:p w14:paraId="365A474E">
            <w:pPr>
              <w:ind w:firstLine="482"/>
              <w:rPr>
                <w:color w:val="auto"/>
                <w:highlight w:val="none"/>
              </w:rPr>
            </w:pPr>
            <w:r>
              <w:rPr>
                <w:b/>
                <w:bCs/>
                <w:color w:val="auto"/>
                <w:highlight w:val="none"/>
              </w:rPr>
              <w:t>工艺流程简述：</w:t>
            </w:r>
          </w:p>
          <w:p w14:paraId="6A2D4F35">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ascii="Times New Roman" w:hAnsi="Times New Roman" w:eastAsia="宋体" w:cs="Times New Roman"/>
                <w:b w:val="0"/>
                <w:bCs/>
                <w:color w:val="auto"/>
                <w:sz w:val="24"/>
                <w:highlight w:val="none"/>
                <w:lang w:val="en-US" w:eastAsia="zh-CN"/>
              </w:rPr>
            </w:pPr>
            <w:r>
              <w:rPr>
                <w:rFonts w:hint="eastAsia" w:ascii="Times New Roman" w:hAnsi="Times New Roman" w:eastAsia="宋体" w:cs="Times New Roman"/>
                <w:b w:val="0"/>
                <w:bCs/>
                <w:color w:val="auto"/>
                <w:sz w:val="24"/>
                <w:highlight w:val="none"/>
                <w:lang w:val="en-US" w:eastAsia="zh-CN"/>
              </w:rPr>
              <w:t>项目成品炸药、雷管及导爆索由专用车辆进入库区，由专人（安全员或库管员）引导，按指定路线行驶，按规定地点停放并熄火。经过培训的搬运工先触摸库房门前的人体静电泄放装置，将人体的静电导入地下，然后由穿戴防静电服</w:t>
            </w:r>
            <w:r>
              <w:rPr>
                <w:rFonts w:hint="eastAsia" w:cs="Times New Roman"/>
                <w:b w:val="0"/>
                <w:bCs/>
                <w:color w:val="auto"/>
                <w:sz w:val="24"/>
                <w:highlight w:val="none"/>
                <w:lang w:val="en-US" w:eastAsia="zh-CN"/>
              </w:rPr>
              <w:t>工作</w:t>
            </w:r>
            <w:r>
              <w:rPr>
                <w:rFonts w:hint="eastAsia" w:ascii="Times New Roman" w:hAnsi="Times New Roman" w:eastAsia="宋体" w:cs="Times New Roman"/>
                <w:b w:val="0"/>
                <w:bCs/>
                <w:color w:val="auto"/>
                <w:sz w:val="24"/>
                <w:highlight w:val="none"/>
                <w:lang w:val="en-US" w:eastAsia="zh-CN"/>
              </w:rPr>
              <w:t>人员再采用手推车将成品炸药、雷管及导爆索搬运至仓库，并按规定进行堆垛码放。</w:t>
            </w:r>
          </w:p>
          <w:p w14:paraId="46D581B7">
            <w:pPr>
              <w:pStyle w:val="34"/>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b w:val="0"/>
                <w:bCs/>
                <w:snapToGrid w:val="0"/>
                <w:color w:val="auto"/>
                <w:kern w:val="0"/>
                <w:sz w:val="24"/>
                <w:szCs w:val="24"/>
                <w:highlight w:val="none"/>
                <w:lang w:val="en-US" w:eastAsia="zh-CN" w:bidi="ar-SA"/>
                <w14:ligatures w14:val="none"/>
              </w:rPr>
            </w:pPr>
            <w:r>
              <w:rPr>
                <w:rFonts w:hint="eastAsia" w:ascii="Times New Roman" w:hAnsi="Times New Roman" w:eastAsia="宋体" w:cs="Times New Roman"/>
                <w:b w:val="0"/>
                <w:bCs/>
                <w:snapToGrid w:val="0"/>
                <w:color w:val="auto"/>
                <w:kern w:val="0"/>
                <w:sz w:val="24"/>
                <w:szCs w:val="24"/>
                <w:highlight w:val="none"/>
                <w:lang w:val="en-US" w:eastAsia="zh-CN" w:bidi="ar-SA"/>
                <w14:ligatures w14:val="none"/>
              </w:rPr>
              <w:t>在库期间加强管理，定期盘点，及时补货。</w:t>
            </w:r>
          </w:p>
          <w:p w14:paraId="0BE9AB98">
            <w:pPr>
              <w:pStyle w:val="34"/>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b w:val="0"/>
                <w:bCs/>
                <w:snapToGrid w:val="0"/>
                <w:color w:val="auto"/>
                <w:kern w:val="0"/>
                <w:sz w:val="22"/>
                <w:szCs w:val="22"/>
                <w:highlight w:val="none"/>
                <w:lang w:val="en-US" w:eastAsia="zh-CN" w:bidi="ar-SA"/>
                <w14:ligatures w14:val="none"/>
              </w:rPr>
            </w:pPr>
            <w:r>
              <w:rPr>
                <w:rFonts w:hint="eastAsia" w:ascii="Times New Roman" w:hAnsi="Times New Roman" w:eastAsia="宋体" w:cs="Times New Roman"/>
                <w:b w:val="0"/>
                <w:bCs/>
                <w:snapToGrid w:val="0"/>
                <w:color w:val="auto"/>
                <w:kern w:val="0"/>
                <w:sz w:val="24"/>
                <w:szCs w:val="24"/>
                <w:highlight w:val="none"/>
                <w:lang w:val="en-US" w:eastAsia="zh-CN" w:bidi="ar-SA"/>
                <w14:ligatures w14:val="none"/>
              </w:rPr>
              <w:t>在客户下单后，配送成品炸药、雷管及导爆索的专用车辆进入库区，由专人（安全员或库管员）引导，按指定路线行驶、按规定地点停放并熄火。经过培训的搬运工先触摸库房门前的人体静电泄放装置，将人体的静电导入地下，再将成品炸药、雷管及导爆索从仓库内搬运至配送车辆上，装车完毕，应在专人引导驶出库区。到达使用单位后由专人接收。</w:t>
            </w:r>
          </w:p>
          <w:p w14:paraId="02C50788">
            <w:pPr>
              <w:keepNext w:val="0"/>
              <w:keepLines w:val="0"/>
              <w:pageBreakBefore w:val="0"/>
              <w:widowControl w:val="0"/>
              <w:kinsoku/>
              <w:wordWrap/>
              <w:overflowPunct/>
              <w:topLinePunct w:val="0"/>
              <w:bidi w:val="0"/>
              <w:adjustRightInd w:val="0"/>
              <w:snapToGrid w:val="0"/>
              <w:spacing w:line="500" w:lineRule="exact"/>
              <w:textAlignment w:val="auto"/>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2.</w:t>
            </w: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8.</w:t>
            </w:r>
            <w:r>
              <w:rPr>
                <w:rFonts w:hint="eastAsia" w:cs="Times New Roman"/>
                <w:b/>
                <w:bCs/>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highlight w:val="none"/>
                <w14:textFill>
                  <w14:solidFill>
                    <w14:schemeClr w14:val="tx1"/>
                  </w14:solidFill>
                </w14:textFill>
              </w:rPr>
              <w:t>主要污染工序</w:t>
            </w:r>
          </w:p>
          <w:p w14:paraId="15D2651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000000" w:themeColor="text1"/>
                <w:highlight w:val="none"/>
                <w14:textFill>
                  <w14:solidFill>
                    <w14:schemeClr w14:val="tx1"/>
                  </w14:solidFill>
                </w14:textFill>
              </w:rPr>
            </w:pPr>
            <w:r>
              <w:rPr>
                <w:rFonts w:hint="default" w:ascii="Times New Roman" w:hAnsi="Times New Roman" w:eastAsia="宋体" w:cs="Times New Roman"/>
                <w:bCs/>
                <w:color w:val="000000" w:themeColor="text1"/>
                <w:highlight w:val="none"/>
                <w14:textFill>
                  <w14:solidFill>
                    <w14:schemeClr w14:val="tx1"/>
                  </w14:solidFill>
                </w14:textFill>
              </w:rPr>
              <w:t>项目运营期主要污染工序见表</w:t>
            </w:r>
            <w:r>
              <w:rPr>
                <w:rFonts w:hint="eastAsia" w:cs="Times New Roman"/>
                <w:bCs/>
                <w:color w:val="000000" w:themeColor="text1"/>
                <w:highlight w:val="none"/>
                <w:lang w:val="en-US" w:eastAsia="zh-CN"/>
                <w14:textFill>
                  <w14:solidFill>
                    <w14:schemeClr w14:val="tx1"/>
                  </w14:solidFill>
                </w14:textFill>
              </w:rPr>
              <w:t>2.8-1</w:t>
            </w:r>
            <w:r>
              <w:rPr>
                <w:rFonts w:hint="default" w:ascii="Times New Roman" w:hAnsi="Times New Roman" w:eastAsia="宋体" w:cs="Times New Roman"/>
                <w:bCs/>
                <w:color w:val="000000" w:themeColor="text1"/>
                <w:highlight w:val="none"/>
                <w14:textFill>
                  <w14:solidFill>
                    <w14:schemeClr w14:val="tx1"/>
                  </w14:solidFill>
                </w14:textFill>
              </w:rPr>
              <w:t>。</w:t>
            </w:r>
          </w:p>
          <w:p w14:paraId="1A5FEC9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表2</w:t>
            </w:r>
            <w:r>
              <w:rPr>
                <w:rFonts w:hint="eastAsia" w:ascii="Times New Roman" w:hAnsi="Times New Roman" w:eastAsia="宋体" w:cs="Times New Roman"/>
                <w:b/>
                <w:bCs/>
                <w:color w:val="auto"/>
                <w:sz w:val="21"/>
                <w:szCs w:val="21"/>
                <w:highlight w:val="none"/>
                <w:lang w:val="en-US" w:eastAsia="zh-CN"/>
              </w:rPr>
              <w:t>.8-</w:t>
            </w:r>
            <w:r>
              <w:rPr>
                <w:rFonts w:hint="eastAsia"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lang w:val="en-US" w:eastAsia="zh-CN"/>
              </w:rPr>
              <w:t xml:space="preserve">  主要污染工序汇总表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2229"/>
              <w:gridCol w:w="5154"/>
            </w:tblGrid>
            <w:tr w14:paraId="717A6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7" w:type="pct"/>
                  <w:tcBorders>
                    <w:tl2br w:val="nil"/>
                    <w:tr2bl w:val="nil"/>
                  </w:tcBorders>
                  <w:noWrap w:val="0"/>
                  <w:vAlign w:val="center"/>
                </w:tcPr>
                <w:p w14:paraId="5B2BB747">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t>类别</w:t>
                  </w:r>
                </w:p>
              </w:tc>
              <w:tc>
                <w:tcPr>
                  <w:tcW w:w="1347" w:type="pct"/>
                  <w:tcBorders>
                    <w:tl2br w:val="nil"/>
                    <w:tr2bl w:val="nil"/>
                  </w:tcBorders>
                  <w:noWrap w:val="0"/>
                  <w:vAlign w:val="center"/>
                </w:tcPr>
                <w:p w14:paraId="28B00D96">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t>污染物名称</w:t>
                  </w:r>
                </w:p>
              </w:tc>
              <w:tc>
                <w:tcPr>
                  <w:tcW w:w="3114" w:type="pct"/>
                  <w:tcBorders>
                    <w:tl2br w:val="nil"/>
                    <w:tr2bl w:val="nil"/>
                  </w:tcBorders>
                  <w:noWrap w:val="0"/>
                  <w:vAlign w:val="center"/>
                </w:tcPr>
                <w:p w14:paraId="4E5A01F8">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t>治理措施</w:t>
                  </w:r>
                </w:p>
              </w:tc>
            </w:tr>
            <w:tr w14:paraId="0B1A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537" w:type="pct"/>
                  <w:vMerge w:val="restart"/>
                  <w:tcBorders>
                    <w:tl2br w:val="nil"/>
                    <w:tr2bl w:val="nil"/>
                  </w:tcBorders>
                  <w:noWrap w:val="0"/>
                  <w:vAlign w:val="center"/>
                </w:tcPr>
                <w:p w14:paraId="6F360796">
                  <w:pPr>
                    <w:spacing w:line="240" w:lineRule="auto"/>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auto"/>
                      <w:sz w:val="21"/>
                      <w:szCs w:val="21"/>
                      <w:highlight w:val="none"/>
                      <w:lang w:val="en-US" w:eastAsia="zh-CN"/>
                    </w:rPr>
                    <w:t>废气治理</w:t>
                  </w:r>
                </w:p>
              </w:tc>
              <w:tc>
                <w:tcPr>
                  <w:tcW w:w="1347" w:type="pct"/>
                  <w:tcBorders>
                    <w:tl2br w:val="nil"/>
                    <w:tr2bl w:val="nil"/>
                  </w:tcBorders>
                  <w:shd w:val="clear" w:color="auto" w:fill="auto"/>
                  <w:noWrap w:val="0"/>
                  <w:vAlign w:val="center"/>
                </w:tcPr>
                <w:p w14:paraId="60A0A44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color w:val="000000" w:themeColor="text1"/>
                      <w:kern w:val="2"/>
                      <w:sz w:val="21"/>
                      <w:szCs w:val="22"/>
                      <w:highlight w:val="none"/>
                      <w:lang w:val="en-US" w:eastAsia="zh-CN" w:bidi="ar-SA"/>
                      <w14:textFill>
                        <w14:solidFill>
                          <w14:schemeClr w14:val="tx1"/>
                        </w14:solidFill>
                      </w14:textFill>
                      <w14:ligatures w14:val="standardContextual"/>
                    </w:rPr>
                  </w:pPr>
                  <w:r>
                    <w:rPr>
                      <w:spacing w:val="8"/>
                      <w:sz w:val="21"/>
                      <w:szCs w:val="21"/>
                      <w:highlight w:val="none"/>
                    </w:rPr>
                    <w:t>食堂油烟</w:t>
                  </w:r>
                </w:p>
              </w:tc>
              <w:tc>
                <w:tcPr>
                  <w:tcW w:w="3114" w:type="pct"/>
                  <w:tcBorders>
                    <w:tl2br w:val="nil"/>
                    <w:tr2bl w:val="nil"/>
                  </w:tcBorders>
                  <w:shd w:val="clear" w:color="auto" w:fill="auto"/>
                  <w:noWrap w:val="0"/>
                  <w:vAlign w:val="center"/>
                </w:tcPr>
                <w:p w14:paraId="44F566D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color w:val="000000" w:themeColor="text1"/>
                      <w:kern w:val="2"/>
                      <w:sz w:val="21"/>
                      <w:szCs w:val="22"/>
                      <w:highlight w:val="none"/>
                      <w:lang w:val="en-US" w:eastAsia="zh-CN" w:bidi="ar-SA"/>
                      <w14:textFill>
                        <w14:solidFill>
                          <w14:schemeClr w14:val="tx1"/>
                        </w14:solidFill>
                      </w14:textFill>
                      <w14:ligatures w14:val="standardContextual"/>
                    </w:rPr>
                  </w:pP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食堂油烟经油烟净化器</w:t>
                  </w:r>
                  <w:r>
                    <w:rPr>
                      <w:rFonts w:hint="eastAsia" w:cs="Times New Roman"/>
                      <w:snapToGrid w:val="0"/>
                      <w:color w:val="auto"/>
                      <w:spacing w:val="0"/>
                      <w:kern w:val="0"/>
                      <w:sz w:val="21"/>
                      <w:szCs w:val="21"/>
                      <w:highlight w:val="none"/>
                      <w:lang w:val="en-US" w:eastAsia="zh-CN" w:bidi="ar-SA"/>
                      <w14:ligatures w14:val="none"/>
                    </w:rPr>
                    <w:t>处理后</w:t>
                  </w: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排放</w:t>
                  </w:r>
                  <w:r>
                    <w:rPr>
                      <w:rFonts w:hint="eastAsia" w:cs="Times New Roman"/>
                      <w:snapToGrid w:val="0"/>
                      <w:color w:val="auto"/>
                      <w:spacing w:val="0"/>
                      <w:kern w:val="0"/>
                      <w:sz w:val="21"/>
                      <w:szCs w:val="21"/>
                      <w:highlight w:val="none"/>
                      <w:lang w:val="en-US" w:eastAsia="zh-CN" w:bidi="ar-SA"/>
                      <w14:ligatures w14:val="none"/>
                    </w:rPr>
                    <w:t>。</w:t>
                  </w:r>
                </w:p>
              </w:tc>
            </w:tr>
            <w:tr w14:paraId="186C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537" w:type="pct"/>
                  <w:vMerge w:val="continue"/>
                  <w:tcBorders>
                    <w:tl2br w:val="nil"/>
                    <w:tr2bl w:val="nil"/>
                  </w:tcBorders>
                  <w:noWrap w:val="0"/>
                  <w:vAlign w:val="center"/>
                </w:tcPr>
                <w:p w14:paraId="4FB37226">
                  <w:pPr>
                    <w:spacing w:line="240" w:lineRule="auto"/>
                    <w:jc w:val="center"/>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p>
              </w:tc>
              <w:tc>
                <w:tcPr>
                  <w:tcW w:w="1347" w:type="pct"/>
                  <w:tcBorders>
                    <w:tl2br w:val="nil"/>
                    <w:tr2bl w:val="nil"/>
                  </w:tcBorders>
                  <w:shd w:val="clear" w:color="auto" w:fill="auto"/>
                  <w:noWrap w:val="0"/>
                  <w:vAlign w:val="center"/>
                </w:tcPr>
                <w:p w14:paraId="1B17781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eastAsia="宋体"/>
                      <w:spacing w:val="8"/>
                      <w:sz w:val="20"/>
                      <w:szCs w:val="20"/>
                      <w:highlight w:val="none"/>
                      <w:lang w:val="en-US" w:eastAsia="zh-CN"/>
                    </w:rPr>
                  </w:pP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运输扬尘及汽车尾气</w:t>
                  </w:r>
                </w:p>
              </w:tc>
              <w:tc>
                <w:tcPr>
                  <w:tcW w:w="3114" w:type="pct"/>
                  <w:tcBorders>
                    <w:tl2br w:val="nil"/>
                    <w:tr2bl w:val="nil"/>
                  </w:tcBorders>
                  <w:shd w:val="clear" w:color="auto" w:fill="auto"/>
                  <w:noWrap w:val="0"/>
                  <w:vAlign w:val="center"/>
                </w:tcPr>
                <w:p w14:paraId="0BB3EB0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pP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运输车辆减速慢行，加强对进出车辆的管理，减少进出车辆怠速和频繁启动。</w:t>
                  </w:r>
                </w:p>
              </w:tc>
            </w:tr>
            <w:tr w14:paraId="1F31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7" w:type="pct"/>
                  <w:tcBorders>
                    <w:tl2br w:val="nil"/>
                    <w:tr2bl w:val="nil"/>
                  </w:tcBorders>
                  <w:noWrap w:val="0"/>
                  <w:vAlign w:val="center"/>
                </w:tcPr>
                <w:p w14:paraId="31BF5E51">
                  <w:pPr>
                    <w:spacing w:line="240" w:lineRule="auto"/>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auto"/>
                      <w:sz w:val="21"/>
                      <w:szCs w:val="21"/>
                      <w:highlight w:val="none"/>
                      <w:lang w:val="en-US" w:eastAsia="zh-CN"/>
                    </w:rPr>
                    <w:t>废水治理</w:t>
                  </w:r>
                </w:p>
              </w:tc>
              <w:tc>
                <w:tcPr>
                  <w:tcW w:w="1347" w:type="pct"/>
                  <w:tcBorders>
                    <w:tl2br w:val="nil"/>
                    <w:tr2bl w:val="nil"/>
                  </w:tcBorders>
                  <w:noWrap w:val="0"/>
                  <w:vAlign w:val="center"/>
                </w:tcPr>
                <w:p w14:paraId="63EF9050">
                  <w:pPr>
                    <w:spacing w:line="240" w:lineRule="auto"/>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auto"/>
                      <w:sz w:val="21"/>
                      <w:szCs w:val="21"/>
                      <w:highlight w:val="none"/>
                      <w:lang w:val="en-US" w:eastAsia="zh-CN"/>
                    </w:rPr>
                    <w:t>生活污水、食堂废水</w:t>
                  </w:r>
                </w:p>
              </w:tc>
              <w:tc>
                <w:tcPr>
                  <w:tcW w:w="3114" w:type="pct"/>
                  <w:tcBorders>
                    <w:tl2br w:val="nil"/>
                    <w:tr2bl w:val="nil"/>
                  </w:tcBorders>
                  <w:noWrap w:val="0"/>
                  <w:vAlign w:val="center"/>
                </w:tcPr>
                <w:p w14:paraId="62AD365C">
                  <w:pPr>
                    <w:spacing w:line="240" w:lineRule="auto"/>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t>项目食堂废水经隔油预处理后与生活污水经地埋式一体化污水处理设施处理达标；春夏秋季用于洒水降尘，冬季储存于水箱，次年回暖后回用。</w:t>
                  </w:r>
                </w:p>
              </w:tc>
            </w:tr>
            <w:tr w14:paraId="7E14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7" w:type="pct"/>
                  <w:tcBorders>
                    <w:tl2br w:val="nil"/>
                    <w:tr2bl w:val="nil"/>
                  </w:tcBorders>
                  <w:noWrap w:val="0"/>
                  <w:vAlign w:val="center"/>
                </w:tcPr>
                <w:p w14:paraId="7D6F08FC">
                  <w:pPr>
                    <w:spacing w:line="240" w:lineRule="auto"/>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color w:val="auto"/>
                      <w:sz w:val="21"/>
                      <w:szCs w:val="21"/>
                      <w:highlight w:val="none"/>
                    </w:rPr>
                    <w:t>噪声治理</w:t>
                  </w:r>
                </w:p>
              </w:tc>
              <w:tc>
                <w:tcPr>
                  <w:tcW w:w="1347" w:type="pct"/>
                  <w:tcBorders>
                    <w:tl2br w:val="nil"/>
                    <w:tr2bl w:val="nil"/>
                  </w:tcBorders>
                  <w:noWrap w:val="0"/>
                  <w:vAlign w:val="center"/>
                </w:tcPr>
                <w:p w14:paraId="2D37B749">
                  <w:pPr>
                    <w:spacing w:line="240" w:lineRule="auto"/>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color w:val="auto"/>
                      <w:sz w:val="21"/>
                      <w:szCs w:val="21"/>
                      <w:highlight w:val="none"/>
                      <w:lang w:val="en-US" w:eastAsia="zh-CN"/>
                    </w:rPr>
                    <w:t>设备噪声</w:t>
                  </w:r>
                </w:p>
              </w:tc>
              <w:tc>
                <w:tcPr>
                  <w:tcW w:w="3114" w:type="pct"/>
                  <w:tcBorders>
                    <w:tl2br w:val="nil"/>
                    <w:tr2bl w:val="nil"/>
                  </w:tcBorders>
                  <w:noWrap w:val="0"/>
                  <w:vAlign w:val="center"/>
                </w:tcPr>
                <w:p w14:paraId="06C3ED30">
                  <w:pPr>
                    <w:spacing w:line="240" w:lineRule="auto"/>
                    <w:jc w:val="center"/>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color w:val="auto"/>
                      <w:sz w:val="21"/>
                      <w:szCs w:val="21"/>
                      <w:highlight w:val="none"/>
                      <w:lang w:eastAsia="zh-CN"/>
                    </w:rPr>
                    <w:t>车辆减速慢行，禁止鸣笛。</w:t>
                  </w:r>
                </w:p>
              </w:tc>
            </w:tr>
            <w:tr w14:paraId="171F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7" w:type="pct"/>
                  <w:vMerge w:val="restart"/>
                  <w:tcBorders>
                    <w:tl2br w:val="nil"/>
                    <w:tr2bl w:val="nil"/>
                  </w:tcBorders>
                  <w:noWrap w:val="0"/>
                  <w:vAlign w:val="center"/>
                </w:tcPr>
                <w:p w14:paraId="0E16E79D">
                  <w:pPr>
                    <w:spacing w:line="240" w:lineRule="auto"/>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color w:val="auto"/>
                      <w:sz w:val="21"/>
                      <w:szCs w:val="21"/>
                      <w:highlight w:val="none"/>
                    </w:rPr>
                    <w:t>固废治理</w:t>
                  </w:r>
                </w:p>
              </w:tc>
              <w:tc>
                <w:tcPr>
                  <w:tcW w:w="1347" w:type="pct"/>
                  <w:tcBorders>
                    <w:tl2br w:val="nil"/>
                    <w:tr2bl w:val="nil"/>
                  </w:tcBorders>
                  <w:shd w:val="clear" w:color="auto" w:fill="auto"/>
                  <w:noWrap w:val="0"/>
                  <w:vAlign w:val="center"/>
                </w:tcPr>
                <w:p w14:paraId="2E1CB035">
                  <w:pPr>
                    <w:spacing w:line="240" w:lineRule="auto"/>
                    <w:jc w:val="center"/>
                    <w:rPr>
                      <w:rFonts w:hint="default" w:ascii="Times New Roman" w:hAnsi="Times New Roman" w:eastAsia="宋体" w:cs="Times New Roman"/>
                      <w:snapToGrid/>
                      <w:color w:val="000000" w:themeColor="text1"/>
                      <w:kern w:val="2"/>
                      <w:sz w:val="21"/>
                      <w:szCs w:val="22"/>
                      <w:highlight w:val="none"/>
                      <w:lang w:val="en-US" w:eastAsia="zh-CN" w:bidi="ar-SA"/>
                      <w14:textFill>
                        <w14:solidFill>
                          <w14:schemeClr w14:val="tx1"/>
                        </w14:solidFill>
                      </w14:textFill>
                      <w14:ligatures w14:val="standardContextual"/>
                    </w:rPr>
                  </w:pPr>
                  <w:r>
                    <w:rPr>
                      <w:rFonts w:hint="default" w:ascii="Times New Roman" w:hAnsi="Times New Roman" w:eastAsia="宋体" w:cs="Times New Roman"/>
                      <w:color w:val="auto"/>
                      <w:sz w:val="21"/>
                      <w:szCs w:val="21"/>
                      <w:highlight w:val="none"/>
                      <w:lang w:val="en-US" w:eastAsia="zh-CN"/>
                    </w:rPr>
                    <w:t>生活垃圾</w:t>
                  </w:r>
                </w:p>
              </w:tc>
              <w:tc>
                <w:tcPr>
                  <w:tcW w:w="3114" w:type="pct"/>
                  <w:tcBorders>
                    <w:tl2br w:val="nil"/>
                    <w:tr2bl w:val="nil"/>
                  </w:tcBorders>
                  <w:shd w:val="clear" w:color="auto" w:fill="auto"/>
                  <w:noWrap w:val="0"/>
                  <w:vAlign w:val="center"/>
                </w:tcPr>
                <w:p w14:paraId="3B39093B">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集中收集后</w:t>
                  </w:r>
                  <w:r>
                    <w:rPr>
                      <w:rFonts w:hint="eastAsia" w:cs="Times New Roman"/>
                      <w:color w:val="auto"/>
                      <w:sz w:val="21"/>
                      <w:szCs w:val="21"/>
                      <w:highlight w:val="none"/>
                      <w:lang w:val="en-US" w:eastAsia="zh-CN"/>
                    </w:rPr>
                    <w:t>清运至</w:t>
                  </w:r>
                  <w:r>
                    <w:rPr>
                      <w:rFonts w:hint="default" w:ascii="Times New Roman" w:hAnsi="Times New Roman" w:eastAsia="宋体" w:cs="Times New Roman"/>
                      <w:color w:val="auto"/>
                      <w:sz w:val="21"/>
                      <w:szCs w:val="21"/>
                      <w:highlight w:val="none"/>
                    </w:rPr>
                    <w:t>环卫部门</w:t>
                  </w:r>
                  <w:r>
                    <w:rPr>
                      <w:rFonts w:hint="eastAsia" w:cs="Times New Roman"/>
                      <w:color w:val="auto"/>
                      <w:sz w:val="21"/>
                      <w:szCs w:val="21"/>
                      <w:highlight w:val="none"/>
                      <w:lang w:val="en-US" w:eastAsia="zh-CN"/>
                    </w:rPr>
                    <w:t>指定地点</w:t>
                  </w:r>
                  <w:r>
                    <w:rPr>
                      <w:rFonts w:hint="eastAsia" w:cs="Times New Roman"/>
                      <w:color w:val="auto"/>
                      <w:sz w:val="21"/>
                      <w:szCs w:val="21"/>
                      <w:highlight w:val="none"/>
                      <w:lang w:eastAsia="zh-CN"/>
                    </w:rPr>
                    <w:t>。</w:t>
                  </w:r>
                </w:p>
              </w:tc>
            </w:tr>
            <w:tr w14:paraId="4DEE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7" w:type="pct"/>
                  <w:vMerge w:val="continue"/>
                  <w:tcBorders>
                    <w:tl2br w:val="nil"/>
                    <w:tr2bl w:val="nil"/>
                  </w:tcBorders>
                  <w:noWrap w:val="0"/>
                  <w:vAlign w:val="center"/>
                </w:tcPr>
                <w:p w14:paraId="0C6BB5A3">
                  <w:pPr>
                    <w:spacing w:line="240" w:lineRule="auto"/>
                    <w:jc w:val="center"/>
                    <w:rPr>
                      <w:rFonts w:hint="default" w:ascii="Times New Roman" w:hAnsi="Times New Roman" w:eastAsia="宋体" w:cs="Times New Roman"/>
                      <w:color w:val="auto"/>
                      <w:sz w:val="21"/>
                      <w:szCs w:val="21"/>
                      <w:highlight w:val="none"/>
                    </w:rPr>
                  </w:pPr>
                </w:p>
              </w:tc>
              <w:tc>
                <w:tcPr>
                  <w:tcW w:w="1347" w:type="pct"/>
                  <w:tcBorders>
                    <w:tl2br w:val="nil"/>
                    <w:tr2bl w:val="nil"/>
                  </w:tcBorders>
                  <w:shd w:val="clear" w:color="auto" w:fill="auto"/>
                  <w:noWrap w:val="0"/>
                  <w:vAlign w:val="center"/>
                </w:tcPr>
                <w:p w14:paraId="486302B5">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过期、残次、破损炸药/雷管</w:t>
                  </w:r>
                </w:p>
              </w:tc>
              <w:tc>
                <w:tcPr>
                  <w:tcW w:w="3114" w:type="pct"/>
                  <w:tcBorders>
                    <w:tl2br w:val="nil"/>
                    <w:tr2bl w:val="nil"/>
                  </w:tcBorders>
                  <w:shd w:val="clear" w:color="auto" w:fill="auto"/>
                  <w:noWrap w:val="0"/>
                  <w:vAlign w:val="center"/>
                </w:tcPr>
                <w:p w14:paraId="5296DBE2">
                  <w:pPr>
                    <w:spacing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由民用爆炸物品行业主管部门、所在地县级人民政府公安机关组织监督销毁</w:t>
                  </w:r>
                </w:p>
              </w:tc>
            </w:tr>
          </w:tbl>
          <w:p w14:paraId="161E3BEF">
            <w:pPr>
              <w:rPr>
                <w:rFonts w:hint="default" w:ascii="Times New Roman" w:hAnsi="Times New Roman" w:cs="Times New Roman"/>
                <w:bCs/>
                <w:color w:val="auto"/>
                <w:highlight w:val="none"/>
              </w:rPr>
            </w:pPr>
          </w:p>
        </w:tc>
      </w:tr>
      <w:tr w14:paraId="05892F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29" w:hRule="atLeast"/>
          <w:jc w:val="center"/>
        </w:trPr>
        <w:tc>
          <w:tcPr>
            <w:tcW w:w="824" w:type="dxa"/>
            <w:gridSpan w:val="2"/>
            <w:vAlign w:val="center"/>
          </w:tcPr>
          <w:p w14:paraId="466DBEE0">
            <w:pPr>
              <w:jc w:val="center"/>
              <w:rPr>
                <w:rFonts w:hint="default" w:ascii="Times New Roman" w:hAnsi="Times New Roman" w:cs="Times New Roman"/>
                <w:color w:val="auto"/>
                <w:highlight w:val="none"/>
              </w:rPr>
            </w:pPr>
            <w:r>
              <w:rPr>
                <w:rFonts w:hint="default" w:ascii="Times New Roman" w:hAnsi="Times New Roman" w:cs="Times New Roman"/>
                <w:bCs/>
                <w:color w:val="auto"/>
                <w:kern w:val="2"/>
                <w:highlight w:val="none"/>
              </w:rPr>
              <w:t>与项目有关的原有环境污染问题</w:t>
            </w:r>
          </w:p>
        </w:tc>
        <w:tc>
          <w:tcPr>
            <w:tcW w:w="8160" w:type="dxa"/>
            <w:vAlign w:val="center"/>
          </w:tcPr>
          <w:p w14:paraId="0DC40AFD">
            <w:pPr>
              <w:pStyle w:val="34"/>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80" w:firstLineChars="200"/>
              <w:jc w:val="center"/>
              <w:textAlignment w:val="auto"/>
              <w:rPr>
                <w:rFonts w:hint="default"/>
                <w:highlight w:val="none"/>
                <w:lang w:val="en-US"/>
              </w:rPr>
            </w:pPr>
            <w:r>
              <w:rPr>
                <w:rFonts w:hint="eastAsia" w:cs="Times New Roman"/>
                <w:b w:val="0"/>
                <w:bCs/>
                <w:color w:val="auto"/>
                <w:sz w:val="24"/>
                <w:szCs w:val="24"/>
                <w:highlight w:val="none"/>
                <w:lang w:val="en-US" w:eastAsia="zh-CN"/>
              </w:rPr>
              <w:t>无</w:t>
            </w:r>
          </w:p>
        </w:tc>
      </w:tr>
    </w:tbl>
    <w:p w14:paraId="05A6B3A5">
      <w:pPr>
        <w:jc w:val="center"/>
        <w:rPr>
          <w:rFonts w:ascii="黑体" w:hAnsi="黑体" w:eastAsia="黑体"/>
          <w:color w:val="auto"/>
          <w:sz w:val="36"/>
          <w:szCs w:val="36"/>
          <w:highlight w:val="none"/>
        </w:rPr>
        <w:sectPr>
          <w:footerReference r:id="rId9"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81095FE">
      <w:pPr>
        <w:spacing w:line="14" w:lineRule="auto"/>
        <w:jc w:val="center"/>
        <w:outlineLvl w:val="0"/>
        <w:rPr>
          <w:rFonts w:ascii="黑体" w:hAnsi="黑体" w:eastAsia="黑体"/>
          <w:color w:val="auto"/>
          <w:sz w:val="30"/>
          <w:szCs w:val="30"/>
          <w:highlight w:val="none"/>
        </w:rPr>
      </w:pPr>
    </w:p>
    <w:p w14:paraId="080C5C0E">
      <w:pPr>
        <w:jc w:val="center"/>
        <w:outlineLvl w:val="0"/>
        <w:rPr>
          <w:rFonts w:ascii="黑体" w:hAnsi="黑体" w:eastAsia="黑体"/>
          <w:color w:val="auto"/>
          <w:sz w:val="30"/>
          <w:szCs w:val="30"/>
          <w:highlight w:val="none"/>
        </w:rPr>
      </w:pPr>
      <w:r>
        <w:rPr>
          <w:rFonts w:hint="eastAsia" w:ascii="黑体" w:hAnsi="黑体" w:eastAsia="黑体"/>
          <w:color w:val="auto"/>
          <w:sz w:val="30"/>
          <w:szCs w:val="30"/>
          <w:highlight w:val="none"/>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97"/>
        <w:gridCol w:w="8611"/>
      </w:tblGrid>
      <w:tr w14:paraId="6F7265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397" w:type="dxa"/>
            <w:vAlign w:val="center"/>
          </w:tcPr>
          <w:p w14:paraId="69F6198C">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区域</w:t>
            </w:r>
          </w:p>
          <w:p w14:paraId="7461944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环境</w:t>
            </w:r>
          </w:p>
          <w:p w14:paraId="45283B5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质量</w:t>
            </w:r>
          </w:p>
          <w:p w14:paraId="60BEE8C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现状</w:t>
            </w:r>
          </w:p>
        </w:tc>
        <w:tc>
          <w:tcPr>
            <w:tcW w:w="8611" w:type="dxa"/>
          </w:tcPr>
          <w:p w14:paraId="03C68944">
            <w:pPr>
              <w:keepNext w:val="0"/>
              <w:keepLines w:val="0"/>
              <w:pageBreakBefore w:val="0"/>
              <w:widowControl w:val="0"/>
              <w:kinsoku/>
              <w:wordWrap/>
              <w:overflowPunct/>
              <w:topLinePunct w:val="0"/>
              <w:autoSpaceDE/>
              <w:autoSpaceDN/>
              <w:bidi w:val="0"/>
              <w:adjustRightInd/>
              <w:snapToGrid w:val="0"/>
              <w:spacing w:line="500" w:lineRule="exact"/>
              <w:ind w:firstLine="0" w:firstLineChars="0"/>
              <w:textAlignment w:val="auto"/>
              <w:outlineLvl w:val="1"/>
              <w:rPr>
                <w:rFonts w:hint="default"/>
                <w:highlight w:val="none"/>
                <w:lang w:val="en-US" w:eastAsia="zh-CN"/>
              </w:rPr>
            </w:pPr>
            <w:r>
              <w:rPr>
                <w:rFonts w:hint="default" w:ascii="Times New Roman" w:hAnsi="Times New Roman" w:eastAsia="宋体" w:cs="Times New Roman"/>
                <w:b/>
                <w:color w:val="auto"/>
                <w:highlight w:val="none"/>
              </w:rPr>
              <w:t>3.1</w:t>
            </w:r>
            <w:r>
              <w:rPr>
                <w:rFonts w:hint="eastAsia" w:cs="Times New Roman"/>
                <w:b/>
                <w:bCs/>
                <w:color w:val="auto"/>
                <w:spacing w:val="6"/>
                <w:sz w:val="24"/>
                <w:szCs w:val="24"/>
                <w:highlight w:val="none"/>
                <w:lang w:val="en-US" w:eastAsia="zh-CN"/>
              </w:rPr>
              <w:t>环境空气</w:t>
            </w:r>
          </w:p>
          <w:p w14:paraId="2FA694AB">
            <w:pPr>
              <w:keepNext w:val="0"/>
              <w:keepLines w:val="0"/>
              <w:pageBreakBefore w:val="0"/>
              <w:kinsoku/>
              <w:wordWrap/>
              <w:overflowPunct/>
              <w:topLinePunct w:val="0"/>
              <w:autoSpaceDE/>
              <w:autoSpaceDN/>
              <w:bidi w:val="0"/>
              <w:adjustRightInd w:val="0"/>
              <w:snapToGrid w:val="0"/>
              <w:spacing w:line="500" w:lineRule="exact"/>
              <w:jc w:val="both"/>
              <w:textAlignment w:val="auto"/>
              <w:rPr>
                <w:rFonts w:hint="default" w:ascii="Times New Roman" w:hAnsi="Times New Roman" w:eastAsia="宋体" w:cs="Times New Roman"/>
                <w:b/>
                <w:color w:val="auto"/>
                <w:highlight w:val="none"/>
                <w:lang w:val="en-US" w:eastAsia="zh-CN"/>
              </w:rPr>
            </w:pPr>
            <w:r>
              <w:rPr>
                <w:rFonts w:hint="default" w:ascii="Times New Roman" w:hAnsi="Times New Roman" w:eastAsia="宋体" w:cs="Times New Roman"/>
                <w:b/>
                <w:color w:val="auto"/>
                <w:highlight w:val="none"/>
              </w:rPr>
              <w:t>3.</w:t>
            </w:r>
            <w:r>
              <w:rPr>
                <w:rFonts w:hint="eastAsia" w:cs="Times New Roman"/>
                <w:b/>
                <w:color w:val="auto"/>
                <w:highlight w:val="none"/>
                <w:lang w:val="en-US" w:eastAsia="zh-CN"/>
              </w:rPr>
              <w:t>1.1达标区判定</w:t>
            </w:r>
          </w:p>
          <w:p w14:paraId="01AA6CA5">
            <w:pPr>
              <w:ind w:firstLine="480"/>
              <w:rPr>
                <w:rFonts w:hint="eastAsia"/>
                <w:color w:val="auto"/>
                <w:highlight w:val="none"/>
              </w:rPr>
            </w:pPr>
            <w:r>
              <w:rPr>
                <w:rFonts w:hint="eastAsia"/>
                <w:color w:val="auto"/>
                <w:highlight w:val="none"/>
                <w:lang w:val="en-US" w:eastAsia="zh-CN"/>
              </w:rPr>
              <w:t>本项目</w:t>
            </w:r>
            <w:r>
              <w:rPr>
                <w:rFonts w:hint="eastAsia"/>
                <w:color w:val="auto"/>
                <w:highlight w:val="none"/>
              </w:rPr>
              <w:t>地理位置位于新疆维吾尔自治区巴音郭楞蒙古自治州若羌县以南直线距离85公里处，行政区划属巴音郭楞蒙古自治州</w:t>
            </w:r>
            <w:r>
              <w:rPr>
                <w:rFonts w:hint="eastAsia"/>
                <w:color w:val="auto"/>
                <w:highlight w:val="none"/>
                <w:lang w:val="en-US" w:eastAsia="zh-CN"/>
              </w:rPr>
              <w:t>若羌</w:t>
            </w:r>
            <w:r>
              <w:rPr>
                <w:rFonts w:hint="eastAsia"/>
                <w:color w:val="auto"/>
                <w:highlight w:val="none"/>
              </w:rPr>
              <w:t>县管辖</w:t>
            </w:r>
            <w:r>
              <w:rPr>
                <w:rFonts w:hint="eastAsia"/>
                <w:color w:val="auto"/>
                <w:highlight w:val="none"/>
                <w:lang w:eastAsia="zh-CN"/>
              </w:rPr>
              <w:t>。</w:t>
            </w:r>
            <w:r>
              <w:rPr>
                <w:rFonts w:hint="default" w:ascii="Times New Roman" w:hAnsi="Times New Roman" w:eastAsia="宋体" w:cs="Times New Roman"/>
                <w:color w:val="auto"/>
                <w:sz w:val="24"/>
                <w:highlight w:val="none"/>
                <w:lang w:val="en-US" w:eastAsia="zh-CN"/>
              </w:rPr>
              <w:t>根据《建设项目环境影响报告表编制技术指南（污染影响类）（试行）</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要求。本次环境空气质量现状采用</w:t>
            </w:r>
            <w:r>
              <w:rPr>
                <w:rFonts w:hint="eastAsia" w:ascii="Times New Roman" w:hAnsi="Times New Roman" w:eastAsia="宋体" w:cs="Times New Roman"/>
                <w:color w:val="auto"/>
                <w:sz w:val="24"/>
                <w:highlight w:val="none"/>
                <w:lang w:val="en-US" w:eastAsia="zh-CN"/>
              </w:rPr>
              <w:t>202</w:t>
            </w:r>
            <w:r>
              <w:rPr>
                <w:rFonts w:hint="eastAsia" w:cs="Times New Roman"/>
                <w:color w:val="auto"/>
                <w:sz w:val="24"/>
                <w:highlight w:val="none"/>
                <w:lang w:val="en-US" w:eastAsia="zh-CN"/>
              </w:rPr>
              <w:t>4</w:t>
            </w:r>
            <w:r>
              <w:rPr>
                <w:rFonts w:hint="eastAsia" w:ascii="Times New Roman" w:hAnsi="Times New Roman" w:eastAsia="宋体" w:cs="Times New Roman"/>
                <w:color w:val="auto"/>
                <w:sz w:val="24"/>
                <w:highlight w:val="none"/>
                <w:lang w:val="en-US" w:eastAsia="zh-CN"/>
              </w:rPr>
              <w:t>年</w:t>
            </w:r>
            <w:r>
              <w:rPr>
                <w:rFonts w:hint="eastAsia" w:cs="Times New Roman"/>
                <w:color w:val="auto"/>
                <w:sz w:val="24"/>
                <w:highlight w:val="none"/>
                <w:lang w:val="en-US" w:eastAsia="zh-CN"/>
              </w:rPr>
              <w:t>若羌县</w:t>
            </w:r>
            <w:r>
              <w:rPr>
                <w:rFonts w:hint="default" w:ascii="Times New Roman" w:hAnsi="Times New Roman" w:eastAsia="宋体" w:cs="Times New Roman"/>
                <w:color w:val="auto"/>
                <w:sz w:val="24"/>
                <w:highlight w:val="none"/>
                <w:lang w:val="en-US" w:eastAsia="zh-CN"/>
              </w:rPr>
              <w:t>SO</w:t>
            </w:r>
            <w:r>
              <w:rPr>
                <w:rFonts w:hint="default" w:ascii="Times New Roman" w:hAnsi="Times New Roman" w:eastAsia="宋体" w:cs="Times New Roman"/>
                <w:color w:val="auto"/>
                <w:sz w:val="24"/>
                <w:highlight w:val="none"/>
                <w:vertAlign w:val="subscript"/>
                <w:lang w:val="en-US" w:eastAsia="zh-CN"/>
              </w:rPr>
              <w:t>2</w:t>
            </w:r>
            <w:r>
              <w:rPr>
                <w:rFonts w:hint="default" w:ascii="Times New Roman" w:hAnsi="Times New Roman" w:eastAsia="宋体" w:cs="Times New Roman"/>
                <w:color w:val="auto"/>
                <w:sz w:val="24"/>
                <w:highlight w:val="none"/>
                <w:lang w:val="en-US" w:eastAsia="zh-CN"/>
              </w:rPr>
              <w:t>、NO</w:t>
            </w:r>
            <w:r>
              <w:rPr>
                <w:rFonts w:hint="default" w:ascii="Times New Roman" w:hAnsi="Times New Roman" w:eastAsia="宋体" w:cs="Times New Roman"/>
                <w:color w:val="auto"/>
                <w:sz w:val="24"/>
                <w:highlight w:val="none"/>
                <w:vertAlign w:val="subscript"/>
                <w:lang w:val="en-US" w:eastAsia="zh-CN"/>
              </w:rPr>
              <w:t>2</w:t>
            </w:r>
            <w:r>
              <w:rPr>
                <w:rFonts w:hint="default" w:ascii="Times New Roman" w:hAnsi="Times New Roman" w:eastAsia="宋体" w:cs="Times New Roman"/>
                <w:color w:val="auto"/>
                <w:sz w:val="24"/>
                <w:highlight w:val="none"/>
                <w:lang w:val="en-US" w:eastAsia="zh-CN"/>
              </w:rPr>
              <w:t>、CO、O</w:t>
            </w:r>
            <w:r>
              <w:rPr>
                <w:rFonts w:hint="default" w:ascii="Times New Roman" w:hAnsi="Times New Roman" w:eastAsia="宋体" w:cs="Times New Roman"/>
                <w:color w:val="auto"/>
                <w:sz w:val="24"/>
                <w:highlight w:val="none"/>
                <w:vertAlign w:val="subscript"/>
                <w:lang w:val="en-US" w:eastAsia="zh-CN"/>
              </w:rPr>
              <w:t>3</w:t>
            </w:r>
            <w:r>
              <w:rPr>
                <w:rFonts w:hint="default" w:ascii="Times New Roman" w:hAnsi="Times New Roman" w:eastAsia="宋体" w:cs="Times New Roman"/>
                <w:color w:val="auto"/>
                <w:sz w:val="24"/>
                <w:highlight w:val="none"/>
                <w:lang w:val="en-US" w:eastAsia="zh-CN"/>
              </w:rPr>
              <w:t>、PM</w:t>
            </w:r>
            <w:r>
              <w:rPr>
                <w:rFonts w:hint="default" w:ascii="Times New Roman" w:hAnsi="Times New Roman" w:eastAsia="宋体" w:cs="Times New Roman"/>
                <w:color w:val="auto"/>
                <w:sz w:val="24"/>
                <w:highlight w:val="none"/>
                <w:vertAlign w:val="subscript"/>
                <w:lang w:val="en-US" w:eastAsia="zh-CN"/>
              </w:rPr>
              <w:t>10</w:t>
            </w:r>
            <w:r>
              <w:rPr>
                <w:rFonts w:hint="default" w:ascii="Times New Roman" w:hAnsi="Times New Roman" w:eastAsia="宋体" w:cs="Times New Roman"/>
                <w:color w:val="auto"/>
                <w:sz w:val="24"/>
                <w:highlight w:val="none"/>
                <w:lang w:val="en-US" w:eastAsia="zh-CN"/>
              </w:rPr>
              <w:t>、PM</w:t>
            </w:r>
            <w:r>
              <w:rPr>
                <w:rFonts w:hint="eastAsia" w:ascii="Times New Roman" w:hAnsi="Times New Roman" w:eastAsia="宋体" w:cs="Times New Roman"/>
                <w:color w:val="auto"/>
                <w:sz w:val="24"/>
                <w:highlight w:val="none"/>
                <w:vertAlign w:val="subscript"/>
                <w:lang w:val="en-US" w:eastAsia="zh-CN"/>
              </w:rPr>
              <w:t>2.5</w:t>
            </w:r>
            <w:r>
              <w:rPr>
                <w:rFonts w:hint="eastAsia" w:ascii="Times New Roman" w:hAnsi="Times New Roman" w:eastAsia="宋体" w:cs="Times New Roman"/>
                <w:color w:val="auto"/>
                <w:sz w:val="24"/>
                <w:highlight w:val="none"/>
                <w:lang w:val="en-US" w:eastAsia="zh-CN"/>
              </w:rPr>
              <w:t>等</w:t>
            </w:r>
            <w:r>
              <w:rPr>
                <w:rFonts w:hint="default" w:ascii="Times New Roman" w:hAnsi="Times New Roman" w:eastAsia="宋体" w:cs="Times New Roman"/>
                <w:color w:val="auto"/>
                <w:sz w:val="24"/>
                <w:highlight w:val="none"/>
                <w:lang w:val="en-US" w:eastAsia="zh-CN"/>
              </w:rPr>
              <w:t>六项基本污染物环境空气质量现状数据</w:t>
            </w:r>
            <w:r>
              <w:rPr>
                <w:rFonts w:hint="eastAsia" w:ascii="Times New Roman" w:hAnsi="Times New Roman" w:eastAsia="宋体" w:cs="Times New Roman"/>
                <w:color w:val="auto"/>
                <w:sz w:val="24"/>
                <w:highlight w:val="none"/>
                <w:lang w:val="en-US" w:eastAsia="zh-CN"/>
              </w:rPr>
              <w:t>，详见下表</w:t>
            </w:r>
            <w:r>
              <w:rPr>
                <w:rFonts w:hint="default" w:ascii="Times New Roman" w:hAnsi="Times New Roman" w:eastAsia="宋体" w:cs="Times New Roman"/>
                <w:color w:val="auto"/>
                <w:sz w:val="24"/>
                <w:highlight w:val="none"/>
                <w:lang w:val="en-US" w:eastAsia="zh-CN"/>
              </w:rPr>
              <w:t>。</w:t>
            </w:r>
          </w:p>
          <w:p w14:paraId="0E89DB5D">
            <w:pPr>
              <w:pStyle w:val="36"/>
              <w:keepNext w:val="0"/>
              <w:keepLines w:val="0"/>
              <w:pageBreakBefore w:val="0"/>
              <w:widowControl w:val="0"/>
              <w:kinsoku/>
              <w:wordWrap/>
              <w:overflowPunct/>
              <w:topLinePunct w:val="0"/>
              <w:autoSpaceDE/>
              <w:autoSpaceDN/>
              <w:bidi w:val="0"/>
              <w:adjustRightInd w:val="0"/>
              <w:snapToGrid/>
              <w:spacing w:line="240" w:lineRule="auto"/>
              <w:ind w:left="0" w:firstLine="0" w:firstLineChars="0"/>
              <w:textAlignment w:val="baseline"/>
              <w:rPr>
                <w:color w:val="auto"/>
                <w:sz w:val="21"/>
                <w:szCs w:val="21"/>
                <w:highlight w:val="none"/>
              </w:rPr>
            </w:pPr>
            <w:r>
              <w:rPr>
                <w:rFonts w:hint="eastAsia"/>
                <w:color w:val="auto"/>
                <w:sz w:val="21"/>
                <w:szCs w:val="21"/>
                <w:highlight w:val="none"/>
              </w:rPr>
              <w:t>表3</w:t>
            </w:r>
            <w:r>
              <w:rPr>
                <w:color w:val="auto"/>
                <w:sz w:val="21"/>
                <w:szCs w:val="21"/>
                <w:highlight w:val="none"/>
              </w:rPr>
              <w:t>-</w:t>
            </w:r>
            <w:r>
              <w:rPr>
                <w:rFonts w:hint="eastAsia"/>
                <w:color w:val="auto"/>
                <w:sz w:val="21"/>
                <w:szCs w:val="21"/>
                <w:highlight w:val="none"/>
                <w:lang w:val="en-US" w:eastAsia="zh-CN"/>
              </w:rPr>
              <w:t>1</w:t>
            </w:r>
            <w:r>
              <w:rPr>
                <w:rFonts w:hint="eastAsia"/>
                <w:color w:val="auto"/>
                <w:sz w:val="21"/>
                <w:szCs w:val="21"/>
                <w:highlight w:val="none"/>
              </w:rPr>
              <w:t xml:space="preserve">   区域空气质量现状评价表单位（</w:t>
            </w:r>
            <w:r>
              <w:rPr>
                <w:color w:val="auto"/>
                <w:sz w:val="21"/>
                <w:szCs w:val="21"/>
                <w:highlight w:val="none"/>
              </w:rPr>
              <w:t>μg/m³</w:t>
            </w:r>
            <w:r>
              <w:rPr>
                <w:rFonts w:hint="eastAsia"/>
                <w:color w:val="auto"/>
                <w:sz w:val="21"/>
                <w:szCs w:val="21"/>
                <w:highlight w:val="none"/>
              </w:rPr>
              <w:t>）</w:t>
            </w:r>
          </w:p>
          <w:tbl>
            <w:tblPr>
              <w:tblStyle w:val="27"/>
              <w:tblW w:w="4997"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66"/>
              <w:gridCol w:w="2986"/>
              <w:gridCol w:w="1161"/>
              <w:gridCol w:w="1171"/>
              <w:gridCol w:w="1129"/>
              <w:gridCol w:w="1058"/>
            </w:tblGrid>
            <w:tr w14:paraId="5CB699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1" w:hRule="atLeast"/>
                <w:jc w:val="center"/>
              </w:trPr>
              <w:tc>
                <w:tcPr>
                  <w:tcW w:w="517" w:type="pct"/>
                  <w:vMerge w:val="restart"/>
                  <w:tcBorders>
                    <w:tl2br w:val="nil"/>
                    <w:tr2bl w:val="nil"/>
                  </w:tcBorders>
                  <w:noWrap w:val="0"/>
                  <w:vAlign w:val="center"/>
                </w:tcPr>
                <w:p w14:paraId="351A8C27">
                  <w:pPr>
                    <w:spacing w:line="240" w:lineRule="auto"/>
                    <w:ind w:firstLine="0" w:firstLineChars="0"/>
                    <w:jc w:val="center"/>
                    <w:rPr>
                      <w:b w:val="0"/>
                      <w:bCs w:val="0"/>
                      <w:color w:val="auto"/>
                      <w:sz w:val="21"/>
                      <w:highlight w:val="none"/>
                    </w:rPr>
                  </w:pPr>
                  <w:r>
                    <w:rPr>
                      <w:b w:val="0"/>
                      <w:bCs w:val="0"/>
                      <w:color w:val="auto"/>
                      <w:sz w:val="21"/>
                      <w:highlight w:val="none"/>
                    </w:rPr>
                    <w:t>评价因子</w:t>
                  </w:r>
                </w:p>
              </w:tc>
              <w:tc>
                <w:tcPr>
                  <w:tcW w:w="1782" w:type="pct"/>
                  <w:vMerge w:val="restart"/>
                  <w:tcBorders>
                    <w:tl2br w:val="nil"/>
                    <w:tr2bl w:val="nil"/>
                  </w:tcBorders>
                  <w:noWrap w:val="0"/>
                  <w:vAlign w:val="center"/>
                </w:tcPr>
                <w:p w14:paraId="35398B58">
                  <w:pPr>
                    <w:spacing w:line="240" w:lineRule="auto"/>
                    <w:ind w:firstLine="0" w:firstLineChars="0"/>
                    <w:jc w:val="center"/>
                    <w:rPr>
                      <w:b w:val="0"/>
                      <w:bCs w:val="0"/>
                      <w:color w:val="auto"/>
                      <w:sz w:val="21"/>
                      <w:highlight w:val="none"/>
                    </w:rPr>
                  </w:pPr>
                  <w:r>
                    <w:rPr>
                      <w:b w:val="0"/>
                      <w:bCs w:val="0"/>
                      <w:color w:val="auto"/>
                      <w:sz w:val="21"/>
                      <w:highlight w:val="none"/>
                    </w:rPr>
                    <w:t>年评价指标</w:t>
                  </w:r>
                </w:p>
              </w:tc>
              <w:tc>
                <w:tcPr>
                  <w:tcW w:w="693" w:type="pct"/>
                  <w:vMerge w:val="restart"/>
                  <w:tcBorders>
                    <w:tl2br w:val="nil"/>
                    <w:tr2bl w:val="nil"/>
                  </w:tcBorders>
                  <w:noWrap w:val="0"/>
                  <w:vAlign w:val="center"/>
                </w:tcPr>
                <w:p w14:paraId="76611FF6">
                  <w:pPr>
                    <w:spacing w:line="240" w:lineRule="auto"/>
                    <w:ind w:firstLine="0" w:firstLineChars="0"/>
                    <w:jc w:val="center"/>
                    <w:rPr>
                      <w:b w:val="0"/>
                      <w:bCs w:val="0"/>
                      <w:color w:val="auto"/>
                      <w:sz w:val="21"/>
                      <w:highlight w:val="none"/>
                    </w:rPr>
                  </w:pPr>
                  <w:r>
                    <w:rPr>
                      <w:b w:val="0"/>
                      <w:bCs w:val="0"/>
                      <w:color w:val="auto"/>
                      <w:sz w:val="21"/>
                      <w:highlight w:val="none"/>
                    </w:rPr>
                    <w:t>现状浓度</w:t>
                  </w:r>
                </w:p>
                <w:p w14:paraId="47A2C56A">
                  <w:pPr>
                    <w:spacing w:line="240" w:lineRule="auto"/>
                    <w:ind w:firstLine="0" w:firstLineChars="0"/>
                    <w:jc w:val="center"/>
                    <w:rPr>
                      <w:b w:val="0"/>
                      <w:bCs w:val="0"/>
                      <w:color w:val="auto"/>
                      <w:sz w:val="21"/>
                      <w:highlight w:val="none"/>
                    </w:rPr>
                  </w:pPr>
                  <w:r>
                    <w:rPr>
                      <w:b w:val="0"/>
                      <w:bCs w:val="0"/>
                      <w:color w:val="auto"/>
                      <w:sz w:val="21"/>
                      <w:highlight w:val="none"/>
                    </w:rPr>
                    <w:t>µg/m</w:t>
                  </w:r>
                  <w:r>
                    <w:rPr>
                      <w:b w:val="0"/>
                      <w:bCs w:val="0"/>
                      <w:color w:val="auto"/>
                      <w:sz w:val="21"/>
                      <w:highlight w:val="none"/>
                      <w:vertAlign w:val="superscript"/>
                    </w:rPr>
                    <w:t>3</w:t>
                  </w:r>
                </w:p>
              </w:tc>
              <w:tc>
                <w:tcPr>
                  <w:tcW w:w="699" w:type="pct"/>
                  <w:tcBorders>
                    <w:tl2br w:val="nil"/>
                    <w:tr2bl w:val="nil"/>
                  </w:tcBorders>
                  <w:noWrap w:val="0"/>
                  <w:vAlign w:val="center"/>
                </w:tcPr>
                <w:p w14:paraId="73F93923">
                  <w:pPr>
                    <w:spacing w:line="240" w:lineRule="auto"/>
                    <w:ind w:firstLine="0" w:firstLineChars="0"/>
                    <w:jc w:val="center"/>
                    <w:rPr>
                      <w:b w:val="0"/>
                      <w:bCs w:val="0"/>
                      <w:color w:val="auto"/>
                      <w:sz w:val="21"/>
                      <w:highlight w:val="none"/>
                    </w:rPr>
                  </w:pPr>
                  <w:r>
                    <w:rPr>
                      <w:b w:val="0"/>
                      <w:bCs w:val="0"/>
                      <w:color w:val="auto"/>
                      <w:sz w:val="21"/>
                      <w:highlight w:val="none"/>
                    </w:rPr>
                    <w:t>标准限值</w:t>
                  </w:r>
                </w:p>
              </w:tc>
              <w:tc>
                <w:tcPr>
                  <w:tcW w:w="674" w:type="pct"/>
                  <w:vMerge w:val="restart"/>
                  <w:tcBorders>
                    <w:tl2br w:val="nil"/>
                    <w:tr2bl w:val="nil"/>
                  </w:tcBorders>
                  <w:noWrap w:val="0"/>
                  <w:vAlign w:val="center"/>
                </w:tcPr>
                <w:p w14:paraId="3D20605A">
                  <w:pPr>
                    <w:spacing w:line="240" w:lineRule="auto"/>
                    <w:ind w:firstLine="0" w:firstLineChars="0"/>
                    <w:jc w:val="center"/>
                    <w:rPr>
                      <w:rFonts w:hint="default" w:eastAsia="宋体"/>
                      <w:b w:val="0"/>
                      <w:bCs w:val="0"/>
                      <w:color w:val="auto"/>
                      <w:sz w:val="21"/>
                      <w:highlight w:val="none"/>
                      <w:lang w:val="en-US" w:eastAsia="zh-CN"/>
                    </w:rPr>
                  </w:pPr>
                  <w:r>
                    <w:rPr>
                      <w:b w:val="0"/>
                      <w:bCs w:val="0"/>
                      <w:color w:val="auto"/>
                      <w:sz w:val="21"/>
                      <w:highlight w:val="none"/>
                    </w:rPr>
                    <w:t>占标率</w:t>
                  </w:r>
                  <w:r>
                    <w:rPr>
                      <w:rFonts w:hint="eastAsia"/>
                      <w:b w:val="0"/>
                      <w:bCs w:val="0"/>
                      <w:color w:val="auto"/>
                      <w:sz w:val="21"/>
                      <w:highlight w:val="none"/>
                      <w:lang w:val="en-US" w:eastAsia="zh-CN"/>
                    </w:rPr>
                    <w:t>/%</w:t>
                  </w:r>
                </w:p>
              </w:tc>
              <w:tc>
                <w:tcPr>
                  <w:tcW w:w="632" w:type="pct"/>
                  <w:vMerge w:val="restart"/>
                  <w:tcBorders>
                    <w:tl2br w:val="nil"/>
                    <w:tr2bl w:val="nil"/>
                  </w:tcBorders>
                  <w:noWrap w:val="0"/>
                  <w:vAlign w:val="center"/>
                </w:tcPr>
                <w:p w14:paraId="0B69028B">
                  <w:pPr>
                    <w:spacing w:line="240" w:lineRule="auto"/>
                    <w:ind w:firstLine="0" w:firstLineChars="0"/>
                    <w:jc w:val="center"/>
                    <w:rPr>
                      <w:b w:val="0"/>
                      <w:bCs w:val="0"/>
                      <w:color w:val="auto"/>
                      <w:sz w:val="21"/>
                      <w:highlight w:val="none"/>
                    </w:rPr>
                  </w:pPr>
                  <w:r>
                    <w:rPr>
                      <w:b w:val="0"/>
                      <w:bCs w:val="0"/>
                      <w:color w:val="auto"/>
                      <w:sz w:val="21"/>
                      <w:highlight w:val="none"/>
                    </w:rPr>
                    <w:t>达标情况</w:t>
                  </w:r>
                </w:p>
              </w:tc>
            </w:tr>
            <w:tr w14:paraId="3A4246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1" w:hRule="atLeast"/>
                <w:jc w:val="center"/>
              </w:trPr>
              <w:tc>
                <w:tcPr>
                  <w:tcW w:w="517" w:type="pct"/>
                  <w:vMerge w:val="continue"/>
                  <w:tcBorders>
                    <w:tl2br w:val="nil"/>
                    <w:tr2bl w:val="nil"/>
                  </w:tcBorders>
                  <w:noWrap w:val="0"/>
                  <w:vAlign w:val="center"/>
                </w:tcPr>
                <w:p w14:paraId="33B36090">
                  <w:pPr>
                    <w:spacing w:line="240" w:lineRule="auto"/>
                    <w:ind w:firstLine="0" w:firstLineChars="0"/>
                    <w:jc w:val="center"/>
                    <w:rPr>
                      <w:color w:val="auto"/>
                      <w:sz w:val="21"/>
                      <w:highlight w:val="none"/>
                    </w:rPr>
                  </w:pPr>
                </w:p>
              </w:tc>
              <w:tc>
                <w:tcPr>
                  <w:tcW w:w="1782" w:type="pct"/>
                  <w:vMerge w:val="continue"/>
                  <w:tcBorders>
                    <w:tl2br w:val="nil"/>
                    <w:tr2bl w:val="nil"/>
                  </w:tcBorders>
                  <w:noWrap w:val="0"/>
                  <w:vAlign w:val="center"/>
                </w:tcPr>
                <w:p w14:paraId="5F11614D">
                  <w:pPr>
                    <w:spacing w:line="240" w:lineRule="auto"/>
                    <w:ind w:firstLine="0" w:firstLineChars="0"/>
                    <w:jc w:val="center"/>
                    <w:rPr>
                      <w:color w:val="auto"/>
                      <w:sz w:val="21"/>
                      <w:highlight w:val="none"/>
                    </w:rPr>
                  </w:pPr>
                </w:p>
              </w:tc>
              <w:tc>
                <w:tcPr>
                  <w:tcW w:w="693" w:type="pct"/>
                  <w:vMerge w:val="continue"/>
                  <w:tcBorders>
                    <w:tl2br w:val="nil"/>
                    <w:tr2bl w:val="nil"/>
                  </w:tcBorders>
                  <w:noWrap w:val="0"/>
                  <w:vAlign w:val="center"/>
                </w:tcPr>
                <w:p w14:paraId="3C92B681">
                  <w:pPr>
                    <w:spacing w:line="240" w:lineRule="auto"/>
                    <w:ind w:firstLine="0" w:firstLineChars="0"/>
                    <w:jc w:val="center"/>
                    <w:rPr>
                      <w:color w:val="auto"/>
                      <w:sz w:val="21"/>
                      <w:highlight w:val="none"/>
                    </w:rPr>
                  </w:pPr>
                </w:p>
              </w:tc>
              <w:tc>
                <w:tcPr>
                  <w:tcW w:w="699" w:type="pct"/>
                  <w:tcBorders>
                    <w:tl2br w:val="nil"/>
                    <w:tr2bl w:val="nil"/>
                  </w:tcBorders>
                  <w:noWrap w:val="0"/>
                  <w:vAlign w:val="center"/>
                </w:tcPr>
                <w:p w14:paraId="64EAABA2">
                  <w:pPr>
                    <w:spacing w:line="240" w:lineRule="auto"/>
                    <w:ind w:firstLine="0" w:firstLineChars="0"/>
                    <w:jc w:val="center"/>
                    <w:rPr>
                      <w:color w:val="auto"/>
                      <w:sz w:val="21"/>
                      <w:highlight w:val="none"/>
                    </w:rPr>
                  </w:pPr>
                  <w:r>
                    <w:rPr>
                      <w:b w:val="0"/>
                      <w:bCs w:val="0"/>
                      <w:color w:val="auto"/>
                      <w:sz w:val="21"/>
                      <w:highlight w:val="none"/>
                    </w:rPr>
                    <w:t>µg/m</w:t>
                  </w:r>
                  <w:r>
                    <w:rPr>
                      <w:b w:val="0"/>
                      <w:bCs w:val="0"/>
                      <w:color w:val="auto"/>
                      <w:sz w:val="21"/>
                      <w:highlight w:val="none"/>
                      <w:vertAlign w:val="superscript"/>
                    </w:rPr>
                    <w:t>3</w:t>
                  </w:r>
                </w:p>
              </w:tc>
              <w:tc>
                <w:tcPr>
                  <w:tcW w:w="674" w:type="pct"/>
                  <w:vMerge w:val="continue"/>
                  <w:tcBorders>
                    <w:tl2br w:val="nil"/>
                    <w:tr2bl w:val="nil"/>
                  </w:tcBorders>
                  <w:noWrap w:val="0"/>
                  <w:vAlign w:val="center"/>
                </w:tcPr>
                <w:p w14:paraId="58D65813">
                  <w:pPr>
                    <w:spacing w:line="240" w:lineRule="auto"/>
                    <w:ind w:firstLine="0" w:firstLineChars="0"/>
                    <w:jc w:val="center"/>
                    <w:rPr>
                      <w:color w:val="auto"/>
                      <w:sz w:val="21"/>
                      <w:highlight w:val="none"/>
                    </w:rPr>
                  </w:pPr>
                </w:p>
              </w:tc>
              <w:tc>
                <w:tcPr>
                  <w:tcW w:w="632" w:type="pct"/>
                  <w:vMerge w:val="continue"/>
                  <w:tcBorders>
                    <w:tl2br w:val="nil"/>
                    <w:tr2bl w:val="nil"/>
                  </w:tcBorders>
                  <w:noWrap w:val="0"/>
                  <w:vAlign w:val="center"/>
                </w:tcPr>
                <w:p w14:paraId="37AF7A7B">
                  <w:pPr>
                    <w:spacing w:line="240" w:lineRule="auto"/>
                    <w:ind w:firstLine="0" w:firstLineChars="0"/>
                    <w:jc w:val="center"/>
                    <w:rPr>
                      <w:color w:val="auto"/>
                      <w:sz w:val="21"/>
                      <w:highlight w:val="none"/>
                    </w:rPr>
                  </w:pPr>
                </w:p>
              </w:tc>
            </w:tr>
            <w:tr w14:paraId="03468F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517" w:type="pct"/>
                  <w:tcBorders>
                    <w:tl2br w:val="nil"/>
                    <w:tr2bl w:val="nil"/>
                  </w:tcBorders>
                  <w:noWrap w:val="0"/>
                  <w:vAlign w:val="center"/>
                </w:tcPr>
                <w:p w14:paraId="6169E49C">
                  <w:pPr>
                    <w:spacing w:line="240" w:lineRule="auto"/>
                    <w:ind w:firstLine="0" w:firstLineChars="0"/>
                    <w:jc w:val="center"/>
                    <w:rPr>
                      <w:color w:val="auto"/>
                      <w:sz w:val="21"/>
                      <w:highlight w:val="none"/>
                    </w:rPr>
                  </w:pPr>
                  <w:r>
                    <w:rPr>
                      <w:color w:val="auto"/>
                      <w:sz w:val="21"/>
                      <w:highlight w:val="none"/>
                    </w:rPr>
                    <w:t>SO</w:t>
                  </w:r>
                  <w:r>
                    <w:rPr>
                      <w:color w:val="auto"/>
                      <w:sz w:val="21"/>
                      <w:highlight w:val="none"/>
                      <w:vertAlign w:val="subscript"/>
                    </w:rPr>
                    <w:t>2</w:t>
                  </w:r>
                </w:p>
              </w:tc>
              <w:tc>
                <w:tcPr>
                  <w:tcW w:w="1782" w:type="pct"/>
                  <w:tcBorders>
                    <w:tl2br w:val="nil"/>
                    <w:tr2bl w:val="nil"/>
                  </w:tcBorders>
                  <w:noWrap w:val="0"/>
                  <w:vAlign w:val="center"/>
                </w:tcPr>
                <w:p w14:paraId="604B3FA8">
                  <w:pPr>
                    <w:spacing w:line="240" w:lineRule="auto"/>
                    <w:ind w:firstLine="0" w:firstLineChars="0"/>
                    <w:jc w:val="center"/>
                    <w:rPr>
                      <w:color w:val="auto"/>
                      <w:sz w:val="21"/>
                      <w:highlight w:val="none"/>
                    </w:rPr>
                  </w:pPr>
                  <w:r>
                    <w:rPr>
                      <w:color w:val="auto"/>
                      <w:sz w:val="21"/>
                      <w:highlight w:val="none"/>
                    </w:rPr>
                    <w:t>年平均</w:t>
                  </w:r>
                </w:p>
              </w:tc>
              <w:tc>
                <w:tcPr>
                  <w:tcW w:w="693" w:type="pct"/>
                  <w:tcBorders>
                    <w:tl2br w:val="nil"/>
                    <w:tr2bl w:val="nil"/>
                  </w:tcBorders>
                  <w:noWrap w:val="0"/>
                  <w:vAlign w:val="center"/>
                </w:tcPr>
                <w:p w14:paraId="4A55E8BD">
                  <w:pPr>
                    <w:spacing w:line="240" w:lineRule="auto"/>
                    <w:ind w:firstLine="0" w:firstLineChars="0"/>
                    <w:jc w:val="center"/>
                    <w:rPr>
                      <w:rFonts w:hint="eastAsia" w:eastAsia="宋体"/>
                      <w:color w:val="auto"/>
                      <w:sz w:val="21"/>
                      <w:highlight w:val="none"/>
                      <w:lang w:val="en-US" w:eastAsia="zh-CN"/>
                    </w:rPr>
                  </w:pPr>
                  <w:r>
                    <w:rPr>
                      <w:rFonts w:hint="eastAsia"/>
                      <w:color w:val="auto"/>
                      <w:sz w:val="21"/>
                      <w:highlight w:val="none"/>
                      <w:lang w:val="en-US" w:eastAsia="zh-CN"/>
                    </w:rPr>
                    <w:t>6</w:t>
                  </w:r>
                </w:p>
              </w:tc>
              <w:tc>
                <w:tcPr>
                  <w:tcW w:w="699" w:type="pct"/>
                  <w:tcBorders>
                    <w:tl2br w:val="nil"/>
                    <w:tr2bl w:val="nil"/>
                  </w:tcBorders>
                  <w:noWrap w:val="0"/>
                  <w:vAlign w:val="center"/>
                </w:tcPr>
                <w:p w14:paraId="2D71CFC4">
                  <w:pPr>
                    <w:spacing w:line="240" w:lineRule="auto"/>
                    <w:ind w:firstLine="0" w:firstLineChars="0"/>
                    <w:jc w:val="center"/>
                    <w:rPr>
                      <w:color w:val="auto"/>
                      <w:sz w:val="21"/>
                      <w:highlight w:val="none"/>
                    </w:rPr>
                  </w:pPr>
                  <w:r>
                    <w:rPr>
                      <w:color w:val="auto"/>
                      <w:sz w:val="21"/>
                      <w:highlight w:val="none"/>
                    </w:rPr>
                    <w:t>60</w:t>
                  </w:r>
                </w:p>
              </w:tc>
              <w:tc>
                <w:tcPr>
                  <w:tcW w:w="674" w:type="pct"/>
                  <w:tcBorders>
                    <w:tl2br w:val="nil"/>
                    <w:tr2bl w:val="nil"/>
                  </w:tcBorders>
                  <w:noWrap w:val="0"/>
                  <w:vAlign w:val="center"/>
                </w:tcPr>
                <w:p w14:paraId="4C2CFC74">
                  <w:pPr>
                    <w:spacing w:line="240" w:lineRule="auto"/>
                    <w:ind w:firstLine="0" w:firstLineChars="0"/>
                    <w:jc w:val="center"/>
                    <w:rPr>
                      <w:rFonts w:hint="default" w:eastAsia="宋体"/>
                      <w:color w:val="auto"/>
                      <w:sz w:val="21"/>
                      <w:highlight w:val="none"/>
                      <w:lang w:val="en-US" w:eastAsia="zh-CN"/>
                    </w:rPr>
                  </w:pPr>
                  <w:r>
                    <w:rPr>
                      <w:rFonts w:hint="eastAsia"/>
                      <w:color w:val="auto"/>
                      <w:sz w:val="21"/>
                      <w:highlight w:val="none"/>
                      <w:lang w:val="en-US" w:eastAsia="zh-CN"/>
                    </w:rPr>
                    <w:t>10</w:t>
                  </w:r>
                </w:p>
              </w:tc>
              <w:tc>
                <w:tcPr>
                  <w:tcW w:w="632" w:type="pct"/>
                  <w:tcBorders>
                    <w:tl2br w:val="nil"/>
                    <w:tr2bl w:val="nil"/>
                  </w:tcBorders>
                  <w:noWrap w:val="0"/>
                  <w:vAlign w:val="center"/>
                </w:tcPr>
                <w:p w14:paraId="2762CA28">
                  <w:pPr>
                    <w:spacing w:line="240" w:lineRule="auto"/>
                    <w:ind w:firstLine="0" w:firstLineChars="0"/>
                    <w:jc w:val="center"/>
                    <w:rPr>
                      <w:color w:val="auto"/>
                      <w:sz w:val="21"/>
                      <w:highlight w:val="none"/>
                    </w:rPr>
                  </w:pPr>
                  <w:r>
                    <w:rPr>
                      <w:color w:val="auto"/>
                      <w:sz w:val="21"/>
                      <w:highlight w:val="none"/>
                    </w:rPr>
                    <w:t>达标</w:t>
                  </w:r>
                </w:p>
              </w:tc>
            </w:tr>
            <w:tr w14:paraId="284209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517" w:type="pct"/>
                  <w:tcBorders>
                    <w:tl2br w:val="nil"/>
                    <w:tr2bl w:val="nil"/>
                  </w:tcBorders>
                  <w:noWrap w:val="0"/>
                  <w:vAlign w:val="center"/>
                </w:tcPr>
                <w:p w14:paraId="0C9ADAB7">
                  <w:pPr>
                    <w:spacing w:line="240" w:lineRule="auto"/>
                    <w:ind w:firstLine="0" w:firstLineChars="0"/>
                    <w:jc w:val="center"/>
                    <w:rPr>
                      <w:color w:val="auto"/>
                      <w:sz w:val="21"/>
                      <w:highlight w:val="none"/>
                    </w:rPr>
                  </w:pPr>
                  <w:r>
                    <w:rPr>
                      <w:color w:val="auto"/>
                      <w:sz w:val="21"/>
                      <w:highlight w:val="none"/>
                    </w:rPr>
                    <w:t>NO</w:t>
                  </w:r>
                  <w:r>
                    <w:rPr>
                      <w:color w:val="auto"/>
                      <w:sz w:val="21"/>
                      <w:highlight w:val="none"/>
                      <w:vertAlign w:val="subscript"/>
                    </w:rPr>
                    <w:t>2</w:t>
                  </w:r>
                </w:p>
              </w:tc>
              <w:tc>
                <w:tcPr>
                  <w:tcW w:w="1782" w:type="pct"/>
                  <w:tcBorders>
                    <w:tl2br w:val="nil"/>
                    <w:tr2bl w:val="nil"/>
                  </w:tcBorders>
                  <w:noWrap w:val="0"/>
                  <w:vAlign w:val="center"/>
                </w:tcPr>
                <w:p w14:paraId="66C13017">
                  <w:pPr>
                    <w:spacing w:line="240" w:lineRule="auto"/>
                    <w:ind w:firstLine="0" w:firstLineChars="0"/>
                    <w:jc w:val="center"/>
                    <w:rPr>
                      <w:color w:val="auto"/>
                      <w:sz w:val="21"/>
                      <w:highlight w:val="none"/>
                    </w:rPr>
                  </w:pPr>
                  <w:r>
                    <w:rPr>
                      <w:color w:val="auto"/>
                      <w:sz w:val="21"/>
                      <w:highlight w:val="none"/>
                    </w:rPr>
                    <w:t>年平均</w:t>
                  </w:r>
                </w:p>
              </w:tc>
              <w:tc>
                <w:tcPr>
                  <w:tcW w:w="693" w:type="pct"/>
                  <w:tcBorders>
                    <w:tl2br w:val="nil"/>
                    <w:tr2bl w:val="nil"/>
                  </w:tcBorders>
                  <w:noWrap w:val="0"/>
                  <w:vAlign w:val="center"/>
                </w:tcPr>
                <w:p w14:paraId="000C1949">
                  <w:pPr>
                    <w:spacing w:line="240" w:lineRule="auto"/>
                    <w:ind w:firstLine="0" w:firstLineChars="0"/>
                    <w:jc w:val="center"/>
                    <w:rPr>
                      <w:rFonts w:hint="default" w:eastAsia="宋体"/>
                      <w:color w:val="auto"/>
                      <w:sz w:val="21"/>
                      <w:highlight w:val="none"/>
                      <w:lang w:val="en-US" w:eastAsia="zh-CN"/>
                    </w:rPr>
                  </w:pPr>
                  <w:r>
                    <w:rPr>
                      <w:rFonts w:hint="eastAsia"/>
                      <w:color w:val="auto"/>
                      <w:sz w:val="21"/>
                      <w:highlight w:val="none"/>
                      <w:lang w:val="en-US" w:eastAsia="zh-CN"/>
                    </w:rPr>
                    <w:t>8</w:t>
                  </w:r>
                </w:p>
              </w:tc>
              <w:tc>
                <w:tcPr>
                  <w:tcW w:w="699" w:type="pct"/>
                  <w:tcBorders>
                    <w:tl2br w:val="nil"/>
                    <w:tr2bl w:val="nil"/>
                  </w:tcBorders>
                  <w:noWrap w:val="0"/>
                  <w:vAlign w:val="center"/>
                </w:tcPr>
                <w:p w14:paraId="6CD3B023">
                  <w:pPr>
                    <w:spacing w:line="240" w:lineRule="auto"/>
                    <w:ind w:firstLine="0" w:firstLineChars="0"/>
                    <w:jc w:val="center"/>
                    <w:rPr>
                      <w:color w:val="auto"/>
                      <w:sz w:val="21"/>
                      <w:highlight w:val="none"/>
                    </w:rPr>
                  </w:pPr>
                  <w:r>
                    <w:rPr>
                      <w:color w:val="auto"/>
                      <w:sz w:val="21"/>
                      <w:highlight w:val="none"/>
                    </w:rPr>
                    <w:t>40</w:t>
                  </w:r>
                </w:p>
              </w:tc>
              <w:tc>
                <w:tcPr>
                  <w:tcW w:w="674" w:type="pct"/>
                  <w:tcBorders>
                    <w:tl2br w:val="nil"/>
                    <w:tr2bl w:val="nil"/>
                  </w:tcBorders>
                  <w:noWrap w:val="0"/>
                  <w:vAlign w:val="center"/>
                </w:tcPr>
                <w:p w14:paraId="42113B17">
                  <w:pPr>
                    <w:spacing w:line="240" w:lineRule="auto"/>
                    <w:ind w:firstLine="0" w:firstLineChars="0"/>
                    <w:jc w:val="center"/>
                    <w:rPr>
                      <w:rFonts w:hint="default" w:eastAsia="宋体"/>
                      <w:color w:val="auto"/>
                      <w:sz w:val="21"/>
                      <w:highlight w:val="none"/>
                      <w:lang w:val="en-US" w:eastAsia="zh-CN"/>
                    </w:rPr>
                  </w:pPr>
                  <w:r>
                    <w:rPr>
                      <w:rFonts w:hint="eastAsia"/>
                      <w:color w:val="auto"/>
                      <w:sz w:val="21"/>
                      <w:highlight w:val="none"/>
                      <w:lang w:val="en-US" w:eastAsia="zh-CN"/>
                    </w:rPr>
                    <w:t>20</w:t>
                  </w:r>
                </w:p>
              </w:tc>
              <w:tc>
                <w:tcPr>
                  <w:tcW w:w="632" w:type="pct"/>
                  <w:tcBorders>
                    <w:tl2br w:val="nil"/>
                    <w:tr2bl w:val="nil"/>
                  </w:tcBorders>
                  <w:noWrap w:val="0"/>
                  <w:vAlign w:val="center"/>
                </w:tcPr>
                <w:p w14:paraId="12243556">
                  <w:pPr>
                    <w:spacing w:line="240" w:lineRule="auto"/>
                    <w:ind w:firstLine="0" w:firstLineChars="0"/>
                    <w:jc w:val="center"/>
                    <w:rPr>
                      <w:color w:val="auto"/>
                      <w:sz w:val="21"/>
                      <w:highlight w:val="none"/>
                    </w:rPr>
                  </w:pPr>
                  <w:r>
                    <w:rPr>
                      <w:color w:val="auto"/>
                      <w:sz w:val="21"/>
                      <w:highlight w:val="none"/>
                    </w:rPr>
                    <w:t>达标</w:t>
                  </w:r>
                </w:p>
              </w:tc>
            </w:tr>
            <w:tr w14:paraId="48ED06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517" w:type="pct"/>
                  <w:tcBorders>
                    <w:tl2br w:val="nil"/>
                    <w:tr2bl w:val="nil"/>
                  </w:tcBorders>
                  <w:noWrap w:val="0"/>
                  <w:vAlign w:val="center"/>
                </w:tcPr>
                <w:p w14:paraId="4649C012">
                  <w:pPr>
                    <w:spacing w:line="240" w:lineRule="auto"/>
                    <w:ind w:firstLine="0" w:firstLineChars="0"/>
                    <w:jc w:val="center"/>
                    <w:rPr>
                      <w:color w:val="auto"/>
                      <w:sz w:val="21"/>
                      <w:highlight w:val="none"/>
                    </w:rPr>
                  </w:pPr>
                  <w:r>
                    <w:rPr>
                      <w:color w:val="auto"/>
                      <w:sz w:val="21"/>
                      <w:highlight w:val="none"/>
                    </w:rPr>
                    <w:t>CO</w:t>
                  </w:r>
                </w:p>
              </w:tc>
              <w:tc>
                <w:tcPr>
                  <w:tcW w:w="1782" w:type="pct"/>
                  <w:tcBorders>
                    <w:tl2br w:val="nil"/>
                    <w:tr2bl w:val="nil"/>
                  </w:tcBorders>
                  <w:noWrap w:val="0"/>
                  <w:vAlign w:val="center"/>
                </w:tcPr>
                <w:p w14:paraId="3EA530FD">
                  <w:pPr>
                    <w:spacing w:line="240" w:lineRule="auto"/>
                    <w:ind w:firstLine="0" w:firstLineChars="0"/>
                    <w:jc w:val="center"/>
                    <w:rPr>
                      <w:color w:val="auto"/>
                      <w:sz w:val="21"/>
                      <w:highlight w:val="none"/>
                    </w:rPr>
                  </w:pPr>
                  <w:r>
                    <w:rPr>
                      <w:color w:val="auto"/>
                      <w:sz w:val="21"/>
                      <w:highlight w:val="none"/>
                    </w:rPr>
                    <w:t>24小时平均第95百分位数</w:t>
                  </w:r>
                </w:p>
              </w:tc>
              <w:tc>
                <w:tcPr>
                  <w:tcW w:w="693" w:type="pct"/>
                  <w:tcBorders>
                    <w:tl2br w:val="nil"/>
                    <w:tr2bl w:val="nil"/>
                  </w:tcBorders>
                  <w:noWrap w:val="0"/>
                  <w:vAlign w:val="center"/>
                </w:tcPr>
                <w:p w14:paraId="798BE3D7">
                  <w:pPr>
                    <w:spacing w:line="240" w:lineRule="auto"/>
                    <w:ind w:firstLine="0" w:firstLineChars="0"/>
                    <w:jc w:val="center"/>
                    <w:rPr>
                      <w:rFonts w:hint="default" w:eastAsia="宋体"/>
                      <w:color w:val="auto"/>
                      <w:sz w:val="21"/>
                      <w:highlight w:val="none"/>
                      <w:lang w:val="en-US" w:eastAsia="zh-CN"/>
                    </w:rPr>
                  </w:pPr>
                  <w:r>
                    <w:rPr>
                      <w:rFonts w:hint="eastAsia"/>
                      <w:color w:val="auto"/>
                      <w:sz w:val="21"/>
                      <w:highlight w:val="none"/>
                      <w:lang w:val="en-US" w:eastAsia="zh-CN"/>
                    </w:rPr>
                    <w:t>500</w:t>
                  </w:r>
                </w:p>
              </w:tc>
              <w:tc>
                <w:tcPr>
                  <w:tcW w:w="699" w:type="pct"/>
                  <w:tcBorders>
                    <w:tl2br w:val="nil"/>
                    <w:tr2bl w:val="nil"/>
                  </w:tcBorders>
                  <w:noWrap w:val="0"/>
                  <w:vAlign w:val="center"/>
                </w:tcPr>
                <w:p w14:paraId="06983FD7">
                  <w:pPr>
                    <w:spacing w:line="240" w:lineRule="auto"/>
                    <w:ind w:firstLine="0" w:firstLineChars="0"/>
                    <w:jc w:val="center"/>
                    <w:rPr>
                      <w:rFonts w:hint="default" w:eastAsia="宋体"/>
                      <w:color w:val="auto"/>
                      <w:sz w:val="21"/>
                      <w:highlight w:val="none"/>
                      <w:lang w:val="en-US" w:eastAsia="zh-CN"/>
                    </w:rPr>
                  </w:pPr>
                  <w:r>
                    <w:rPr>
                      <w:color w:val="auto"/>
                      <w:sz w:val="21"/>
                      <w:highlight w:val="none"/>
                    </w:rPr>
                    <w:t>4</w:t>
                  </w:r>
                  <w:r>
                    <w:rPr>
                      <w:rFonts w:hint="eastAsia"/>
                      <w:color w:val="auto"/>
                      <w:sz w:val="21"/>
                      <w:highlight w:val="none"/>
                      <w:lang w:val="en-US" w:eastAsia="zh-CN"/>
                    </w:rPr>
                    <w:t>000</w:t>
                  </w:r>
                </w:p>
              </w:tc>
              <w:tc>
                <w:tcPr>
                  <w:tcW w:w="674" w:type="pct"/>
                  <w:tcBorders>
                    <w:tl2br w:val="nil"/>
                    <w:tr2bl w:val="nil"/>
                  </w:tcBorders>
                  <w:noWrap w:val="0"/>
                  <w:vAlign w:val="center"/>
                </w:tcPr>
                <w:p w14:paraId="0CD30FC4">
                  <w:pPr>
                    <w:spacing w:line="240" w:lineRule="auto"/>
                    <w:ind w:firstLine="0" w:firstLineChars="0"/>
                    <w:jc w:val="center"/>
                    <w:rPr>
                      <w:rFonts w:hint="default" w:eastAsia="宋体"/>
                      <w:color w:val="auto"/>
                      <w:sz w:val="21"/>
                      <w:highlight w:val="none"/>
                      <w:lang w:val="en-US" w:eastAsia="zh-CN"/>
                    </w:rPr>
                  </w:pPr>
                  <w:r>
                    <w:rPr>
                      <w:rFonts w:hint="eastAsia"/>
                      <w:color w:val="auto"/>
                      <w:sz w:val="21"/>
                      <w:highlight w:val="none"/>
                      <w:lang w:val="en-US" w:eastAsia="zh-CN"/>
                    </w:rPr>
                    <w:t>12.5</w:t>
                  </w:r>
                </w:p>
              </w:tc>
              <w:tc>
                <w:tcPr>
                  <w:tcW w:w="632" w:type="pct"/>
                  <w:tcBorders>
                    <w:tl2br w:val="nil"/>
                    <w:tr2bl w:val="nil"/>
                  </w:tcBorders>
                  <w:noWrap w:val="0"/>
                  <w:vAlign w:val="center"/>
                </w:tcPr>
                <w:p w14:paraId="2188AF2E">
                  <w:pPr>
                    <w:spacing w:line="240" w:lineRule="auto"/>
                    <w:ind w:firstLine="0" w:firstLineChars="0"/>
                    <w:jc w:val="center"/>
                    <w:rPr>
                      <w:color w:val="auto"/>
                      <w:sz w:val="21"/>
                      <w:highlight w:val="none"/>
                    </w:rPr>
                  </w:pPr>
                  <w:r>
                    <w:rPr>
                      <w:color w:val="auto"/>
                      <w:sz w:val="21"/>
                      <w:highlight w:val="none"/>
                    </w:rPr>
                    <w:t>达标</w:t>
                  </w:r>
                </w:p>
              </w:tc>
            </w:tr>
            <w:tr w14:paraId="33A1F1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517" w:type="pct"/>
                  <w:tcBorders>
                    <w:tl2br w:val="nil"/>
                    <w:tr2bl w:val="nil"/>
                  </w:tcBorders>
                  <w:noWrap w:val="0"/>
                  <w:vAlign w:val="center"/>
                </w:tcPr>
                <w:p w14:paraId="35ADCD8D">
                  <w:pPr>
                    <w:spacing w:line="240" w:lineRule="auto"/>
                    <w:ind w:firstLine="0" w:firstLineChars="0"/>
                    <w:jc w:val="center"/>
                    <w:rPr>
                      <w:color w:val="auto"/>
                      <w:sz w:val="21"/>
                      <w:highlight w:val="none"/>
                    </w:rPr>
                  </w:pPr>
                  <w:r>
                    <w:rPr>
                      <w:color w:val="auto"/>
                      <w:sz w:val="21"/>
                      <w:highlight w:val="none"/>
                    </w:rPr>
                    <w:t>O</w:t>
                  </w:r>
                  <w:r>
                    <w:rPr>
                      <w:color w:val="auto"/>
                      <w:sz w:val="21"/>
                      <w:highlight w:val="none"/>
                      <w:vertAlign w:val="subscript"/>
                    </w:rPr>
                    <w:t>3</w:t>
                  </w:r>
                </w:p>
              </w:tc>
              <w:tc>
                <w:tcPr>
                  <w:tcW w:w="1782" w:type="pct"/>
                  <w:tcBorders>
                    <w:tl2br w:val="nil"/>
                    <w:tr2bl w:val="nil"/>
                  </w:tcBorders>
                  <w:noWrap w:val="0"/>
                  <w:vAlign w:val="center"/>
                </w:tcPr>
                <w:p w14:paraId="08490FFF">
                  <w:pPr>
                    <w:spacing w:line="240" w:lineRule="auto"/>
                    <w:ind w:firstLine="0" w:firstLineChars="0"/>
                    <w:jc w:val="center"/>
                    <w:rPr>
                      <w:color w:val="auto"/>
                      <w:sz w:val="21"/>
                      <w:highlight w:val="none"/>
                    </w:rPr>
                  </w:pPr>
                  <w:r>
                    <w:rPr>
                      <w:color w:val="auto"/>
                      <w:sz w:val="21"/>
                      <w:highlight w:val="none"/>
                    </w:rPr>
                    <w:t>最大8小时平均第90百分位数日平均</w:t>
                  </w:r>
                </w:p>
              </w:tc>
              <w:tc>
                <w:tcPr>
                  <w:tcW w:w="693" w:type="pct"/>
                  <w:tcBorders>
                    <w:tl2br w:val="nil"/>
                    <w:tr2bl w:val="nil"/>
                  </w:tcBorders>
                  <w:noWrap w:val="0"/>
                  <w:vAlign w:val="center"/>
                </w:tcPr>
                <w:p w14:paraId="5717A170">
                  <w:pPr>
                    <w:spacing w:line="240" w:lineRule="auto"/>
                    <w:ind w:firstLine="0" w:firstLineChars="0"/>
                    <w:jc w:val="center"/>
                    <w:rPr>
                      <w:rFonts w:hint="default" w:eastAsia="宋体"/>
                      <w:color w:val="auto"/>
                      <w:sz w:val="21"/>
                      <w:highlight w:val="none"/>
                      <w:lang w:val="en-US" w:eastAsia="zh-CN"/>
                    </w:rPr>
                  </w:pPr>
                  <w:r>
                    <w:rPr>
                      <w:rFonts w:hint="eastAsia"/>
                      <w:color w:val="auto"/>
                      <w:sz w:val="21"/>
                      <w:highlight w:val="none"/>
                      <w:lang w:val="en-US" w:eastAsia="zh-CN"/>
                    </w:rPr>
                    <w:t>131</w:t>
                  </w:r>
                </w:p>
              </w:tc>
              <w:tc>
                <w:tcPr>
                  <w:tcW w:w="699" w:type="pct"/>
                  <w:tcBorders>
                    <w:tl2br w:val="nil"/>
                    <w:tr2bl w:val="nil"/>
                  </w:tcBorders>
                  <w:noWrap w:val="0"/>
                  <w:vAlign w:val="center"/>
                </w:tcPr>
                <w:p w14:paraId="1D616B09">
                  <w:pPr>
                    <w:spacing w:line="240" w:lineRule="auto"/>
                    <w:ind w:firstLine="0" w:firstLineChars="0"/>
                    <w:jc w:val="center"/>
                    <w:rPr>
                      <w:color w:val="auto"/>
                      <w:sz w:val="21"/>
                      <w:highlight w:val="none"/>
                    </w:rPr>
                  </w:pPr>
                  <w:r>
                    <w:rPr>
                      <w:color w:val="auto"/>
                      <w:sz w:val="21"/>
                      <w:highlight w:val="none"/>
                    </w:rPr>
                    <w:t>160</w:t>
                  </w:r>
                </w:p>
              </w:tc>
              <w:tc>
                <w:tcPr>
                  <w:tcW w:w="674" w:type="pct"/>
                  <w:tcBorders>
                    <w:tl2br w:val="nil"/>
                    <w:tr2bl w:val="nil"/>
                  </w:tcBorders>
                  <w:noWrap w:val="0"/>
                  <w:vAlign w:val="center"/>
                </w:tcPr>
                <w:p w14:paraId="611D3474">
                  <w:pPr>
                    <w:spacing w:line="240" w:lineRule="auto"/>
                    <w:ind w:firstLine="0" w:firstLineChars="0"/>
                    <w:jc w:val="center"/>
                    <w:rPr>
                      <w:rFonts w:hint="default" w:eastAsia="宋体"/>
                      <w:color w:val="auto"/>
                      <w:sz w:val="21"/>
                      <w:highlight w:val="none"/>
                      <w:lang w:val="en-US" w:eastAsia="zh-CN"/>
                    </w:rPr>
                  </w:pPr>
                  <w:r>
                    <w:rPr>
                      <w:rFonts w:hint="eastAsia"/>
                      <w:color w:val="auto"/>
                      <w:sz w:val="21"/>
                      <w:highlight w:val="none"/>
                      <w:lang w:val="en-US" w:eastAsia="zh-CN"/>
                    </w:rPr>
                    <w:t>81.9</w:t>
                  </w:r>
                </w:p>
              </w:tc>
              <w:tc>
                <w:tcPr>
                  <w:tcW w:w="632" w:type="pct"/>
                  <w:tcBorders>
                    <w:tl2br w:val="nil"/>
                    <w:tr2bl w:val="nil"/>
                  </w:tcBorders>
                  <w:noWrap w:val="0"/>
                  <w:vAlign w:val="center"/>
                </w:tcPr>
                <w:p w14:paraId="3F205042">
                  <w:pPr>
                    <w:spacing w:line="240" w:lineRule="auto"/>
                    <w:ind w:firstLine="0" w:firstLineChars="0"/>
                    <w:jc w:val="center"/>
                    <w:rPr>
                      <w:color w:val="auto"/>
                      <w:sz w:val="21"/>
                      <w:highlight w:val="none"/>
                    </w:rPr>
                  </w:pPr>
                  <w:r>
                    <w:rPr>
                      <w:color w:val="auto"/>
                      <w:sz w:val="21"/>
                      <w:highlight w:val="none"/>
                    </w:rPr>
                    <w:t xml:space="preserve">达标 </w:t>
                  </w:r>
                </w:p>
              </w:tc>
            </w:tr>
            <w:tr w14:paraId="6256FD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517" w:type="pct"/>
                  <w:tcBorders>
                    <w:tl2br w:val="nil"/>
                    <w:tr2bl w:val="nil"/>
                  </w:tcBorders>
                  <w:noWrap w:val="0"/>
                  <w:vAlign w:val="center"/>
                </w:tcPr>
                <w:p w14:paraId="6784397E">
                  <w:pPr>
                    <w:spacing w:line="240" w:lineRule="auto"/>
                    <w:ind w:firstLine="0" w:firstLineChars="0"/>
                    <w:jc w:val="center"/>
                    <w:rPr>
                      <w:color w:val="auto"/>
                      <w:sz w:val="21"/>
                      <w:highlight w:val="none"/>
                    </w:rPr>
                  </w:pPr>
                  <w:r>
                    <w:rPr>
                      <w:color w:val="auto"/>
                      <w:sz w:val="21"/>
                      <w:highlight w:val="none"/>
                    </w:rPr>
                    <w:t>PM</w:t>
                  </w:r>
                  <w:r>
                    <w:rPr>
                      <w:color w:val="auto"/>
                      <w:sz w:val="21"/>
                      <w:highlight w:val="none"/>
                      <w:vertAlign w:val="subscript"/>
                    </w:rPr>
                    <w:t>10</w:t>
                  </w:r>
                </w:p>
              </w:tc>
              <w:tc>
                <w:tcPr>
                  <w:tcW w:w="1782" w:type="pct"/>
                  <w:tcBorders>
                    <w:tl2br w:val="nil"/>
                    <w:tr2bl w:val="nil"/>
                  </w:tcBorders>
                  <w:noWrap w:val="0"/>
                  <w:vAlign w:val="center"/>
                </w:tcPr>
                <w:p w14:paraId="4E8657BD">
                  <w:pPr>
                    <w:spacing w:line="240" w:lineRule="auto"/>
                    <w:ind w:firstLine="0" w:firstLineChars="0"/>
                    <w:jc w:val="center"/>
                    <w:rPr>
                      <w:color w:val="auto"/>
                      <w:sz w:val="21"/>
                      <w:highlight w:val="none"/>
                    </w:rPr>
                  </w:pPr>
                  <w:r>
                    <w:rPr>
                      <w:color w:val="auto"/>
                      <w:sz w:val="21"/>
                      <w:highlight w:val="none"/>
                    </w:rPr>
                    <w:t>年平均</w:t>
                  </w:r>
                </w:p>
              </w:tc>
              <w:tc>
                <w:tcPr>
                  <w:tcW w:w="693" w:type="pct"/>
                  <w:tcBorders>
                    <w:tl2br w:val="nil"/>
                    <w:tr2bl w:val="nil"/>
                  </w:tcBorders>
                  <w:noWrap w:val="0"/>
                  <w:vAlign w:val="center"/>
                </w:tcPr>
                <w:p w14:paraId="5537B039">
                  <w:pPr>
                    <w:spacing w:line="240" w:lineRule="auto"/>
                    <w:ind w:firstLine="0" w:firstLineChars="0"/>
                    <w:jc w:val="center"/>
                    <w:rPr>
                      <w:rFonts w:hint="default" w:eastAsia="宋体"/>
                      <w:color w:val="auto"/>
                      <w:sz w:val="21"/>
                      <w:highlight w:val="none"/>
                      <w:lang w:val="en-US" w:eastAsia="zh-CN"/>
                    </w:rPr>
                  </w:pPr>
                  <w:r>
                    <w:rPr>
                      <w:rFonts w:hint="eastAsia"/>
                      <w:color w:val="auto"/>
                      <w:sz w:val="21"/>
                      <w:highlight w:val="none"/>
                      <w:lang w:val="en-US" w:eastAsia="zh-CN"/>
                    </w:rPr>
                    <w:t>274</w:t>
                  </w:r>
                </w:p>
              </w:tc>
              <w:tc>
                <w:tcPr>
                  <w:tcW w:w="699" w:type="pct"/>
                  <w:tcBorders>
                    <w:tl2br w:val="nil"/>
                    <w:tr2bl w:val="nil"/>
                  </w:tcBorders>
                  <w:noWrap w:val="0"/>
                  <w:vAlign w:val="center"/>
                </w:tcPr>
                <w:p w14:paraId="25AC8F58">
                  <w:pPr>
                    <w:spacing w:line="240" w:lineRule="auto"/>
                    <w:ind w:firstLine="0" w:firstLineChars="0"/>
                    <w:jc w:val="center"/>
                    <w:rPr>
                      <w:rFonts w:hint="default" w:eastAsia="宋体"/>
                      <w:color w:val="auto"/>
                      <w:sz w:val="21"/>
                      <w:highlight w:val="none"/>
                      <w:lang w:val="en-US" w:eastAsia="zh-CN"/>
                    </w:rPr>
                  </w:pPr>
                  <w:r>
                    <w:rPr>
                      <w:rFonts w:hint="eastAsia"/>
                      <w:color w:val="auto"/>
                      <w:sz w:val="21"/>
                      <w:highlight w:val="none"/>
                      <w:lang w:val="en-US" w:eastAsia="zh-CN"/>
                    </w:rPr>
                    <w:t>60</w:t>
                  </w:r>
                </w:p>
              </w:tc>
              <w:tc>
                <w:tcPr>
                  <w:tcW w:w="674" w:type="pct"/>
                  <w:tcBorders>
                    <w:tl2br w:val="nil"/>
                    <w:tr2bl w:val="nil"/>
                  </w:tcBorders>
                  <w:noWrap w:val="0"/>
                  <w:vAlign w:val="center"/>
                </w:tcPr>
                <w:p w14:paraId="577F2601">
                  <w:pPr>
                    <w:spacing w:line="240" w:lineRule="auto"/>
                    <w:ind w:firstLine="0" w:firstLineChars="0"/>
                    <w:jc w:val="center"/>
                    <w:rPr>
                      <w:rFonts w:hint="default" w:eastAsia="宋体"/>
                      <w:color w:val="auto"/>
                      <w:sz w:val="21"/>
                      <w:highlight w:val="none"/>
                      <w:lang w:val="en-US" w:eastAsia="zh-CN"/>
                    </w:rPr>
                  </w:pPr>
                  <w:r>
                    <w:rPr>
                      <w:rFonts w:hint="eastAsia"/>
                      <w:color w:val="auto"/>
                      <w:sz w:val="21"/>
                      <w:highlight w:val="none"/>
                      <w:lang w:val="en-US" w:eastAsia="zh-CN"/>
                    </w:rPr>
                    <w:t>456.67</w:t>
                  </w:r>
                </w:p>
              </w:tc>
              <w:tc>
                <w:tcPr>
                  <w:tcW w:w="632" w:type="pct"/>
                  <w:tcBorders>
                    <w:tl2br w:val="nil"/>
                    <w:tr2bl w:val="nil"/>
                  </w:tcBorders>
                  <w:noWrap w:val="0"/>
                  <w:vAlign w:val="center"/>
                </w:tcPr>
                <w:p w14:paraId="60739AF7">
                  <w:pPr>
                    <w:spacing w:line="240" w:lineRule="auto"/>
                    <w:ind w:firstLine="0" w:firstLineChars="0"/>
                    <w:jc w:val="center"/>
                    <w:rPr>
                      <w:color w:val="auto"/>
                      <w:sz w:val="21"/>
                      <w:highlight w:val="none"/>
                    </w:rPr>
                  </w:pPr>
                  <w:r>
                    <w:rPr>
                      <w:color w:val="auto"/>
                      <w:sz w:val="21"/>
                      <w:highlight w:val="none"/>
                    </w:rPr>
                    <w:t>超标</w:t>
                  </w:r>
                </w:p>
              </w:tc>
            </w:tr>
            <w:tr w14:paraId="3F15AA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517" w:type="pct"/>
                  <w:tcBorders>
                    <w:tl2br w:val="nil"/>
                    <w:tr2bl w:val="nil"/>
                  </w:tcBorders>
                  <w:noWrap w:val="0"/>
                  <w:vAlign w:val="center"/>
                </w:tcPr>
                <w:p w14:paraId="68FBC003">
                  <w:pPr>
                    <w:spacing w:line="240" w:lineRule="auto"/>
                    <w:ind w:firstLine="0" w:firstLineChars="0"/>
                    <w:jc w:val="center"/>
                    <w:rPr>
                      <w:color w:val="auto"/>
                      <w:sz w:val="21"/>
                      <w:highlight w:val="none"/>
                    </w:rPr>
                  </w:pPr>
                  <w:r>
                    <w:rPr>
                      <w:color w:val="auto"/>
                      <w:sz w:val="21"/>
                      <w:highlight w:val="none"/>
                    </w:rPr>
                    <w:t>PM</w:t>
                  </w:r>
                  <w:r>
                    <w:rPr>
                      <w:color w:val="auto"/>
                      <w:sz w:val="21"/>
                      <w:highlight w:val="none"/>
                      <w:vertAlign w:val="subscript"/>
                    </w:rPr>
                    <w:t>2.5</w:t>
                  </w:r>
                </w:p>
              </w:tc>
              <w:tc>
                <w:tcPr>
                  <w:tcW w:w="1782" w:type="pct"/>
                  <w:tcBorders>
                    <w:tl2br w:val="nil"/>
                    <w:tr2bl w:val="nil"/>
                  </w:tcBorders>
                  <w:noWrap w:val="0"/>
                  <w:vAlign w:val="center"/>
                </w:tcPr>
                <w:p w14:paraId="4E5F3EAC">
                  <w:pPr>
                    <w:spacing w:line="240" w:lineRule="auto"/>
                    <w:ind w:firstLine="0" w:firstLineChars="0"/>
                    <w:jc w:val="center"/>
                    <w:rPr>
                      <w:color w:val="auto"/>
                      <w:sz w:val="21"/>
                      <w:highlight w:val="none"/>
                    </w:rPr>
                  </w:pPr>
                  <w:r>
                    <w:rPr>
                      <w:color w:val="auto"/>
                      <w:sz w:val="21"/>
                      <w:highlight w:val="none"/>
                    </w:rPr>
                    <w:t>年平均</w:t>
                  </w:r>
                </w:p>
              </w:tc>
              <w:tc>
                <w:tcPr>
                  <w:tcW w:w="693" w:type="pct"/>
                  <w:tcBorders>
                    <w:tl2br w:val="nil"/>
                    <w:tr2bl w:val="nil"/>
                  </w:tcBorders>
                  <w:noWrap w:val="0"/>
                  <w:vAlign w:val="center"/>
                </w:tcPr>
                <w:p w14:paraId="123FFF8D">
                  <w:pPr>
                    <w:spacing w:line="240" w:lineRule="auto"/>
                    <w:ind w:firstLine="0" w:firstLineChars="0"/>
                    <w:jc w:val="center"/>
                    <w:rPr>
                      <w:rFonts w:hint="default" w:eastAsia="宋体"/>
                      <w:color w:val="auto"/>
                      <w:sz w:val="21"/>
                      <w:highlight w:val="none"/>
                      <w:lang w:val="en-US" w:eastAsia="zh-CN"/>
                    </w:rPr>
                  </w:pPr>
                  <w:r>
                    <w:rPr>
                      <w:rFonts w:hint="eastAsia"/>
                      <w:color w:val="auto"/>
                      <w:sz w:val="21"/>
                      <w:highlight w:val="none"/>
                      <w:lang w:val="en-US" w:eastAsia="zh-CN"/>
                    </w:rPr>
                    <w:t>91</w:t>
                  </w:r>
                </w:p>
              </w:tc>
              <w:tc>
                <w:tcPr>
                  <w:tcW w:w="699" w:type="pct"/>
                  <w:tcBorders>
                    <w:tl2br w:val="nil"/>
                    <w:tr2bl w:val="nil"/>
                  </w:tcBorders>
                  <w:noWrap w:val="0"/>
                  <w:vAlign w:val="center"/>
                </w:tcPr>
                <w:p w14:paraId="733444F3">
                  <w:pPr>
                    <w:spacing w:line="240" w:lineRule="auto"/>
                    <w:ind w:firstLine="0" w:firstLineChars="0"/>
                    <w:jc w:val="center"/>
                    <w:rPr>
                      <w:rFonts w:hint="default" w:eastAsia="宋体"/>
                      <w:color w:val="auto"/>
                      <w:sz w:val="21"/>
                      <w:highlight w:val="none"/>
                      <w:lang w:val="en-US" w:eastAsia="zh-CN"/>
                    </w:rPr>
                  </w:pPr>
                  <w:r>
                    <w:rPr>
                      <w:rFonts w:hint="eastAsia"/>
                      <w:color w:val="auto"/>
                      <w:sz w:val="21"/>
                      <w:highlight w:val="none"/>
                      <w:lang w:val="en-US" w:eastAsia="zh-CN"/>
                    </w:rPr>
                    <w:t>30</w:t>
                  </w:r>
                </w:p>
              </w:tc>
              <w:tc>
                <w:tcPr>
                  <w:tcW w:w="674" w:type="pct"/>
                  <w:tcBorders>
                    <w:tl2br w:val="nil"/>
                    <w:tr2bl w:val="nil"/>
                  </w:tcBorders>
                  <w:noWrap w:val="0"/>
                  <w:vAlign w:val="center"/>
                </w:tcPr>
                <w:p w14:paraId="54329164">
                  <w:pPr>
                    <w:spacing w:line="240" w:lineRule="auto"/>
                    <w:ind w:firstLine="0" w:firstLineChars="0"/>
                    <w:jc w:val="center"/>
                    <w:rPr>
                      <w:rFonts w:hint="default" w:eastAsia="宋体"/>
                      <w:color w:val="auto"/>
                      <w:sz w:val="21"/>
                      <w:highlight w:val="none"/>
                      <w:lang w:val="en-US" w:eastAsia="zh-CN"/>
                    </w:rPr>
                  </w:pPr>
                  <w:r>
                    <w:rPr>
                      <w:rFonts w:hint="eastAsia"/>
                      <w:color w:val="auto"/>
                      <w:sz w:val="21"/>
                      <w:highlight w:val="none"/>
                      <w:lang w:val="en-US" w:eastAsia="zh-CN"/>
                    </w:rPr>
                    <w:t>303.33</w:t>
                  </w:r>
                </w:p>
              </w:tc>
              <w:tc>
                <w:tcPr>
                  <w:tcW w:w="632" w:type="pct"/>
                  <w:tcBorders>
                    <w:tl2br w:val="nil"/>
                    <w:tr2bl w:val="nil"/>
                  </w:tcBorders>
                  <w:noWrap w:val="0"/>
                  <w:vAlign w:val="center"/>
                </w:tcPr>
                <w:p w14:paraId="40CF5153">
                  <w:pPr>
                    <w:spacing w:line="240" w:lineRule="auto"/>
                    <w:ind w:firstLine="0" w:firstLineChars="0"/>
                    <w:jc w:val="center"/>
                    <w:rPr>
                      <w:color w:val="auto"/>
                      <w:sz w:val="21"/>
                      <w:highlight w:val="none"/>
                    </w:rPr>
                  </w:pPr>
                  <w:r>
                    <w:rPr>
                      <w:color w:val="auto"/>
                      <w:sz w:val="21"/>
                      <w:highlight w:val="none"/>
                    </w:rPr>
                    <w:t>超标</w:t>
                  </w:r>
                </w:p>
              </w:tc>
            </w:tr>
          </w:tbl>
          <w:p w14:paraId="0B9E8714">
            <w:pPr>
              <w:pStyle w:val="59"/>
              <w:keepNext w:val="0"/>
              <w:keepLines w:val="0"/>
              <w:pageBreakBefore w:val="0"/>
              <w:kinsoku/>
              <w:wordWrap/>
              <w:overflowPunct/>
              <w:topLinePunct w:val="0"/>
              <w:autoSpaceDE/>
              <w:autoSpaceDN/>
              <w:bidi w:val="0"/>
              <w:adjustRightInd w:val="0"/>
              <w:snapToGrid w:val="0"/>
              <w:spacing w:line="500" w:lineRule="exact"/>
              <w:jc w:val="both"/>
              <w:textAlignment w:val="auto"/>
              <w:rPr>
                <w:rFonts w:hint="default"/>
                <w:highlight w:val="none"/>
                <w:lang w:val="en-US" w:eastAsia="zh-CN"/>
              </w:rPr>
            </w:pPr>
            <w:r>
              <w:rPr>
                <w:rFonts w:hint="eastAsia" w:ascii="Times New Roman" w:hAnsi="Times New Roman" w:cs="Times New Roman"/>
                <w:b w:val="0"/>
                <w:bCs w:val="0"/>
                <w:color w:val="auto"/>
                <w:sz w:val="24"/>
                <w:highlight w:val="none"/>
                <w:lang w:val="en-US" w:eastAsia="zh-CN"/>
              </w:rPr>
              <w:t>2024</w:t>
            </w:r>
            <w:r>
              <w:rPr>
                <w:rFonts w:hint="default" w:ascii="Times New Roman" w:hAnsi="Times New Roman" w:eastAsia="宋体" w:cs="Times New Roman"/>
                <w:b w:val="0"/>
                <w:bCs w:val="0"/>
                <w:color w:val="auto"/>
                <w:sz w:val="24"/>
                <w:highlight w:val="none"/>
                <w:lang w:val="en-US" w:eastAsia="zh-CN"/>
              </w:rPr>
              <w:t>年，项目所在区域SO</w:t>
            </w:r>
            <w:r>
              <w:rPr>
                <w:rFonts w:hint="eastAsia" w:ascii="Times New Roman" w:hAnsi="Times New Roman" w:cs="Times New Roman"/>
                <w:b w:val="0"/>
                <w:bCs w:val="0"/>
                <w:color w:val="auto"/>
                <w:sz w:val="24"/>
                <w:highlight w:val="none"/>
                <w:vertAlign w:val="subscript"/>
                <w:lang w:val="en-US" w:eastAsia="zh-CN"/>
              </w:rPr>
              <w:t>2</w:t>
            </w:r>
            <w:r>
              <w:rPr>
                <w:rFonts w:hint="default" w:ascii="Times New Roman" w:hAnsi="Times New Roman" w:eastAsia="宋体" w:cs="Times New Roman"/>
                <w:b w:val="0"/>
                <w:bCs w:val="0"/>
                <w:color w:val="auto"/>
                <w:sz w:val="24"/>
                <w:highlight w:val="none"/>
                <w:lang w:val="en-US" w:eastAsia="zh-CN"/>
              </w:rPr>
              <w:t>、NO</w:t>
            </w:r>
            <w:r>
              <w:rPr>
                <w:rFonts w:hint="default" w:ascii="Times New Roman" w:hAnsi="Times New Roman" w:eastAsia="宋体" w:cs="Times New Roman"/>
                <w:b w:val="0"/>
                <w:bCs w:val="0"/>
                <w:color w:val="auto"/>
                <w:sz w:val="24"/>
                <w:highlight w:val="none"/>
                <w:vertAlign w:val="subscript"/>
                <w:lang w:val="en-US" w:eastAsia="zh-CN"/>
              </w:rPr>
              <w:t>2</w:t>
            </w:r>
            <w:r>
              <w:rPr>
                <w:rFonts w:hint="default" w:ascii="Times New Roman" w:hAnsi="Times New Roman" w:eastAsia="宋体" w:cs="Times New Roman"/>
                <w:b w:val="0"/>
                <w:bCs w:val="0"/>
                <w:color w:val="auto"/>
                <w:sz w:val="24"/>
                <w:highlight w:val="none"/>
                <w:lang w:val="en-US" w:eastAsia="zh-CN"/>
              </w:rPr>
              <w:t>年平均，CO第95百分位数24h平均，O</w:t>
            </w:r>
            <w:r>
              <w:rPr>
                <w:rFonts w:hint="default" w:ascii="Times New Roman" w:hAnsi="Times New Roman" w:eastAsia="宋体" w:cs="Times New Roman"/>
                <w:b w:val="0"/>
                <w:bCs w:val="0"/>
                <w:color w:val="auto"/>
                <w:sz w:val="24"/>
                <w:highlight w:val="none"/>
                <w:vertAlign w:val="subscript"/>
                <w:lang w:val="en-US" w:eastAsia="zh-CN"/>
              </w:rPr>
              <w:t>3</w:t>
            </w:r>
            <w:r>
              <w:rPr>
                <w:rFonts w:hint="default" w:ascii="Times New Roman" w:hAnsi="Times New Roman" w:eastAsia="宋体" w:cs="Times New Roman"/>
                <w:b w:val="0"/>
                <w:bCs w:val="0"/>
                <w:color w:val="auto"/>
                <w:sz w:val="24"/>
                <w:highlight w:val="none"/>
                <w:lang w:val="en-US" w:eastAsia="zh-CN"/>
              </w:rPr>
              <w:t>第90百分位数日最大8小时平均浓度均满足《环境空气质量标准》（GB3095-20</w:t>
            </w:r>
            <w:r>
              <w:rPr>
                <w:rFonts w:hint="eastAsia" w:cs="Times New Roman"/>
                <w:b w:val="0"/>
                <w:bCs w:val="0"/>
                <w:color w:val="auto"/>
                <w:sz w:val="24"/>
                <w:highlight w:val="none"/>
                <w:lang w:val="en-US" w:eastAsia="zh-CN"/>
              </w:rPr>
              <w:t>26</w:t>
            </w:r>
            <w:r>
              <w:rPr>
                <w:rFonts w:hint="default" w:ascii="Times New Roman" w:hAnsi="Times New Roman" w:eastAsia="宋体" w:cs="Times New Roman"/>
                <w:b w:val="0"/>
                <w:bCs w:val="0"/>
                <w:color w:val="auto"/>
                <w:sz w:val="24"/>
                <w:highlight w:val="none"/>
                <w:lang w:val="en-US" w:eastAsia="zh-CN"/>
              </w:rPr>
              <w:t>）</w:t>
            </w:r>
            <w:r>
              <w:rPr>
                <w:rFonts w:hint="eastAsia" w:ascii="Times New Roman" w:hAnsi="Times New Roman" w:eastAsia="宋体" w:cs="Times New Roman"/>
                <w:b w:val="0"/>
                <w:bCs w:val="0"/>
                <w:color w:val="auto"/>
                <w:sz w:val="24"/>
                <w:highlight w:val="none"/>
                <w:lang w:val="en-US" w:eastAsia="zh-CN"/>
              </w:rPr>
              <w:t>中</w:t>
            </w:r>
            <w:r>
              <w:rPr>
                <w:rFonts w:hint="eastAsia" w:hAnsi="Times New Roman" w:cs="Times New Roman"/>
                <w:b w:val="0"/>
                <w:bCs w:val="0"/>
                <w:color w:val="auto"/>
                <w:sz w:val="24"/>
                <w:highlight w:val="none"/>
                <w:lang w:val="en-US" w:eastAsia="zh-CN"/>
              </w:rPr>
              <w:t>过渡阶段</w:t>
            </w:r>
            <w:r>
              <w:rPr>
                <w:rFonts w:hint="eastAsia"/>
                <w:highlight w:val="none"/>
                <w:lang w:val="en-US" w:eastAsia="zh-CN"/>
              </w:rPr>
              <w:t>限值</w:t>
            </w:r>
            <w:r>
              <w:rPr>
                <w:rFonts w:hint="default" w:ascii="Times New Roman" w:hAnsi="Times New Roman" w:eastAsia="宋体" w:cs="Times New Roman"/>
                <w:b w:val="0"/>
                <w:bCs w:val="0"/>
                <w:color w:val="auto"/>
                <w:sz w:val="24"/>
                <w:highlight w:val="none"/>
                <w:lang w:val="en-US" w:eastAsia="zh-CN"/>
              </w:rPr>
              <w:t>二级标准要求；PM</w:t>
            </w:r>
            <w:r>
              <w:rPr>
                <w:rFonts w:hint="default" w:ascii="Times New Roman" w:hAnsi="Times New Roman" w:eastAsia="宋体" w:cs="Times New Roman"/>
                <w:b w:val="0"/>
                <w:bCs w:val="0"/>
                <w:color w:val="auto"/>
                <w:sz w:val="24"/>
                <w:highlight w:val="none"/>
                <w:vertAlign w:val="subscript"/>
                <w:lang w:val="en-US" w:eastAsia="zh-CN"/>
              </w:rPr>
              <w:t>10</w:t>
            </w:r>
            <w:r>
              <w:rPr>
                <w:rFonts w:hint="default" w:ascii="Times New Roman" w:hAnsi="Times New Roman" w:eastAsia="宋体" w:cs="Times New Roman"/>
                <w:b w:val="0"/>
                <w:bCs w:val="0"/>
                <w:color w:val="auto"/>
                <w:sz w:val="24"/>
                <w:highlight w:val="none"/>
                <w:lang w:val="en-US" w:eastAsia="zh-CN"/>
              </w:rPr>
              <w:t>、PM</w:t>
            </w:r>
            <w:r>
              <w:rPr>
                <w:rFonts w:hint="default" w:ascii="Times New Roman" w:hAnsi="Times New Roman" w:eastAsia="宋体" w:cs="Times New Roman"/>
                <w:b w:val="0"/>
                <w:bCs w:val="0"/>
                <w:color w:val="auto"/>
                <w:sz w:val="24"/>
                <w:highlight w:val="none"/>
                <w:vertAlign w:val="subscript"/>
                <w:lang w:val="en-US" w:eastAsia="zh-CN"/>
              </w:rPr>
              <w:t>2.5</w:t>
            </w:r>
            <w:r>
              <w:rPr>
                <w:rFonts w:hint="default" w:ascii="Times New Roman" w:hAnsi="Times New Roman" w:eastAsia="宋体" w:cs="Times New Roman"/>
                <w:b w:val="0"/>
                <w:bCs w:val="0"/>
                <w:color w:val="auto"/>
                <w:sz w:val="24"/>
                <w:highlight w:val="none"/>
                <w:lang w:val="en-US" w:eastAsia="zh-CN"/>
              </w:rPr>
              <w:t>年均值均超过《环境空气质量标准》（GB3095-20</w:t>
            </w:r>
            <w:r>
              <w:rPr>
                <w:rFonts w:hint="eastAsia" w:cs="Times New Roman"/>
                <w:b w:val="0"/>
                <w:bCs w:val="0"/>
                <w:color w:val="auto"/>
                <w:sz w:val="24"/>
                <w:highlight w:val="none"/>
                <w:lang w:val="en-US" w:eastAsia="zh-CN"/>
              </w:rPr>
              <w:t>26</w:t>
            </w:r>
            <w:r>
              <w:rPr>
                <w:rFonts w:hint="default" w:ascii="Times New Roman" w:hAnsi="Times New Roman" w:eastAsia="宋体" w:cs="Times New Roman"/>
                <w:b w:val="0"/>
                <w:bCs w:val="0"/>
                <w:color w:val="auto"/>
                <w:sz w:val="24"/>
                <w:highlight w:val="none"/>
                <w:lang w:val="en-US" w:eastAsia="zh-CN"/>
              </w:rPr>
              <w:t>）</w:t>
            </w:r>
            <w:r>
              <w:rPr>
                <w:rFonts w:hint="eastAsia" w:ascii="Times New Roman" w:hAnsi="Times New Roman" w:eastAsia="宋体" w:cs="Times New Roman"/>
                <w:b w:val="0"/>
                <w:bCs w:val="0"/>
                <w:color w:val="auto"/>
                <w:sz w:val="24"/>
                <w:highlight w:val="none"/>
                <w:lang w:val="en-US" w:eastAsia="zh-CN"/>
              </w:rPr>
              <w:t>中</w:t>
            </w:r>
            <w:r>
              <w:rPr>
                <w:rFonts w:hint="eastAsia" w:hAnsi="Times New Roman" w:cs="Times New Roman"/>
                <w:b w:val="0"/>
                <w:bCs w:val="0"/>
                <w:color w:val="auto"/>
                <w:sz w:val="24"/>
                <w:highlight w:val="none"/>
                <w:lang w:val="en-US" w:eastAsia="zh-CN"/>
              </w:rPr>
              <w:t>过渡阶段</w:t>
            </w:r>
            <w:r>
              <w:rPr>
                <w:rFonts w:hint="eastAsia"/>
                <w:highlight w:val="none"/>
                <w:lang w:val="en-US" w:eastAsia="zh-CN"/>
              </w:rPr>
              <w:t>限值</w:t>
            </w:r>
            <w:r>
              <w:rPr>
                <w:rFonts w:hint="default" w:ascii="Times New Roman" w:hAnsi="Times New Roman" w:eastAsia="宋体" w:cs="Times New Roman"/>
                <w:b w:val="0"/>
                <w:bCs w:val="0"/>
                <w:color w:val="auto"/>
                <w:sz w:val="24"/>
                <w:highlight w:val="none"/>
                <w:lang w:val="en-US" w:eastAsia="zh-CN"/>
              </w:rPr>
              <w:t>二级标准要求，</w:t>
            </w:r>
            <w:r>
              <w:rPr>
                <w:rFonts w:hint="default" w:ascii="Times New Roman" w:hAnsi="Times New Roman" w:cs="Times New Roman"/>
                <w:color w:val="auto"/>
                <w:szCs w:val="24"/>
                <w:highlight w:val="none"/>
              </w:rPr>
              <w:t>由此判断，所在区域为</w:t>
            </w:r>
            <w:r>
              <w:rPr>
                <w:rFonts w:hint="eastAsia" w:ascii="Times New Roman" w:hAnsi="Times New Roman" w:cs="Times New Roman"/>
                <w:color w:val="auto"/>
                <w:szCs w:val="24"/>
                <w:highlight w:val="none"/>
                <w:lang w:val="en-US" w:eastAsia="zh-CN"/>
              </w:rPr>
              <w:t>不</w:t>
            </w:r>
            <w:r>
              <w:rPr>
                <w:rFonts w:hint="default" w:ascii="Times New Roman" w:hAnsi="Times New Roman" w:cs="Times New Roman"/>
                <w:color w:val="auto"/>
                <w:szCs w:val="24"/>
                <w:highlight w:val="none"/>
              </w:rPr>
              <w:t>达标区域。PM</w:t>
            </w:r>
            <w:r>
              <w:rPr>
                <w:rFonts w:hint="default" w:ascii="Times New Roman" w:hAnsi="Times New Roman" w:cs="Times New Roman"/>
                <w:color w:val="auto"/>
                <w:szCs w:val="24"/>
                <w:highlight w:val="none"/>
                <w:vertAlign w:val="subscript"/>
              </w:rPr>
              <w:t>10</w:t>
            </w:r>
            <w:r>
              <w:rPr>
                <w:rFonts w:hint="default" w:ascii="Times New Roman" w:hAnsi="Times New Roman" w:cs="Times New Roman"/>
                <w:color w:val="auto"/>
                <w:szCs w:val="24"/>
                <w:highlight w:val="none"/>
              </w:rPr>
              <w:t>、PM</w:t>
            </w:r>
            <w:r>
              <w:rPr>
                <w:rFonts w:hint="default" w:ascii="Times New Roman" w:hAnsi="Times New Roman" w:cs="Times New Roman"/>
                <w:color w:val="auto"/>
                <w:szCs w:val="24"/>
                <w:highlight w:val="none"/>
                <w:vertAlign w:val="subscript"/>
              </w:rPr>
              <w:t>2.5</w:t>
            </w:r>
            <w:r>
              <w:rPr>
                <w:rFonts w:hint="default" w:ascii="Times New Roman" w:hAnsi="Times New Roman" w:cs="Times New Roman"/>
                <w:color w:val="auto"/>
                <w:szCs w:val="24"/>
                <w:highlight w:val="none"/>
              </w:rPr>
              <w:t>超标主要为</w:t>
            </w:r>
            <w:r>
              <w:rPr>
                <w:rFonts w:hint="eastAsia" w:ascii="Times New Roman" w:hAnsi="Times New Roman" w:cs="Times New Roman"/>
                <w:color w:val="auto"/>
                <w:szCs w:val="24"/>
                <w:highlight w:val="none"/>
                <w:lang w:val="en-US" w:eastAsia="zh-CN"/>
              </w:rPr>
              <w:t>若羌县气候</w:t>
            </w:r>
            <w:r>
              <w:rPr>
                <w:rFonts w:hint="default" w:ascii="Times New Roman" w:hAnsi="Times New Roman" w:cs="Times New Roman"/>
                <w:color w:val="auto"/>
                <w:szCs w:val="24"/>
                <w:highlight w:val="none"/>
              </w:rPr>
              <w:t>干旱、少雨、风沙较大等原因造成。</w:t>
            </w:r>
          </w:p>
          <w:p w14:paraId="7A8AF119">
            <w:pPr>
              <w:pStyle w:val="59"/>
              <w:keepNext w:val="0"/>
              <w:keepLines w:val="0"/>
              <w:pageBreakBefore w:val="0"/>
              <w:kinsoku/>
              <w:wordWrap/>
              <w:overflowPunct/>
              <w:topLinePunct w:val="0"/>
              <w:autoSpaceDE/>
              <w:autoSpaceDN/>
              <w:bidi w:val="0"/>
              <w:adjustRightInd w:val="0"/>
              <w:snapToGrid w:val="0"/>
              <w:ind w:left="0" w:leftChars="0" w:firstLine="0" w:firstLineChars="0"/>
              <w:textAlignment w:val="auto"/>
              <w:rPr>
                <w:rFonts w:hint="default"/>
                <w:b/>
                <w:bCs/>
                <w:highlight w:val="none"/>
                <w:lang w:val="en-US" w:eastAsia="zh-CN"/>
              </w:rPr>
            </w:pPr>
            <w:r>
              <w:rPr>
                <w:rFonts w:hint="default"/>
                <w:b/>
                <w:bCs/>
                <w:highlight w:val="none"/>
                <w:lang w:val="en-US" w:eastAsia="zh-CN"/>
              </w:rPr>
              <w:t>3.2水土流失现状调查</w:t>
            </w:r>
          </w:p>
          <w:p w14:paraId="68D87224">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cs="Times New Roman"/>
                <w:color w:val="auto"/>
                <w:highlight w:val="none"/>
                <w:lang w:val="en-US" w:eastAsia="zh-CN"/>
              </w:rPr>
              <w:t>①水土流失重点防治分区</w:t>
            </w:r>
          </w:p>
          <w:p w14:paraId="18CF1E0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504" w:firstLineChars="200"/>
              <w:textAlignment w:val="auto"/>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根据《新疆自治区级水土流失重点预防区和重点治理区划分表》，按照自治区级水土保持区划成果</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新水水保〔2019</w:t>
            </w:r>
            <w:r>
              <w:rPr>
                <w:rFonts w:hint="eastAsia"/>
                <w:color w:val="auto"/>
                <w:sz w:val="21"/>
                <w:szCs w:val="21"/>
                <w:highlight w:val="none"/>
              </w:rPr>
              <w:t>〕</w:t>
            </w:r>
            <w:r>
              <w:rPr>
                <w:rFonts w:hint="default" w:ascii="Times New Roman" w:hAnsi="Times New Roman" w:eastAsia="宋体" w:cs="Times New Roman"/>
                <w:color w:val="auto"/>
                <w:spacing w:val="6"/>
                <w:sz w:val="24"/>
                <w:szCs w:val="24"/>
                <w:highlight w:val="none"/>
                <w:lang w:val="en-US" w:eastAsia="zh-CN"/>
              </w:rPr>
              <w:t>4号</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w:t>
            </w:r>
            <w:r>
              <w:rPr>
                <w:rFonts w:hint="eastAsia" w:ascii="Times New Roman" w:hAnsi="Times New Roman" w:eastAsia="宋体" w:cs="Times New Roman"/>
                <w:color w:val="auto"/>
                <w:spacing w:val="6"/>
                <w:sz w:val="24"/>
                <w:szCs w:val="24"/>
                <w:highlight w:val="none"/>
                <w:lang w:val="en-US" w:eastAsia="zh-CN"/>
              </w:rPr>
              <w:t>若羌</w:t>
            </w:r>
            <w:r>
              <w:rPr>
                <w:rFonts w:hint="default" w:ascii="Times New Roman" w:hAnsi="Times New Roman" w:eastAsia="宋体" w:cs="Times New Roman"/>
                <w:color w:val="auto"/>
                <w:spacing w:val="6"/>
                <w:sz w:val="24"/>
                <w:szCs w:val="24"/>
                <w:highlight w:val="none"/>
                <w:lang w:val="en-US" w:eastAsia="zh-CN"/>
              </w:rPr>
              <w:t>县</w:t>
            </w:r>
            <w:r>
              <w:rPr>
                <w:rFonts w:hint="eastAsia" w:ascii="Times New Roman" w:hAnsi="Times New Roman" w:eastAsia="宋体" w:cs="Times New Roman"/>
                <w:color w:val="auto"/>
                <w:spacing w:val="6"/>
                <w:sz w:val="24"/>
                <w:szCs w:val="24"/>
                <w:highlight w:val="none"/>
                <w:lang w:val="en-US" w:eastAsia="zh-CN"/>
              </w:rPr>
              <w:t>不</w:t>
            </w:r>
            <w:r>
              <w:rPr>
                <w:rFonts w:hint="default" w:ascii="Times New Roman" w:hAnsi="Times New Roman" w:eastAsia="宋体" w:cs="Times New Roman"/>
                <w:color w:val="auto"/>
                <w:spacing w:val="6"/>
                <w:sz w:val="24"/>
                <w:szCs w:val="24"/>
                <w:highlight w:val="none"/>
                <w:lang w:val="en-US" w:eastAsia="zh-CN"/>
              </w:rPr>
              <w:t>属</w:t>
            </w:r>
            <w:r>
              <w:rPr>
                <w:rFonts w:hint="eastAsia" w:ascii="Times New Roman" w:hAnsi="Times New Roman" w:eastAsia="宋体" w:cs="Times New Roman"/>
                <w:color w:val="auto"/>
                <w:spacing w:val="6"/>
                <w:sz w:val="24"/>
                <w:szCs w:val="24"/>
                <w:highlight w:val="none"/>
                <w:lang w:val="en-US" w:eastAsia="zh-CN"/>
              </w:rPr>
              <w:t>于</w:t>
            </w:r>
            <w:r>
              <w:rPr>
                <w:rFonts w:hint="default" w:ascii="Times New Roman" w:hAnsi="Times New Roman" w:eastAsia="宋体" w:cs="Times New Roman"/>
                <w:color w:val="auto"/>
                <w:spacing w:val="6"/>
                <w:sz w:val="24"/>
                <w:szCs w:val="24"/>
                <w:highlight w:val="none"/>
                <w:lang w:val="en-US" w:eastAsia="zh-CN"/>
              </w:rPr>
              <w:t>自治区级水土流失重点预防区和重点治理区。</w:t>
            </w:r>
          </w:p>
          <w:p w14:paraId="62E1E10B">
            <w:pPr>
              <w:keepNext w:val="0"/>
              <w:keepLines w:val="0"/>
              <w:pageBreakBefore w:val="0"/>
              <w:widowControl w:val="0"/>
              <w:kinsoku/>
              <w:wordWrap/>
              <w:overflowPunct/>
              <w:topLinePunct w:val="0"/>
              <w:autoSpaceDE/>
              <w:autoSpaceDN/>
              <w:bidi w:val="0"/>
              <w:adjustRightInd/>
              <w:snapToGrid/>
              <w:spacing w:line="500" w:lineRule="exact"/>
              <w:ind w:left="0" w:leftChars="0" w:firstLine="504" w:firstLineChars="200"/>
              <w:textAlignment w:val="auto"/>
              <w:rPr>
                <w:rFonts w:hint="eastAsia"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根据本次</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两区复核划分</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成果，全疆共划分了2个自治区级重点预防区，4个自治区级重点治理区。其中，重点预防区面积19615.9km</w:t>
            </w:r>
            <w:r>
              <w:rPr>
                <w:rFonts w:hint="eastAsia" w:ascii="Times New Roman" w:hAnsi="Times New Roman" w:eastAsia="宋体" w:cs="Times New Roman"/>
                <w:color w:val="auto"/>
                <w:spacing w:val="6"/>
                <w:sz w:val="24"/>
                <w:szCs w:val="24"/>
                <w:highlight w:val="none"/>
                <w:vertAlign w:val="superscript"/>
                <w:lang w:val="en-US" w:eastAsia="zh-CN"/>
              </w:rPr>
              <w:t>2</w:t>
            </w:r>
            <w:r>
              <w:rPr>
                <w:rFonts w:hint="default" w:ascii="Times New Roman" w:hAnsi="Times New Roman" w:eastAsia="宋体" w:cs="Times New Roman"/>
                <w:color w:val="auto"/>
                <w:spacing w:val="6"/>
                <w:sz w:val="24"/>
                <w:szCs w:val="24"/>
                <w:highlight w:val="none"/>
                <w:lang w:val="en-US" w:eastAsia="zh-CN"/>
              </w:rPr>
              <w:t>，包括天山山区重点预防区、塔里木河中上游重点预防区</w:t>
            </w:r>
            <w:r>
              <w:rPr>
                <w:rFonts w:hint="eastAsia"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CN"/>
              </w:rPr>
              <w:t>重点治理区面积283963km</w:t>
            </w:r>
            <w:r>
              <w:rPr>
                <w:rFonts w:hint="eastAsia" w:ascii="Times New Roman" w:hAnsi="Times New Roman" w:eastAsia="宋体" w:cs="Times New Roman"/>
                <w:color w:val="auto"/>
                <w:spacing w:val="6"/>
                <w:sz w:val="24"/>
                <w:szCs w:val="24"/>
                <w:highlight w:val="none"/>
                <w:vertAlign w:val="superscript"/>
                <w:lang w:val="en-US" w:eastAsia="zh-CN"/>
              </w:rPr>
              <w:t>2</w:t>
            </w:r>
            <w:r>
              <w:rPr>
                <w:rFonts w:hint="default" w:ascii="Times New Roman" w:hAnsi="Times New Roman" w:eastAsia="宋体" w:cs="Times New Roman"/>
                <w:color w:val="auto"/>
                <w:spacing w:val="6"/>
                <w:sz w:val="24"/>
                <w:szCs w:val="24"/>
                <w:highlight w:val="none"/>
                <w:lang w:val="en-US" w:eastAsia="zh-CN"/>
              </w:rPr>
              <w:t>，包括额尔齐斯河流域重点治理区、天山北坡诸小河流域重点治理区、塔里木河流域重点治理区、伊犁河流域重点治理区</w:t>
            </w:r>
            <w:r>
              <w:rPr>
                <w:rFonts w:hint="eastAsia" w:ascii="Times New Roman" w:hAnsi="Times New Roman" w:eastAsia="宋体" w:cs="Times New Roman"/>
                <w:color w:val="auto"/>
                <w:spacing w:val="6"/>
                <w:sz w:val="24"/>
                <w:szCs w:val="24"/>
                <w:highlight w:val="none"/>
                <w:lang w:val="en-US" w:eastAsia="zh-CN"/>
              </w:rPr>
              <w:t>。</w:t>
            </w:r>
          </w:p>
          <w:p w14:paraId="4835F7A0">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eastAsia"/>
                <w:highlight w:val="none"/>
                <w:lang w:val="en-US" w:eastAsia="zh-CN"/>
              </w:rPr>
              <w:t>根据</w:t>
            </w:r>
            <w:r>
              <w:rPr>
                <w:rFonts w:hint="default" w:ascii="Times New Roman" w:hAnsi="Times New Roman" w:eastAsia="宋体" w:cs="Times New Roman"/>
                <w:color w:val="auto"/>
                <w:spacing w:val="6"/>
                <w:kern w:val="2"/>
                <w:sz w:val="24"/>
                <w:szCs w:val="24"/>
                <w:highlight w:val="none"/>
                <w:lang w:val="en-US" w:eastAsia="zh-CN" w:bidi="ar-SA"/>
              </w:rPr>
              <w:t>《关于巴音郭楞蒙古自治州水土流失重点预防区和重点治理区划分成果的公告》</w:t>
            </w:r>
            <w:r>
              <w:rPr>
                <w:rFonts w:hint="eastAsia" w:ascii="Times New Roman" w:hAnsi="Times New Roman" w:eastAsia="宋体" w:cs="Times New Roman"/>
                <w:color w:val="auto"/>
                <w:spacing w:val="6"/>
                <w:kern w:val="2"/>
                <w:sz w:val="24"/>
                <w:szCs w:val="24"/>
                <w:highlight w:val="none"/>
                <w:lang w:val="en-US" w:eastAsia="zh-CN" w:bidi="ar-SA"/>
              </w:rPr>
              <w:t>（巴州水利局2025年8月6日）</w:t>
            </w:r>
            <w:r>
              <w:rPr>
                <w:rFonts w:hint="eastAsia"/>
                <w:highlight w:val="none"/>
                <w:lang w:val="en-US" w:eastAsia="zh-CN"/>
              </w:rPr>
              <w:t>，项目区</w:t>
            </w:r>
            <w:r>
              <w:rPr>
                <w:rFonts w:hint="default" w:ascii="Times New Roman" w:hAnsi="Times New Roman" w:eastAsia="宋体" w:cs="Times New Roman"/>
                <w:color w:val="auto"/>
                <w:spacing w:val="6"/>
                <w:sz w:val="24"/>
                <w:szCs w:val="24"/>
                <w:highlight w:val="none"/>
                <w:lang w:val="en-US" w:eastAsia="zh-CN"/>
              </w:rPr>
              <w:t>属</w:t>
            </w:r>
            <w:r>
              <w:rPr>
                <w:rFonts w:hint="eastAsia" w:ascii="Times New Roman" w:hAnsi="Times New Roman" w:eastAsia="宋体" w:cs="Times New Roman"/>
                <w:color w:val="auto"/>
                <w:spacing w:val="6"/>
                <w:sz w:val="24"/>
                <w:szCs w:val="24"/>
                <w:highlight w:val="none"/>
                <w:lang w:val="en-US" w:eastAsia="zh-CN"/>
              </w:rPr>
              <w:t>于巴州</w:t>
            </w:r>
            <w:r>
              <w:rPr>
                <w:rFonts w:hint="default" w:ascii="Times New Roman" w:hAnsi="Times New Roman" w:eastAsia="宋体" w:cs="Times New Roman"/>
                <w:color w:val="auto"/>
                <w:spacing w:val="6"/>
                <w:sz w:val="24"/>
                <w:szCs w:val="24"/>
                <w:highlight w:val="none"/>
                <w:lang w:val="en-US" w:eastAsia="zh-CN"/>
              </w:rPr>
              <w:t>水土流失重点预防区</w:t>
            </w:r>
            <w:r>
              <w:rPr>
                <w:rFonts w:hint="eastAsia" w:cs="Times New Roman"/>
                <w:color w:val="auto"/>
                <w:spacing w:val="6"/>
                <w:sz w:val="24"/>
                <w:szCs w:val="24"/>
                <w:highlight w:val="none"/>
                <w:lang w:val="en-US" w:eastAsia="zh-CN"/>
              </w:rPr>
              <w:t>中的阿尔全山区国家级水土流失重点预防区</w:t>
            </w:r>
            <w:r>
              <w:rPr>
                <w:rFonts w:hint="default" w:ascii="Times New Roman" w:hAnsi="Times New Roman" w:eastAsia="宋体" w:cs="Times New Roman"/>
                <w:color w:val="auto"/>
                <w:spacing w:val="6"/>
                <w:sz w:val="24"/>
                <w:szCs w:val="24"/>
                <w:highlight w:val="none"/>
                <w:lang w:val="en-US" w:eastAsia="zh-CN"/>
              </w:rPr>
              <w:t>。</w:t>
            </w:r>
          </w:p>
          <w:p w14:paraId="59E4C9E0">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②水土流失现状</w:t>
            </w:r>
          </w:p>
          <w:p w14:paraId="4882E374">
            <w:pPr>
              <w:keepNext w:val="0"/>
              <w:keepLines w:val="0"/>
              <w:pageBreakBefore w:val="0"/>
              <w:widowControl w:val="0"/>
              <w:kinsoku/>
              <w:wordWrap/>
              <w:overflowPunct/>
              <w:topLinePunct w:val="0"/>
              <w:autoSpaceDE/>
              <w:autoSpaceDN/>
              <w:bidi w:val="0"/>
              <w:adjustRightInd/>
              <w:snapToGrid/>
              <w:spacing w:line="500" w:lineRule="exact"/>
              <w:ind w:left="0" w:leftChars="0" w:firstLine="504"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pacing w:val="6"/>
                <w:sz w:val="24"/>
                <w:szCs w:val="24"/>
                <w:highlight w:val="none"/>
                <w:lang w:val="en-US" w:eastAsia="zh-CN"/>
              </w:rPr>
              <w:t>项目区多年平均风速2</w:t>
            </w:r>
            <w:r>
              <w:rPr>
                <w:rFonts w:hint="eastAsia" w:cs="Times New Roman"/>
                <w:color w:val="auto"/>
                <w:spacing w:val="6"/>
                <w:sz w:val="24"/>
                <w:szCs w:val="24"/>
                <w:highlight w:val="none"/>
                <w:lang w:val="en-US" w:eastAsia="zh-CN"/>
              </w:rPr>
              <w:t>.7</w:t>
            </w:r>
            <w:r>
              <w:rPr>
                <w:rFonts w:hint="default" w:ascii="Times New Roman" w:hAnsi="Times New Roman" w:eastAsia="宋体" w:cs="Times New Roman"/>
                <w:color w:val="auto"/>
                <w:spacing w:val="6"/>
                <w:sz w:val="24"/>
                <w:szCs w:val="24"/>
                <w:highlight w:val="none"/>
                <w:lang w:val="en-US" w:eastAsia="zh-CN"/>
              </w:rPr>
              <w:t>m/s，项目区原地貌生态系统脆弱，稳定性较差，</w:t>
            </w:r>
            <w:r>
              <w:rPr>
                <w:rFonts w:hint="default" w:ascii="Times New Roman" w:hAnsi="Times New Roman" w:eastAsia="宋体" w:cs="Times New Roman"/>
                <w:color w:val="auto"/>
                <w:highlight w:val="none"/>
                <w:lang w:val="en-US" w:eastAsia="zh-CN"/>
              </w:rPr>
              <w:t>在多风的季节常形成风力侵蚀。</w:t>
            </w:r>
            <w:r>
              <w:rPr>
                <w:rFonts w:hint="default" w:ascii="Times New Roman" w:hAnsi="Times New Roman" w:eastAsia="宋体" w:cs="Times New Roman"/>
                <w:color w:val="auto"/>
                <w:spacing w:val="6"/>
                <w:sz w:val="24"/>
                <w:szCs w:val="24"/>
                <w:highlight w:val="none"/>
                <w:lang w:val="en-US" w:eastAsia="zh-CN"/>
              </w:rPr>
              <w:t>根据对项目区侵蚀特点的描述及现场实地踏勘工作，确定项目区土壤侵蚀类型为</w:t>
            </w:r>
            <w:r>
              <w:rPr>
                <w:rFonts w:hint="eastAsia" w:ascii="Times New Roman" w:hAnsi="Times New Roman" w:eastAsia="宋体" w:cs="Times New Roman"/>
                <w:color w:val="auto"/>
                <w:spacing w:val="6"/>
                <w:sz w:val="24"/>
                <w:szCs w:val="24"/>
                <w:highlight w:val="none"/>
                <w:lang w:val="en-US" w:eastAsia="zh-CN"/>
              </w:rPr>
              <w:t>风力</w:t>
            </w:r>
            <w:r>
              <w:rPr>
                <w:rFonts w:hint="default" w:ascii="Times New Roman" w:hAnsi="Times New Roman" w:eastAsia="宋体" w:cs="Times New Roman"/>
                <w:color w:val="auto"/>
                <w:spacing w:val="6"/>
                <w:sz w:val="24"/>
                <w:szCs w:val="24"/>
                <w:highlight w:val="none"/>
                <w:lang w:val="en-US" w:eastAsia="zh-CN"/>
              </w:rPr>
              <w:t>侵蚀。</w:t>
            </w:r>
          </w:p>
          <w:p w14:paraId="4D49393A">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③</w:t>
            </w:r>
            <w:r>
              <w:rPr>
                <w:rFonts w:hint="default" w:ascii="Times New Roman" w:hAnsi="Times New Roman" w:eastAsia="宋体" w:cs="Times New Roman"/>
                <w:color w:val="auto"/>
                <w:highlight w:val="none"/>
                <w:lang w:val="en-US" w:eastAsia="zh-CN"/>
              </w:rPr>
              <w:t>水土流失治理措施</w:t>
            </w:r>
          </w:p>
          <w:p w14:paraId="10376CBE">
            <w:pPr>
              <w:pStyle w:val="59"/>
              <w:keepNext w:val="0"/>
              <w:keepLines w:val="0"/>
              <w:pageBreakBefore w:val="0"/>
              <w:widowControl/>
              <w:kinsoku/>
              <w:wordWrap/>
              <w:overflowPunct/>
              <w:topLinePunct w:val="0"/>
              <w:autoSpaceDE/>
              <w:autoSpaceDN/>
              <w:bidi w:val="0"/>
              <w:adjustRightInd w:val="0"/>
              <w:snapToGrid w:val="0"/>
              <w:spacing w:line="500" w:lineRule="exact"/>
              <w:textAlignment w:val="auto"/>
              <w:rPr>
                <w:rFonts w:hint="eastAsia"/>
                <w:highlight w:val="none"/>
                <w:lang w:val="en-US" w:eastAsia="zh-CN"/>
              </w:rPr>
            </w:pPr>
            <w:r>
              <w:rPr>
                <w:rFonts w:hint="default" w:ascii="Times New Roman" w:hAnsi="Times New Roman" w:eastAsia="宋体" w:cs="Times New Roman"/>
                <w:color w:val="auto"/>
                <w:spacing w:val="6"/>
                <w:sz w:val="24"/>
                <w:szCs w:val="24"/>
                <w:highlight w:val="none"/>
                <w:lang w:val="en-US" w:eastAsia="zh-CN"/>
              </w:rPr>
              <w:t>规范土地开发审批，避免无序垦荒，</w:t>
            </w:r>
            <w:r>
              <w:rPr>
                <w:rFonts w:hint="eastAsia" w:ascii="Times New Roman" w:hAnsi="Times New Roman" w:eastAsia="宋体" w:cs="Times New Roman"/>
                <w:color w:val="auto"/>
                <w:spacing w:val="6"/>
                <w:kern w:val="2"/>
                <w:sz w:val="24"/>
                <w:szCs w:val="24"/>
                <w:highlight w:val="none"/>
                <w:lang w:val="en-US" w:eastAsia="zh-CN" w:bidi="ar-SA"/>
              </w:rPr>
              <w:t>同时加大对项目周边植被的保护力度。对于项目施工过程中可能造成的局部土壤扰动区域，及时进行植被恢复和土地平整，确保地表径流能够自然下渗，降低水流冲刷对土壤的侵蚀。在项目运营期间，定期对矿区及周边区域的水土流失情况进行监测，建立长期有效的监测体系，若发现水土流失加剧趋势，及时采取针对性的治理措施，以保障项目所在区域生态环境的稳定。</w:t>
            </w:r>
          </w:p>
          <w:p w14:paraId="0FD7B5F8">
            <w:pPr>
              <w:keepNext w:val="0"/>
              <w:keepLines w:val="0"/>
              <w:pageBreakBefore w:val="0"/>
              <w:kinsoku/>
              <w:wordWrap/>
              <w:overflowPunct/>
              <w:topLinePunct w:val="0"/>
              <w:autoSpaceDE/>
              <w:autoSpaceDN/>
              <w:bidi w:val="0"/>
              <w:adjustRightInd w:val="0"/>
              <w:snapToGrid w:val="0"/>
              <w:spacing w:line="500" w:lineRule="exact"/>
              <w:ind w:left="0" w:leftChars="0" w:firstLine="0" w:firstLineChars="0"/>
              <w:textAlignment w:val="auto"/>
              <w:rPr>
                <w:rFonts w:hint="eastAsia" w:ascii="Times New Roman" w:hAnsi="Times New Roman" w:eastAsia="宋体" w:cs="Times New Roman"/>
                <w:b/>
                <w:bCs/>
                <w:color w:val="000000"/>
                <w:kern w:val="0"/>
                <w:sz w:val="24"/>
                <w:szCs w:val="32"/>
                <w:highlight w:val="none"/>
                <w:lang w:val="en-US" w:eastAsia="zh-CN" w:bidi="ar-SA"/>
              </w:rPr>
            </w:pPr>
            <w:r>
              <w:rPr>
                <w:rFonts w:hint="eastAsia" w:ascii="Times New Roman" w:hAnsi="Times New Roman" w:eastAsia="宋体" w:cs="Times New Roman"/>
                <w:b/>
                <w:bCs/>
                <w:color w:val="000000"/>
                <w:kern w:val="0"/>
                <w:sz w:val="24"/>
                <w:szCs w:val="32"/>
                <w:highlight w:val="none"/>
                <w:lang w:val="en-US" w:eastAsia="zh-CN" w:bidi="ar-SA"/>
              </w:rPr>
              <w:t>3.</w:t>
            </w:r>
            <w:r>
              <w:rPr>
                <w:rFonts w:hint="eastAsia" w:cs="Times New Roman"/>
                <w:b/>
                <w:bCs/>
                <w:color w:val="000000"/>
                <w:kern w:val="0"/>
                <w:sz w:val="24"/>
                <w:szCs w:val="32"/>
                <w:highlight w:val="none"/>
                <w:lang w:val="en-US" w:eastAsia="zh-CN" w:bidi="ar-SA"/>
              </w:rPr>
              <w:t>3</w:t>
            </w:r>
            <w:r>
              <w:rPr>
                <w:rFonts w:hint="eastAsia" w:ascii="Times New Roman" w:hAnsi="Times New Roman" w:eastAsia="宋体" w:cs="Times New Roman"/>
                <w:b/>
                <w:bCs/>
                <w:color w:val="000000"/>
                <w:kern w:val="0"/>
                <w:sz w:val="24"/>
                <w:szCs w:val="32"/>
                <w:highlight w:val="none"/>
                <w:lang w:val="en-US" w:eastAsia="zh-CN" w:bidi="ar-SA"/>
              </w:rPr>
              <w:t>土地沙化现状调查</w:t>
            </w:r>
          </w:p>
          <w:p w14:paraId="1E9566EF">
            <w:pPr>
              <w:pStyle w:val="59"/>
              <w:keepNext w:val="0"/>
              <w:keepLines w:val="0"/>
              <w:pageBreakBefore w:val="0"/>
              <w:kinsoku/>
              <w:wordWrap/>
              <w:overflowPunct/>
              <w:topLinePunct w:val="0"/>
              <w:autoSpaceDE/>
              <w:autoSpaceDN/>
              <w:bidi w:val="0"/>
              <w:adjustRightInd w:val="0"/>
              <w:snapToGrid w:val="0"/>
              <w:spacing w:line="500" w:lineRule="exact"/>
              <w:ind w:left="0" w:leftChars="0" w:firstLine="480" w:firstLineChars="200"/>
              <w:textAlignment w:val="auto"/>
              <w:rPr>
                <w:rFonts w:hint="default" w:eastAsia="宋体"/>
                <w:highlight w:val="none"/>
                <w:lang w:val="en-US" w:eastAsia="zh-CN"/>
              </w:rPr>
            </w:pPr>
            <w:r>
              <w:rPr>
                <w:rFonts w:hint="default" w:ascii="Times New Roman" w:hAnsi="Times New Roman" w:cs="Times New Roman"/>
                <w:color w:val="auto"/>
                <w:highlight w:val="none"/>
                <w:lang w:val="zh-CN"/>
              </w:rPr>
              <w:t>根据《新疆维吾尔自治区第六次沙化土地监测报告》，塔克拉玛干沙漠是世界第二大流动性沙漠，是我国最大的沙漠，沙漠面积361154km</w:t>
            </w:r>
            <w:r>
              <w:rPr>
                <w:rFonts w:hint="default" w:ascii="Times New Roman" w:hAnsi="Times New Roman" w:cs="Times New Roman"/>
                <w:color w:val="auto"/>
                <w:highlight w:val="none"/>
                <w:vertAlign w:val="superscript"/>
                <w:lang w:val="zh-CN"/>
              </w:rPr>
              <w:t>2</w:t>
            </w:r>
            <w:r>
              <w:rPr>
                <w:rFonts w:hint="default" w:ascii="Times New Roman" w:hAnsi="Times New Roman" w:cs="Times New Roman"/>
                <w:color w:val="auto"/>
                <w:highlight w:val="none"/>
                <w:lang w:val="zh-CN"/>
              </w:rPr>
              <w:t>，占全疆沙漠的81.97%，占我国沙漠总面积的一半以上。若羌县位于塔克拉玛干沙漠的东南角，主要沙化类型为流动沙丘、半固定沙地。若羌县沙化土地面积为1035.13万公顷，占巴音郭楞蒙古自治州沙化土地面积的41.54%。</w:t>
            </w:r>
            <w:r>
              <w:rPr>
                <w:rFonts w:hint="default" w:ascii="Times New Roman" w:hAnsi="Times New Roman" w:cs="Times New Roman"/>
                <w:color w:val="auto"/>
                <w:highlight w:val="none"/>
              </w:rPr>
              <w:t>本项目不在国家级沙化土地封禁保护区内</w:t>
            </w:r>
            <w:r>
              <w:rPr>
                <w:rFonts w:hint="eastAsia" w:cs="Times New Roman"/>
                <w:color w:val="auto"/>
                <w:highlight w:val="none"/>
                <w:lang w:eastAsia="zh-CN"/>
              </w:rPr>
              <w:t>，</w:t>
            </w:r>
            <w:r>
              <w:rPr>
                <w:rFonts w:hint="eastAsia" w:cs="Times New Roman"/>
                <w:color w:val="auto"/>
                <w:highlight w:val="none"/>
                <w:lang w:val="en-US" w:eastAsia="zh-CN"/>
              </w:rPr>
              <w:t>不属于沙化土地。</w:t>
            </w:r>
          </w:p>
          <w:p w14:paraId="78B2673A">
            <w:pPr>
              <w:pStyle w:val="59"/>
              <w:keepNext w:val="0"/>
              <w:keepLines w:val="0"/>
              <w:pageBreakBefore w:val="0"/>
              <w:kinsoku/>
              <w:wordWrap/>
              <w:overflowPunct/>
              <w:topLinePunct w:val="0"/>
              <w:bidi w:val="0"/>
              <w:adjustRightInd w:val="0"/>
              <w:snapToGrid w:val="0"/>
              <w:ind w:left="0" w:leftChars="0" w:firstLine="0" w:firstLineChars="0"/>
              <w:textAlignment w:val="auto"/>
              <w:rPr>
                <w:rFonts w:hint="default"/>
                <w:b/>
                <w:bCs/>
                <w:highlight w:val="none"/>
                <w:lang w:val="en-US" w:eastAsia="zh-CN"/>
              </w:rPr>
            </w:pPr>
            <w:r>
              <w:rPr>
                <w:rFonts w:hint="default"/>
                <w:b/>
                <w:bCs/>
                <w:highlight w:val="none"/>
                <w:lang w:val="en-US" w:eastAsia="zh-CN"/>
              </w:rPr>
              <w:t>3.4声环境质量现状</w:t>
            </w:r>
          </w:p>
          <w:p w14:paraId="5FB6AA3E">
            <w:pPr>
              <w:pStyle w:val="59"/>
              <w:keepNext w:val="0"/>
              <w:keepLines w:val="0"/>
              <w:pageBreakBefore w:val="0"/>
              <w:kinsoku/>
              <w:wordWrap/>
              <w:overflowPunct/>
              <w:topLinePunct w:val="0"/>
              <w:bidi w:val="0"/>
              <w:adjustRightInd w:val="0"/>
              <w:snapToGrid w:val="0"/>
              <w:textAlignment w:val="auto"/>
              <w:rPr>
                <w:rFonts w:hint="default"/>
                <w:highlight w:val="none"/>
                <w:lang w:val="en-US" w:eastAsia="zh-CN"/>
              </w:rPr>
            </w:pPr>
            <w:r>
              <w:rPr>
                <w:rFonts w:hint="default"/>
                <w:highlight w:val="none"/>
                <w:lang w:val="en-US" w:eastAsia="zh-CN"/>
              </w:rPr>
              <w:t>根据《建设项目环境影响报告表编制技术指南（污染影响类）（试行）》相关规定开展补充监测，声环境监测：厂界周边50m范围内存在声环境保护目标的建设项目，应监测保护目标声环境质量现状并评价达标情况。</w:t>
            </w:r>
          </w:p>
          <w:p w14:paraId="0026AB2F">
            <w:pPr>
              <w:pStyle w:val="59"/>
              <w:keepNext w:val="0"/>
              <w:keepLines w:val="0"/>
              <w:pageBreakBefore w:val="0"/>
              <w:kinsoku/>
              <w:wordWrap/>
              <w:overflowPunct/>
              <w:topLinePunct w:val="0"/>
              <w:bidi w:val="0"/>
              <w:adjustRightInd w:val="0"/>
              <w:snapToGrid w:val="0"/>
              <w:textAlignment w:val="auto"/>
              <w:rPr>
                <w:rFonts w:hint="default"/>
                <w:highlight w:val="none"/>
                <w:lang w:val="en-US" w:eastAsia="zh-CN"/>
              </w:rPr>
            </w:pPr>
            <w:r>
              <w:rPr>
                <w:rFonts w:hint="default"/>
                <w:highlight w:val="none"/>
                <w:lang w:val="en-US" w:eastAsia="zh-CN"/>
              </w:rPr>
              <w:t>本项目厂界外周边50</w:t>
            </w:r>
            <w:r>
              <w:rPr>
                <w:rFonts w:hint="eastAsia"/>
                <w:highlight w:val="none"/>
                <w:lang w:val="en-US" w:eastAsia="zh-CN"/>
              </w:rPr>
              <w:t>m</w:t>
            </w:r>
            <w:r>
              <w:rPr>
                <w:rFonts w:hint="default"/>
                <w:highlight w:val="none"/>
                <w:lang w:val="en-US" w:eastAsia="zh-CN"/>
              </w:rPr>
              <w:t>范围内不存在声环境保护目标，因此本项目可不进行声环境现状监测。</w:t>
            </w:r>
          </w:p>
          <w:p w14:paraId="47FDB3BE">
            <w:pPr>
              <w:pStyle w:val="59"/>
              <w:keepNext w:val="0"/>
              <w:keepLines w:val="0"/>
              <w:pageBreakBefore w:val="0"/>
              <w:kinsoku/>
              <w:wordWrap/>
              <w:overflowPunct/>
              <w:topLinePunct w:val="0"/>
              <w:bidi w:val="0"/>
              <w:adjustRightInd w:val="0"/>
              <w:snapToGrid w:val="0"/>
              <w:spacing w:line="500" w:lineRule="exact"/>
              <w:ind w:left="0" w:leftChars="0" w:firstLine="0" w:firstLineChars="0"/>
              <w:textAlignment w:val="auto"/>
              <w:rPr>
                <w:rFonts w:hint="default"/>
                <w:b/>
                <w:bCs/>
                <w:highlight w:val="none"/>
                <w:lang w:val="en-US" w:eastAsia="zh-CN"/>
              </w:rPr>
            </w:pPr>
            <w:r>
              <w:rPr>
                <w:rFonts w:hint="default"/>
                <w:b/>
                <w:bCs/>
                <w:highlight w:val="none"/>
                <w:lang w:val="en-US" w:eastAsia="zh-CN"/>
              </w:rPr>
              <w:t>3.5地表水环境质量现状</w:t>
            </w:r>
          </w:p>
          <w:p w14:paraId="3700766E">
            <w:pPr>
              <w:pStyle w:val="59"/>
              <w:keepNext w:val="0"/>
              <w:keepLines w:val="0"/>
              <w:pageBreakBefore w:val="0"/>
              <w:kinsoku/>
              <w:wordWrap/>
              <w:overflowPunct/>
              <w:topLinePunct w:val="0"/>
              <w:bidi w:val="0"/>
              <w:adjustRightInd w:val="0"/>
              <w:snapToGrid w:val="0"/>
              <w:spacing w:line="500" w:lineRule="exact"/>
              <w:textAlignment w:val="auto"/>
              <w:rPr>
                <w:rFonts w:hint="default"/>
                <w:highlight w:val="none"/>
                <w:lang w:val="en-US" w:eastAsia="zh-CN"/>
              </w:rPr>
            </w:pPr>
            <w:r>
              <w:rPr>
                <w:rFonts w:hint="default"/>
                <w:highlight w:val="none"/>
                <w:lang w:val="en-US" w:eastAsia="zh-CN"/>
              </w:rPr>
              <w:t>根据《环境影响评价技术导则 地表水环境》（HJ2.3-2018），本项目地表水评价工作等级为三级B，三级B项目可不进行地表水环境质量现状调查，因此本次不进行地表水环境质量调查与分析。</w:t>
            </w:r>
          </w:p>
          <w:p w14:paraId="79CD5129">
            <w:pPr>
              <w:pStyle w:val="59"/>
              <w:keepNext w:val="0"/>
              <w:keepLines w:val="0"/>
              <w:pageBreakBefore w:val="0"/>
              <w:kinsoku/>
              <w:wordWrap/>
              <w:overflowPunct/>
              <w:topLinePunct w:val="0"/>
              <w:bidi w:val="0"/>
              <w:adjustRightInd w:val="0"/>
              <w:snapToGrid w:val="0"/>
              <w:spacing w:line="500" w:lineRule="exact"/>
              <w:ind w:left="0" w:leftChars="0" w:firstLine="0" w:firstLineChars="0"/>
              <w:textAlignment w:val="auto"/>
              <w:rPr>
                <w:rFonts w:hint="default"/>
                <w:b/>
                <w:bCs/>
                <w:highlight w:val="none"/>
                <w:lang w:val="en-US" w:eastAsia="zh-CN"/>
              </w:rPr>
            </w:pPr>
            <w:r>
              <w:rPr>
                <w:rFonts w:hint="default"/>
                <w:b/>
                <w:bCs/>
                <w:highlight w:val="none"/>
                <w:lang w:val="en-US" w:eastAsia="zh-CN"/>
              </w:rPr>
              <w:t>3.6地下水</w:t>
            </w:r>
            <w:r>
              <w:rPr>
                <w:rFonts w:hint="eastAsia"/>
                <w:b/>
                <w:bCs/>
                <w:highlight w:val="none"/>
                <w:lang w:val="en-US" w:eastAsia="zh-CN"/>
              </w:rPr>
              <w:t>、土壤</w:t>
            </w:r>
            <w:r>
              <w:rPr>
                <w:rFonts w:hint="default"/>
                <w:b/>
                <w:bCs/>
                <w:highlight w:val="none"/>
                <w:lang w:val="en-US" w:eastAsia="zh-CN"/>
              </w:rPr>
              <w:t>环境现状调查</w:t>
            </w:r>
          </w:p>
          <w:p w14:paraId="58D859A4">
            <w:pPr>
              <w:pStyle w:val="32"/>
              <w:keepNext w:val="0"/>
              <w:keepLines w:val="0"/>
              <w:pageBreakBefore w:val="0"/>
              <w:kinsoku/>
              <w:wordWrap/>
              <w:overflowPunct/>
              <w:topLinePunct w:val="0"/>
              <w:bidi w:val="0"/>
              <w:adjustRightInd w:val="0"/>
              <w:snapToGrid w:val="0"/>
              <w:spacing w:line="500" w:lineRule="exact"/>
              <w:ind w:firstLine="480" w:firstLineChars="200"/>
              <w:jc w:val="left"/>
              <w:textAlignment w:val="auto"/>
              <w:rPr>
                <w:rFonts w:hint="default" w:ascii="Times New Roman" w:hAnsi="Times New Roman" w:eastAsia="宋体" w:cs="Times New Roman"/>
                <w:b w:val="0"/>
                <w:bCs/>
                <w:snapToGrid w:val="0"/>
                <w:color w:val="auto"/>
                <w:kern w:val="2"/>
                <w:sz w:val="24"/>
                <w:szCs w:val="24"/>
                <w:highlight w:val="none"/>
                <w:lang w:val="en-US" w:eastAsia="zh-CN" w:bidi="ar-SA"/>
                <w14:ligatures w14:val="none"/>
              </w:rPr>
            </w:pPr>
            <w:r>
              <w:rPr>
                <w:rFonts w:hint="default" w:ascii="Times New Roman" w:hAnsi="Times New Roman" w:eastAsia="宋体" w:cs="Times New Roman"/>
                <w:b w:val="0"/>
                <w:bCs/>
                <w:snapToGrid w:val="0"/>
                <w:color w:val="auto"/>
                <w:kern w:val="2"/>
                <w:sz w:val="24"/>
                <w:szCs w:val="24"/>
                <w:highlight w:val="none"/>
                <w:lang w:val="en-US" w:eastAsia="zh-CN" w:bidi="ar-SA"/>
                <w14:ligatures w14:val="none"/>
              </w:rPr>
              <w:t>本项目按照各功能区进行分区防渗，不存在土壤、地下水污染途径，且评价范围内无地下水、土壤环境保护目标。根据《建设项目环境影响报告表编制技术指南（污染影响类）</w:t>
            </w:r>
            <w:r>
              <w:rPr>
                <w:rFonts w:hint="eastAsia" w:hAnsi="Times New Roman" w:cs="Times New Roman"/>
                <w:b w:val="0"/>
                <w:bCs/>
                <w:snapToGrid w:val="0"/>
                <w:color w:val="auto"/>
                <w:kern w:val="2"/>
                <w:sz w:val="24"/>
                <w:szCs w:val="24"/>
                <w:highlight w:val="none"/>
                <w:lang w:val="en-US" w:eastAsia="zh-CN" w:bidi="ar-SA"/>
                <w14:ligatures w14:val="none"/>
              </w:rPr>
              <w:t>（试行）》</w:t>
            </w:r>
            <w:r>
              <w:rPr>
                <w:rFonts w:hint="default" w:ascii="Times New Roman" w:hAnsi="Times New Roman" w:eastAsia="宋体" w:cs="Times New Roman"/>
                <w:b w:val="0"/>
                <w:bCs/>
                <w:snapToGrid w:val="0"/>
                <w:color w:val="auto"/>
                <w:kern w:val="2"/>
                <w:sz w:val="24"/>
                <w:szCs w:val="24"/>
                <w:highlight w:val="none"/>
                <w:lang w:val="en-US" w:eastAsia="zh-CN" w:bidi="ar-SA"/>
                <w14:ligatures w14:val="none"/>
              </w:rPr>
              <w:t>，本项目不需要进行地下水、土壤环境现状调查。</w:t>
            </w:r>
          </w:p>
          <w:p w14:paraId="5E51AFE8">
            <w:pPr>
              <w:pStyle w:val="59"/>
              <w:keepNext w:val="0"/>
              <w:keepLines w:val="0"/>
              <w:pageBreakBefore w:val="0"/>
              <w:kinsoku/>
              <w:wordWrap/>
              <w:overflowPunct/>
              <w:topLinePunct w:val="0"/>
              <w:autoSpaceDE/>
              <w:autoSpaceDN/>
              <w:bidi w:val="0"/>
              <w:adjustRightInd w:val="0"/>
              <w:snapToGrid w:val="0"/>
              <w:spacing w:line="500" w:lineRule="exact"/>
              <w:ind w:left="0" w:leftChars="0" w:firstLine="0" w:firstLineChars="0"/>
              <w:textAlignment w:val="auto"/>
              <w:rPr>
                <w:rFonts w:hint="default"/>
                <w:b/>
                <w:bCs/>
                <w:highlight w:val="none"/>
                <w:lang w:val="en-US" w:eastAsia="zh-CN"/>
              </w:rPr>
            </w:pPr>
            <w:r>
              <w:rPr>
                <w:rFonts w:hint="default"/>
                <w:b/>
                <w:bCs/>
                <w:highlight w:val="none"/>
                <w:lang w:val="en-US" w:eastAsia="zh-CN"/>
              </w:rPr>
              <w:t>3.</w:t>
            </w:r>
            <w:r>
              <w:rPr>
                <w:rFonts w:hint="eastAsia"/>
                <w:b/>
                <w:bCs/>
                <w:highlight w:val="none"/>
                <w:lang w:val="en-US" w:eastAsia="zh-CN"/>
              </w:rPr>
              <w:t>7生态</w:t>
            </w:r>
            <w:r>
              <w:rPr>
                <w:rFonts w:hint="default"/>
                <w:b/>
                <w:bCs/>
                <w:highlight w:val="none"/>
                <w:lang w:val="en-US" w:eastAsia="zh-CN"/>
              </w:rPr>
              <w:t>环境现状调查</w:t>
            </w:r>
          </w:p>
          <w:p w14:paraId="3D506A4E">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default"/>
                <w:highlight w:val="none"/>
                <w:lang w:eastAsia="zh-CN"/>
              </w:rPr>
            </w:pPr>
            <w:r>
              <w:rPr>
                <w:rFonts w:hint="default"/>
                <w:highlight w:val="none"/>
                <w:lang w:eastAsia="zh-CN"/>
              </w:rPr>
              <w:t>根据《建设项目环境影响报告表编制技术指南（污染影响类）（试行）》要求，本项目位于</w:t>
            </w:r>
            <w:r>
              <w:rPr>
                <w:rFonts w:hint="default" w:ascii="Times New Roman" w:hAnsi="Times New Roman" w:eastAsia="宋体" w:cs="Times New Roman"/>
                <w:color w:val="auto"/>
                <w:highlight w:val="none"/>
                <w:lang w:val="en-US" w:eastAsia="zh-CN"/>
              </w:rPr>
              <w:t>新疆维吾尔自治区巴音郭楞蒙古自治州若羌县以南直线距离85公里处</w:t>
            </w:r>
            <w:r>
              <w:rPr>
                <w:rFonts w:hint="default"/>
                <w:highlight w:val="none"/>
                <w:lang w:eastAsia="zh-CN"/>
              </w:rPr>
              <w:t>，用地范围内无生态环境保护目标，故不进行生态现状调查。</w:t>
            </w:r>
          </w:p>
        </w:tc>
      </w:tr>
      <w:tr w14:paraId="250C43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52" w:hRule="atLeast"/>
          <w:jc w:val="center"/>
        </w:trPr>
        <w:tc>
          <w:tcPr>
            <w:tcW w:w="397" w:type="dxa"/>
            <w:vAlign w:val="center"/>
          </w:tcPr>
          <w:p w14:paraId="6FD8EE1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环境</w:t>
            </w:r>
          </w:p>
          <w:p w14:paraId="0C73650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保护</w:t>
            </w:r>
          </w:p>
          <w:p w14:paraId="3234FB0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目标</w:t>
            </w:r>
          </w:p>
        </w:tc>
        <w:tc>
          <w:tcPr>
            <w:tcW w:w="8611" w:type="dxa"/>
            <w:vAlign w:val="center"/>
          </w:tcPr>
          <w:p w14:paraId="31A8CB6D">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3.</w:t>
            </w:r>
            <w:r>
              <w:rPr>
                <w:rFonts w:hint="eastAsia" w:cs="Times New Roman"/>
                <w:b/>
                <w:bCs/>
                <w:color w:val="auto"/>
                <w:highlight w:val="none"/>
                <w:lang w:val="en-US" w:eastAsia="zh-CN"/>
              </w:rPr>
              <w:t>8</w:t>
            </w:r>
            <w:r>
              <w:rPr>
                <w:rFonts w:hint="default" w:ascii="Times New Roman" w:hAnsi="Times New Roman" w:eastAsia="宋体" w:cs="Times New Roman"/>
                <w:b/>
                <w:bCs/>
                <w:color w:val="auto"/>
                <w:highlight w:val="none"/>
              </w:rPr>
              <w:t>大气环境</w:t>
            </w:r>
          </w:p>
          <w:p w14:paraId="36ADABC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highlight w:val="none"/>
                <w:lang w:val="en-US" w:eastAsia="zh-CN"/>
              </w:rPr>
            </w:pPr>
            <w:r>
              <w:rPr>
                <w:rFonts w:hint="eastAsia"/>
                <w:color w:val="auto"/>
                <w:highlight w:val="none"/>
              </w:rPr>
              <w:t>根据现场踏勘和卫星图定位结果可知，</w:t>
            </w:r>
            <w:r>
              <w:rPr>
                <w:rFonts w:hint="default" w:ascii="Times New Roman" w:hAnsi="Times New Roman" w:eastAsia="宋体" w:cs="Times New Roman"/>
                <w:bCs/>
                <w:color w:val="auto"/>
                <w:szCs w:val="21"/>
                <w:highlight w:val="none"/>
              </w:rPr>
              <w:t>本项目厂界外500</w:t>
            </w:r>
            <w:r>
              <w:rPr>
                <w:rFonts w:hint="default" w:ascii="Times New Roman" w:hAnsi="Times New Roman" w:eastAsia="宋体" w:cs="Times New Roman"/>
                <w:bCs/>
                <w:color w:val="auto"/>
                <w:szCs w:val="21"/>
                <w:highlight w:val="none"/>
                <w:lang w:val="en-US" w:eastAsia="zh-CN"/>
              </w:rPr>
              <w:t>m</w:t>
            </w:r>
            <w:r>
              <w:rPr>
                <w:rFonts w:hint="default" w:ascii="Times New Roman" w:hAnsi="Times New Roman" w:eastAsia="宋体" w:cs="Times New Roman"/>
                <w:bCs/>
                <w:color w:val="auto"/>
                <w:szCs w:val="21"/>
                <w:highlight w:val="none"/>
              </w:rPr>
              <w:t>范围内</w:t>
            </w:r>
            <w:r>
              <w:rPr>
                <w:rFonts w:hint="eastAsia" w:cs="Times New Roman"/>
                <w:bCs/>
                <w:color w:val="auto"/>
                <w:szCs w:val="21"/>
                <w:highlight w:val="none"/>
                <w:lang w:val="en-US" w:eastAsia="zh-CN"/>
              </w:rPr>
              <w:t>无</w:t>
            </w:r>
            <w:r>
              <w:rPr>
                <w:rFonts w:hint="default" w:ascii="Times New Roman" w:hAnsi="Times New Roman" w:eastAsia="宋体" w:cs="Times New Roman"/>
                <w:bCs/>
                <w:color w:val="auto"/>
                <w:szCs w:val="21"/>
                <w:highlight w:val="none"/>
              </w:rPr>
              <w:t>大气环境保护目标</w:t>
            </w:r>
            <w:r>
              <w:rPr>
                <w:rFonts w:hint="eastAsia"/>
                <w:highlight w:val="none"/>
                <w:lang w:val="en-US" w:eastAsia="zh-CN"/>
              </w:rPr>
              <w:t>。</w:t>
            </w:r>
          </w:p>
          <w:p w14:paraId="4711BE31">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3.</w:t>
            </w:r>
            <w:r>
              <w:rPr>
                <w:rFonts w:hint="eastAsia" w:cs="Times New Roman"/>
                <w:b/>
                <w:bCs/>
                <w:color w:val="auto"/>
                <w:highlight w:val="none"/>
                <w:lang w:val="en-US" w:eastAsia="zh-CN"/>
              </w:rPr>
              <w:t>9</w:t>
            </w:r>
            <w:r>
              <w:rPr>
                <w:rFonts w:hint="default" w:ascii="Times New Roman" w:hAnsi="Times New Roman" w:eastAsia="宋体" w:cs="Times New Roman"/>
                <w:b/>
                <w:bCs/>
                <w:color w:val="auto"/>
                <w:highlight w:val="none"/>
              </w:rPr>
              <w:t>声环境</w:t>
            </w:r>
          </w:p>
          <w:p w14:paraId="4BA0446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Cs/>
                <w:color w:val="auto"/>
                <w:szCs w:val="21"/>
                <w:highlight w:val="none"/>
              </w:rPr>
              <w:t>本项目厂界外50m范围内无任何声环境保护目标。</w:t>
            </w:r>
          </w:p>
          <w:p w14:paraId="010A354F">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3.</w:t>
            </w:r>
            <w:r>
              <w:rPr>
                <w:rFonts w:hint="eastAsia" w:cs="Times New Roman"/>
                <w:b/>
                <w:bCs/>
                <w:color w:val="auto"/>
                <w:highlight w:val="none"/>
                <w:lang w:val="en-US" w:eastAsia="zh-CN"/>
              </w:rPr>
              <w:t>10</w:t>
            </w:r>
            <w:r>
              <w:rPr>
                <w:rFonts w:hint="default" w:ascii="Times New Roman" w:hAnsi="Times New Roman" w:eastAsia="宋体" w:cs="Times New Roman"/>
                <w:b/>
                <w:bCs/>
                <w:color w:val="auto"/>
                <w:highlight w:val="none"/>
              </w:rPr>
              <w:t>地下水环境</w:t>
            </w:r>
          </w:p>
          <w:p w14:paraId="43ED64E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本项目厂界外500</w:t>
            </w:r>
            <w:r>
              <w:rPr>
                <w:rFonts w:hint="default" w:ascii="Times New Roman" w:hAnsi="Times New Roman" w:eastAsia="宋体" w:cs="Times New Roman"/>
                <w:bCs/>
                <w:color w:val="auto"/>
                <w:szCs w:val="21"/>
                <w:highlight w:val="none"/>
                <w:lang w:val="en-US" w:eastAsia="zh-CN"/>
              </w:rPr>
              <w:t>m</w:t>
            </w:r>
            <w:r>
              <w:rPr>
                <w:rFonts w:hint="default" w:ascii="Times New Roman" w:hAnsi="Times New Roman" w:eastAsia="宋体" w:cs="Times New Roman"/>
                <w:bCs/>
                <w:color w:val="auto"/>
                <w:szCs w:val="21"/>
                <w:highlight w:val="none"/>
              </w:rPr>
              <w:t>范围内无地下水集中式饮用水水源和热水、矿泉水、温泉等特殊地下水资源。</w:t>
            </w:r>
          </w:p>
          <w:p w14:paraId="6DEFDCBC">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rPr>
              <w:t>3.</w:t>
            </w:r>
            <w:r>
              <w:rPr>
                <w:rFonts w:hint="eastAsia" w:cs="Times New Roman"/>
                <w:b/>
                <w:bCs/>
                <w:color w:val="auto"/>
                <w:highlight w:val="none"/>
                <w:lang w:val="en-US" w:eastAsia="zh-CN"/>
              </w:rPr>
              <w:t>11</w:t>
            </w:r>
            <w:r>
              <w:rPr>
                <w:rFonts w:hint="eastAsia" w:ascii="Times New Roman" w:hAnsi="Times New Roman" w:eastAsia="宋体" w:cs="Times New Roman"/>
                <w:b/>
                <w:bCs/>
                <w:color w:val="auto"/>
                <w:highlight w:val="none"/>
                <w:lang w:val="en-US" w:eastAsia="zh-CN"/>
              </w:rPr>
              <w:t>地表水环境</w:t>
            </w:r>
          </w:p>
          <w:p w14:paraId="72078560">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500" w:lineRule="exact"/>
              <w:ind w:left="0" w:right="0" w:firstLine="480" w:firstLineChars="200"/>
              <w:jc w:val="both"/>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项目用地范围及附近不涉及饮用水水源保护区、饮用水取水口、自然保护区、风景名胜区，重要湿地、重点保护与珍稀水生生物的栖息地、重要水生生物的自然产卵场及索饵场、越冬场和</w:t>
            </w:r>
            <w:r>
              <w:rPr>
                <w:rFonts w:hint="eastAsia" w:cs="Times New Roman"/>
                <w:bCs/>
                <w:color w:val="auto"/>
                <w:sz w:val="24"/>
                <w:szCs w:val="24"/>
                <w:highlight w:val="none"/>
                <w:lang w:eastAsia="zh-CN"/>
              </w:rPr>
              <w:t>洄游</w:t>
            </w:r>
            <w:r>
              <w:rPr>
                <w:rFonts w:hint="default" w:ascii="Times New Roman" w:hAnsi="Times New Roman" w:cs="Times New Roman"/>
                <w:bCs/>
                <w:color w:val="auto"/>
                <w:sz w:val="24"/>
                <w:szCs w:val="24"/>
                <w:highlight w:val="none"/>
              </w:rPr>
              <w:t>通道，天然渔场等渔业水体，以及水产种质资源保护区等敏感目标。</w:t>
            </w:r>
          </w:p>
          <w:p w14:paraId="442E160D">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3.</w:t>
            </w:r>
            <w:r>
              <w:rPr>
                <w:rFonts w:hint="eastAsia" w:cs="Times New Roman"/>
                <w:b/>
                <w:bCs/>
                <w:color w:val="auto"/>
                <w:highlight w:val="none"/>
                <w:lang w:val="en-US" w:eastAsia="zh-CN"/>
              </w:rPr>
              <w:t>12</w:t>
            </w:r>
            <w:r>
              <w:rPr>
                <w:rFonts w:hint="default" w:ascii="Times New Roman" w:hAnsi="Times New Roman" w:eastAsia="宋体" w:cs="Times New Roman"/>
                <w:b/>
                <w:bCs/>
                <w:color w:val="auto"/>
                <w:highlight w:val="none"/>
              </w:rPr>
              <w:t>生态环境</w:t>
            </w:r>
          </w:p>
          <w:p w14:paraId="5A3B742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highlight w:val="none"/>
                <w:lang w:val="en-US"/>
              </w:rPr>
            </w:pPr>
            <w:r>
              <w:rPr>
                <w:rFonts w:hint="default"/>
                <w:highlight w:val="none"/>
                <w:lang w:val="en-US"/>
              </w:rPr>
              <w:t>根据现场踏勘，本项目位于</w:t>
            </w:r>
            <w:r>
              <w:rPr>
                <w:rFonts w:hint="default" w:ascii="Times New Roman" w:hAnsi="Times New Roman" w:eastAsia="宋体" w:cs="Times New Roman"/>
                <w:color w:val="auto"/>
                <w:highlight w:val="none"/>
                <w:lang w:val="en-US" w:eastAsia="zh-CN"/>
              </w:rPr>
              <w:t>新疆维吾尔自治区巴音郭楞蒙古自治州若羌县以南直线距离85公里处</w:t>
            </w:r>
            <w:r>
              <w:rPr>
                <w:rFonts w:hint="default"/>
                <w:highlight w:val="none"/>
                <w:lang w:val="en-US"/>
              </w:rPr>
              <w:t>，行政区划属巴音郭楞蒙古自治州若羌县管辖。项目评价范围及其影响范围无生态环境保护目标。</w:t>
            </w:r>
          </w:p>
          <w:p w14:paraId="1291564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highlight w:val="none"/>
                <w:lang w:val="en-US"/>
              </w:rPr>
            </w:pPr>
            <w:r>
              <w:rPr>
                <w:rFonts w:hint="default"/>
                <w:highlight w:val="none"/>
                <w:lang w:val="en-US"/>
              </w:rPr>
              <w:t>项目周边区域无饮用水水源保护区、国家及地方公益林、森林公园、湿地公园等生态环境敏感点，采取有效的污染防治措施后对周边生态环境基本无影响。</w:t>
            </w:r>
          </w:p>
        </w:tc>
      </w:tr>
      <w:tr w14:paraId="51B1AE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dxa"/>
            <w:tcMar>
              <w:left w:w="28" w:type="dxa"/>
              <w:right w:w="28" w:type="dxa"/>
            </w:tcMar>
            <w:vAlign w:val="center"/>
          </w:tcPr>
          <w:p w14:paraId="396F380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污染</w:t>
            </w:r>
          </w:p>
          <w:p w14:paraId="55D04F5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物排</w:t>
            </w:r>
          </w:p>
          <w:p w14:paraId="4E1DCA7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放控</w:t>
            </w:r>
          </w:p>
          <w:p w14:paraId="6552309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制标</w:t>
            </w:r>
          </w:p>
          <w:p w14:paraId="6FAB8788">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准</w:t>
            </w:r>
          </w:p>
        </w:tc>
        <w:tc>
          <w:tcPr>
            <w:tcW w:w="8611" w:type="dxa"/>
          </w:tcPr>
          <w:p w14:paraId="2C549BD8">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3.1</w:t>
            </w:r>
            <w:r>
              <w:rPr>
                <w:rFonts w:hint="eastAsia" w:cs="Times New Roman"/>
                <w:b/>
                <w:color w:val="auto"/>
                <w:highlight w:val="none"/>
                <w:lang w:val="en-US" w:eastAsia="zh-CN"/>
              </w:rPr>
              <w:t>3</w:t>
            </w:r>
            <w:r>
              <w:rPr>
                <w:rFonts w:hint="default" w:ascii="Times New Roman" w:hAnsi="Times New Roman" w:eastAsia="宋体" w:cs="Times New Roman"/>
                <w:b/>
                <w:color w:val="auto"/>
                <w:highlight w:val="none"/>
              </w:rPr>
              <w:t>大气污染物</w:t>
            </w:r>
          </w:p>
          <w:p w14:paraId="7381858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施工期扬尘执行《大气污染物综合排放标准》（GB16297-1996）</w:t>
            </w:r>
            <w:r>
              <w:rPr>
                <w:rFonts w:hint="default" w:ascii="Times New Roman" w:hAnsi="Times New Roman" w:eastAsia="宋体" w:cs="Times New Roman"/>
                <w:color w:val="auto"/>
                <w:highlight w:val="none"/>
                <w:lang w:val="en-US" w:eastAsia="zh-CN"/>
              </w:rPr>
              <w:t>中相关</w:t>
            </w:r>
            <w:r>
              <w:rPr>
                <w:rFonts w:hint="default" w:ascii="Times New Roman" w:hAnsi="Times New Roman" w:eastAsia="宋体" w:cs="Times New Roman"/>
                <w:color w:val="auto"/>
                <w:highlight w:val="none"/>
              </w:rPr>
              <w:t>限值；</w:t>
            </w:r>
          </w:p>
          <w:p w14:paraId="423FDB2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运营期无组织排放的颗粒物执行《大气污染物综合排放标准》</w:t>
            </w:r>
            <w:r>
              <w:rPr>
                <w:rFonts w:hint="eastAsia" w:cs="Times New Roman"/>
                <w:color w:val="auto"/>
                <w:highlight w:val="none"/>
                <w:lang w:eastAsia="zh-CN"/>
              </w:rPr>
              <w:t>（</w:t>
            </w:r>
            <w:r>
              <w:rPr>
                <w:rFonts w:hint="default" w:ascii="Times New Roman" w:hAnsi="Times New Roman" w:eastAsia="宋体" w:cs="Times New Roman"/>
                <w:color w:val="auto"/>
                <w:highlight w:val="none"/>
              </w:rPr>
              <w:t>GBl6297-1996</w:t>
            </w:r>
            <w:r>
              <w:rPr>
                <w:rFonts w:hint="eastAsia" w:cs="Times New Roman"/>
                <w:color w:val="auto"/>
                <w:highlight w:val="none"/>
                <w:lang w:eastAsia="zh-CN"/>
              </w:rPr>
              <w:t>）</w:t>
            </w:r>
            <w:r>
              <w:rPr>
                <w:rFonts w:hint="default" w:ascii="Times New Roman" w:hAnsi="Times New Roman" w:eastAsia="宋体" w:cs="Times New Roman"/>
                <w:color w:val="auto"/>
                <w:highlight w:val="none"/>
              </w:rPr>
              <w:t>中表2新污染源大气污染物排放限值</w:t>
            </w:r>
            <w:r>
              <w:rPr>
                <w:rFonts w:hint="eastAsia" w:cs="Times New Roman"/>
                <w:color w:val="auto"/>
                <w:highlight w:val="none"/>
                <w:lang w:eastAsia="zh-CN"/>
              </w:rPr>
              <w:t>。</w:t>
            </w:r>
            <w:r>
              <w:rPr>
                <w:rFonts w:hint="default" w:ascii="Times New Roman" w:hAnsi="Times New Roman" w:eastAsia="宋体" w:cs="Times New Roman"/>
                <w:color w:val="auto"/>
                <w:highlight w:val="none"/>
                <w:lang w:val="en-US" w:eastAsia="zh-CN"/>
              </w:rPr>
              <w:t>食堂油烟执行《饮食业油烟排放标准（试行）》（GB18483-2001）表2</w:t>
            </w:r>
            <w:r>
              <w:rPr>
                <w:rFonts w:hint="eastAsia" w:cs="Times New Roman"/>
                <w:color w:val="auto"/>
                <w:highlight w:val="none"/>
                <w:lang w:val="en-US" w:eastAsia="zh-CN"/>
              </w:rPr>
              <w:t>小型</w:t>
            </w:r>
            <w:r>
              <w:rPr>
                <w:rFonts w:hint="default" w:ascii="Times New Roman" w:hAnsi="Times New Roman" w:eastAsia="宋体" w:cs="Times New Roman"/>
                <w:color w:val="auto"/>
                <w:highlight w:val="none"/>
                <w:lang w:val="en-US" w:eastAsia="zh-CN"/>
              </w:rPr>
              <w:t>标准（处理效率</w:t>
            </w:r>
            <w:r>
              <w:rPr>
                <w:rFonts w:hint="eastAsia" w:cs="Times New Roman"/>
                <w:color w:val="auto"/>
                <w:highlight w:val="none"/>
                <w:lang w:val="en-US" w:eastAsia="zh-CN"/>
              </w:rPr>
              <w:t>60</w:t>
            </w:r>
            <w:r>
              <w:rPr>
                <w:rFonts w:hint="default" w:ascii="Times New Roman" w:hAnsi="Times New Roman" w:eastAsia="宋体" w:cs="Times New Roman"/>
                <w:color w:val="auto"/>
                <w:highlight w:val="none"/>
                <w:lang w:val="en-US" w:eastAsia="zh-CN"/>
              </w:rPr>
              <w:t>%）</w:t>
            </w:r>
            <w:r>
              <w:rPr>
                <w:rFonts w:hint="eastAsia" w:cs="Times New Roman"/>
                <w:color w:val="auto"/>
                <w:highlight w:val="none"/>
                <w:lang w:val="en-US" w:eastAsia="zh-CN"/>
              </w:rPr>
              <w:t>。</w:t>
            </w:r>
          </w:p>
          <w:p w14:paraId="48D4AF0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表3</w:t>
            </w:r>
            <w:r>
              <w:rPr>
                <w:rFonts w:hint="eastAsia" w:ascii="Times New Roman" w:hAnsi="Times New Roman" w:eastAsia="宋体" w:cs="Times New Roman"/>
                <w:b/>
                <w:bCs/>
                <w:color w:val="auto"/>
                <w:sz w:val="21"/>
                <w:szCs w:val="21"/>
                <w:highlight w:val="none"/>
                <w:lang w:val="en-US" w:eastAsia="zh-CN"/>
              </w:rPr>
              <w:t>.13-1</w:t>
            </w:r>
            <w:r>
              <w:rPr>
                <w:rFonts w:hint="default" w:ascii="Times New Roman" w:hAnsi="Times New Roman" w:eastAsia="宋体" w:cs="Times New Roman"/>
                <w:b/>
                <w:bCs/>
                <w:color w:val="auto"/>
                <w:sz w:val="21"/>
                <w:szCs w:val="21"/>
                <w:highlight w:val="none"/>
                <w:lang w:val="en-US" w:eastAsia="zh-CN"/>
              </w:rPr>
              <w:t xml:space="preserve">  大气污染物排放标准限值一览表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1052"/>
              <w:gridCol w:w="1317"/>
              <w:gridCol w:w="1681"/>
              <w:gridCol w:w="3273"/>
            </w:tblGrid>
            <w:tr w14:paraId="77B378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8" w:type="pct"/>
                  <w:tcBorders>
                    <w:tl2br w:val="nil"/>
                    <w:tr2bl w:val="nil"/>
                  </w:tcBorders>
                  <w:vAlign w:val="center"/>
                </w:tcPr>
                <w:p w14:paraId="2FC69306">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w:t>
                  </w:r>
                </w:p>
              </w:tc>
              <w:tc>
                <w:tcPr>
                  <w:tcW w:w="628" w:type="pct"/>
                  <w:tcBorders>
                    <w:tl2br w:val="nil"/>
                    <w:tr2bl w:val="nil"/>
                  </w:tcBorders>
                  <w:vAlign w:val="center"/>
                </w:tcPr>
                <w:p w14:paraId="046FE27D">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排放形式</w:t>
                  </w:r>
                </w:p>
              </w:tc>
              <w:tc>
                <w:tcPr>
                  <w:tcW w:w="786" w:type="pct"/>
                  <w:tcBorders>
                    <w:tl2br w:val="nil"/>
                    <w:tr2bl w:val="nil"/>
                  </w:tcBorders>
                  <w:vAlign w:val="center"/>
                </w:tcPr>
                <w:p w14:paraId="7595B53E">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1003" w:type="pct"/>
                  <w:tcBorders>
                    <w:tl2br w:val="nil"/>
                    <w:tr2bl w:val="nil"/>
                  </w:tcBorders>
                  <w:vAlign w:val="center"/>
                </w:tcPr>
                <w:p w14:paraId="3E51AE56">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浓度限值（mg/m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1954" w:type="pct"/>
                  <w:tcBorders>
                    <w:tl2br w:val="nil"/>
                    <w:tr2bl w:val="nil"/>
                  </w:tcBorders>
                  <w:vAlign w:val="center"/>
                </w:tcPr>
                <w:p w14:paraId="4CF67186">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执行标准</w:t>
                  </w:r>
                </w:p>
              </w:tc>
            </w:tr>
            <w:tr w14:paraId="562FF1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8" w:type="pct"/>
                  <w:tcBorders>
                    <w:tl2br w:val="nil"/>
                    <w:tr2bl w:val="nil"/>
                  </w:tcBorders>
                  <w:vAlign w:val="center"/>
                </w:tcPr>
                <w:p w14:paraId="688FEFAA">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施工期</w:t>
                  </w:r>
                </w:p>
              </w:tc>
              <w:tc>
                <w:tcPr>
                  <w:tcW w:w="628" w:type="pct"/>
                  <w:tcBorders>
                    <w:tl2br w:val="nil"/>
                    <w:tr2bl w:val="nil"/>
                  </w:tcBorders>
                  <w:vAlign w:val="center"/>
                </w:tcPr>
                <w:p w14:paraId="33BB9EB6">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无组织</w:t>
                  </w:r>
                </w:p>
              </w:tc>
              <w:tc>
                <w:tcPr>
                  <w:tcW w:w="786" w:type="pct"/>
                  <w:tcBorders>
                    <w:tl2br w:val="nil"/>
                    <w:tr2bl w:val="nil"/>
                  </w:tcBorders>
                  <w:vAlign w:val="center"/>
                </w:tcPr>
                <w:p w14:paraId="7E93EC92">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1003" w:type="pct"/>
                  <w:tcBorders>
                    <w:tl2br w:val="nil"/>
                    <w:tr2bl w:val="nil"/>
                  </w:tcBorders>
                  <w:vAlign w:val="center"/>
                </w:tcPr>
                <w:p w14:paraId="7BB5C02F">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1954" w:type="pct"/>
                  <w:tcBorders>
                    <w:tl2br w:val="nil"/>
                    <w:tr2bl w:val="nil"/>
                  </w:tcBorders>
                  <w:vAlign w:val="center"/>
                </w:tcPr>
                <w:p w14:paraId="42AC424E">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rPr>
                    <w:t>《大气污染物综合排放标准》（GB16297-1996）</w:t>
                  </w:r>
                </w:p>
              </w:tc>
            </w:tr>
            <w:tr w14:paraId="033542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628" w:type="pct"/>
                  <w:vMerge w:val="restart"/>
                  <w:tcBorders>
                    <w:tl2br w:val="nil"/>
                    <w:tr2bl w:val="nil"/>
                  </w:tcBorders>
                  <w:vAlign w:val="center"/>
                </w:tcPr>
                <w:p w14:paraId="5240C760">
                  <w:pPr>
                    <w:spacing w:line="240" w:lineRule="auto"/>
                    <w:jc w:val="center"/>
                    <w:rPr>
                      <w:rFonts w:hint="eastAsia" w:eastAsia="宋体" w:cs="Times New Roman"/>
                      <w:color w:val="auto"/>
                      <w:sz w:val="21"/>
                      <w:szCs w:val="21"/>
                      <w:highlight w:val="none"/>
                      <w:lang w:val="en-US" w:eastAsia="zh-CN"/>
                    </w:rPr>
                  </w:pPr>
                  <w:r>
                    <w:rPr>
                      <w:rFonts w:hint="eastAsia"/>
                      <w:sz w:val="21"/>
                      <w:szCs w:val="21"/>
                      <w:highlight w:val="none"/>
                      <w:lang w:val="en-US" w:eastAsia="zh-CN"/>
                    </w:rPr>
                    <w:t>运营期</w:t>
                  </w:r>
                </w:p>
              </w:tc>
              <w:tc>
                <w:tcPr>
                  <w:tcW w:w="628" w:type="pct"/>
                  <w:tcBorders>
                    <w:tl2br w:val="nil"/>
                    <w:tr2bl w:val="nil"/>
                  </w:tcBorders>
                  <w:shd w:val="clear" w:color="auto" w:fill="auto"/>
                  <w:vAlign w:val="center"/>
                </w:tcPr>
                <w:p w14:paraId="644102FB">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color w:val="auto"/>
                      <w:sz w:val="21"/>
                      <w:szCs w:val="21"/>
                      <w:highlight w:val="none"/>
                      <w:lang w:val="en-US" w:eastAsia="zh-CN"/>
                    </w:rPr>
                    <w:t>/</w:t>
                  </w:r>
                </w:p>
              </w:tc>
              <w:tc>
                <w:tcPr>
                  <w:tcW w:w="786" w:type="pct"/>
                  <w:tcBorders>
                    <w:tl2br w:val="nil"/>
                    <w:tr2bl w:val="nil"/>
                  </w:tcBorders>
                  <w:shd w:val="clear" w:color="auto" w:fill="auto"/>
                  <w:vAlign w:val="center"/>
                </w:tcPr>
                <w:p w14:paraId="0B62ED8D">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color w:val="auto"/>
                      <w:sz w:val="21"/>
                      <w:szCs w:val="21"/>
                      <w:highlight w:val="none"/>
                      <w:lang w:val="en-US" w:eastAsia="zh-CN"/>
                    </w:rPr>
                    <w:t>食堂油烟</w:t>
                  </w:r>
                </w:p>
              </w:tc>
              <w:tc>
                <w:tcPr>
                  <w:tcW w:w="1003" w:type="pct"/>
                  <w:tcBorders>
                    <w:tl2br w:val="nil"/>
                    <w:tr2bl w:val="nil"/>
                  </w:tcBorders>
                  <w:shd w:val="clear" w:color="auto" w:fill="auto"/>
                  <w:vAlign w:val="center"/>
                </w:tcPr>
                <w:p w14:paraId="7BD5CE8D">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ascii="Times New Roman" w:hAnsi="Times New Roman" w:eastAsia="Times New Roman" w:cs="Times New Roman"/>
                      <w:spacing w:val="5"/>
                      <w:sz w:val="20"/>
                      <w:szCs w:val="20"/>
                      <w:highlight w:val="none"/>
                    </w:rPr>
                    <w:t>2.0</w:t>
                  </w:r>
                </w:p>
              </w:tc>
              <w:tc>
                <w:tcPr>
                  <w:tcW w:w="1954" w:type="pct"/>
                  <w:tcBorders>
                    <w:tl2br w:val="nil"/>
                    <w:tr2bl w:val="nil"/>
                  </w:tcBorders>
                  <w:shd w:val="clear" w:color="auto" w:fill="auto"/>
                  <w:vAlign w:val="center"/>
                </w:tcPr>
                <w:p w14:paraId="6EB9FF5B">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《饮食业油烟排放标准（试行）》（GB18483-2001）</w:t>
                  </w:r>
                </w:p>
              </w:tc>
            </w:tr>
            <w:tr w14:paraId="12BBF6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628" w:type="pct"/>
                  <w:vMerge w:val="continue"/>
                  <w:tcBorders>
                    <w:tl2br w:val="nil"/>
                    <w:tr2bl w:val="nil"/>
                  </w:tcBorders>
                  <w:vAlign w:val="center"/>
                </w:tcPr>
                <w:p w14:paraId="3A5F7A12">
                  <w:pPr>
                    <w:spacing w:line="240" w:lineRule="auto"/>
                    <w:jc w:val="center"/>
                    <w:rPr>
                      <w:rFonts w:hint="eastAsia"/>
                      <w:sz w:val="21"/>
                      <w:szCs w:val="21"/>
                      <w:highlight w:val="none"/>
                      <w:lang w:val="en-US" w:eastAsia="zh-CN"/>
                    </w:rPr>
                  </w:pPr>
                </w:p>
              </w:tc>
              <w:tc>
                <w:tcPr>
                  <w:tcW w:w="628" w:type="pct"/>
                  <w:tcBorders>
                    <w:tl2br w:val="nil"/>
                    <w:tr2bl w:val="nil"/>
                  </w:tcBorders>
                  <w:vAlign w:val="center"/>
                </w:tcPr>
                <w:p w14:paraId="42BDFA97">
                  <w:pPr>
                    <w:spacing w:line="240" w:lineRule="auto"/>
                    <w:jc w:val="center"/>
                    <w:rPr>
                      <w:rFonts w:hint="default"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无组织</w:t>
                  </w:r>
                </w:p>
              </w:tc>
              <w:tc>
                <w:tcPr>
                  <w:tcW w:w="786" w:type="pct"/>
                  <w:tcBorders>
                    <w:tl2br w:val="nil"/>
                    <w:tr2bl w:val="nil"/>
                  </w:tcBorders>
                  <w:shd w:val="clear" w:color="auto" w:fill="auto"/>
                  <w:vAlign w:val="center"/>
                </w:tcPr>
                <w:p w14:paraId="377146FE">
                  <w:pPr>
                    <w:spacing w:line="240" w:lineRule="auto"/>
                    <w:jc w:val="center"/>
                    <w:rPr>
                      <w:rFonts w:hint="default"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1681" w:type="dxa"/>
                  <w:tcBorders>
                    <w:tl2br w:val="nil"/>
                    <w:tr2bl w:val="nil"/>
                  </w:tcBorders>
                  <w:shd w:val="clear" w:color="auto" w:fill="auto"/>
                  <w:vAlign w:val="center"/>
                </w:tcPr>
                <w:p w14:paraId="64D49961">
                  <w:pPr>
                    <w:spacing w:line="240" w:lineRule="auto"/>
                    <w:jc w:val="center"/>
                    <w:rPr>
                      <w:rFonts w:hint="default"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3273" w:type="dxa"/>
                  <w:tcBorders>
                    <w:tl2br w:val="nil"/>
                    <w:tr2bl w:val="nil"/>
                  </w:tcBorders>
                  <w:shd w:val="clear" w:color="auto" w:fill="auto"/>
                  <w:vAlign w:val="center"/>
                </w:tcPr>
                <w:p w14:paraId="56DEAA5B">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rPr>
                    <w:t>《大气污染物综合排放标准》（GB16297-1996）</w:t>
                  </w:r>
                </w:p>
              </w:tc>
            </w:tr>
          </w:tbl>
          <w:p w14:paraId="39E1E5EB">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3.1</w:t>
            </w:r>
            <w:r>
              <w:rPr>
                <w:rFonts w:hint="eastAsia" w:cs="Times New Roman"/>
                <w:b/>
                <w:color w:val="auto"/>
                <w:highlight w:val="none"/>
                <w:lang w:val="en-US" w:eastAsia="zh-CN"/>
              </w:rPr>
              <w:t>4</w:t>
            </w:r>
            <w:r>
              <w:rPr>
                <w:rFonts w:hint="default" w:ascii="Times New Roman" w:hAnsi="Times New Roman" w:eastAsia="宋体" w:cs="Times New Roman"/>
                <w:b/>
                <w:color w:val="auto"/>
                <w:highlight w:val="none"/>
              </w:rPr>
              <w:t>噪声</w:t>
            </w:r>
          </w:p>
          <w:p w14:paraId="21389F0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施工噪声排放执行《建筑施工噪声排放标准》（GB12523-</w:t>
            </w:r>
            <w:r>
              <w:rPr>
                <w:rFonts w:hint="eastAsia" w:cs="Times New Roman"/>
                <w:color w:val="auto"/>
                <w:highlight w:val="none"/>
                <w:lang w:val="en-US" w:eastAsia="zh-CN"/>
              </w:rPr>
              <w:t>2025</w:t>
            </w:r>
            <w:r>
              <w:rPr>
                <w:rFonts w:hint="default" w:ascii="Times New Roman" w:hAnsi="Times New Roman" w:eastAsia="宋体" w:cs="Times New Roman"/>
                <w:color w:val="auto"/>
                <w:highlight w:val="none"/>
              </w:rPr>
              <w:t>）相关规定</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即昼间≤</w:t>
            </w:r>
            <w:r>
              <w:rPr>
                <w:rFonts w:hint="default" w:ascii="Times New Roman" w:hAnsi="Times New Roman" w:eastAsia="宋体" w:cs="Times New Roman"/>
                <w:color w:val="auto"/>
                <w:highlight w:val="none"/>
                <w:lang w:val="en-US" w:eastAsia="zh-CN"/>
              </w:rPr>
              <w:t>70</w:t>
            </w:r>
            <w:r>
              <w:rPr>
                <w:rFonts w:hint="default" w:ascii="Times New Roman" w:hAnsi="Times New Roman" w:eastAsia="宋体" w:cs="Times New Roman"/>
                <w:color w:val="auto"/>
                <w:highlight w:val="none"/>
              </w:rPr>
              <w:t>dB(A)，夜间≤5</w:t>
            </w: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dB(A)</w:t>
            </w:r>
            <w:r>
              <w:rPr>
                <w:rFonts w:hint="default" w:ascii="Times New Roman" w:hAnsi="Times New Roman" w:eastAsia="宋体" w:cs="Times New Roman"/>
                <w:color w:val="auto"/>
                <w:highlight w:val="none"/>
                <w:lang w:eastAsia="zh-CN"/>
              </w:rPr>
              <w:t>。</w:t>
            </w:r>
          </w:p>
          <w:p w14:paraId="1536E4E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运营期噪声执行《工业企业厂界环境噪声排放标准》（GB12348-2008）中</w:t>
            </w:r>
            <w:r>
              <w:rPr>
                <w:rFonts w:hint="eastAsia" w:cs="Times New Roman"/>
                <w:color w:val="auto"/>
                <w:highlight w:val="none"/>
                <w:lang w:val="en-US" w:eastAsia="zh-CN"/>
              </w:rPr>
              <w:t>2</w:t>
            </w:r>
            <w:r>
              <w:rPr>
                <w:rFonts w:hint="default" w:ascii="Times New Roman" w:hAnsi="Times New Roman" w:eastAsia="宋体" w:cs="Times New Roman"/>
                <w:color w:val="auto"/>
                <w:highlight w:val="none"/>
              </w:rPr>
              <w:t>类标准，即昼间≤</w:t>
            </w:r>
            <w:r>
              <w:rPr>
                <w:rFonts w:hint="eastAsia" w:cs="Times New Roman"/>
                <w:color w:val="auto"/>
                <w:highlight w:val="none"/>
                <w:lang w:val="en-US" w:eastAsia="zh-CN"/>
              </w:rPr>
              <w:t>60</w:t>
            </w:r>
            <w:r>
              <w:rPr>
                <w:rFonts w:hint="default" w:ascii="Times New Roman" w:hAnsi="Times New Roman" w:eastAsia="宋体" w:cs="Times New Roman"/>
                <w:color w:val="auto"/>
                <w:highlight w:val="none"/>
              </w:rPr>
              <w:t>dB(A)，夜间≤</w:t>
            </w:r>
            <w:r>
              <w:rPr>
                <w:rFonts w:hint="eastAsia" w:cs="Times New Roman"/>
                <w:color w:val="auto"/>
                <w:highlight w:val="none"/>
                <w:lang w:val="en-US" w:eastAsia="zh-CN"/>
              </w:rPr>
              <w:t>50</w:t>
            </w:r>
            <w:r>
              <w:rPr>
                <w:rFonts w:hint="default" w:ascii="Times New Roman" w:hAnsi="Times New Roman" w:eastAsia="宋体" w:cs="Times New Roman"/>
                <w:color w:val="auto"/>
                <w:highlight w:val="none"/>
              </w:rPr>
              <w:t>dB(A)。</w:t>
            </w:r>
          </w:p>
          <w:p w14:paraId="4F1B462B">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3.1</w:t>
            </w:r>
            <w:r>
              <w:rPr>
                <w:rFonts w:hint="eastAsia" w:cs="Times New Roman"/>
                <w:b/>
                <w:color w:val="auto"/>
                <w:highlight w:val="none"/>
                <w:lang w:val="en-US" w:eastAsia="zh-CN"/>
              </w:rPr>
              <w:t>5</w:t>
            </w:r>
            <w:r>
              <w:rPr>
                <w:rFonts w:hint="eastAsia"/>
                <w:b/>
                <w:bCs/>
                <w:highlight w:val="none"/>
                <w:lang w:val="en-US" w:eastAsia="zh-CN"/>
              </w:rPr>
              <w:t>废水</w:t>
            </w:r>
          </w:p>
          <w:p w14:paraId="586B07F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s="Times New Roman"/>
                <w:color w:val="auto"/>
                <w:highlight w:val="none"/>
                <w:lang w:val="en-US" w:eastAsia="zh-CN"/>
              </w:rPr>
            </w:pPr>
            <w:r>
              <w:rPr>
                <w:rFonts w:hint="eastAsia" w:cs="Times New Roman"/>
                <w:color w:val="auto"/>
                <w:highlight w:val="none"/>
                <w:lang w:val="en-US" w:eastAsia="zh-CN"/>
              </w:rPr>
              <w:t>项目生活污水、食堂废水经地埋式一体化污水处理设施处理后达到</w:t>
            </w:r>
            <w:r>
              <w:rPr>
                <w:rFonts w:hint="eastAsia"/>
                <w:b w:val="0"/>
                <w:bCs w:val="0"/>
                <w:color w:val="auto"/>
                <w:highlight w:val="none"/>
                <w:lang w:val="en-US" w:eastAsia="zh-CN"/>
              </w:rPr>
              <w:t>《城市污水再生利用 城市杂用水水质》（GB/T 18920-2020）</w:t>
            </w:r>
            <w:r>
              <w:rPr>
                <w:rFonts w:hint="eastAsia" w:cs="Times New Roman"/>
                <w:color w:val="auto"/>
                <w:highlight w:val="none"/>
                <w:lang w:val="en-US" w:eastAsia="zh-CN"/>
              </w:rPr>
              <w:t>，春夏秋季用于洒水降尘，冬季储存于水箱，次年回暖后回用，不外排。</w:t>
            </w:r>
          </w:p>
          <w:p w14:paraId="435699E2">
            <w:pPr>
              <w:keepNext w:val="0"/>
              <w:keepLines w:val="0"/>
              <w:pageBreakBefore w:val="0"/>
              <w:widowControl w:val="0"/>
              <w:kinsoku/>
              <w:wordWrap/>
              <w:overflowPunct/>
              <w:topLinePunct w:val="0"/>
              <w:autoSpaceDE/>
              <w:autoSpaceDN/>
              <w:bidi w:val="0"/>
              <w:spacing w:line="500" w:lineRule="exact"/>
              <w:textAlignment w:val="auto"/>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3.1</w:t>
            </w:r>
            <w:r>
              <w:rPr>
                <w:rFonts w:hint="eastAsia" w:cs="Times New Roman"/>
                <w:b/>
                <w:color w:val="auto"/>
                <w:highlight w:val="none"/>
                <w:lang w:val="en-US" w:eastAsia="zh-CN"/>
              </w:rPr>
              <w:t>6</w:t>
            </w:r>
            <w:r>
              <w:rPr>
                <w:rFonts w:hint="eastAsia"/>
                <w:b/>
                <w:bCs/>
                <w:highlight w:val="none"/>
              </w:rPr>
              <w:t>一般工业固体废物</w:t>
            </w:r>
          </w:p>
          <w:p w14:paraId="454912B2">
            <w:pPr>
              <w:pStyle w:val="46"/>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default"/>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bidi="ar-SA"/>
                <w14:ligatures w14:val="none"/>
              </w:rPr>
              <w:t>本项目产生的固体废</w:t>
            </w:r>
            <w:r>
              <w:rPr>
                <w:rFonts w:hint="eastAsia" w:cs="Times New Roman"/>
                <w:snapToGrid w:val="0"/>
                <w:color w:val="auto"/>
                <w:kern w:val="0"/>
                <w:sz w:val="24"/>
                <w:szCs w:val="24"/>
                <w:highlight w:val="none"/>
                <w:lang w:val="en-US" w:eastAsia="zh-CN" w:bidi="ar-SA"/>
                <w14:ligatures w14:val="none"/>
              </w:rPr>
              <w:t>物及</w:t>
            </w:r>
            <w:r>
              <w:rPr>
                <w:rFonts w:hint="default" w:ascii="Times New Roman" w:hAnsi="Times New Roman" w:eastAsia="宋体" w:cs="Times New Roman"/>
                <w:snapToGrid w:val="0"/>
                <w:color w:val="auto"/>
                <w:kern w:val="0"/>
                <w:sz w:val="24"/>
                <w:szCs w:val="24"/>
                <w:highlight w:val="none"/>
                <w:lang w:val="en-US" w:eastAsia="zh-CN" w:bidi="ar-SA"/>
                <w14:ligatures w14:val="none"/>
              </w:rPr>
              <w:t>其贮存参考《一般工业固体废物贮存和填埋污染控制标准》（GB18599-2020）中防渗漏、防雨淋、防扬尘等环境保护要求。</w:t>
            </w:r>
          </w:p>
        </w:tc>
      </w:tr>
      <w:tr w14:paraId="1C1BFF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88" w:hRule="atLeast"/>
          <w:jc w:val="center"/>
        </w:trPr>
        <w:tc>
          <w:tcPr>
            <w:tcW w:w="397" w:type="dxa"/>
            <w:vAlign w:val="center"/>
          </w:tcPr>
          <w:p w14:paraId="32197CC4">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总量</w:t>
            </w:r>
          </w:p>
          <w:p w14:paraId="1468AFE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控制</w:t>
            </w:r>
          </w:p>
          <w:p w14:paraId="28979CCB">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指标</w:t>
            </w:r>
          </w:p>
        </w:tc>
        <w:tc>
          <w:tcPr>
            <w:tcW w:w="8611" w:type="dxa"/>
            <w:vAlign w:val="center"/>
          </w:tcPr>
          <w:p w14:paraId="10F6C581">
            <w:pPr>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无</w:t>
            </w:r>
          </w:p>
        </w:tc>
      </w:tr>
    </w:tbl>
    <w:p w14:paraId="646A2E4D">
      <w:pPr>
        <w:jc w:val="center"/>
        <w:outlineLvl w:val="0"/>
        <w:rPr>
          <w:rFonts w:ascii="黑体" w:hAnsi="黑体" w:eastAsia="黑体"/>
          <w:color w:val="auto"/>
          <w:sz w:val="30"/>
          <w:szCs w:val="30"/>
          <w:highlight w:val="none"/>
        </w:rPr>
      </w:pPr>
      <w:r>
        <w:rPr>
          <w:rFonts w:ascii="黑体" w:hAnsi="黑体" w:eastAsia="黑体"/>
          <w:color w:val="auto"/>
          <w:sz w:val="36"/>
          <w:szCs w:val="36"/>
          <w:highlight w:val="none"/>
        </w:rPr>
        <w:br w:type="page"/>
      </w:r>
      <w:r>
        <w:rPr>
          <w:rFonts w:hint="eastAsia" w:ascii="黑体" w:hAnsi="黑体" w:eastAsia="黑体"/>
          <w:color w:val="auto"/>
          <w:sz w:val="30"/>
          <w:szCs w:val="30"/>
          <w:highlight w:val="none"/>
        </w:rPr>
        <w:t>四、主要环境影响和保护措施</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84"/>
        <w:gridCol w:w="8696"/>
      </w:tblGrid>
      <w:tr w14:paraId="0E3C5C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397" w:type="dxa"/>
            <w:tcMar>
              <w:left w:w="28" w:type="dxa"/>
              <w:right w:w="28" w:type="dxa"/>
            </w:tcMar>
            <w:vAlign w:val="center"/>
          </w:tcPr>
          <w:p w14:paraId="4525457A">
            <w:pPr>
              <w:pageBreakBefore w:val="0"/>
              <w:kinsoku/>
              <w:wordWrap/>
              <w:overflowPunct/>
              <w:topLinePunct w:val="0"/>
              <w:bidi w:val="0"/>
              <w:adjustRightInd w:val="0"/>
              <w:snapToGrid w:val="0"/>
              <w:jc w:val="center"/>
              <w:rPr>
                <w:rFonts w:hint="default" w:ascii="Times New Roman" w:hAnsi="Times New Roman" w:cs="Times New Roman"/>
                <w:bCs/>
                <w:color w:val="auto"/>
                <w:kern w:val="2"/>
                <w:highlight w:val="none"/>
              </w:rPr>
            </w:pPr>
            <w:r>
              <w:rPr>
                <w:rFonts w:hint="default" w:ascii="Times New Roman" w:hAnsi="Times New Roman" w:cs="Times New Roman"/>
                <w:color w:val="auto"/>
                <w:kern w:val="2"/>
                <w:highlight w:val="none"/>
              </w:rPr>
              <w:t>施工期环境保护措施</w:t>
            </w:r>
          </w:p>
        </w:tc>
        <w:tc>
          <w:tcPr>
            <w:tcW w:w="8075" w:type="dxa"/>
          </w:tcPr>
          <w:p w14:paraId="2963D1FB">
            <w:pPr>
              <w:pageBreakBefore w:val="0"/>
              <w:widowControl w:val="0"/>
              <w:kinsoku/>
              <w:wordWrap/>
              <w:overflowPunct/>
              <w:topLinePunct w:val="0"/>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4.1施工期</w:t>
            </w:r>
            <w:r>
              <w:rPr>
                <w:rFonts w:hint="eastAsia" w:cs="Times New Roman"/>
                <w:b/>
                <w:bCs/>
                <w:color w:val="auto"/>
                <w:highlight w:val="none"/>
                <w:lang w:val="en-US" w:eastAsia="zh-CN"/>
              </w:rPr>
              <w:t>废气</w:t>
            </w:r>
            <w:r>
              <w:rPr>
                <w:rFonts w:hint="default" w:ascii="Times New Roman" w:hAnsi="Times New Roman" w:eastAsia="宋体" w:cs="Times New Roman"/>
                <w:b/>
                <w:bCs/>
                <w:color w:val="auto"/>
                <w:highlight w:val="none"/>
              </w:rPr>
              <w:t>环境影响分析</w:t>
            </w:r>
          </w:p>
          <w:p w14:paraId="315EEF33">
            <w:pPr>
              <w:keepNext/>
              <w:keepLines/>
              <w:pageBreakBefore w:val="0"/>
              <w:widowControl w:val="0"/>
              <w:kinsoku/>
              <w:wordWrap/>
              <w:overflowPunct/>
              <w:topLinePunct w:val="0"/>
              <w:bidi w:val="0"/>
              <w:adjustRightInd w:val="0"/>
              <w:snapToGrid w:val="0"/>
              <w:spacing w:line="500" w:lineRule="exact"/>
              <w:textAlignment w:val="auto"/>
              <w:outlineLvl w:val="2"/>
              <w:rPr>
                <w:rFonts w:hint="eastAsia" w:ascii="Times New Roman" w:hAnsi="Times New Roman" w:eastAsia="宋体" w:cs="Times New Roman"/>
                <w:color w:val="000000" w:themeColor="text1"/>
                <w:highlight w:val="none"/>
                <w:lang w:eastAsia="zh-CN"/>
                <w14:textFill>
                  <w14:solidFill>
                    <w14:schemeClr w14:val="tx1"/>
                  </w14:solidFill>
                </w14:textFill>
              </w:rPr>
            </w:pPr>
            <w:bookmarkStart w:id="3" w:name="_Toc417384482"/>
            <w:bookmarkStart w:id="4" w:name="_Toc417384594"/>
            <w:bookmarkStart w:id="5" w:name="_Toc417384481"/>
            <w:bookmarkStart w:id="6" w:name="_Toc417384593"/>
            <w:r>
              <w:rPr>
                <w:rFonts w:hint="default" w:ascii="Times New Roman" w:hAnsi="Times New Roman" w:eastAsia="宋体" w:cs="Times New Roman"/>
                <w:b/>
                <w:bCs/>
                <w:color w:val="000000" w:themeColor="text1"/>
                <w:highlight w:val="none"/>
                <w14:textFill>
                  <w14:solidFill>
                    <w14:schemeClr w14:val="tx1"/>
                  </w14:solidFill>
                </w14:textFill>
              </w:rPr>
              <w:t>4.1.</w:t>
            </w:r>
            <w:bookmarkEnd w:id="3"/>
            <w:bookmarkEnd w:id="4"/>
            <w:r>
              <w:rPr>
                <w:rFonts w:hint="default" w:ascii="Times New Roman" w:hAnsi="Times New Roman" w:eastAsia="宋体" w:cs="Times New Roman"/>
                <w:b/>
                <w:bCs/>
                <w:color w:val="000000" w:themeColor="text1"/>
                <w:highlight w:val="none"/>
                <w14:textFill>
                  <w14:solidFill>
                    <w14:schemeClr w14:val="tx1"/>
                  </w14:solidFill>
                </w14:textFill>
              </w:rPr>
              <w:t>1施工</w:t>
            </w:r>
            <w:r>
              <w:rPr>
                <w:rFonts w:hint="eastAsia" w:cs="Times New Roman"/>
                <w:b/>
                <w:bCs/>
                <w:color w:val="000000" w:themeColor="text1"/>
                <w:highlight w:val="none"/>
                <w:lang w:val="en-US" w:eastAsia="zh-CN"/>
                <w14:textFill>
                  <w14:solidFill>
                    <w14:schemeClr w14:val="tx1"/>
                  </w14:solidFill>
                </w14:textFill>
              </w:rPr>
              <w:t>扬尘</w:t>
            </w:r>
          </w:p>
          <w:p w14:paraId="5C0C14ED">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施工期间的扬尘主要来自汽车扬尘、场地平整</w:t>
            </w:r>
            <w:r>
              <w:rPr>
                <w:rFonts w:hint="eastAsia" w:cs="Times New Roman"/>
                <w:color w:val="000000" w:themeColor="text1"/>
                <w:highlight w:val="none"/>
                <w:lang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施工</w:t>
            </w:r>
            <w:r>
              <w:rPr>
                <w:rFonts w:hint="default" w:ascii="Times New Roman" w:hAnsi="Times New Roman" w:eastAsia="宋体" w:cs="Times New Roman"/>
                <w:color w:val="000000" w:themeColor="text1"/>
                <w:highlight w:val="none"/>
                <w14:textFill>
                  <w14:solidFill>
                    <w14:schemeClr w14:val="tx1"/>
                  </w14:solidFill>
                </w14:textFill>
              </w:rPr>
              <w:t>产生的风力扬尘。</w:t>
            </w:r>
          </w:p>
          <w:p w14:paraId="5B638E74">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（1）汽车行驶扬尘</w:t>
            </w:r>
          </w:p>
          <w:p w14:paraId="1C1831FC">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汽车行驶扬尘主要为路面扬尘以及由车轮附带的泥土产生的扬尘</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环评要求施工期间，对运输车辆进行限速行驶、及时清理路面洒落泥土，保持路面清洁，适当洒水。</w:t>
            </w:r>
          </w:p>
          <w:p w14:paraId="5EDE698C">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（2）施工扬尘</w:t>
            </w:r>
          </w:p>
          <w:p w14:paraId="64E46520">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项目</w:t>
            </w:r>
            <w:r>
              <w:rPr>
                <w:rFonts w:hint="eastAsia" w:cs="Times New Roman"/>
                <w:color w:val="000000" w:themeColor="text1"/>
                <w:highlight w:val="none"/>
                <w:lang w:val="en-US" w:eastAsia="zh-CN"/>
                <w14:textFill>
                  <w14:solidFill>
                    <w14:schemeClr w14:val="tx1"/>
                  </w14:solidFill>
                </w14:textFill>
              </w:rPr>
              <w:t>区</w:t>
            </w:r>
            <w:r>
              <w:rPr>
                <w:rFonts w:hint="default" w:ascii="Times New Roman" w:hAnsi="Times New Roman" w:eastAsia="宋体" w:cs="Times New Roman"/>
                <w:color w:val="000000" w:themeColor="text1"/>
                <w:highlight w:val="none"/>
                <w14:textFill>
                  <w14:solidFill>
                    <w14:schemeClr w14:val="tx1"/>
                  </w14:solidFill>
                </w14:textFill>
              </w:rPr>
              <w:t>内开挖</w:t>
            </w:r>
            <w:r>
              <w:rPr>
                <w:rFonts w:hint="eastAsia" w:cs="Times New Roman"/>
                <w:color w:val="000000" w:themeColor="text1"/>
                <w:highlight w:val="none"/>
                <w:lang w:val="en-US" w:eastAsia="zh-CN"/>
                <w14:textFill>
                  <w14:solidFill>
                    <w14:schemeClr w14:val="tx1"/>
                  </w14:solidFill>
                </w14:textFill>
              </w:rPr>
              <w:t>地基</w:t>
            </w:r>
            <w:r>
              <w:rPr>
                <w:rFonts w:hint="default" w:ascii="Times New Roman" w:hAnsi="Times New Roman" w:eastAsia="宋体" w:cs="Times New Roman"/>
                <w:color w:val="000000" w:themeColor="text1"/>
                <w:highlight w:val="none"/>
                <w14:textFill>
                  <w14:solidFill>
                    <w14:schemeClr w14:val="tx1"/>
                  </w14:solidFill>
                </w14:textFill>
              </w:rPr>
              <w:t>，该类土层含水率较低，在天气干燥、有风的情况下覆土时，会产生扬尘。因此，建设单位必须充分重视扬尘所带来的环境污染问题，应从车辆途经路段、车辆行驶速度以及车辆轮胎清洁度，施工工地堆场、裸露地表等方面采取合理可行的污染控制措施，最大程度减轻其污染程度。</w:t>
            </w:r>
          </w:p>
          <w:p w14:paraId="3101F01B">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根据《大气污染防治行动计划</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新疆维吾尔自治区大气污染防治行动计划实施方案</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巴州建筑工程施工现场扬尘污染防治实施细则》等相关文件要求，工程建设期间，建设和施工单位应负责工地周边道路的保洁与清洗责任，建筑工程施工现场扬尘污染防治应做到工地周边围挡、物料堆放覆盖、土方开挖湿法作业、渣土车辆密闭运输。尽可能减少项目对周围环境产生的影响，建设单位必须充分重视扬尘所带来的环境污染问题，本环评要求采取以下措施：</w:t>
            </w:r>
          </w:p>
          <w:p w14:paraId="7DB22CD9">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①施工企业要在开工前制定建筑施工现场扬尘控制措施</w:t>
            </w:r>
            <w:r>
              <w:rPr>
                <w:rFonts w:hint="eastAsia" w:cs="Times New Roman"/>
                <w:color w:val="000000" w:themeColor="text1"/>
                <w:highlight w:val="none"/>
                <w:lang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做到“六个百分百”（施工围挡100%标准、</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施工现场100%湿法作业、施工道路100%硬化、物料堆放100%覆盖、施工现场出入车辆100%冲洗、渣土运输车辆100%密闭运输</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w:t>
            </w:r>
          </w:p>
          <w:p w14:paraId="625168A5">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②施工现场实行围挡封闭，围挡高度不得低于1.8m；</w:t>
            </w:r>
          </w:p>
          <w:p w14:paraId="711578F8">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③施工现场临时设施、临时道路的设置应科学合理，并应符合安全、消防、节能、环保等有关规定。施工区、材料存放区应与办公生活区划分清楚，并应采取相应的隔离措施。宜设置循环通道或贯通的施工道路，其宽度和承载力应满足车辆通行和消防要求。施工场区内裸露场地和堆放的土方必须采用防尘网覆盖、固化等扬尘污染防治措施。施工现场应</w:t>
            </w:r>
            <w:r>
              <w:rPr>
                <w:rFonts w:hint="eastAsia" w:cs="Times New Roman"/>
                <w:color w:val="000000" w:themeColor="text1"/>
                <w:highlight w:val="none"/>
                <w:lang w:val="en-US" w:eastAsia="zh-CN"/>
                <w14:textFill>
                  <w14:solidFill>
                    <w14:schemeClr w14:val="tx1"/>
                  </w14:solidFill>
                </w14:textFill>
              </w:rPr>
              <w:t>保证</w:t>
            </w:r>
            <w:r>
              <w:rPr>
                <w:rFonts w:hint="default" w:ascii="Times New Roman" w:hAnsi="Times New Roman" w:eastAsia="宋体" w:cs="Times New Roman"/>
                <w:color w:val="000000" w:themeColor="text1"/>
                <w:highlight w:val="none"/>
                <w14:textFill>
                  <w14:solidFill>
                    <w14:schemeClr w14:val="tx1"/>
                  </w14:solidFill>
                </w14:textFill>
              </w:rPr>
              <w:t>排水畅通，场地无积水。污水宜沉淀后重复使用。建设单位负责对待建场地裸露地面进行覆盖。</w:t>
            </w:r>
          </w:p>
          <w:p w14:paraId="4B65BBF6">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④施工现场土方堆放时，除应采取覆盖防尘网、篷布等防尘措施，并适时洒水外。还应做到：土方堆放高度不宜超过相邻围挡；使用土方时禁止将所有遮盖的防尘网全部打开；</w:t>
            </w:r>
            <w:r>
              <w:rPr>
                <w:rFonts w:hint="eastAsia" w:cs="Times New Roman"/>
                <w:color w:val="000000" w:themeColor="text1"/>
                <w:highlight w:val="none"/>
                <w:lang w:val="en-US" w:eastAsia="zh-CN"/>
                <w14:textFill>
                  <w14:solidFill>
                    <w14:schemeClr w14:val="tx1"/>
                  </w14:solidFill>
                </w14:textFill>
              </w:rPr>
              <w:t>施工</w:t>
            </w:r>
            <w:r>
              <w:rPr>
                <w:rFonts w:hint="default" w:ascii="Times New Roman" w:hAnsi="Times New Roman" w:eastAsia="宋体" w:cs="Times New Roman"/>
                <w:color w:val="000000" w:themeColor="text1"/>
                <w:highlight w:val="none"/>
                <w14:textFill>
                  <w14:solidFill>
                    <w14:schemeClr w14:val="tx1"/>
                  </w14:solidFill>
                </w14:textFill>
              </w:rPr>
              <w:t>材料应分类分区存放，场地应采取硬化或砖、焦渣、碎石铺装等防尘措施。严禁在施工现场</w:t>
            </w:r>
            <w:r>
              <w:rPr>
                <w:rFonts w:hint="eastAsia" w:cs="Times New Roman"/>
                <w:color w:val="000000" w:themeColor="text1"/>
                <w:highlight w:val="none"/>
                <w:lang w:eastAsia="zh-CN"/>
                <w14:textFill>
                  <w14:solidFill>
                    <w14:schemeClr w14:val="tx1"/>
                  </w14:solidFill>
                </w14:textFill>
              </w:rPr>
              <w:t>围挡</w:t>
            </w:r>
            <w:r>
              <w:rPr>
                <w:rFonts w:hint="default" w:ascii="Times New Roman" w:hAnsi="Times New Roman" w:eastAsia="宋体" w:cs="Times New Roman"/>
                <w:color w:val="000000" w:themeColor="text1"/>
                <w:highlight w:val="none"/>
                <w14:textFill>
                  <w14:solidFill>
                    <w14:schemeClr w14:val="tx1"/>
                  </w14:solidFill>
                </w14:textFill>
              </w:rPr>
              <w:t>外堆放建筑材料和建筑垃圾。</w:t>
            </w:r>
          </w:p>
          <w:p w14:paraId="23F24B6C">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⑤</w:t>
            </w:r>
            <w:r>
              <w:rPr>
                <w:rFonts w:hint="default" w:ascii="Times New Roman" w:hAnsi="Times New Roman" w:eastAsia="宋体" w:cs="Times New Roman"/>
                <w:color w:val="000000" w:themeColor="text1"/>
                <w:highlight w:val="none"/>
                <w14:textFill>
                  <w14:solidFill>
                    <w14:schemeClr w14:val="tx1"/>
                  </w14:solidFill>
                </w14:textFill>
              </w:rPr>
              <w:t>建筑垃圾处置实行减量化、资源化、无害化和</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谁产生、谁处置</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的原则。施工单位应当合理利用资源，防止浪费，减少渣土与建筑垃圾的产出量。施工现场建筑垃圾应集中、分类堆放，严密遮盖。施工现场内严禁随意丢弃和焚烧各类废弃物，严禁高空</w:t>
            </w:r>
            <w:r>
              <w:rPr>
                <w:rFonts w:hint="eastAsia" w:cs="Times New Roman"/>
                <w:color w:val="000000" w:themeColor="text1"/>
                <w:highlight w:val="none"/>
                <w:lang w:eastAsia="zh-CN"/>
                <w14:textFill>
                  <w14:solidFill>
                    <w14:schemeClr w14:val="tx1"/>
                  </w14:solidFill>
                </w14:textFill>
              </w:rPr>
              <w:t>抛洒</w:t>
            </w:r>
            <w:r>
              <w:rPr>
                <w:rFonts w:hint="default" w:ascii="Times New Roman" w:hAnsi="Times New Roman" w:eastAsia="宋体" w:cs="Times New Roman"/>
                <w:color w:val="000000" w:themeColor="text1"/>
                <w:highlight w:val="none"/>
                <w14:textFill>
                  <w14:solidFill>
                    <w14:schemeClr w14:val="tx1"/>
                  </w14:solidFill>
                </w14:textFill>
              </w:rPr>
              <w:t>建筑垃圾。施工工程中产生的弃土、弃料及其他建筑垃圾，应及时清运。若在工地内堆置超过48小时的，应在施工</w:t>
            </w:r>
            <w:r>
              <w:rPr>
                <w:rFonts w:hint="eastAsia" w:cs="Times New Roman"/>
                <w:color w:val="000000" w:themeColor="text1"/>
                <w:highlight w:val="none"/>
                <w:lang w:eastAsia="zh-CN"/>
                <w14:textFill>
                  <w14:solidFill>
                    <w14:schemeClr w14:val="tx1"/>
                  </w14:solidFill>
                </w14:textFill>
              </w:rPr>
              <w:t>场地</w:t>
            </w:r>
            <w:r>
              <w:rPr>
                <w:rFonts w:hint="default" w:ascii="Times New Roman" w:hAnsi="Times New Roman" w:eastAsia="宋体" w:cs="Times New Roman"/>
                <w:color w:val="000000" w:themeColor="text1"/>
                <w:highlight w:val="none"/>
                <w14:textFill>
                  <w14:solidFill>
                    <w14:schemeClr w14:val="tx1"/>
                  </w14:solidFill>
                </w14:textFill>
              </w:rPr>
              <w:t>内设置临时堆放场，并采取下列措施之一：覆盖防尘布、防尘网；定期喷洒抑尘剂；定期洒水压尘；其他有效的防尘措施。</w:t>
            </w:r>
          </w:p>
          <w:p w14:paraId="6D0C8670">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 xml:space="preserve">建筑垃圾和土方运输车辆运输中必须采取密闭措施，切实达到无外露、无遗撒、无高尖、无扬尘的要求，按规定的时间、地点、线路运输和装卸。 </w:t>
            </w:r>
          </w:p>
          <w:p w14:paraId="66C2508B">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⑥</w:t>
            </w:r>
            <w:r>
              <w:rPr>
                <w:rFonts w:hint="default" w:ascii="Times New Roman" w:hAnsi="Times New Roman" w:eastAsia="宋体" w:cs="Times New Roman"/>
                <w:color w:val="000000" w:themeColor="text1"/>
                <w:highlight w:val="none"/>
                <w14:textFill>
                  <w14:solidFill>
                    <w14:schemeClr w14:val="tx1"/>
                  </w14:solidFill>
                </w14:textFill>
              </w:rPr>
              <w:t>施工现场使用商品混凝土；</w:t>
            </w:r>
          </w:p>
          <w:p w14:paraId="13590FDB">
            <w:pPr>
              <w:keepNext/>
              <w:keepLines/>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2"/>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综上所述，项目施工期产生的扬尘只要采取以上措施处理后，对周边环境影响较小。</w:t>
            </w:r>
          </w:p>
          <w:p w14:paraId="3E2EFA5A">
            <w:pPr>
              <w:keepNext/>
              <w:keepLines/>
              <w:pageBreakBefore w:val="0"/>
              <w:widowControl w:val="0"/>
              <w:kinsoku/>
              <w:wordWrap/>
              <w:overflowPunct/>
              <w:topLinePunct w:val="0"/>
              <w:bidi w:val="0"/>
              <w:adjustRightInd w:val="0"/>
              <w:snapToGrid w:val="0"/>
              <w:spacing w:line="500" w:lineRule="exact"/>
              <w:textAlignment w:val="auto"/>
              <w:outlineLvl w:val="2"/>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4.1.2</w:t>
            </w:r>
            <w:bookmarkEnd w:id="5"/>
            <w:bookmarkEnd w:id="6"/>
            <w:r>
              <w:rPr>
                <w:rFonts w:hint="eastAsia" w:cs="Times New Roman"/>
                <w:b/>
                <w:bCs/>
                <w:color w:val="000000" w:themeColor="text1"/>
                <w:highlight w:val="none"/>
                <w:lang w:val="en-US" w:eastAsia="zh-CN"/>
                <w14:textFill>
                  <w14:solidFill>
                    <w14:schemeClr w14:val="tx1"/>
                  </w14:solidFill>
                </w14:textFill>
              </w:rPr>
              <w:t>汽车尾气</w:t>
            </w:r>
          </w:p>
          <w:p w14:paraId="75CFD747">
            <w:pPr>
              <w:pageBreakBefore w:val="0"/>
              <w:widowControl w:val="0"/>
              <w:kinsoku/>
              <w:wordWrap/>
              <w:overflowPunct/>
              <w:topLinePunct w:val="0"/>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施工车辆（工程车）、施工机械（挖掘机、推土机等）等一般均采用柴油为燃料，产生CO、HC、NOx等</w:t>
            </w:r>
            <w:r>
              <w:rPr>
                <w:rFonts w:hint="eastAsia" w:cs="Times New Roman"/>
                <w:color w:val="000000" w:themeColor="text1"/>
                <w:highlight w:val="none"/>
                <w:lang w:eastAsia="zh-CN"/>
                <w14:textFill>
                  <w14:solidFill>
                    <w14:schemeClr w14:val="tx1"/>
                  </w14:solidFill>
                </w14:textFill>
              </w:rPr>
              <w:t>空气污染物</w:t>
            </w:r>
            <w:r>
              <w:rPr>
                <w:rFonts w:hint="default" w:ascii="Times New Roman" w:hAnsi="Times New Roman" w:eastAsia="宋体" w:cs="Times New Roman"/>
                <w:color w:val="000000" w:themeColor="text1"/>
                <w:highlight w:val="none"/>
                <w14:textFill>
                  <w14:solidFill>
                    <w14:schemeClr w14:val="tx1"/>
                  </w14:solidFill>
                </w14:textFill>
              </w:rPr>
              <w:t>，车辆以及施工机械分布较散，大部分为流动性，产生情况表现为局部和间歇性，其排放量也较小，经自然扩散后，其对周边环境敏感点以及周边大气环境影响不大。</w:t>
            </w:r>
          </w:p>
          <w:p w14:paraId="15CB1377">
            <w:pPr>
              <w:pageBreakBefore w:val="0"/>
              <w:widowControl w:val="0"/>
              <w:kinsoku/>
              <w:wordWrap/>
              <w:overflowPunct/>
              <w:topLinePunct w:val="0"/>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由于本项目建设规模较小，施工时间较短，故采取上述措施后，本项目施工期产生的废气对周围环境不会产生明显的不利影响，且随着施工期的结束影响即消除。</w:t>
            </w:r>
          </w:p>
          <w:p w14:paraId="5F3871A9">
            <w:pPr>
              <w:keepNext/>
              <w:keepLines/>
              <w:pageBreakBefore w:val="0"/>
              <w:widowControl w:val="0"/>
              <w:kinsoku/>
              <w:wordWrap/>
              <w:overflowPunct/>
              <w:topLinePunct w:val="0"/>
              <w:bidi w:val="0"/>
              <w:adjustRightInd w:val="0"/>
              <w:snapToGrid w:val="0"/>
              <w:spacing w:line="500" w:lineRule="exact"/>
              <w:textAlignment w:val="auto"/>
              <w:outlineLvl w:val="2"/>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bookmarkStart w:id="7" w:name="_Toc417384483"/>
            <w:bookmarkStart w:id="8" w:name="_Toc417384595"/>
            <w:r>
              <w:rPr>
                <w:rFonts w:hint="default" w:ascii="Times New Roman" w:hAnsi="Times New Roman" w:eastAsia="宋体" w:cs="Times New Roman"/>
                <w:b/>
                <w:bCs/>
                <w:color w:val="000000" w:themeColor="text1"/>
                <w:highlight w:val="none"/>
                <w14:textFill>
                  <w14:solidFill>
                    <w14:schemeClr w14:val="tx1"/>
                  </w14:solidFill>
                </w14:textFill>
              </w:rPr>
              <w:t>4.</w:t>
            </w:r>
            <w:r>
              <w:rPr>
                <w:rFonts w:hint="eastAsia" w:cs="Times New Roman"/>
                <w:b/>
                <w:bCs/>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highlight w:val="none"/>
                <w14:textFill>
                  <w14:solidFill>
                    <w14:schemeClr w14:val="tx1"/>
                  </w14:solidFill>
                </w14:textFill>
              </w:rPr>
              <w:t>施工</w:t>
            </w:r>
            <w:bookmarkEnd w:id="7"/>
            <w:bookmarkEnd w:id="8"/>
            <w:r>
              <w:rPr>
                <w:rFonts w:hint="eastAsia" w:cs="Times New Roman"/>
                <w:b/>
                <w:bCs/>
                <w:color w:val="000000" w:themeColor="text1"/>
                <w:highlight w:val="none"/>
                <w:lang w:val="en-US" w:eastAsia="zh-CN"/>
                <w14:textFill>
                  <w14:solidFill>
                    <w14:schemeClr w14:val="tx1"/>
                  </w14:solidFill>
                </w14:textFill>
              </w:rPr>
              <w:t>期废水环境影响分析</w:t>
            </w:r>
          </w:p>
          <w:p w14:paraId="78493970">
            <w:pPr>
              <w:pageBreakBefore w:val="0"/>
              <w:widowControl w:val="0"/>
              <w:numPr>
                <w:ilvl w:val="0"/>
                <w:numId w:val="0"/>
              </w:numPr>
              <w:kinsoku/>
              <w:wordWrap/>
              <w:overflowPunct/>
              <w:topLinePunct w:val="0"/>
              <w:bidi w:val="0"/>
              <w:adjustRightInd w:val="0"/>
              <w:snapToGrid w:val="0"/>
              <w:spacing w:line="500" w:lineRule="exact"/>
              <w:ind w:firstLine="480" w:firstLineChars="200"/>
              <w:jc w:val="both"/>
              <w:textAlignment w:val="auto"/>
              <w:rPr>
                <w:rFonts w:hint="eastAsia" w:ascii="宋体" w:hAnsi="宋体" w:cs="宋体"/>
                <w:sz w:val="24"/>
                <w:szCs w:val="24"/>
                <w:highlight w:val="none"/>
                <w:lang w:eastAsia="zh-CN"/>
              </w:rPr>
            </w:pPr>
            <w:r>
              <w:rPr>
                <w:rFonts w:hint="default" w:ascii="Times New Roman" w:hAnsi="Times New Roman" w:eastAsia="宋体" w:cs="Times New Roman"/>
                <w:color w:val="000000" w:themeColor="text1"/>
                <w:highlight w:val="none"/>
                <w14:textFill>
                  <w14:solidFill>
                    <w14:schemeClr w14:val="tx1"/>
                  </w14:solidFill>
                </w14:textFill>
              </w:rPr>
              <w:t>施工期间设置临时沉淀池，</w:t>
            </w:r>
            <w:r>
              <w:rPr>
                <w:rFonts w:hint="eastAsia" w:cs="Times New Roman"/>
                <w:color w:val="000000" w:themeColor="text1"/>
                <w:highlight w:val="none"/>
                <w:lang w:val="en-US" w:eastAsia="zh-CN"/>
                <w14:textFill>
                  <w14:solidFill>
                    <w14:schemeClr w14:val="tx1"/>
                  </w14:solidFill>
                </w14:textFill>
              </w:rPr>
              <w:t>施工</w:t>
            </w:r>
            <w:r>
              <w:rPr>
                <w:rFonts w:hint="default" w:ascii="Times New Roman" w:hAnsi="Times New Roman" w:eastAsia="宋体" w:cs="Times New Roman"/>
                <w:color w:val="000000" w:themeColor="text1"/>
                <w:highlight w:val="none"/>
                <w14:textFill>
                  <w14:solidFill>
                    <w14:schemeClr w14:val="tx1"/>
                  </w14:solidFill>
                </w14:textFill>
              </w:rPr>
              <w:t>废水主要包括施工设备冲洗废水经沉淀池处理后用于洒水降尘。</w:t>
            </w:r>
            <w:r>
              <w:rPr>
                <w:rFonts w:ascii="宋体" w:hAnsi="宋体" w:eastAsia="宋体" w:cs="宋体"/>
                <w:sz w:val="24"/>
                <w:szCs w:val="24"/>
                <w:highlight w:val="none"/>
              </w:rPr>
              <w:t>避免在暴雨天气进行清洗作业，减少暴雨冲刷导致的废水水量激增及污染物扩散</w:t>
            </w:r>
            <w:r>
              <w:rPr>
                <w:rFonts w:hint="eastAsia" w:ascii="宋体" w:hAnsi="宋体" w:cs="宋体"/>
                <w:sz w:val="24"/>
                <w:szCs w:val="24"/>
                <w:highlight w:val="none"/>
                <w:lang w:eastAsia="zh-CN"/>
              </w:rPr>
              <w:t>。</w:t>
            </w:r>
          </w:p>
          <w:p w14:paraId="4433958C">
            <w:pPr>
              <w:pageBreakBefore w:val="0"/>
              <w:widowControl w:val="0"/>
              <w:numPr>
                <w:ilvl w:val="0"/>
                <w:numId w:val="0"/>
              </w:numPr>
              <w:kinsoku/>
              <w:wordWrap/>
              <w:overflowPunct/>
              <w:topLinePunct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施工期污水</w:t>
            </w:r>
            <w:r>
              <w:rPr>
                <w:rFonts w:ascii="宋体" w:hAnsi="宋体" w:eastAsia="宋体" w:cs="宋体"/>
                <w:sz w:val="24"/>
                <w:szCs w:val="24"/>
                <w:highlight w:val="none"/>
              </w:rPr>
              <w:t>水质简单，无有毒有害物质</w:t>
            </w:r>
            <w:r>
              <w:rPr>
                <w:rFonts w:hint="eastAsia" w:ascii="宋体" w:hAnsi="宋体" w:eastAsia="宋体" w:cs="宋体"/>
                <w:sz w:val="24"/>
                <w:szCs w:val="24"/>
                <w:highlight w:val="none"/>
                <w:lang w:eastAsia="zh-CN"/>
              </w:rPr>
              <w:t>，项目食堂废水经隔油预处理后与生活污水经地埋式一体化污水处理设施处理达标；春夏秋季用于洒水降尘，冬季储存于水箱，次年回暖后回用</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对周围地表水环境不会产生明显的不利影响，且随着施工期的结束影响即消除。</w:t>
            </w:r>
          </w:p>
          <w:p w14:paraId="28B1A96D">
            <w:pPr>
              <w:keepNext/>
              <w:keepLines/>
              <w:pageBreakBefore w:val="0"/>
              <w:widowControl w:val="0"/>
              <w:kinsoku/>
              <w:wordWrap/>
              <w:overflowPunct/>
              <w:topLinePunct w:val="0"/>
              <w:bidi w:val="0"/>
              <w:adjustRightInd w:val="0"/>
              <w:snapToGrid w:val="0"/>
              <w:spacing w:line="500" w:lineRule="exact"/>
              <w:textAlignment w:val="auto"/>
              <w:outlineLvl w:val="2"/>
              <w:rPr>
                <w:rFonts w:hint="eastAsia" w:ascii="Times New Roman" w:hAnsi="Times New Roman" w:eastAsia="宋体" w:cs="Times New Roman"/>
                <w:b/>
                <w:bCs/>
                <w:color w:val="000000" w:themeColor="text1"/>
                <w:highlight w:val="none"/>
                <w:lang w:val="en-US" w:eastAsia="zh-CN"/>
                <w14:textFill>
                  <w14:solidFill>
                    <w14:schemeClr w14:val="tx1"/>
                  </w14:solidFill>
                </w14:textFill>
              </w:rPr>
            </w:pPr>
            <w:bookmarkStart w:id="9" w:name="_Toc417384596"/>
            <w:bookmarkStart w:id="10" w:name="_Toc417384484"/>
            <w:r>
              <w:rPr>
                <w:rFonts w:hint="default" w:ascii="Times New Roman" w:hAnsi="Times New Roman" w:eastAsia="宋体" w:cs="Times New Roman"/>
                <w:b/>
                <w:bCs/>
                <w:color w:val="000000" w:themeColor="text1"/>
                <w:highlight w:val="none"/>
                <w14:textFill>
                  <w14:solidFill>
                    <w14:schemeClr w14:val="tx1"/>
                  </w14:solidFill>
                </w14:textFill>
              </w:rPr>
              <w:t>4.</w:t>
            </w:r>
            <w:r>
              <w:rPr>
                <w:rFonts w:hint="eastAsia" w:cs="Times New Roman"/>
                <w:b/>
                <w:bCs/>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highlight w:val="none"/>
                <w14:textFill>
                  <w14:solidFill>
                    <w14:schemeClr w14:val="tx1"/>
                  </w14:solidFill>
                </w14:textFill>
              </w:rPr>
              <w:t>施工期固体废物影响分析</w:t>
            </w:r>
            <w:bookmarkEnd w:id="9"/>
            <w:bookmarkEnd w:id="10"/>
            <w:r>
              <w:rPr>
                <w:rFonts w:hint="default" w:ascii="Times New Roman" w:hAnsi="Times New Roman" w:eastAsia="宋体" w:cs="Times New Roman"/>
                <w:b/>
                <w:bCs/>
                <w:color w:val="000000" w:themeColor="text1"/>
                <w:highlight w:val="none"/>
                <w14:textFill>
                  <w14:solidFill>
                    <w14:schemeClr w14:val="tx1"/>
                  </w14:solidFill>
                </w14:textFill>
              </w:rPr>
              <w:t>及防治</w:t>
            </w:r>
            <w:r>
              <w:rPr>
                <w:rFonts w:hint="eastAsia" w:cs="Times New Roman"/>
                <w:b/>
                <w:bCs/>
                <w:color w:val="000000" w:themeColor="text1"/>
                <w:highlight w:val="none"/>
                <w:lang w:val="en-US" w:eastAsia="zh-CN"/>
                <w14:textFill>
                  <w14:solidFill>
                    <w14:schemeClr w14:val="tx1"/>
                  </w14:solidFill>
                </w14:textFill>
              </w:rPr>
              <w:t>措施</w:t>
            </w:r>
          </w:p>
          <w:p w14:paraId="6040151B">
            <w:pPr>
              <w:pageBreakBefore w:val="0"/>
              <w:widowControl w:val="0"/>
              <w:kinsoku/>
              <w:wordWrap/>
              <w:overflowPunct/>
              <w:topLinePunct w:val="0"/>
              <w:bidi w:val="0"/>
              <w:adjustRightInd w:val="0"/>
              <w:snapToGrid w:val="0"/>
              <w:spacing w:line="500" w:lineRule="exact"/>
              <w:ind w:firstLine="480" w:firstLineChars="200"/>
              <w:textAlignment w:val="auto"/>
              <w:rPr>
                <w:rFonts w:hint="default"/>
                <w:color w:val="000000" w:themeColor="text1"/>
                <w:highlight w:val="none"/>
                <w:lang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t>（1）建筑垃圾</w:t>
            </w:r>
          </w:p>
          <w:p w14:paraId="48FF94B9">
            <w:pPr>
              <w:pageBreakBefore w:val="0"/>
              <w:widowControl w:val="0"/>
              <w:kinsoku/>
              <w:wordWrap/>
              <w:overflowPunct/>
              <w:topLinePunct w:val="0"/>
              <w:bidi w:val="0"/>
              <w:adjustRightInd w:val="0"/>
              <w:snapToGrid w:val="0"/>
              <w:spacing w:line="500" w:lineRule="exact"/>
              <w:ind w:firstLine="480" w:firstLineChars="200"/>
              <w:textAlignment w:val="auto"/>
              <w:rPr>
                <w:rFonts w:hint="default"/>
                <w:color w:val="000000" w:themeColor="text1"/>
                <w:highlight w:val="none"/>
                <w:lang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t>项目建筑垃圾主要为余土、废砖块、钢筋头等，</w:t>
            </w:r>
            <w:r>
              <w:rPr>
                <w:rFonts w:hint="eastAsia"/>
                <w:color w:val="000000" w:themeColor="text1"/>
                <w:highlight w:val="none"/>
                <w:lang w:val="en-US" w:eastAsia="zh-CN"/>
                <w14:textFill>
                  <w14:solidFill>
                    <w14:schemeClr w14:val="tx1"/>
                  </w14:solidFill>
                </w14:textFill>
              </w:rPr>
              <w:t>产生量为0.01t，施工现场设置临时贮存区，</w:t>
            </w:r>
            <w:r>
              <w:rPr>
                <w:rFonts w:hint="default"/>
                <w:color w:val="000000" w:themeColor="text1"/>
                <w:highlight w:val="none"/>
                <w:lang w:eastAsia="zh-CN"/>
                <w14:textFill>
                  <w14:solidFill>
                    <w14:schemeClr w14:val="tx1"/>
                  </w14:solidFill>
                </w14:textFill>
              </w:rPr>
              <w:t>能回收利用部分回收利用，不能回收利用部分送至</w:t>
            </w:r>
            <w:r>
              <w:rPr>
                <w:rFonts w:hint="eastAsia"/>
                <w:color w:val="000000" w:themeColor="text1"/>
                <w:highlight w:val="none"/>
                <w:lang w:val="en-US" w:eastAsia="zh-CN"/>
                <w14:textFill>
                  <w14:solidFill>
                    <w14:schemeClr w14:val="tx1"/>
                  </w14:solidFill>
                </w14:textFill>
              </w:rPr>
              <w:t>住建部门指定的地点</w:t>
            </w:r>
            <w:r>
              <w:rPr>
                <w:rFonts w:hint="default"/>
                <w:color w:val="000000" w:themeColor="text1"/>
                <w:highlight w:val="none"/>
                <w:lang w:eastAsia="zh-CN"/>
                <w14:textFill>
                  <w14:solidFill>
                    <w14:schemeClr w14:val="tx1"/>
                  </w14:solidFill>
                </w14:textFill>
              </w:rPr>
              <w:t>。</w:t>
            </w:r>
          </w:p>
          <w:p w14:paraId="354635FF">
            <w:pPr>
              <w:pageBreakBefore w:val="0"/>
              <w:widowControl w:val="0"/>
              <w:kinsoku/>
              <w:wordWrap/>
              <w:overflowPunct/>
              <w:topLinePunct w:val="0"/>
              <w:bidi w:val="0"/>
              <w:adjustRightInd w:val="0"/>
              <w:snapToGrid w:val="0"/>
              <w:spacing w:line="500" w:lineRule="exact"/>
              <w:ind w:firstLine="480" w:firstLineChars="200"/>
              <w:textAlignment w:val="auto"/>
              <w:rPr>
                <w:rFonts w:hint="default"/>
                <w:color w:val="000000" w:themeColor="text1"/>
                <w:highlight w:val="none"/>
                <w:lang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t>（2）施工人员的生活垃圾</w:t>
            </w:r>
          </w:p>
          <w:p w14:paraId="7420FA44">
            <w:pPr>
              <w:pageBreakBefore w:val="0"/>
              <w:widowControl w:val="0"/>
              <w:kinsoku/>
              <w:wordWrap/>
              <w:overflowPunct/>
              <w:topLinePunct w:val="0"/>
              <w:bidi w:val="0"/>
              <w:adjustRightInd w:val="0"/>
              <w:snapToGrid w:val="0"/>
              <w:spacing w:line="500" w:lineRule="exact"/>
              <w:ind w:firstLine="480" w:firstLineChars="200"/>
              <w:textAlignment w:val="auto"/>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t>由工程分析可知，施工期生活垃圾产生量为5kg/d，</w:t>
            </w:r>
            <w:r>
              <w:rPr>
                <w:rFonts w:hint="eastAsia"/>
                <w:color w:val="000000" w:themeColor="text1"/>
                <w:highlight w:val="none"/>
                <w:lang w:val="en-US" w:eastAsia="zh-CN"/>
                <w14:textFill>
                  <w14:solidFill>
                    <w14:schemeClr w14:val="tx1"/>
                  </w14:solidFill>
                </w14:textFill>
              </w:rPr>
              <w:t>产生量为0.15t，拉运至</w:t>
            </w:r>
            <w:r>
              <w:rPr>
                <w:rFonts w:hint="default"/>
                <w:color w:val="000000" w:themeColor="text1"/>
                <w:highlight w:val="none"/>
                <w:lang w:eastAsia="zh-CN"/>
                <w14:textFill>
                  <w14:solidFill>
                    <w14:schemeClr w14:val="tx1"/>
                  </w14:solidFill>
                </w14:textFill>
              </w:rPr>
              <w:t>环卫部门</w:t>
            </w:r>
            <w:r>
              <w:rPr>
                <w:rFonts w:hint="eastAsia"/>
                <w:color w:val="000000" w:themeColor="text1"/>
                <w:highlight w:val="none"/>
                <w:lang w:val="en-US" w:eastAsia="zh-CN"/>
                <w14:textFill>
                  <w14:solidFill>
                    <w14:schemeClr w14:val="tx1"/>
                  </w14:solidFill>
                </w14:textFill>
              </w:rPr>
              <w:t>指定地点</w:t>
            </w:r>
            <w:r>
              <w:rPr>
                <w:rFonts w:hint="default"/>
                <w:color w:val="000000" w:themeColor="text1"/>
                <w:highlight w:val="none"/>
                <w:lang w:eastAsia="zh-CN"/>
                <w14:textFill>
                  <w14:solidFill>
                    <w14:schemeClr w14:val="tx1"/>
                  </w14:solidFill>
                </w14:textFill>
              </w:rPr>
              <w:t>，不会对周围环境造成明显的不利影响</w:t>
            </w:r>
            <w:r>
              <w:rPr>
                <w:rFonts w:hint="default"/>
                <w:color w:val="000000" w:themeColor="text1"/>
                <w:highlight w:val="none"/>
                <w:lang w:val="en-US" w:eastAsia="zh-CN"/>
                <w14:textFill>
                  <w14:solidFill>
                    <w14:schemeClr w14:val="tx1"/>
                  </w14:solidFill>
                </w14:textFill>
              </w:rPr>
              <w:t>。</w:t>
            </w:r>
          </w:p>
          <w:p w14:paraId="2B149968">
            <w:pPr>
              <w:keepNext/>
              <w:keepLines/>
              <w:pageBreakBefore w:val="0"/>
              <w:widowControl w:val="0"/>
              <w:kinsoku/>
              <w:wordWrap/>
              <w:overflowPunct/>
              <w:topLinePunct w:val="0"/>
              <w:bidi w:val="0"/>
              <w:adjustRightInd w:val="0"/>
              <w:snapToGrid w:val="0"/>
              <w:spacing w:line="500" w:lineRule="exact"/>
              <w:textAlignment w:val="auto"/>
              <w:outlineLvl w:val="2"/>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4.</w:t>
            </w:r>
            <w:r>
              <w:rPr>
                <w:rFonts w:hint="eastAsia" w:cs="Times New Roman"/>
                <w:b/>
                <w:bCs/>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施工期</w:t>
            </w:r>
            <w:r>
              <w:rPr>
                <w:rFonts w:hint="eastAsia" w:cs="Times New Roman"/>
                <w:b/>
                <w:bCs/>
                <w:color w:val="000000" w:themeColor="text1"/>
                <w:highlight w:val="none"/>
                <w:lang w:val="en-US" w:eastAsia="zh-CN"/>
                <w14:textFill>
                  <w14:solidFill>
                    <w14:schemeClr w14:val="tx1"/>
                  </w14:solidFill>
                </w14:textFill>
              </w:rPr>
              <w:t>土地沙化影响分析及防治</w:t>
            </w: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措施</w:t>
            </w:r>
          </w:p>
          <w:p w14:paraId="37BE0812">
            <w:pPr>
              <w:pageBreakBefore w:val="0"/>
              <w:widowControl w:val="0"/>
              <w:kinsoku/>
              <w:wordWrap/>
              <w:overflowPunct/>
              <w:topLinePunct w:val="0"/>
              <w:bidi w:val="0"/>
              <w:adjustRightInd w:val="0"/>
              <w:snapToGrid w:val="0"/>
              <w:spacing w:line="500" w:lineRule="exact"/>
              <w:ind w:firstLine="480" w:firstLineChars="200"/>
              <w:textAlignment w:val="auto"/>
              <w:rPr>
                <w:rFonts w:hint="default" w:ascii="Times New Roman" w:hAnsi="Times New Roman" w:eastAsia="宋体" w:cs="Times New Roman"/>
                <w:snapToGrid w:val="0"/>
                <w:color w:val="000000" w:themeColor="text1"/>
                <w:kern w:val="0"/>
                <w:sz w:val="24"/>
                <w:szCs w:val="24"/>
                <w:highlight w:val="none"/>
                <w:lang w:val="en-US" w:eastAsia="zh-CN" w:bidi="ar-SA"/>
                <w14:textFill>
                  <w14:solidFill>
                    <w14:schemeClr w14:val="tx1"/>
                  </w14:solidFill>
                </w14:textFill>
                <w14:ligatures w14:val="none"/>
              </w:rPr>
            </w:pPr>
            <w:r>
              <w:rPr>
                <w:rFonts w:hint="default" w:ascii="Times New Roman" w:hAnsi="Times New Roman" w:eastAsia="宋体" w:cs="Times New Roman"/>
                <w:snapToGrid w:val="0"/>
                <w:color w:val="000000" w:themeColor="text1"/>
                <w:kern w:val="0"/>
                <w:sz w:val="24"/>
                <w:szCs w:val="24"/>
                <w:highlight w:val="none"/>
                <w:lang w:val="en-US" w:eastAsia="zh-CN" w:bidi="ar-SA"/>
                <w14:textFill>
                  <w14:solidFill>
                    <w14:schemeClr w14:val="tx1"/>
                  </w14:solidFill>
                </w14:textFill>
                <w14:ligatures w14:val="none"/>
              </w:rPr>
              <w:t>随着施工</w:t>
            </w:r>
            <w:r>
              <w:rPr>
                <w:rFonts w:hint="eastAsia" w:cs="Times New Roman"/>
                <w:snapToGrid w:val="0"/>
                <w:color w:val="000000" w:themeColor="text1"/>
                <w:kern w:val="0"/>
                <w:sz w:val="24"/>
                <w:szCs w:val="24"/>
                <w:highlight w:val="none"/>
                <w:lang w:val="en-US" w:eastAsia="zh-CN" w:bidi="ar-SA"/>
                <w14:textFill>
                  <w14:solidFill>
                    <w14:schemeClr w14:val="tx1"/>
                  </w14:solidFill>
                </w14:textFill>
                <w14:ligatures w14:val="none"/>
              </w:rPr>
              <w:t>场地</w:t>
            </w:r>
            <w:r>
              <w:rPr>
                <w:rFonts w:hint="default" w:ascii="Times New Roman" w:hAnsi="Times New Roman" w:eastAsia="宋体" w:cs="Times New Roman"/>
                <w:snapToGrid w:val="0"/>
                <w:color w:val="000000" w:themeColor="text1"/>
                <w:kern w:val="0"/>
                <w:sz w:val="24"/>
                <w:szCs w:val="24"/>
                <w:highlight w:val="none"/>
                <w:lang w:val="en-US" w:eastAsia="zh-CN" w:bidi="ar-SA"/>
                <w14:textFill>
                  <w14:solidFill>
                    <w14:schemeClr w14:val="tx1"/>
                  </w14:solidFill>
                </w14:textFill>
                <w14:ligatures w14:val="none"/>
              </w:rPr>
              <w:t>开挖、填方、平整，原有表土层受到破坏，土壤松动，或者施工工程中由于挖方及填方过程中形成的土堆不能及时清理，遇到较大降雨冲刷，容易发生水土流失</w:t>
            </w:r>
            <w:r>
              <w:rPr>
                <w:rFonts w:hint="eastAsia" w:cs="Times New Roman"/>
                <w:snapToGrid w:val="0"/>
                <w:color w:val="000000" w:themeColor="text1"/>
                <w:kern w:val="0"/>
                <w:sz w:val="24"/>
                <w:szCs w:val="24"/>
                <w:highlight w:val="none"/>
                <w:lang w:val="en-US" w:eastAsia="zh-CN" w:bidi="ar-SA"/>
                <w14:textFill>
                  <w14:solidFill>
                    <w14:schemeClr w14:val="tx1"/>
                  </w14:solidFill>
                </w14:textFill>
                <w14:ligatures w14:val="none"/>
              </w:rPr>
              <w:t>，引起土地沙化</w:t>
            </w:r>
            <w:r>
              <w:rPr>
                <w:rFonts w:hint="default" w:ascii="Times New Roman" w:hAnsi="Times New Roman" w:eastAsia="宋体" w:cs="Times New Roman"/>
                <w:snapToGrid w:val="0"/>
                <w:color w:val="000000" w:themeColor="text1"/>
                <w:kern w:val="0"/>
                <w:sz w:val="24"/>
                <w:szCs w:val="24"/>
                <w:highlight w:val="none"/>
                <w:lang w:val="en-US" w:eastAsia="zh-CN" w:bidi="ar-SA"/>
                <w14:textFill>
                  <w14:solidFill>
                    <w14:schemeClr w14:val="tx1"/>
                  </w14:solidFill>
                </w14:textFill>
                <w14:ligatures w14:val="none"/>
              </w:rPr>
              <w:t>。</w:t>
            </w:r>
          </w:p>
          <w:p w14:paraId="5E8578C1">
            <w:pPr>
              <w:pageBreakBefore w:val="0"/>
              <w:widowControl w:val="0"/>
              <w:kinsoku/>
              <w:wordWrap/>
              <w:overflowPunct/>
              <w:topLinePunct w:val="0"/>
              <w:bidi w:val="0"/>
              <w:adjustRightInd w:val="0"/>
              <w:snapToGrid w:val="0"/>
              <w:spacing w:line="500" w:lineRule="exact"/>
              <w:ind w:firstLine="480" w:firstLineChars="200"/>
              <w:textAlignment w:val="auto"/>
              <w:rPr>
                <w:rFonts w:hint="default" w:ascii="Times New Roman" w:hAnsi="Times New Roman" w:eastAsia="宋体" w:cs="Times New Roman"/>
                <w:snapToGrid w:val="0"/>
                <w:color w:val="000000" w:themeColor="text1"/>
                <w:kern w:val="0"/>
                <w:sz w:val="24"/>
                <w:szCs w:val="24"/>
                <w:highlight w:val="none"/>
                <w:lang w:val="en-US" w:eastAsia="zh-CN" w:bidi="ar-SA"/>
                <w14:textFill>
                  <w14:solidFill>
                    <w14:schemeClr w14:val="tx1"/>
                  </w14:solidFill>
                </w14:textFill>
                <w14:ligatures w14:val="none"/>
              </w:rPr>
            </w:pPr>
            <w:r>
              <w:rPr>
                <w:rFonts w:hint="default" w:ascii="Times New Roman" w:hAnsi="Times New Roman" w:eastAsia="宋体" w:cs="Times New Roman"/>
                <w:snapToGrid w:val="0"/>
                <w:color w:val="000000" w:themeColor="text1"/>
                <w:kern w:val="0"/>
                <w:sz w:val="24"/>
                <w:szCs w:val="24"/>
                <w:highlight w:val="none"/>
                <w:lang w:val="en-US" w:eastAsia="zh-CN" w:bidi="ar-SA"/>
                <w14:textFill>
                  <w14:solidFill>
                    <w14:schemeClr w14:val="tx1"/>
                  </w14:solidFill>
                </w14:textFill>
                <w14:ligatures w14:val="none"/>
              </w:rPr>
              <w:t>施工期防沙治沙措施：</w:t>
            </w:r>
          </w:p>
          <w:p w14:paraId="4738EB4C">
            <w:pPr>
              <w:pageBreakBefore w:val="0"/>
              <w:widowControl w:val="0"/>
              <w:numPr>
                <w:ilvl w:val="0"/>
                <w:numId w:val="0"/>
              </w:numPr>
              <w:kinsoku/>
              <w:wordWrap/>
              <w:overflowPunct/>
              <w:topLinePunct w:val="0"/>
              <w:bidi w:val="0"/>
              <w:adjustRightInd w:val="0"/>
              <w:snapToGrid w:val="0"/>
              <w:spacing w:line="500" w:lineRule="exact"/>
              <w:ind w:firstLine="480" w:firstLineChars="200"/>
              <w:textAlignment w:val="auto"/>
              <w:rPr>
                <w:rFonts w:hint="default" w:ascii="Times New Roman" w:hAnsi="Times New Roman" w:eastAsia="宋体" w:cs="Times New Roman"/>
                <w:snapToGrid w:val="0"/>
                <w:color w:val="000000" w:themeColor="text1"/>
                <w:kern w:val="0"/>
                <w:sz w:val="24"/>
                <w:szCs w:val="24"/>
                <w:highlight w:val="none"/>
                <w:lang w:val="en-US" w:eastAsia="zh-CN" w:bidi="ar-SA"/>
                <w14:textFill>
                  <w14:solidFill>
                    <w14:schemeClr w14:val="tx1"/>
                  </w14:solidFill>
                </w14:textFill>
                <w14:ligatures w14:val="none"/>
              </w:rPr>
            </w:pPr>
            <w:r>
              <w:rPr>
                <w:rFonts w:hint="default" w:ascii="Times New Roman" w:hAnsi="Times New Roman" w:eastAsia="宋体" w:cs="Times New Roman"/>
                <w:snapToGrid w:val="0"/>
                <w:color w:val="000000" w:themeColor="text1"/>
                <w:kern w:val="0"/>
                <w:sz w:val="24"/>
                <w:szCs w:val="24"/>
                <w:highlight w:val="none"/>
                <w:lang w:val="en-US" w:eastAsia="zh-CN" w:bidi="ar-SA"/>
                <w14:textFill>
                  <w14:solidFill>
                    <w14:schemeClr w14:val="tx1"/>
                  </w14:solidFill>
                </w14:textFill>
                <w14:ligatures w14:val="none"/>
              </w:rPr>
              <w:t>（1）严格划定施工活动范围，严格控制和管理运输车辆的运行路线和范围，不得离开运输公路随意行驶，加剧土地沙化；</w:t>
            </w:r>
          </w:p>
          <w:p w14:paraId="2CC205DD">
            <w:pPr>
              <w:pageBreakBefore w:val="0"/>
              <w:widowControl w:val="0"/>
              <w:numPr>
                <w:ilvl w:val="0"/>
                <w:numId w:val="0"/>
              </w:numPr>
              <w:kinsoku/>
              <w:wordWrap/>
              <w:overflowPunct/>
              <w:topLinePunct w:val="0"/>
              <w:bidi w:val="0"/>
              <w:adjustRightInd w:val="0"/>
              <w:snapToGrid w:val="0"/>
              <w:spacing w:line="500" w:lineRule="exact"/>
              <w:ind w:firstLine="480" w:firstLineChars="200"/>
              <w:textAlignment w:val="auto"/>
              <w:rPr>
                <w:rFonts w:hint="default" w:ascii="Times New Roman" w:hAnsi="Times New Roman" w:eastAsia="宋体" w:cs="Times New Roman"/>
                <w:snapToGrid w:val="0"/>
                <w:color w:val="auto"/>
                <w:kern w:val="0"/>
                <w:sz w:val="24"/>
                <w:szCs w:val="24"/>
                <w:highlight w:val="none"/>
                <w:lang w:val="en-US" w:eastAsia="zh-CN" w:bidi="ar-SA"/>
                <w14:ligatures w14:val="none"/>
              </w:rPr>
            </w:pPr>
            <w:r>
              <w:rPr>
                <w:rFonts w:hint="default" w:ascii="Times New Roman" w:hAnsi="Times New Roman" w:eastAsia="宋体" w:cs="Times New Roman"/>
                <w:snapToGrid w:val="0"/>
                <w:color w:val="auto"/>
                <w:kern w:val="0"/>
                <w:sz w:val="24"/>
                <w:szCs w:val="24"/>
                <w:highlight w:val="none"/>
                <w:lang w:val="en-US" w:eastAsia="zh-CN" w:bidi="ar-SA"/>
                <w14:ligatures w14:val="none"/>
              </w:rPr>
              <w:t>（2）</w:t>
            </w:r>
            <w:r>
              <w:rPr>
                <w:rFonts w:hint="default" w:ascii="Times New Roman" w:hAnsi="Times New Roman" w:eastAsia="宋体" w:cs="Times New Roman"/>
                <w:snapToGrid w:val="0"/>
                <w:color w:val="000000" w:themeColor="text1"/>
                <w:kern w:val="0"/>
                <w:sz w:val="24"/>
                <w:szCs w:val="24"/>
                <w:highlight w:val="none"/>
                <w:lang w:val="en-US" w:eastAsia="zh-CN" w:bidi="ar-SA"/>
                <w14:textFill>
                  <w14:solidFill>
                    <w14:schemeClr w14:val="tx1"/>
                  </w14:solidFill>
                </w14:textFill>
                <w14:ligatures w14:val="none"/>
              </w:rPr>
              <w:t>施工土方堆存使用防尘网，并定期洒水抑尘；施工结束后，对施工场地进行清理、平整。</w:t>
            </w:r>
          </w:p>
          <w:p w14:paraId="73CC7DE6">
            <w:pPr>
              <w:pStyle w:val="32"/>
              <w:pageBreakBefore w:val="0"/>
              <w:widowControl w:val="0"/>
              <w:kinsoku/>
              <w:wordWrap/>
              <w:overflowPunct/>
              <w:topLinePunct w:val="0"/>
              <w:bidi w:val="0"/>
              <w:adjustRightInd w:val="0"/>
              <w:snapToGrid w:val="0"/>
              <w:spacing w:line="500" w:lineRule="exact"/>
              <w:jc w:val="both"/>
              <w:textAlignment w:val="auto"/>
              <w:rPr>
                <w:rFonts w:hint="default"/>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5</w:t>
            </w:r>
            <w:r>
              <w:rPr>
                <w:rFonts w:hint="default"/>
                <w:color w:val="auto"/>
                <w:highlight w:val="none"/>
                <w:lang w:val="en-US" w:eastAsia="zh-CN"/>
              </w:rPr>
              <w:t>施工期生态影响分析</w:t>
            </w:r>
          </w:p>
          <w:p w14:paraId="2322A852">
            <w:pPr>
              <w:pStyle w:val="32"/>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b w:val="0"/>
                <w:bCs/>
                <w:color w:val="auto"/>
                <w:highlight w:val="none"/>
                <w:lang w:val="en-US" w:eastAsia="zh-CN"/>
              </w:rPr>
            </w:pPr>
            <w:r>
              <w:rPr>
                <w:rFonts w:hint="default"/>
                <w:b w:val="0"/>
                <w:bCs/>
                <w:color w:val="auto"/>
                <w:highlight w:val="none"/>
                <w:lang w:val="en-US" w:eastAsia="zh-CN"/>
              </w:rPr>
              <w:t>该工程施工期对生态环境的影响主要是可能产生的水土流失影响</w:t>
            </w:r>
            <w:r>
              <w:rPr>
                <w:rFonts w:hint="eastAsia"/>
                <w:b w:val="0"/>
                <w:bCs/>
                <w:color w:val="auto"/>
                <w:highlight w:val="none"/>
                <w:lang w:val="en-US" w:eastAsia="zh-CN"/>
              </w:rPr>
              <w:t>、对</w:t>
            </w:r>
            <w:r>
              <w:rPr>
                <w:rFonts w:hint="default"/>
                <w:b w:val="0"/>
                <w:bCs/>
                <w:color w:val="auto"/>
                <w:highlight w:val="none"/>
                <w:lang w:val="en-US" w:eastAsia="zh-CN"/>
              </w:rPr>
              <w:t>地表原有植被造成破坏等。随着施工</w:t>
            </w:r>
            <w:r>
              <w:rPr>
                <w:rFonts w:hint="eastAsia"/>
                <w:b w:val="0"/>
                <w:bCs/>
                <w:color w:val="auto"/>
                <w:highlight w:val="none"/>
                <w:lang w:val="en-US" w:eastAsia="zh-CN"/>
              </w:rPr>
              <w:t>场地</w:t>
            </w:r>
            <w:r>
              <w:rPr>
                <w:rFonts w:hint="default"/>
                <w:b w:val="0"/>
                <w:bCs/>
                <w:color w:val="auto"/>
                <w:highlight w:val="none"/>
                <w:lang w:val="en-US" w:eastAsia="zh-CN"/>
              </w:rPr>
              <w:t>开挖、填方、平整，原有表土层受到破坏，土壤松动，或者施工工程中由于挖方及填方过程中形成的土堆不能及时清理，遇到较大降雨冲刷，容易发生水土流失。因此，只要施工期加强管理、合理安排施工进度，产生的少量弃土及时清运，采取地面硬化措施，并因地制宜进行绿化。采取上述措施后，可起到吸声降噪，绿化、美化环境的作用，周围生态环境可得到改善，施工期对周围生态环境的影响不大。</w:t>
            </w:r>
          </w:p>
          <w:p w14:paraId="590751CB">
            <w:pPr>
              <w:pStyle w:val="32"/>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b w:val="0"/>
                <w:bCs/>
                <w:color w:val="auto"/>
                <w:highlight w:val="none"/>
                <w:lang w:val="en-US" w:eastAsia="zh-CN"/>
              </w:rPr>
            </w:pPr>
            <w:r>
              <w:rPr>
                <w:rFonts w:hint="default"/>
                <w:b w:val="0"/>
                <w:bCs/>
                <w:color w:val="auto"/>
                <w:highlight w:val="none"/>
                <w:lang w:val="en-US" w:eastAsia="zh-CN"/>
              </w:rPr>
              <w:t>综上所述，施工期的噪声、废气、废水和固体废物将会对环境影响产生一定程度的影响，但只要施工单位认真做好施工组织工作（包括劳动力、工期计划和施工平面管理），并进行文明施工，严格遵守上述环保建议，工程建设期间不会对周围环境产生明显不利影响。</w:t>
            </w:r>
          </w:p>
          <w:p w14:paraId="369DADFC">
            <w:pPr>
              <w:pStyle w:val="32"/>
              <w:keepNext w:val="0"/>
              <w:keepLines w:val="0"/>
              <w:pageBreakBefore w:val="0"/>
              <w:widowControl w:val="0"/>
              <w:kinsoku/>
              <w:wordWrap/>
              <w:overflowPunct/>
              <w:topLinePunct w:val="0"/>
              <w:autoSpaceDE w:val="0"/>
              <w:autoSpaceDN w:val="0"/>
              <w:bidi w:val="0"/>
              <w:adjustRightInd w:val="0"/>
              <w:snapToGrid w:val="0"/>
              <w:spacing w:line="500" w:lineRule="exact"/>
              <w:jc w:val="both"/>
              <w:textAlignment w:val="auto"/>
              <w:rPr>
                <w:rFonts w:hint="default"/>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6</w:t>
            </w:r>
            <w:r>
              <w:rPr>
                <w:rFonts w:hint="default"/>
                <w:color w:val="auto"/>
                <w:highlight w:val="none"/>
                <w:lang w:val="en-US" w:eastAsia="zh-CN"/>
              </w:rPr>
              <w:t>施工期</w:t>
            </w:r>
            <w:r>
              <w:rPr>
                <w:rFonts w:hint="eastAsia"/>
                <w:color w:val="auto"/>
                <w:highlight w:val="none"/>
                <w:lang w:val="en-US" w:eastAsia="zh-CN"/>
              </w:rPr>
              <w:t>噪声环境</w:t>
            </w:r>
            <w:r>
              <w:rPr>
                <w:rFonts w:hint="default"/>
                <w:color w:val="auto"/>
                <w:highlight w:val="none"/>
                <w:lang w:val="en-US" w:eastAsia="zh-CN"/>
              </w:rPr>
              <w:t>影响分析</w:t>
            </w:r>
          </w:p>
          <w:p w14:paraId="48ED694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color w:val="auto"/>
                <w:sz w:val="24"/>
                <w:szCs w:val="24"/>
                <w:highlight w:val="none"/>
              </w:rPr>
            </w:pPr>
            <w:r>
              <w:rPr>
                <w:rFonts w:hint="eastAsia"/>
                <w:color w:val="auto"/>
                <w:sz w:val="24"/>
                <w:szCs w:val="24"/>
                <w:highlight w:val="none"/>
              </w:rPr>
              <w:t>本项目施工工期仅1个月，施工工序简单，主要高噪声设备为推土机、电锯，设备噪声源强：推土机65dB(A)、电锯75dB(A)，无大型高噪桩基设备。项目地处偏远山间库区，厂界外50m范围内无声环境保护目标，无居民、办公点等敏感噪声受体。</w:t>
            </w:r>
          </w:p>
          <w:p w14:paraId="1084A74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eastAsia="宋体"/>
                <w:color w:val="auto"/>
                <w:sz w:val="24"/>
                <w:szCs w:val="24"/>
                <w:highlight w:val="none"/>
                <w:lang w:val="en-US" w:eastAsia="zh-CN"/>
              </w:rPr>
            </w:pPr>
            <w:r>
              <w:rPr>
                <w:color w:val="auto"/>
                <w:sz w:val="24"/>
                <w:szCs w:val="24"/>
                <w:highlight w:val="none"/>
              </w:rPr>
              <w:t>（1）施工期噪声控制标准</w:t>
            </w:r>
          </w:p>
          <w:p w14:paraId="6383054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color w:val="auto"/>
                <w:sz w:val="24"/>
                <w:szCs w:val="24"/>
                <w:highlight w:val="none"/>
              </w:rPr>
            </w:pPr>
            <w:r>
              <w:rPr>
                <w:color w:val="auto"/>
                <w:sz w:val="24"/>
                <w:szCs w:val="24"/>
                <w:highlight w:val="none"/>
              </w:rPr>
              <w:t>本项目建设期机械设备噪声对环境的影响参照《</w:t>
            </w:r>
            <w:r>
              <w:rPr>
                <w:rFonts w:hint="default" w:ascii="Times New Roman" w:hAnsi="Times New Roman" w:eastAsia="宋体" w:cs="Times New Roman"/>
                <w:color w:val="auto"/>
                <w:highlight w:val="none"/>
              </w:rPr>
              <w:t>建筑施工噪声排放标准</w:t>
            </w:r>
            <w:r>
              <w:rPr>
                <w:color w:val="auto"/>
                <w:sz w:val="24"/>
                <w:szCs w:val="24"/>
                <w:highlight w:val="none"/>
              </w:rPr>
              <w:t>》（</w:t>
            </w:r>
            <w:r>
              <w:rPr>
                <w:rFonts w:hint="default" w:ascii="Times New Roman" w:hAnsi="Times New Roman" w:eastAsia="宋体" w:cs="Times New Roman"/>
                <w:color w:val="auto"/>
                <w:highlight w:val="none"/>
              </w:rPr>
              <w:t>GB12523-</w:t>
            </w:r>
            <w:r>
              <w:rPr>
                <w:rFonts w:hint="eastAsia" w:cs="Times New Roman"/>
                <w:color w:val="auto"/>
                <w:highlight w:val="none"/>
                <w:lang w:val="en-US" w:eastAsia="zh-CN"/>
              </w:rPr>
              <w:t>2025</w:t>
            </w:r>
            <w:r>
              <w:rPr>
                <w:color w:val="auto"/>
                <w:sz w:val="24"/>
                <w:szCs w:val="24"/>
                <w:highlight w:val="none"/>
              </w:rPr>
              <w:t>）标准，其标准限值见表</w:t>
            </w:r>
            <w:r>
              <w:rPr>
                <w:rFonts w:hint="eastAsia"/>
                <w:color w:val="auto"/>
                <w:sz w:val="24"/>
                <w:szCs w:val="24"/>
                <w:highlight w:val="none"/>
                <w:lang w:val="en-US" w:eastAsia="zh-CN"/>
              </w:rPr>
              <w:t>4.6</w:t>
            </w:r>
            <w:r>
              <w:rPr>
                <w:color w:val="auto"/>
                <w:sz w:val="24"/>
                <w:szCs w:val="24"/>
                <w:highlight w:val="none"/>
              </w:rPr>
              <w:t>-</w:t>
            </w:r>
            <w:r>
              <w:rPr>
                <w:rFonts w:hint="eastAsia"/>
                <w:color w:val="auto"/>
                <w:sz w:val="24"/>
                <w:szCs w:val="24"/>
                <w:highlight w:val="none"/>
                <w:lang w:val="en-US" w:eastAsia="zh-CN"/>
              </w:rPr>
              <w:t>2</w:t>
            </w:r>
            <w:r>
              <w:rPr>
                <w:color w:val="auto"/>
                <w:sz w:val="24"/>
                <w:szCs w:val="24"/>
                <w:highlight w:val="none"/>
              </w:rPr>
              <w:t>。</w:t>
            </w:r>
          </w:p>
          <w:p w14:paraId="3ABB4A0D">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napToGrid w:val="0"/>
                <w:color w:val="auto"/>
                <w:kern w:val="0"/>
                <w:sz w:val="21"/>
                <w:szCs w:val="21"/>
                <w:highlight w:val="none"/>
                <w:lang w:val="zh-CN" w:eastAsia="zh-CN" w:bidi="ar-SA"/>
                <w14:ligatures w14:val="none"/>
              </w:rPr>
            </w:pPr>
            <w:r>
              <w:rPr>
                <w:rFonts w:hint="default" w:ascii="Times New Roman" w:hAnsi="Times New Roman" w:eastAsia="宋体" w:cs="Times New Roman"/>
                <w:b/>
                <w:bCs/>
                <w:snapToGrid w:val="0"/>
                <w:color w:val="auto"/>
                <w:kern w:val="0"/>
                <w:sz w:val="21"/>
                <w:szCs w:val="21"/>
                <w:highlight w:val="none"/>
                <w:lang w:val="zh-CN" w:eastAsia="zh-CN" w:bidi="ar-SA"/>
                <w14:ligatures w14:val="none"/>
              </w:rPr>
              <w:t>表</w:t>
            </w:r>
            <w:r>
              <w:rPr>
                <w:rFonts w:hint="default" w:ascii="Times New Roman" w:hAnsi="Times New Roman" w:eastAsia="宋体" w:cs="Times New Roman"/>
                <w:b/>
                <w:bCs/>
                <w:snapToGrid w:val="0"/>
                <w:color w:val="auto"/>
                <w:kern w:val="0"/>
                <w:sz w:val="21"/>
                <w:szCs w:val="21"/>
                <w:highlight w:val="none"/>
                <w:lang w:val="en-US" w:eastAsia="zh-CN" w:bidi="ar-SA"/>
                <w14:ligatures w14:val="none"/>
              </w:rPr>
              <w:t>4</w:t>
            </w:r>
            <w:r>
              <w:rPr>
                <w:rFonts w:hint="eastAsia" w:ascii="Times New Roman" w:hAnsi="Times New Roman" w:eastAsia="宋体" w:cs="Times New Roman"/>
                <w:b/>
                <w:bCs/>
                <w:snapToGrid w:val="0"/>
                <w:color w:val="auto"/>
                <w:kern w:val="0"/>
                <w:sz w:val="21"/>
                <w:szCs w:val="21"/>
                <w:highlight w:val="none"/>
                <w:lang w:val="en-US" w:eastAsia="zh-CN" w:bidi="ar-SA"/>
                <w14:ligatures w14:val="none"/>
              </w:rPr>
              <w:t>.6</w:t>
            </w:r>
            <w:r>
              <w:rPr>
                <w:rFonts w:hint="default" w:ascii="Times New Roman" w:hAnsi="Times New Roman" w:eastAsia="宋体" w:cs="Times New Roman"/>
                <w:b/>
                <w:bCs/>
                <w:snapToGrid w:val="0"/>
                <w:color w:val="auto"/>
                <w:kern w:val="0"/>
                <w:sz w:val="21"/>
                <w:szCs w:val="21"/>
                <w:highlight w:val="none"/>
                <w:lang w:val="zh-CN" w:eastAsia="zh-CN" w:bidi="ar-SA"/>
                <w14:ligatures w14:val="none"/>
              </w:rPr>
              <w:t>-</w:t>
            </w:r>
            <w:r>
              <w:rPr>
                <w:rFonts w:hint="eastAsia" w:cs="Times New Roman"/>
                <w:b/>
                <w:bCs/>
                <w:snapToGrid w:val="0"/>
                <w:color w:val="auto"/>
                <w:kern w:val="0"/>
                <w:sz w:val="21"/>
                <w:szCs w:val="21"/>
                <w:highlight w:val="none"/>
                <w:lang w:val="en-US" w:eastAsia="zh-CN" w:bidi="ar-SA"/>
                <w14:ligatures w14:val="none"/>
              </w:rPr>
              <w:t>2</w:t>
            </w:r>
            <w:r>
              <w:rPr>
                <w:rFonts w:hint="default" w:ascii="Times New Roman" w:hAnsi="Times New Roman" w:eastAsia="宋体" w:cs="Times New Roman"/>
                <w:b/>
                <w:bCs/>
                <w:snapToGrid w:val="0"/>
                <w:color w:val="auto"/>
                <w:kern w:val="0"/>
                <w:sz w:val="21"/>
                <w:szCs w:val="21"/>
                <w:highlight w:val="none"/>
                <w:lang w:val="zh-CN" w:eastAsia="zh-CN" w:bidi="ar-SA"/>
                <w14:ligatures w14:val="none"/>
              </w:rPr>
              <w:t xml:space="preserve">  建筑施工噪声排放标准限值（GB12523-20</w:t>
            </w:r>
            <w:r>
              <w:rPr>
                <w:rFonts w:hint="eastAsia" w:cs="Times New Roman"/>
                <w:b/>
                <w:bCs/>
                <w:snapToGrid w:val="0"/>
                <w:color w:val="auto"/>
                <w:kern w:val="0"/>
                <w:sz w:val="21"/>
                <w:szCs w:val="21"/>
                <w:highlight w:val="none"/>
                <w:lang w:val="en-US" w:eastAsia="zh-CN" w:bidi="ar-SA"/>
                <w14:ligatures w14:val="none"/>
              </w:rPr>
              <w:t>25</w:t>
            </w:r>
            <w:r>
              <w:rPr>
                <w:rFonts w:hint="default" w:ascii="Times New Roman" w:hAnsi="Times New Roman" w:eastAsia="宋体" w:cs="Times New Roman"/>
                <w:b/>
                <w:bCs/>
                <w:snapToGrid w:val="0"/>
                <w:color w:val="auto"/>
                <w:kern w:val="0"/>
                <w:sz w:val="21"/>
                <w:szCs w:val="21"/>
                <w:highlight w:val="none"/>
                <w:lang w:val="zh-CN" w:eastAsia="zh-CN" w:bidi="ar-SA"/>
                <w14:ligatures w14:val="none"/>
              </w:rPr>
              <w:t>）</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91"/>
              <w:gridCol w:w="4277"/>
            </w:tblGrid>
            <w:tr w14:paraId="7B95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2474" w:type="pct"/>
                  <w:noWrap w:val="0"/>
                  <w:vAlign w:val="center"/>
                </w:tcPr>
                <w:p w14:paraId="1E6D0B32">
                  <w:pPr>
                    <w:pStyle w:val="68"/>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Times New Roman" w:hAnsi="Times New Roman" w:eastAsia="宋体" w:cs="Times New Roman"/>
                      <w:b w:val="0"/>
                      <w:color w:val="auto"/>
                      <w:sz w:val="21"/>
                      <w:szCs w:val="21"/>
                      <w:highlight w:val="none"/>
                      <w:lang w:val="en-US" w:eastAsia="zh-CN"/>
                    </w:rPr>
                  </w:pPr>
                  <w:r>
                    <w:rPr>
                      <w:rFonts w:hint="eastAsia" w:ascii="Times New Roman" w:hAnsi="Times New Roman" w:eastAsia="宋体" w:cs="Times New Roman"/>
                      <w:b w:val="0"/>
                      <w:color w:val="auto"/>
                      <w:sz w:val="21"/>
                      <w:szCs w:val="21"/>
                      <w:highlight w:val="none"/>
                      <w:lang w:val="en-US" w:eastAsia="zh-CN"/>
                    </w:rPr>
                    <w:t>昼间dB(A)</w:t>
                  </w:r>
                </w:p>
              </w:tc>
              <w:tc>
                <w:tcPr>
                  <w:tcW w:w="2525" w:type="pct"/>
                  <w:noWrap w:val="0"/>
                  <w:vAlign w:val="center"/>
                </w:tcPr>
                <w:p w14:paraId="6F09C486">
                  <w:pPr>
                    <w:pStyle w:val="68"/>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Times New Roman" w:hAnsi="Times New Roman" w:eastAsia="宋体" w:cs="Times New Roman"/>
                      <w:b w:val="0"/>
                      <w:color w:val="auto"/>
                      <w:sz w:val="21"/>
                      <w:szCs w:val="21"/>
                      <w:highlight w:val="none"/>
                      <w:lang w:val="en-US" w:eastAsia="zh-CN"/>
                    </w:rPr>
                  </w:pPr>
                  <w:r>
                    <w:rPr>
                      <w:rFonts w:hint="eastAsia" w:ascii="Times New Roman" w:hAnsi="Times New Roman" w:eastAsia="宋体" w:cs="Times New Roman"/>
                      <w:b w:val="0"/>
                      <w:color w:val="auto"/>
                      <w:sz w:val="21"/>
                      <w:szCs w:val="21"/>
                      <w:highlight w:val="none"/>
                      <w:lang w:val="en-US" w:eastAsia="zh-CN"/>
                    </w:rPr>
                    <w:t>夜间dB(A)</w:t>
                  </w:r>
                </w:p>
              </w:tc>
            </w:tr>
            <w:tr w14:paraId="7471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4" w:type="pct"/>
                  <w:noWrap w:val="0"/>
                  <w:vAlign w:val="center"/>
                </w:tcPr>
                <w:p w14:paraId="549A9FF9">
                  <w:pPr>
                    <w:pStyle w:val="68"/>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Times New Roman" w:hAnsi="Times New Roman" w:eastAsia="宋体" w:cs="Times New Roman"/>
                      <w:b w:val="0"/>
                      <w:color w:val="auto"/>
                      <w:sz w:val="21"/>
                      <w:szCs w:val="21"/>
                      <w:highlight w:val="none"/>
                      <w:lang w:val="en-US" w:eastAsia="zh-CN"/>
                    </w:rPr>
                  </w:pPr>
                  <w:r>
                    <w:rPr>
                      <w:rFonts w:hint="eastAsia" w:ascii="Times New Roman" w:hAnsi="Times New Roman" w:eastAsia="宋体" w:cs="Times New Roman"/>
                      <w:b w:val="0"/>
                      <w:color w:val="auto"/>
                      <w:sz w:val="21"/>
                      <w:szCs w:val="21"/>
                      <w:highlight w:val="none"/>
                      <w:lang w:val="en-US" w:eastAsia="zh-CN"/>
                    </w:rPr>
                    <w:t>70</w:t>
                  </w:r>
                </w:p>
              </w:tc>
              <w:tc>
                <w:tcPr>
                  <w:tcW w:w="2525" w:type="pct"/>
                  <w:noWrap w:val="0"/>
                  <w:vAlign w:val="center"/>
                </w:tcPr>
                <w:p w14:paraId="1DB622E6">
                  <w:pPr>
                    <w:pStyle w:val="68"/>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Times New Roman" w:hAnsi="Times New Roman" w:eastAsia="宋体" w:cs="Times New Roman"/>
                      <w:b w:val="0"/>
                      <w:color w:val="auto"/>
                      <w:sz w:val="21"/>
                      <w:szCs w:val="21"/>
                      <w:highlight w:val="none"/>
                      <w:lang w:val="en-US" w:eastAsia="zh-CN"/>
                    </w:rPr>
                  </w:pPr>
                  <w:r>
                    <w:rPr>
                      <w:rFonts w:hint="eastAsia" w:ascii="Times New Roman" w:hAnsi="Times New Roman" w:eastAsia="宋体" w:cs="Times New Roman"/>
                      <w:b w:val="0"/>
                      <w:color w:val="auto"/>
                      <w:sz w:val="21"/>
                      <w:szCs w:val="21"/>
                      <w:highlight w:val="none"/>
                      <w:lang w:val="en-US" w:eastAsia="zh-CN"/>
                    </w:rPr>
                    <w:t>55</w:t>
                  </w:r>
                </w:p>
              </w:tc>
            </w:tr>
          </w:tbl>
          <w:p w14:paraId="00C00C7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color w:val="auto"/>
                <w:sz w:val="24"/>
                <w:szCs w:val="24"/>
                <w:highlight w:val="none"/>
              </w:rPr>
            </w:pPr>
            <w:r>
              <w:rPr>
                <w:color w:val="auto"/>
                <w:sz w:val="24"/>
                <w:szCs w:val="24"/>
                <w:highlight w:val="none"/>
              </w:rPr>
              <w:t>（2）施工期噪声衰减情况</w:t>
            </w:r>
          </w:p>
          <w:p w14:paraId="4CD7DAF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color w:val="auto"/>
                <w:sz w:val="24"/>
                <w:szCs w:val="24"/>
                <w:highlight w:val="none"/>
              </w:rPr>
            </w:pPr>
            <w:r>
              <w:rPr>
                <w:color w:val="auto"/>
                <w:sz w:val="24"/>
                <w:szCs w:val="24"/>
                <w:highlight w:val="none"/>
              </w:rPr>
              <w:t>由于本工程非特殊工程，不需特殊的施工机械，施工过</w:t>
            </w:r>
            <w:r>
              <w:rPr>
                <w:rFonts w:hint="eastAsia"/>
                <w:color w:val="auto"/>
                <w:sz w:val="24"/>
                <w:szCs w:val="24"/>
                <w:highlight w:val="none"/>
                <w:lang w:eastAsia="zh-CN"/>
              </w:rPr>
              <w:t>程中</w:t>
            </w:r>
            <w:r>
              <w:rPr>
                <w:color w:val="auto"/>
                <w:sz w:val="24"/>
                <w:szCs w:val="24"/>
                <w:highlight w:val="none"/>
              </w:rPr>
              <w:t>产生的噪声主要属于中低频噪声，因此在预测其影响时可单独考虑其扩散衰减，即预模型可选用：</w:t>
            </w:r>
          </w:p>
          <w:p w14:paraId="084AA5D7">
            <w:pPr>
              <w:keepNext w:val="0"/>
              <w:keepLines w:val="0"/>
              <w:pageBreakBefore w:val="0"/>
              <w:widowControl w:val="0"/>
              <w:kinsoku/>
              <w:wordWrap/>
              <w:overflowPunct/>
              <w:topLinePunct w:val="0"/>
              <w:autoSpaceDE/>
              <w:autoSpaceDN/>
              <w:bidi w:val="0"/>
              <w:adjustRightInd w:val="0"/>
              <w:snapToGrid w:val="0"/>
              <w:spacing w:line="500" w:lineRule="exact"/>
              <w:ind w:firstLine="1200" w:firstLineChars="500"/>
              <w:jc w:val="both"/>
              <w:textAlignment w:val="auto"/>
              <w:rPr>
                <w:color w:val="auto"/>
                <w:sz w:val="24"/>
                <w:szCs w:val="24"/>
                <w:highlight w:val="none"/>
              </w:rPr>
            </w:pPr>
            <w:r>
              <w:rPr>
                <w:color w:val="auto"/>
                <w:sz w:val="24"/>
                <w:szCs w:val="24"/>
                <w:highlight w:val="none"/>
              </w:rPr>
              <w:t>L</w:t>
            </w:r>
            <w:r>
              <w:rPr>
                <w:color w:val="auto"/>
                <w:sz w:val="24"/>
                <w:szCs w:val="24"/>
                <w:highlight w:val="none"/>
                <w:vertAlign w:val="subscript"/>
              </w:rPr>
              <w:t>2</w:t>
            </w:r>
            <w:r>
              <w:rPr>
                <w:color w:val="auto"/>
                <w:sz w:val="24"/>
                <w:szCs w:val="24"/>
                <w:highlight w:val="none"/>
              </w:rPr>
              <w:t>=L</w:t>
            </w:r>
            <w:r>
              <w:rPr>
                <w:color w:val="auto"/>
                <w:sz w:val="24"/>
                <w:szCs w:val="24"/>
                <w:highlight w:val="none"/>
                <w:vertAlign w:val="subscript"/>
              </w:rPr>
              <w:t>1</w:t>
            </w:r>
            <w:r>
              <w:rPr>
                <w:color w:val="auto"/>
                <w:sz w:val="24"/>
                <w:szCs w:val="24"/>
                <w:highlight w:val="none"/>
              </w:rPr>
              <w:t>-20lgr</w:t>
            </w:r>
            <w:r>
              <w:rPr>
                <w:color w:val="auto"/>
                <w:sz w:val="24"/>
                <w:szCs w:val="24"/>
                <w:highlight w:val="none"/>
                <w:vertAlign w:val="subscript"/>
              </w:rPr>
              <w:t>2</w:t>
            </w:r>
            <w:r>
              <w:rPr>
                <w:color w:val="auto"/>
                <w:sz w:val="24"/>
                <w:szCs w:val="24"/>
                <w:highlight w:val="none"/>
              </w:rPr>
              <w:t>/r</w:t>
            </w:r>
            <w:r>
              <w:rPr>
                <w:color w:val="auto"/>
                <w:sz w:val="24"/>
                <w:szCs w:val="24"/>
                <w:highlight w:val="none"/>
                <w:vertAlign w:val="subscript"/>
              </w:rPr>
              <w:t>1</w:t>
            </w:r>
            <w:r>
              <w:rPr>
                <w:color w:val="auto"/>
                <w:sz w:val="24"/>
                <w:szCs w:val="24"/>
                <w:highlight w:val="none"/>
              </w:rPr>
              <w:t xml:space="preserve"> (r</w:t>
            </w:r>
            <w:r>
              <w:rPr>
                <w:color w:val="auto"/>
                <w:sz w:val="24"/>
                <w:szCs w:val="24"/>
                <w:highlight w:val="none"/>
                <w:vertAlign w:val="subscript"/>
              </w:rPr>
              <w:t>2</w:t>
            </w:r>
            <w:r>
              <w:rPr>
                <w:color w:val="auto"/>
                <w:sz w:val="24"/>
                <w:szCs w:val="24"/>
                <w:highlight w:val="none"/>
              </w:rPr>
              <w:t>&gt;r</w:t>
            </w:r>
            <w:r>
              <w:rPr>
                <w:color w:val="auto"/>
                <w:sz w:val="24"/>
                <w:szCs w:val="24"/>
                <w:highlight w:val="none"/>
                <w:vertAlign w:val="subscript"/>
              </w:rPr>
              <w:t>1</w:t>
            </w:r>
            <w:r>
              <w:rPr>
                <w:color w:val="auto"/>
                <w:sz w:val="24"/>
                <w:szCs w:val="24"/>
                <w:highlight w:val="none"/>
              </w:rPr>
              <w:t>)</w:t>
            </w:r>
          </w:p>
          <w:p w14:paraId="39BF396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color w:val="auto"/>
                <w:sz w:val="24"/>
                <w:szCs w:val="24"/>
                <w:highlight w:val="none"/>
              </w:rPr>
            </w:pPr>
            <w:r>
              <w:rPr>
                <w:color w:val="auto"/>
                <w:sz w:val="24"/>
                <w:szCs w:val="24"/>
                <w:highlight w:val="none"/>
              </w:rPr>
              <w:t>式中：L</w:t>
            </w:r>
            <w:r>
              <w:rPr>
                <w:color w:val="auto"/>
                <w:sz w:val="24"/>
                <w:szCs w:val="24"/>
                <w:highlight w:val="none"/>
                <w:vertAlign w:val="subscript"/>
              </w:rPr>
              <w:t>1</w:t>
            </w:r>
            <w:r>
              <w:rPr>
                <w:color w:val="auto"/>
                <w:sz w:val="24"/>
                <w:szCs w:val="24"/>
                <w:highlight w:val="none"/>
              </w:rPr>
              <w:t>、L</w:t>
            </w:r>
            <w:r>
              <w:rPr>
                <w:color w:val="auto"/>
                <w:sz w:val="24"/>
                <w:szCs w:val="24"/>
                <w:highlight w:val="none"/>
                <w:vertAlign w:val="subscript"/>
              </w:rPr>
              <w:t>2</w:t>
            </w:r>
            <w:r>
              <w:rPr>
                <w:color w:val="auto"/>
                <w:sz w:val="24"/>
                <w:szCs w:val="24"/>
                <w:highlight w:val="none"/>
              </w:rPr>
              <w:t>分别为距声源r</w:t>
            </w:r>
            <w:r>
              <w:rPr>
                <w:color w:val="auto"/>
                <w:sz w:val="24"/>
                <w:szCs w:val="24"/>
                <w:highlight w:val="none"/>
                <w:vertAlign w:val="subscript"/>
              </w:rPr>
              <w:t>1</w:t>
            </w:r>
            <w:r>
              <w:rPr>
                <w:color w:val="auto"/>
                <w:sz w:val="24"/>
                <w:szCs w:val="24"/>
                <w:highlight w:val="none"/>
              </w:rPr>
              <w:t>、r</w:t>
            </w:r>
            <w:r>
              <w:rPr>
                <w:color w:val="auto"/>
                <w:sz w:val="24"/>
                <w:szCs w:val="24"/>
                <w:highlight w:val="none"/>
                <w:vertAlign w:val="subscript"/>
              </w:rPr>
              <w:t>2</w:t>
            </w:r>
            <w:r>
              <w:rPr>
                <w:color w:val="auto"/>
                <w:sz w:val="24"/>
                <w:szCs w:val="24"/>
                <w:highlight w:val="none"/>
              </w:rPr>
              <w:t xml:space="preserve"> 处的等效A声级，dB（A）；</w:t>
            </w:r>
          </w:p>
          <w:p w14:paraId="5AF47CC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color w:val="auto"/>
                <w:sz w:val="24"/>
                <w:szCs w:val="24"/>
                <w:highlight w:val="none"/>
              </w:rPr>
            </w:pPr>
            <w:r>
              <w:rPr>
                <w:color w:val="auto"/>
                <w:sz w:val="24"/>
                <w:szCs w:val="24"/>
                <w:highlight w:val="none"/>
              </w:rPr>
              <w:t>r</w:t>
            </w:r>
            <w:r>
              <w:rPr>
                <w:color w:val="auto"/>
                <w:sz w:val="24"/>
                <w:szCs w:val="24"/>
                <w:highlight w:val="none"/>
                <w:vertAlign w:val="subscript"/>
              </w:rPr>
              <w:t>1</w:t>
            </w:r>
            <w:r>
              <w:rPr>
                <w:color w:val="auto"/>
                <w:sz w:val="24"/>
                <w:szCs w:val="24"/>
                <w:highlight w:val="none"/>
              </w:rPr>
              <w:t>、r</w:t>
            </w:r>
            <w:r>
              <w:rPr>
                <w:color w:val="auto"/>
                <w:sz w:val="24"/>
                <w:szCs w:val="24"/>
                <w:highlight w:val="none"/>
                <w:vertAlign w:val="subscript"/>
              </w:rPr>
              <w:t>2</w:t>
            </w:r>
            <w:r>
              <w:rPr>
                <w:color w:val="auto"/>
                <w:sz w:val="24"/>
                <w:szCs w:val="24"/>
                <w:highlight w:val="none"/>
              </w:rPr>
              <w:t>为</w:t>
            </w:r>
            <w:r>
              <w:rPr>
                <w:rFonts w:hint="eastAsia"/>
                <w:color w:val="auto"/>
                <w:sz w:val="24"/>
                <w:szCs w:val="24"/>
                <w:highlight w:val="none"/>
                <w:lang w:eastAsia="zh-CN"/>
              </w:rPr>
              <w:t>接收点</w:t>
            </w:r>
            <w:r>
              <w:rPr>
                <w:color w:val="auto"/>
                <w:sz w:val="24"/>
                <w:szCs w:val="24"/>
                <w:highlight w:val="none"/>
              </w:rPr>
              <w:t>距声源的距离，m。</w:t>
            </w:r>
          </w:p>
          <w:p w14:paraId="45F08EF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color w:val="auto"/>
                <w:sz w:val="24"/>
                <w:szCs w:val="24"/>
                <w:highlight w:val="none"/>
              </w:rPr>
            </w:pPr>
            <w:r>
              <w:rPr>
                <w:color w:val="auto"/>
                <w:sz w:val="24"/>
                <w:szCs w:val="24"/>
                <w:highlight w:val="none"/>
              </w:rPr>
              <w:t>由上式可推出噪声随距离增加而衰减的量△L：</w:t>
            </w:r>
          </w:p>
          <w:p w14:paraId="3363CEC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color w:val="auto"/>
                <w:sz w:val="24"/>
                <w:szCs w:val="24"/>
                <w:highlight w:val="none"/>
              </w:rPr>
            </w:pPr>
            <w:r>
              <w:rPr>
                <w:color w:val="auto"/>
                <w:sz w:val="24"/>
                <w:szCs w:val="24"/>
                <w:highlight w:val="none"/>
              </w:rPr>
              <w:t>△L=L</w:t>
            </w:r>
            <w:r>
              <w:rPr>
                <w:color w:val="auto"/>
                <w:sz w:val="24"/>
                <w:szCs w:val="24"/>
                <w:highlight w:val="none"/>
                <w:vertAlign w:val="subscript"/>
              </w:rPr>
              <w:t>1</w:t>
            </w:r>
            <w:r>
              <w:rPr>
                <w:color w:val="auto"/>
                <w:sz w:val="24"/>
                <w:szCs w:val="24"/>
                <w:highlight w:val="none"/>
              </w:rPr>
              <w:t>-L</w:t>
            </w:r>
            <w:r>
              <w:rPr>
                <w:color w:val="auto"/>
                <w:sz w:val="24"/>
                <w:szCs w:val="24"/>
                <w:highlight w:val="none"/>
                <w:vertAlign w:val="subscript"/>
              </w:rPr>
              <w:t>2</w:t>
            </w:r>
            <w:r>
              <w:rPr>
                <w:color w:val="auto"/>
                <w:sz w:val="24"/>
                <w:szCs w:val="24"/>
                <w:highlight w:val="none"/>
              </w:rPr>
              <w:t>=20lgr</w:t>
            </w:r>
            <w:r>
              <w:rPr>
                <w:color w:val="auto"/>
                <w:sz w:val="24"/>
                <w:szCs w:val="24"/>
                <w:highlight w:val="none"/>
                <w:vertAlign w:val="subscript"/>
              </w:rPr>
              <w:t>2</w:t>
            </w:r>
            <w:r>
              <w:rPr>
                <w:color w:val="auto"/>
                <w:sz w:val="24"/>
                <w:szCs w:val="24"/>
                <w:highlight w:val="none"/>
              </w:rPr>
              <w:t>/r</w:t>
            </w:r>
            <w:r>
              <w:rPr>
                <w:color w:val="auto"/>
                <w:sz w:val="24"/>
                <w:szCs w:val="24"/>
                <w:highlight w:val="none"/>
                <w:vertAlign w:val="subscript"/>
              </w:rPr>
              <w:t>1</w:t>
            </w:r>
          </w:p>
          <w:p w14:paraId="403FF67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b/>
                <w:color w:val="auto"/>
                <w:sz w:val="21"/>
                <w:szCs w:val="21"/>
                <w:highlight w:val="none"/>
              </w:rPr>
            </w:pPr>
            <w:r>
              <w:rPr>
                <w:rFonts w:ascii="Times New Roman" w:hAnsi="Times New Roman" w:eastAsia="宋体" w:cs="Times New Roman"/>
                <w:color w:val="auto"/>
                <w:sz w:val="24"/>
                <w:szCs w:val="24"/>
                <w:highlight w:val="none"/>
              </w:rPr>
              <w:t>参照设备噪声声压级，各阶段均以噪声最高的设备计算，在不考虑沿途吸声、隔声措施的前提下，工程施工噪声随距离衰减后的结果如表</w:t>
            </w:r>
            <w:r>
              <w:rPr>
                <w:rFonts w:hint="eastAsia" w:ascii="Times New Roman" w:hAnsi="Times New Roman" w:eastAsia="宋体" w:cs="Times New Roman"/>
                <w:color w:val="auto"/>
                <w:sz w:val="24"/>
                <w:szCs w:val="24"/>
                <w:highlight w:val="none"/>
                <w:lang w:val="en-US" w:eastAsia="zh-CN"/>
              </w:rPr>
              <w:t>4</w:t>
            </w:r>
            <w:r>
              <w:rPr>
                <w:rFonts w:hint="eastAsia" w:cs="Times New Roman"/>
                <w:color w:val="auto"/>
                <w:sz w:val="24"/>
                <w:szCs w:val="24"/>
                <w:highlight w:val="none"/>
                <w:lang w:val="en-US" w:eastAsia="zh-CN"/>
              </w:rPr>
              <w:t>.6-3</w:t>
            </w:r>
            <w:r>
              <w:rPr>
                <w:rFonts w:ascii="Times New Roman" w:hAnsi="Times New Roman" w:eastAsia="宋体" w:cs="Times New Roman"/>
                <w:color w:val="auto"/>
                <w:sz w:val="24"/>
                <w:szCs w:val="24"/>
                <w:highlight w:val="none"/>
              </w:rPr>
              <w:t>所示。</w:t>
            </w:r>
          </w:p>
          <w:p w14:paraId="39DD31C0">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napToGrid w:val="0"/>
                <w:color w:val="auto"/>
                <w:kern w:val="0"/>
                <w:sz w:val="21"/>
                <w:szCs w:val="21"/>
                <w:highlight w:val="none"/>
                <w:lang w:val="en-US" w:eastAsia="zh-CN" w:bidi="ar-SA"/>
                <w14:ligatures w14:val="none"/>
              </w:rPr>
            </w:pPr>
            <w:r>
              <w:rPr>
                <w:rFonts w:hint="default" w:ascii="Times New Roman" w:hAnsi="Times New Roman" w:eastAsia="宋体" w:cs="Times New Roman"/>
                <w:b/>
                <w:bCs/>
                <w:snapToGrid w:val="0"/>
                <w:color w:val="auto"/>
                <w:kern w:val="0"/>
                <w:sz w:val="21"/>
                <w:szCs w:val="21"/>
                <w:highlight w:val="none"/>
                <w:lang w:val="en-US" w:eastAsia="zh-CN" w:bidi="ar-SA"/>
                <w14:ligatures w14:val="none"/>
              </w:rPr>
              <w:t>表</w:t>
            </w:r>
            <w:r>
              <w:rPr>
                <w:rFonts w:hint="eastAsia" w:ascii="Times New Roman" w:hAnsi="Times New Roman" w:eastAsia="宋体" w:cs="Times New Roman"/>
                <w:b/>
                <w:bCs/>
                <w:snapToGrid w:val="0"/>
                <w:color w:val="auto"/>
                <w:kern w:val="0"/>
                <w:sz w:val="21"/>
                <w:szCs w:val="21"/>
                <w:highlight w:val="none"/>
                <w:lang w:val="en-US" w:eastAsia="zh-CN" w:bidi="ar-SA"/>
                <w14:ligatures w14:val="none"/>
              </w:rPr>
              <w:t xml:space="preserve">4.6-3 </w:t>
            </w:r>
            <w:r>
              <w:rPr>
                <w:rFonts w:hint="default" w:ascii="Times New Roman" w:hAnsi="Times New Roman" w:eastAsia="宋体" w:cs="Times New Roman"/>
                <w:b/>
                <w:bCs/>
                <w:snapToGrid w:val="0"/>
                <w:color w:val="auto"/>
                <w:kern w:val="0"/>
                <w:sz w:val="21"/>
                <w:szCs w:val="21"/>
                <w:highlight w:val="none"/>
                <w:lang w:val="en-US" w:eastAsia="zh-CN" w:bidi="ar-SA"/>
                <w14:ligatures w14:val="none"/>
              </w:rPr>
              <w:t xml:space="preserve">  施工噪声值随距离的衰减值</w:t>
            </w:r>
          </w:p>
          <w:tbl>
            <w:tblPr>
              <w:tblStyle w:val="27"/>
              <w:tblW w:w="4996"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30"/>
              <w:gridCol w:w="1678"/>
              <w:gridCol w:w="819"/>
              <w:gridCol w:w="940"/>
              <w:gridCol w:w="992"/>
              <w:gridCol w:w="967"/>
              <w:gridCol w:w="1180"/>
              <w:gridCol w:w="852"/>
            </w:tblGrid>
            <w:tr w14:paraId="47B91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34" w:hRule="atLeast"/>
                <w:jc w:val="center"/>
              </w:trPr>
              <w:tc>
                <w:tcPr>
                  <w:tcW w:w="609" w:type="pct"/>
                  <w:noWrap w:val="0"/>
                  <w:vAlign w:val="center"/>
                </w:tcPr>
                <w:p w14:paraId="7A3059D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阶段</w:t>
                  </w:r>
                </w:p>
              </w:tc>
              <w:tc>
                <w:tcPr>
                  <w:tcW w:w="991" w:type="pct"/>
                  <w:noWrap w:val="0"/>
                  <w:vAlign w:val="center"/>
                  <mc:AlternateContent>
                    <mc:Choice Requires="wpsCustomData">
                      <wpsCustomData:diagonals>
                        <wpsCustomData:diagonal from="10000" to="30000">
                          <wpsCustomData:border w:val="single" w:color="000000" w:sz="6" w:space="0"/>
                        </wpsCustomData:diagonal>
                      </wpsCustomData:diagonals>
                    </mc:Choice>
                  </mc:AlternateContent>
                </w:tcPr>
                <w:p w14:paraId="3354D621">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mc:AlternateContent>
                      <mc:Choice Requires="wpsCustomData">
                        <wpsCustomData:diagonalParaType/>
                      </mc:Choice>
                    </mc:AlternateConten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声源值dB(A)</w:t>
                  </w:r>
                </w:p>
                <w:p w14:paraId="2617431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距离（m）</w:t>
                  </w:r>
                </w:p>
              </w:tc>
              <w:tc>
                <w:tcPr>
                  <w:tcW w:w="484" w:type="pct"/>
                  <w:noWrap w:val="0"/>
                  <w:vAlign w:val="center"/>
                </w:tcPr>
                <w:p w14:paraId="01EAE8F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w:t>
                  </w:r>
                </w:p>
              </w:tc>
              <w:tc>
                <w:tcPr>
                  <w:tcW w:w="555" w:type="pct"/>
                  <w:noWrap w:val="0"/>
                  <w:vAlign w:val="center"/>
                </w:tcPr>
                <w:p w14:paraId="4824E9A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586" w:type="pct"/>
                  <w:noWrap w:val="0"/>
                  <w:vAlign w:val="center"/>
                </w:tcPr>
                <w:p w14:paraId="2810C375">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571" w:type="pct"/>
                  <w:noWrap w:val="0"/>
                  <w:vAlign w:val="center"/>
                </w:tcPr>
                <w:p w14:paraId="18402F6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697" w:type="pct"/>
                  <w:noWrap w:val="0"/>
                  <w:vAlign w:val="center"/>
                </w:tcPr>
                <w:p w14:paraId="5C231542">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503" w:type="pct"/>
                  <w:noWrap w:val="0"/>
                  <w:vAlign w:val="center"/>
                </w:tcPr>
                <w:p w14:paraId="7D61E5C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00</w:t>
                  </w:r>
                </w:p>
              </w:tc>
            </w:tr>
            <w:tr w14:paraId="4C387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609" w:type="pct"/>
                  <w:noWrap w:val="0"/>
                  <w:vAlign w:val="center"/>
                </w:tcPr>
                <w:p w14:paraId="64B282F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土方</w:t>
                  </w:r>
                </w:p>
              </w:tc>
              <w:tc>
                <w:tcPr>
                  <w:tcW w:w="991" w:type="pct"/>
                  <w:noWrap w:val="0"/>
                  <w:vAlign w:val="center"/>
                </w:tcPr>
                <w:p w14:paraId="7853BD21">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推土机</w:t>
                  </w:r>
                </w:p>
              </w:tc>
              <w:tc>
                <w:tcPr>
                  <w:tcW w:w="484" w:type="pct"/>
                  <w:noWrap w:val="0"/>
                  <w:vAlign w:val="center"/>
                </w:tcPr>
                <w:p w14:paraId="7E6401ED">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555" w:type="pct"/>
                  <w:noWrap w:val="0"/>
                  <w:vAlign w:val="center"/>
                </w:tcPr>
                <w:p w14:paraId="2168E93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39</w:t>
                  </w:r>
                </w:p>
              </w:tc>
              <w:tc>
                <w:tcPr>
                  <w:tcW w:w="586" w:type="pct"/>
                  <w:noWrap w:val="0"/>
                  <w:vAlign w:val="center"/>
                </w:tcPr>
                <w:p w14:paraId="0B9EA92A">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c>
                <w:tcPr>
                  <w:tcW w:w="571" w:type="pct"/>
                  <w:noWrap w:val="0"/>
                  <w:vAlign w:val="center"/>
                </w:tcPr>
                <w:p w14:paraId="51140E01">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33</w:t>
                  </w:r>
                </w:p>
              </w:tc>
              <w:tc>
                <w:tcPr>
                  <w:tcW w:w="697" w:type="pct"/>
                  <w:noWrap w:val="0"/>
                  <w:vAlign w:val="center"/>
                </w:tcPr>
                <w:p w14:paraId="2921663A">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31</w:t>
                  </w:r>
                </w:p>
              </w:tc>
              <w:tc>
                <w:tcPr>
                  <w:tcW w:w="503" w:type="pct"/>
                  <w:noWrap w:val="0"/>
                  <w:vAlign w:val="center"/>
                </w:tcPr>
                <w:p w14:paraId="4B2B6A9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w:t>
                  </w:r>
                </w:p>
              </w:tc>
            </w:tr>
            <w:tr w14:paraId="351E1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609" w:type="pct"/>
                  <w:noWrap w:val="0"/>
                  <w:vAlign w:val="center"/>
                </w:tcPr>
                <w:p w14:paraId="5EAC7149">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结构</w:t>
                  </w:r>
                </w:p>
              </w:tc>
              <w:tc>
                <w:tcPr>
                  <w:tcW w:w="991" w:type="pct"/>
                  <w:noWrap w:val="0"/>
                  <w:vAlign w:val="center"/>
                </w:tcPr>
                <w:p w14:paraId="0A6AE73A">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电锯</w:t>
                  </w:r>
                </w:p>
              </w:tc>
              <w:tc>
                <w:tcPr>
                  <w:tcW w:w="484" w:type="pct"/>
                  <w:noWrap w:val="0"/>
                  <w:vAlign w:val="center"/>
                </w:tcPr>
                <w:p w14:paraId="1234B15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55</w:t>
                  </w:r>
                </w:p>
              </w:tc>
              <w:tc>
                <w:tcPr>
                  <w:tcW w:w="555" w:type="pct"/>
                  <w:noWrap w:val="0"/>
                  <w:vAlign w:val="center"/>
                </w:tcPr>
                <w:p w14:paraId="7B7233CF">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49</w:t>
                  </w:r>
                </w:p>
              </w:tc>
              <w:tc>
                <w:tcPr>
                  <w:tcW w:w="586" w:type="pct"/>
                  <w:noWrap w:val="0"/>
                  <w:vAlign w:val="center"/>
                </w:tcPr>
                <w:p w14:paraId="2382E0A5">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571" w:type="pct"/>
                  <w:noWrap w:val="0"/>
                  <w:vAlign w:val="center"/>
                </w:tcPr>
                <w:p w14:paraId="5BA017D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43</w:t>
                  </w:r>
                </w:p>
              </w:tc>
              <w:tc>
                <w:tcPr>
                  <w:tcW w:w="697" w:type="pct"/>
                  <w:noWrap w:val="0"/>
                  <w:vAlign w:val="center"/>
                </w:tcPr>
                <w:p w14:paraId="4A3A13E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41</w:t>
                  </w:r>
                </w:p>
              </w:tc>
              <w:tc>
                <w:tcPr>
                  <w:tcW w:w="503" w:type="pct"/>
                  <w:noWrap w:val="0"/>
                  <w:vAlign w:val="center"/>
                </w:tcPr>
                <w:p w14:paraId="510E21B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r>
          </w:tbl>
          <w:p w14:paraId="2DFE133D">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color w:val="auto"/>
                <w:sz w:val="24"/>
                <w:szCs w:val="24"/>
                <w:highlight w:val="none"/>
              </w:rPr>
            </w:pPr>
            <w:r>
              <w:rPr>
                <w:rFonts w:hint="default" w:ascii="Times New Roman" w:hAnsi="Times New Roman" w:cs="Times New Roman"/>
                <w:color w:val="auto"/>
                <w:sz w:val="24"/>
                <w:szCs w:val="24"/>
                <w:highlight w:val="none"/>
              </w:rPr>
              <w:t>由上表计算结果可知，</w:t>
            </w:r>
            <w:r>
              <w:rPr>
                <w:rFonts w:hint="default" w:ascii="Times New Roman" w:hAnsi="Times New Roman" w:eastAsia="宋体" w:cs="Times New Roman"/>
                <w:sz w:val="24"/>
                <w:szCs w:val="24"/>
                <w:highlight w:val="none"/>
              </w:rPr>
              <w:t>土方、结构施工阶段设备噪声相对最大，但项目场区四周为山体，天然山体具备隔声屏障作用，进一步削减噪声传播；项目50m内无任何声环境保护目标，20m外噪声已低于昼间标准限值，施工噪声不会对人群造成干扰。本项目仅昼间施工，不安排夜间施工作业，不存在夜间噪声扰民问题；施工结束后噪声污染同步消失，无持续性噪声影响</w:t>
            </w:r>
            <w:r>
              <w:rPr>
                <w:rFonts w:hint="default" w:ascii="Times New Roman" w:hAnsi="Times New Roman" w:cs="Times New Roman"/>
                <w:color w:val="auto"/>
                <w:sz w:val="24"/>
                <w:szCs w:val="24"/>
                <w:highlight w:val="none"/>
              </w:rPr>
              <w:t>。为减小施工噪声对周围环境产生的影响，本环评</w:t>
            </w:r>
            <w:r>
              <w:rPr>
                <w:rFonts w:hint="default" w:ascii="Times New Roman" w:hAnsi="Times New Roman" w:cs="Times New Roman"/>
                <w:color w:val="auto"/>
                <w:sz w:val="24"/>
                <w:szCs w:val="24"/>
                <w:highlight w:val="none"/>
                <w:lang w:val="zh-CN"/>
              </w:rPr>
              <w:t>要求采取以下控制措施：</w:t>
            </w:r>
          </w:p>
          <w:p w14:paraId="55271E1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contextualSpacing/>
              <w:textAlignment w:val="auto"/>
              <w:rPr>
                <w:color w:val="auto"/>
                <w:sz w:val="24"/>
                <w:szCs w:val="24"/>
                <w:highlight w:val="none"/>
              </w:rPr>
            </w:pPr>
            <w:r>
              <w:rPr>
                <w:color w:val="auto"/>
                <w:sz w:val="24"/>
                <w:szCs w:val="24"/>
                <w:highlight w:val="none"/>
              </w:rPr>
              <w:t>①</w:t>
            </w:r>
            <w:r>
              <w:rPr>
                <w:rFonts w:hint="eastAsia"/>
                <w:color w:val="auto"/>
                <w:sz w:val="24"/>
                <w:szCs w:val="24"/>
                <w:highlight w:val="none"/>
              </w:rPr>
              <w:t>施工严格限定昼间作业，杜绝夜间施工，从源头规避夜间噪声影响</w:t>
            </w:r>
            <w:r>
              <w:rPr>
                <w:color w:val="auto"/>
                <w:sz w:val="24"/>
                <w:szCs w:val="24"/>
                <w:highlight w:val="none"/>
                <w:lang w:val="zh-CN"/>
              </w:rPr>
              <w:t>。</w:t>
            </w:r>
          </w:p>
          <w:p w14:paraId="42FCBDB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contextualSpacing/>
              <w:textAlignment w:val="auto"/>
              <w:rPr>
                <w:b/>
                <w:bCs/>
                <w:color w:val="auto"/>
                <w:sz w:val="24"/>
                <w:szCs w:val="24"/>
                <w:highlight w:val="none"/>
              </w:rPr>
            </w:pPr>
            <w:r>
              <w:rPr>
                <w:color w:val="auto"/>
                <w:sz w:val="24"/>
                <w:szCs w:val="24"/>
                <w:highlight w:val="none"/>
              </w:rPr>
              <w:t>②</w:t>
            </w:r>
            <w:r>
              <w:rPr>
                <w:rFonts w:ascii="宋体" w:hAnsi="宋体" w:eastAsia="宋体" w:cs="宋体"/>
                <w:sz w:val="24"/>
                <w:szCs w:val="24"/>
                <w:highlight w:val="none"/>
              </w:rPr>
              <w:t>高噪声推土机、电锯等设备布置于场地中部，远离库区外围山体外侧边界，利用山体天然隔声降低场外噪声扩散</w:t>
            </w:r>
            <w:r>
              <w:rPr>
                <w:color w:val="auto"/>
                <w:sz w:val="24"/>
                <w:szCs w:val="24"/>
                <w:highlight w:val="none"/>
                <w:lang w:val="zh-CN"/>
              </w:rPr>
              <w:t>。</w:t>
            </w:r>
          </w:p>
          <w:p w14:paraId="1727F45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contextualSpacing/>
              <w:textAlignment w:val="auto"/>
              <w:rPr>
                <w:color w:val="auto"/>
                <w:sz w:val="24"/>
                <w:szCs w:val="24"/>
                <w:highlight w:val="none"/>
              </w:rPr>
            </w:pPr>
            <w:r>
              <w:rPr>
                <w:color w:val="auto"/>
                <w:sz w:val="24"/>
                <w:szCs w:val="24"/>
                <w:highlight w:val="none"/>
              </w:rPr>
              <w:t>③</w:t>
            </w:r>
            <w:r>
              <w:rPr>
                <w:rFonts w:ascii="宋体" w:hAnsi="宋体" w:eastAsia="宋体" w:cs="宋体"/>
                <w:sz w:val="24"/>
                <w:szCs w:val="24"/>
                <w:highlight w:val="none"/>
              </w:rPr>
              <w:t>设备定期检修，避免设备故障产生额外冲击噪声，禁止野蛮敲击、卸料</w:t>
            </w:r>
            <w:r>
              <w:rPr>
                <w:color w:val="auto"/>
                <w:sz w:val="24"/>
                <w:szCs w:val="24"/>
                <w:highlight w:val="none"/>
                <w:lang w:val="zh-CN"/>
              </w:rPr>
              <w:t>。</w:t>
            </w:r>
          </w:p>
          <w:p w14:paraId="3896849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contextualSpacing/>
              <w:textAlignment w:val="auto"/>
              <w:rPr>
                <w:color w:val="auto"/>
                <w:sz w:val="24"/>
                <w:szCs w:val="24"/>
                <w:highlight w:val="none"/>
                <w:lang w:val="zh-CN"/>
              </w:rPr>
            </w:pPr>
            <w:r>
              <w:rPr>
                <w:color w:val="auto"/>
                <w:sz w:val="24"/>
                <w:szCs w:val="24"/>
                <w:highlight w:val="none"/>
              </w:rPr>
              <w:t>④</w:t>
            </w:r>
            <w:r>
              <w:rPr>
                <w:rFonts w:ascii="宋体" w:hAnsi="宋体" w:eastAsia="宋体" w:cs="宋体"/>
                <w:sz w:val="24"/>
                <w:szCs w:val="24"/>
                <w:highlight w:val="none"/>
              </w:rPr>
              <w:t>建材、土石方轻装轻卸，减少撞击突发噪声；场内运输车辆限速、禁止鸣笛</w:t>
            </w:r>
            <w:r>
              <w:rPr>
                <w:color w:val="auto"/>
                <w:sz w:val="24"/>
                <w:szCs w:val="24"/>
                <w:highlight w:val="none"/>
                <w:lang w:val="zh-CN"/>
              </w:rPr>
              <w:t>。</w:t>
            </w:r>
          </w:p>
          <w:p w14:paraId="41C1D7E5">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eastAsia="宋体"/>
                <w:highlight w:val="none"/>
                <w:lang w:val="en-US" w:eastAsia="zh-CN"/>
              </w:rPr>
            </w:pPr>
            <w:r>
              <w:rPr>
                <w:color w:val="auto"/>
                <w:sz w:val="24"/>
                <w:szCs w:val="24"/>
                <w:highlight w:val="none"/>
                <w:lang w:val="zh-CN"/>
              </w:rPr>
              <w:t>⑤</w:t>
            </w:r>
            <w:r>
              <w:rPr>
                <w:rFonts w:ascii="宋体" w:hAnsi="宋体" w:eastAsia="宋体" w:cs="宋体"/>
                <w:sz w:val="24"/>
                <w:szCs w:val="24"/>
                <w:highlight w:val="none"/>
              </w:rPr>
              <w:t>若短时多台高噪设备同步作业，采用简易土工布临时围挡做局部隔声，进一步降低噪声叠加影响</w:t>
            </w:r>
            <w:r>
              <w:rPr>
                <w:rFonts w:hint="eastAsia" w:ascii="宋体" w:hAnsi="宋体" w:eastAsia="宋体" w:cs="宋体"/>
                <w:sz w:val="24"/>
                <w:szCs w:val="24"/>
                <w:highlight w:val="none"/>
                <w:lang w:eastAsia="zh-CN"/>
              </w:rPr>
              <w:t>。</w:t>
            </w:r>
          </w:p>
        </w:tc>
      </w:tr>
      <w:tr w14:paraId="19E5D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7" w:type="dxa"/>
            <w:tcMar>
              <w:left w:w="28" w:type="dxa"/>
              <w:right w:w="28" w:type="dxa"/>
            </w:tcMar>
            <w:vAlign w:val="center"/>
          </w:tcPr>
          <w:p w14:paraId="3A97BE52">
            <w:pPr>
              <w:pageBreakBefore w:val="0"/>
              <w:kinsoku/>
              <w:wordWrap/>
              <w:overflowPunct/>
              <w:topLinePunct w:val="0"/>
              <w:bidi w:val="0"/>
              <w:adjustRightInd w:val="0"/>
              <w:snapToGrid w:val="0"/>
              <w:jc w:val="center"/>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t>运营</w:t>
            </w:r>
          </w:p>
          <w:p w14:paraId="474AB185">
            <w:pPr>
              <w:pageBreakBefore w:val="0"/>
              <w:kinsoku/>
              <w:wordWrap/>
              <w:overflowPunct/>
              <w:topLinePunct w:val="0"/>
              <w:bidi w:val="0"/>
              <w:adjustRightInd w:val="0"/>
              <w:snapToGrid w:val="0"/>
              <w:jc w:val="center"/>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t>期环</w:t>
            </w:r>
          </w:p>
          <w:p w14:paraId="3A5F9F2A">
            <w:pPr>
              <w:pageBreakBefore w:val="0"/>
              <w:kinsoku/>
              <w:wordWrap/>
              <w:overflowPunct/>
              <w:topLinePunct w:val="0"/>
              <w:bidi w:val="0"/>
              <w:adjustRightInd w:val="0"/>
              <w:snapToGrid w:val="0"/>
              <w:jc w:val="center"/>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t>境影</w:t>
            </w:r>
          </w:p>
          <w:p w14:paraId="76597AE5">
            <w:pPr>
              <w:pageBreakBefore w:val="0"/>
              <w:kinsoku/>
              <w:wordWrap/>
              <w:overflowPunct/>
              <w:topLinePunct w:val="0"/>
              <w:bidi w:val="0"/>
              <w:adjustRightInd w:val="0"/>
              <w:snapToGrid w:val="0"/>
              <w:jc w:val="center"/>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t>响和</w:t>
            </w:r>
          </w:p>
          <w:p w14:paraId="09FEA53D">
            <w:pPr>
              <w:pageBreakBefore w:val="0"/>
              <w:kinsoku/>
              <w:wordWrap/>
              <w:overflowPunct/>
              <w:topLinePunct w:val="0"/>
              <w:bidi w:val="0"/>
              <w:adjustRightInd w:val="0"/>
              <w:snapToGrid w:val="0"/>
              <w:jc w:val="center"/>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t>保护</w:t>
            </w:r>
          </w:p>
          <w:p w14:paraId="70D7FEF9">
            <w:pPr>
              <w:pageBreakBefore w:val="0"/>
              <w:kinsoku/>
              <w:wordWrap/>
              <w:overflowPunct/>
              <w:topLinePunct w:val="0"/>
              <w:bidi w:val="0"/>
              <w:adjustRightInd w:val="0"/>
              <w:snapToGrid w:val="0"/>
              <w:jc w:val="center"/>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t>措施</w:t>
            </w:r>
          </w:p>
        </w:tc>
        <w:tc>
          <w:tcPr>
            <w:tcW w:w="8075" w:type="dxa"/>
          </w:tcPr>
          <w:p w14:paraId="441B593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4.</w:t>
            </w:r>
            <w:r>
              <w:rPr>
                <w:rFonts w:hint="eastAsia" w:ascii="Times New Roman" w:hAnsi="Times New Roman" w:eastAsia="宋体" w:cs="Times New Roman"/>
                <w:b/>
                <w:color w:val="auto"/>
                <w:highlight w:val="none"/>
                <w:lang w:val="en-US" w:eastAsia="zh-CN"/>
              </w:rPr>
              <w:t>7</w:t>
            </w:r>
            <w:r>
              <w:rPr>
                <w:rFonts w:hint="default" w:ascii="Times New Roman" w:hAnsi="Times New Roman" w:eastAsia="宋体" w:cs="Times New Roman"/>
                <w:b/>
                <w:color w:val="auto"/>
                <w:highlight w:val="none"/>
              </w:rPr>
              <w:t>大气环境影响分析及保护措施</w:t>
            </w:r>
          </w:p>
          <w:p w14:paraId="49FEF373">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napToGrid w:val="0"/>
                <w:color w:val="auto"/>
                <w:kern w:val="0"/>
                <w:sz w:val="21"/>
                <w:szCs w:val="21"/>
                <w:highlight w:val="none"/>
                <w:lang w:val="en-US" w:eastAsia="zh-CN" w:bidi="ar-SA"/>
                <w14:ligatures w14:val="none"/>
              </w:rPr>
            </w:pPr>
            <w:r>
              <w:rPr>
                <w:rFonts w:hint="default" w:ascii="Times New Roman" w:hAnsi="Times New Roman" w:eastAsia="宋体" w:cs="Times New Roman"/>
                <w:b/>
                <w:bCs/>
                <w:snapToGrid w:val="0"/>
                <w:color w:val="auto"/>
                <w:kern w:val="0"/>
                <w:sz w:val="21"/>
                <w:szCs w:val="21"/>
                <w:highlight w:val="none"/>
                <w:lang w:val="en-US" w:eastAsia="zh-CN" w:bidi="ar-SA"/>
                <w14:ligatures w14:val="none"/>
              </w:rPr>
              <w:t>表4</w:t>
            </w:r>
            <w:r>
              <w:rPr>
                <w:rFonts w:hint="eastAsia" w:ascii="Times New Roman" w:hAnsi="Times New Roman" w:eastAsia="宋体" w:cs="Times New Roman"/>
                <w:b/>
                <w:bCs/>
                <w:snapToGrid w:val="0"/>
                <w:color w:val="auto"/>
                <w:kern w:val="0"/>
                <w:sz w:val="21"/>
                <w:szCs w:val="21"/>
                <w:highlight w:val="none"/>
                <w:lang w:val="en-US" w:eastAsia="zh-CN" w:bidi="ar-SA"/>
                <w14:ligatures w14:val="none"/>
              </w:rPr>
              <w:t>.7</w:t>
            </w:r>
            <w:r>
              <w:rPr>
                <w:rFonts w:hint="default" w:ascii="Times New Roman" w:hAnsi="Times New Roman" w:eastAsia="宋体" w:cs="Times New Roman"/>
                <w:b/>
                <w:bCs/>
                <w:snapToGrid w:val="0"/>
                <w:color w:val="auto"/>
                <w:kern w:val="0"/>
                <w:sz w:val="21"/>
                <w:szCs w:val="21"/>
                <w:highlight w:val="none"/>
                <w:lang w:val="en-US" w:eastAsia="zh-CN" w:bidi="ar-SA"/>
                <w14:ligatures w14:val="none"/>
              </w:rPr>
              <w:t>-1</w:t>
            </w:r>
            <w:r>
              <w:rPr>
                <w:rFonts w:hint="eastAsia" w:ascii="Times New Roman" w:hAnsi="Times New Roman" w:eastAsia="宋体" w:cs="Times New Roman"/>
                <w:b/>
                <w:bCs/>
                <w:snapToGrid w:val="0"/>
                <w:color w:val="auto"/>
                <w:kern w:val="0"/>
                <w:sz w:val="21"/>
                <w:szCs w:val="21"/>
                <w:highlight w:val="none"/>
                <w:lang w:val="en-US" w:eastAsia="zh-CN" w:bidi="ar-SA"/>
                <w14:ligatures w14:val="none"/>
              </w:rPr>
              <w:t xml:space="preserve"> </w:t>
            </w:r>
            <w:r>
              <w:rPr>
                <w:rFonts w:hint="default" w:ascii="Times New Roman" w:hAnsi="Times New Roman" w:eastAsia="宋体" w:cs="Times New Roman"/>
                <w:b/>
                <w:bCs/>
                <w:snapToGrid w:val="0"/>
                <w:color w:val="auto"/>
                <w:kern w:val="0"/>
                <w:sz w:val="21"/>
                <w:szCs w:val="21"/>
                <w:highlight w:val="none"/>
                <w:lang w:val="en-US" w:eastAsia="zh-CN" w:bidi="ar-SA"/>
                <w14:ligatures w14:val="none"/>
              </w:rPr>
              <w:t xml:space="preserve">  大气污染产生、治理及排放情况汇总表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03"/>
              <w:gridCol w:w="673"/>
              <w:gridCol w:w="678"/>
              <w:gridCol w:w="842"/>
              <w:gridCol w:w="930"/>
              <w:gridCol w:w="726"/>
              <w:gridCol w:w="386"/>
              <w:gridCol w:w="447"/>
              <w:gridCol w:w="447"/>
              <w:gridCol w:w="678"/>
              <w:gridCol w:w="645"/>
              <w:gridCol w:w="827"/>
              <w:gridCol w:w="678"/>
            </w:tblGrid>
            <w:tr w14:paraId="1335FA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36" w:type="dxa"/>
                  <w:gridSpan w:val="2"/>
                  <w:tcBorders>
                    <w:tl2br w:val="nil"/>
                    <w:tr2bl w:val="nil"/>
                  </w:tcBorders>
                  <w:noWrap/>
                  <w:vAlign w:val="center"/>
                </w:tcPr>
                <w:p w14:paraId="4E8382D8">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污染源</w:t>
                  </w:r>
                </w:p>
              </w:tc>
              <w:tc>
                <w:tcPr>
                  <w:tcW w:w="654" w:type="dxa"/>
                  <w:vMerge w:val="restart"/>
                  <w:tcBorders>
                    <w:tl2br w:val="nil"/>
                    <w:tr2bl w:val="nil"/>
                  </w:tcBorders>
                  <w:noWrap/>
                  <w:vAlign w:val="center"/>
                </w:tcPr>
                <w:p w14:paraId="468FDAB8">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污染物名称</w:t>
                  </w:r>
                </w:p>
              </w:tc>
              <w:tc>
                <w:tcPr>
                  <w:tcW w:w="812" w:type="dxa"/>
                  <w:vMerge w:val="restart"/>
                  <w:tcBorders>
                    <w:tl2br w:val="nil"/>
                    <w:tr2bl w:val="nil"/>
                  </w:tcBorders>
                  <w:noWrap/>
                  <w:vAlign w:val="center"/>
                </w:tcPr>
                <w:p w14:paraId="3FFEF9D2">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运行时间h/a</w:t>
                  </w:r>
                </w:p>
              </w:tc>
              <w:tc>
                <w:tcPr>
                  <w:tcW w:w="897" w:type="dxa"/>
                  <w:tcBorders>
                    <w:tl2br w:val="nil"/>
                    <w:tr2bl w:val="nil"/>
                  </w:tcBorders>
                  <w:noWrap/>
                  <w:vAlign w:val="center"/>
                </w:tcPr>
                <w:p w14:paraId="7208ABC7">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产生情况</w:t>
                  </w:r>
                </w:p>
              </w:tc>
              <w:tc>
                <w:tcPr>
                  <w:tcW w:w="700" w:type="dxa"/>
                  <w:vMerge w:val="restart"/>
                  <w:tcBorders>
                    <w:tl2br w:val="nil"/>
                    <w:tr2bl w:val="nil"/>
                  </w:tcBorders>
                  <w:noWrap/>
                  <w:vAlign w:val="center"/>
                </w:tcPr>
                <w:p w14:paraId="044C5D8F">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治理</w:t>
                  </w:r>
                </w:p>
                <w:p w14:paraId="59978B1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措施</w:t>
                  </w:r>
                </w:p>
              </w:tc>
              <w:tc>
                <w:tcPr>
                  <w:tcW w:w="372" w:type="dxa"/>
                  <w:vMerge w:val="restart"/>
                  <w:tcBorders>
                    <w:tl2br w:val="nil"/>
                    <w:tr2bl w:val="nil"/>
                  </w:tcBorders>
                  <w:noWrap/>
                  <w:vAlign w:val="center"/>
                </w:tcPr>
                <w:p w14:paraId="22971ECE">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是否可行</w:t>
                  </w:r>
                </w:p>
              </w:tc>
              <w:tc>
                <w:tcPr>
                  <w:tcW w:w="358" w:type="dxa"/>
                  <w:vMerge w:val="restart"/>
                  <w:tcBorders>
                    <w:tl2br w:val="nil"/>
                    <w:tr2bl w:val="nil"/>
                  </w:tcBorders>
                  <w:noWrap/>
                  <w:vAlign w:val="center"/>
                </w:tcPr>
                <w:p w14:paraId="3EFA20F8">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收集率%</w:t>
                  </w:r>
                </w:p>
              </w:tc>
              <w:tc>
                <w:tcPr>
                  <w:tcW w:w="431" w:type="dxa"/>
                  <w:vMerge w:val="restart"/>
                  <w:tcBorders>
                    <w:tl2br w:val="nil"/>
                    <w:tr2bl w:val="nil"/>
                  </w:tcBorders>
                  <w:noWrap/>
                  <w:vAlign w:val="center"/>
                </w:tcPr>
                <w:p w14:paraId="50380BEE">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去除率</w:t>
                  </w:r>
                </w:p>
                <w:p w14:paraId="7D39D2AF">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w:t>
                  </w:r>
                </w:p>
              </w:tc>
              <w:tc>
                <w:tcPr>
                  <w:tcW w:w="1825" w:type="dxa"/>
                  <w:gridSpan w:val="3"/>
                  <w:tcBorders>
                    <w:tl2br w:val="nil"/>
                    <w:tr2bl w:val="nil"/>
                  </w:tcBorders>
                  <w:noWrap/>
                  <w:vAlign w:val="center"/>
                </w:tcPr>
                <w:p w14:paraId="64E5E92F">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排放情况</w:t>
                  </w:r>
                </w:p>
              </w:tc>
              <w:tc>
                <w:tcPr>
                  <w:tcW w:w="654" w:type="dxa"/>
                  <w:vMerge w:val="restart"/>
                  <w:tcBorders>
                    <w:tl2br w:val="nil"/>
                    <w:tr2bl w:val="nil"/>
                  </w:tcBorders>
                  <w:noWrap/>
                  <w:vAlign w:val="center"/>
                </w:tcPr>
                <w:p w14:paraId="2B139384">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排放方式</w:t>
                  </w:r>
                </w:p>
              </w:tc>
            </w:tr>
            <w:tr w14:paraId="505837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86" w:type="dxa"/>
                  <w:tcBorders>
                    <w:tl2br w:val="nil"/>
                    <w:tr2bl w:val="nil"/>
                  </w:tcBorders>
                  <w:noWrap/>
                  <w:vAlign w:val="center"/>
                </w:tcPr>
                <w:p w14:paraId="3D7B9D95">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名称</w:t>
                  </w:r>
                </w:p>
              </w:tc>
              <w:tc>
                <w:tcPr>
                  <w:tcW w:w="650" w:type="dxa"/>
                  <w:tcBorders>
                    <w:tl2br w:val="nil"/>
                    <w:tr2bl w:val="nil"/>
                  </w:tcBorders>
                  <w:noWrap/>
                  <w:vAlign w:val="center"/>
                </w:tcPr>
                <w:p w14:paraId="7968C41E">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lang w:val="en-US" w:eastAsia="zh-CN"/>
                    </w:rPr>
                    <w:t>风</w:t>
                  </w:r>
                  <w:r>
                    <w:rPr>
                      <w:rFonts w:hint="default" w:ascii="Times New Roman" w:hAnsi="Times New Roman" w:eastAsia="宋体" w:cs="Times New Roman"/>
                      <w:b/>
                      <w:color w:val="auto"/>
                      <w:sz w:val="21"/>
                      <w:szCs w:val="21"/>
                      <w:highlight w:val="none"/>
                    </w:rPr>
                    <w:t>量m</w:t>
                  </w:r>
                  <w:r>
                    <w:rPr>
                      <w:rFonts w:hint="default" w:ascii="Times New Roman" w:hAnsi="Times New Roman" w:eastAsia="宋体" w:cs="Times New Roman"/>
                      <w:b/>
                      <w:color w:val="auto"/>
                      <w:sz w:val="21"/>
                      <w:szCs w:val="21"/>
                      <w:highlight w:val="none"/>
                      <w:vertAlign w:val="superscript"/>
                    </w:rPr>
                    <w:t>3</w:t>
                  </w:r>
                  <w:r>
                    <w:rPr>
                      <w:rFonts w:hint="default" w:ascii="Times New Roman" w:hAnsi="Times New Roman" w:eastAsia="宋体" w:cs="Times New Roman"/>
                      <w:b/>
                      <w:color w:val="auto"/>
                      <w:sz w:val="21"/>
                      <w:szCs w:val="21"/>
                      <w:highlight w:val="none"/>
                    </w:rPr>
                    <w:t>/h</w:t>
                  </w:r>
                </w:p>
              </w:tc>
              <w:tc>
                <w:tcPr>
                  <w:tcW w:w="654" w:type="dxa"/>
                  <w:vMerge w:val="continue"/>
                  <w:tcBorders>
                    <w:tl2br w:val="nil"/>
                    <w:tr2bl w:val="nil"/>
                  </w:tcBorders>
                  <w:noWrap/>
                  <w:vAlign w:val="center"/>
                </w:tcPr>
                <w:p w14:paraId="5A0581C9">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p>
              </w:tc>
              <w:tc>
                <w:tcPr>
                  <w:tcW w:w="812" w:type="dxa"/>
                  <w:vMerge w:val="continue"/>
                  <w:tcBorders>
                    <w:tl2br w:val="nil"/>
                    <w:tr2bl w:val="nil"/>
                  </w:tcBorders>
                  <w:noWrap/>
                  <w:vAlign w:val="center"/>
                </w:tcPr>
                <w:p w14:paraId="702AE4CE">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p>
              </w:tc>
              <w:tc>
                <w:tcPr>
                  <w:tcW w:w="897" w:type="dxa"/>
                  <w:tcBorders>
                    <w:tl2br w:val="nil"/>
                    <w:tr2bl w:val="nil"/>
                  </w:tcBorders>
                  <w:shd w:val="clear" w:color="auto" w:fill="auto"/>
                  <w:noWrap/>
                  <w:vAlign w:val="center"/>
                </w:tcPr>
                <w:p w14:paraId="7CF6D8C7">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产生量</w:t>
                  </w:r>
                </w:p>
                <w:p w14:paraId="4DE88985">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snapToGrid w:val="0"/>
                      <w:color w:val="auto"/>
                      <w:kern w:val="0"/>
                      <w:sz w:val="21"/>
                      <w:szCs w:val="21"/>
                      <w:highlight w:val="none"/>
                      <w:lang w:val="en-US" w:eastAsia="zh-CN" w:bidi="ar-SA"/>
                      <w14:ligatures w14:val="none"/>
                    </w:rPr>
                  </w:pPr>
                  <w:r>
                    <w:rPr>
                      <w:rFonts w:hint="default" w:ascii="Times New Roman" w:hAnsi="Times New Roman" w:eastAsia="宋体" w:cs="Times New Roman"/>
                      <w:b/>
                      <w:color w:val="auto"/>
                      <w:sz w:val="21"/>
                      <w:szCs w:val="21"/>
                      <w:highlight w:val="none"/>
                    </w:rPr>
                    <w:t>t/a</w:t>
                  </w:r>
                </w:p>
              </w:tc>
              <w:tc>
                <w:tcPr>
                  <w:tcW w:w="700" w:type="dxa"/>
                  <w:vMerge w:val="continue"/>
                  <w:tcBorders>
                    <w:tl2br w:val="nil"/>
                    <w:tr2bl w:val="nil"/>
                  </w:tcBorders>
                  <w:noWrap/>
                  <w:vAlign w:val="center"/>
                </w:tcPr>
                <w:p w14:paraId="3964C4D7">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p>
              </w:tc>
              <w:tc>
                <w:tcPr>
                  <w:tcW w:w="372" w:type="dxa"/>
                  <w:vMerge w:val="continue"/>
                  <w:tcBorders>
                    <w:tl2br w:val="nil"/>
                    <w:tr2bl w:val="nil"/>
                  </w:tcBorders>
                  <w:noWrap/>
                  <w:vAlign w:val="center"/>
                </w:tcPr>
                <w:p w14:paraId="42680F89">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p>
              </w:tc>
              <w:tc>
                <w:tcPr>
                  <w:tcW w:w="358" w:type="dxa"/>
                  <w:vMerge w:val="continue"/>
                  <w:tcBorders>
                    <w:tl2br w:val="nil"/>
                    <w:tr2bl w:val="nil"/>
                  </w:tcBorders>
                  <w:noWrap/>
                  <w:vAlign w:val="center"/>
                </w:tcPr>
                <w:p w14:paraId="19C2FBA8">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p>
              </w:tc>
              <w:tc>
                <w:tcPr>
                  <w:tcW w:w="431" w:type="dxa"/>
                  <w:vMerge w:val="continue"/>
                  <w:tcBorders>
                    <w:tl2br w:val="nil"/>
                    <w:tr2bl w:val="nil"/>
                  </w:tcBorders>
                  <w:noWrap/>
                  <w:vAlign w:val="center"/>
                </w:tcPr>
                <w:p w14:paraId="12914FE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p>
              </w:tc>
              <w:tc>
                <w:tcPr>
                  <w:tcW w:w="654" w:type="dxa"/>
                  <w:tcBorders>
                    <w:tl2br w:val="nil"/>
                    <w:tr2bl w:val="nil"/>
                  </w:tcBorders>
                  <w:noWrap/>
                  <w:tcMar>
                    <w:left w:w="0" w:type="dxa"/>
                    <w:right w:w="0" w:type="dxa"/>
                  </w:tcMar>
                  <w:vAlign w:val="center"/>
                </w:tcPr>
                <w:p w14:paraId="314BCD91">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排放口浓度mg/m</w:t>
                  </w:r>
                  <w:r>
                    <w:rPr>
                      <w:rFonts w:hint="default" w:ascii="Times New Roman" w:hAnsi="Times New Roman" w:eastAsia="宋体" w:cs="Times New Roman"/>
                      <w:b/>
                      <w:color w:val="auto"/>
                      <w:sz w:val="21"/>
                      <w:szCs w:val="21"/>
                      <w:highlight w:val="none"/>
                      <w:vertAlign w:val="superscript"/>
                    </w:rPr>
                    <w:t>3</w:t>
                  </w:r>
                </w:p>
              </w:tc>
              <w:tc>
                <w:tcPr>
                  <w:tcW w:w="622" w:type="dxa"/>
                  <w:tcBorders>
                    <w:tl2br w:val="nil"/>
                    <w:tr2bl w:val="nil"/>
                  </w:tcBorders>
                  <w:noWrap/>
                  <w:vAlign w:val="center"/>
                </w:tcPr>
                <w:p w14:paraId="7B598F48">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排放口速率kg/h</w:t>
                  </w:r>
                </w:p>
              </w:tc>
              <w:tc>
                <w:tcPr>
                  <w:tcW w:w="549" w:type="dxa"/>
                  <w:tcBorders>
                    <w:tl2br w:val="nil"/>
                    <w:tr2bl w:val="nil"/>
                  </w:tcBorders>
                  <w:noWrap/>
                  <w:vAlign w:val="center"/>
                </w:tcPr>
                <w:p w14:paraId="77D0F6A9">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排放量t/a</w:t>
                  </w:r>
                </w:p>
              </w:tc>
              <w:tc>
                <w:tcPr>
                  <w:tcW w:w="654" w:type="dxa"/>
                  <w:vMerge w:val="continue"/>
                  <w:tcBorders>
                    <w:tl2br w:val="nil"/>
                    <w:tr2bl w:val="nil"/>
                  </w:tcBorders>
                  <w:noWrap/>
                  <w:vAlign w:val="center"/>
                </w:tcPr>
                <w:p w14:paraId="4CFA0996">
                  <w:pPr>
                    <w:keepNext w:val="0"/>
                    <w:keepLines w:val="0"/>
                    <w:pageBreakBefore w:val="0"/>
                    <w:kinsoku/>
                    <w:wordWrap/>
                    <w:overflowPunct/>
                    <w:topLinePunct w:val="0"/>
                    <w:autoSpaceDE/>
                    <w:autoSpaceDN/>
                    <w:bidi w:val="0"/>
                    <w:adjustRightInd w:val="0"/>
                    <w:snapToGrid w:val="0"/>
                    <w:spacing w:line="240" w:lineRule="auto"/>
                    <w:rPr>
                      <w:rFonts w:hint="default" w:ascii="Times New Roman" w:hAnsi="Times New Roman" w:eastAsia="宋体" w:cs="Times New Roman"/>
                      <w:bCs/>
                      <w:color w:val="auto"/>
                      <w:sz w:val="21"/>
                      <w:szCs w:val="21"/>
                      <w:highlight w:val="none"/>
                    </w:rPr>
                  </w:pPr>
                </w:p>
              </w:tc>
            </w:tr>
            <w:tr w14:paraId="7CB036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86" w:type="dxa"/>
                  <w:tcBorders>
                    <w:tl2br w:val="nil"/>
                    <w:tr2bl w:val="nil"/>
                  </w:tcBorders>
                  <w:noWrap/>
                  <w:vAlign w:val="center"/>
                </w:tcPr>
                <w:p w14:paraId="63F874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t>食堂</w:t>
                  </w:r>
                </w:p>
              </w:tc>
              <w:tc>
                <w:tcPr>
                  <w:tcW w:w="650" w:type="dxa"/>
                  <w:tcBorders>
                    <w:tl2br w:val="nil"/>
                    <w:tr2bl w:val="nil"/>
                  </w:tcBorders>
                  <w:noWrap/>
                  <w:vAlign w:val="center"/>
                </w:tcPr>
                <w:p w14:paraId="202D08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pPr>
                  <w:r>
                    <w:rPr>
                      <w:rFonts w:hint="eastAsia" w:cs="Times New Roman"/>
                      <w:i w:val="0"/>
                      <w:iCs w:val="0"/>
                      <w:snapToGrid w:val="0"/>
                      <w:color w:val="auto"/>
                      <w:kern w:val="0"/>
                      <w:sz w:val="21"/>
                      <w:szCs w:val="21"/>
                      <w:highlight w:val="none"/>
                      <w:u w:val="none"/>
                      <w:lang w:val="en-US" w:eastAsia="zh-CN" w:bidi="ar"/>
                      <w14:ligatures w14:val="none"/>
                    </w:rPr>
                    <w:t>500</w:t>
                  </w:r>
                  <w: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t>0</w:t>
                  </w:r>
                </w:p>
              </w:tc>
              <w:tc>
                <w:tcPr>
                  <w:tcW w:w="654" w:type="dxa"/>
                  <w:tcBorders>
                    <w:tl2br w:val="nil"/>
                    <w:tr2bl w:val="nil"/>
                  </w:tcBorders>
                  <w:noWrap/>
                  <w:vAlign w:val="center"/>
                </w:tcPr>
                <w:p w14:paraId="0139854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t>厨房油烟</w:t>
                  </w:r>
                </w:p>
              </w:tc>
              <w:tc>
                <w:tcPr>
                  <w:tcW w:w="812" w:type="dxa"/>
                  <w:tcBorders>
                    <w:tl2br w:val="nil"/>
                    <w:tr2bl w:val="nil"/>
                  </w:tcBorders>
                  <w:noWrap/>
                  <w:vAlign w:val="center"/>
                </w:tcPr>
                <w:p w14:paraId="0C65AAB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pPr>
                  <w:r>
                    <w:rPr>
                      <w:rFonts w:hint="eastAsia" w:cs="Times New Roman"/>
                      <w:color w:val="auto"/>
                      <w:sz w:val="21"/>
                      <w:szCs w:val="21"/>
                      <w:highlight w:val="none"/>
                      <w:lang w:val="en-US" w:eastAsia="zh-CN"/>
                    </w:rPr>
                    <w:t>1460</w:t>
                  </w:r>
                </w:p>
              </w:tc>
              <w:tc>
                <w:tcPr>
                  <w:tcW w:w="897" w:type="dxa"/>
                  <w:tcBorders>
                    <w:tl2br w:val="nil"/>
                    <w:tr2bl w:val="nil"/>
                  </w:tcBorders>
                  <w:shd w:val="clear" w:color="auto" w:fill="auto"/>
                  <w:noWrap/>
                  <w:vAlign w:val="center"/>
                </w:tcPr>
                <w:p w14:paraId="02BA2A9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pPr>
                  <w:r>
                    <w:rPr>
                      <w:rFonts w:hint="eastAsia" w:cs="Times New Roman"/>
                      <w:i w:val="0"/>
                      <w:iCs w:val="0"/>
                      <w:snapToGrid w:val="0"/>
                      <w:color w:val="auto"/>
                      <w:kern w:val="0"/>
                      <w:sz w:val="21"/>
                      <w:szCs w:val="21"/>
                      <w:highlight w:val="none"/>
                      <w:u w:val="none"/>
                      <w:lang w:val="en-US" w:eastAsia="zh-CN" w:bidi="ar"/>
                      <w14:ligatures w14:val="none"/>
                    </w:rPr>
                    <w:t>0.003285</w:t>
                  </w:r>
                </w:p>
              </w:tc>
              <w:tc>
                <w:tcPr>
                  <w:tcW w:w="700" w:type="dxa"/>
                  <w:tcBorders>
                    <w:tl2br w:val="nil"/>
                    <w:tr2bl w:val="nil"/>
                  </w:tcBorders>
                  <w:noWrap/>
                  <w:vAlign w:val="center"/>
                </w:tcPr>
                <w:p w14:paraId="6CDFA69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pPr>
                  <w:r>
                    <w:rPr>
                      <w:rFonts w:hint="eastAsia" w:ascii="Times New Roman" w:hAnsi="Times New Roman" w:eastAsia="宋体" w:cs="Times New Roman"/>
                      <w:i w:val="0"/>
                      <w:iCs w:val="0"/>
                      <w:snapToGrid w:val="0"/>
                      <w:color w:val="auto"/>
                      <w:kern w:val="0"/>
                      <w:sz w:val="21"/>
                      <w:szCs w:val="21"/>
                      <w:highlight w:val="none"/>
                      <w:u w:val="none"/>
                      <w:lang w:val="en-US" w:eastAsia="zh-CN" w:bidi="ar"/>
                      <w14:ligatures w14:val="none"/>
                    </w:rPr>
                    <w:t>油烟净化系统</w:t>
                  </w:r>
                </w:p>
              </w:tc>
              <w:tc>
                <w:tcPr>
                  <w:tcW w:w="372" w:type="dxa"/>
                  <w:tcBorders>
                    <w:tl2br w:val="nil"/>
                    <w:tr2bl w:val="nil"/>
                  </w:tcBorders>
                  <w:noWrap/>
                  <w:vAlign w:val="center"/>
                </w:tcPr>
                <w:p w14:paraId="2F84EC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pPr>
                  <w:r>
                    <w:rPr>
                      <w:rFonts w:hint="eastAsia" w:ascii="Times New Roman" w:hAnsi="Times New Roman" w:eastAsia="宋体" w:cs="Times New Roman"/>
                      <w:i w:val="0"/>
                      <w:iCs w:val="0"/>
                      <w:snapToGrid w:val="0"/>
                      <w:color w:val="auto"/>
                      <w:kern w:val="0"/>
                      <w:sz w:val="21"/>
                      <w:szCs w:val="21"/>
                      <w:highlight w:val="none"/>
                      <w:u w:val="none"/>
                      <w:lang w:val="en-US" w:eastAsia="zh-CN" w:bidi="ar"/>
                      <w14:ligatures w14:val="none"/>
                    </w:rPr>
                    <w:t>是</w:t>
                  </w:r>
                </w:p>
              </w:tc>
              <w:tc>
                <w:tcPr>
                  <w:tcW w:w="358" w:type="dxa"/>
                  <w:tcBorders>
                    <w:tl2br w:val="nil"/>
                    <w:tr2bl w:val="nil"/>
                  </w:tcBorders>
                  <w:noWrap/>
                  <w:vAlign w:val="center"/>
                </w:tcPr>
                <w:p w14:paraId="747ABDC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t>/</w:t>
                  </w:r>
                </w:p>
              </w:tc>
              <w:tc>
                <w:tcPr>
                  <w:tcW w:w="431" w:type="dxa"/>
                  <w:tcBorders>
                    <w:tl2br w:val="nil"/>
                    <w:tr2bl w:val="nil"/>
                  </w:tcBorders>
                  <w:noWrap/>
                  <w:vAlign w:val="center"/>
                </w:tcPr>
                <w:p w14:paraId="1CE5042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pPr>
                  <w:r>
                    <w:rPr>
                      <w:rFonts w:hint="eastAsia" w:cs="Times New Roman"/>
                      <w:i w:val="0"/>
                      <w:iCs w:val="0"/>
                      <w:snapToGrid w:val="0"/>
                      <w:color w:val="auto"/>
                      <w:kern w:val="0"/>
                      <w:sz w:val="21"/>
                      <w:szCs w:val="21"/>
                      <w:highlight w:val="none"/>
                      <w:u w:val="none"/>
                      <w:lang w:val="en-US" w:eastAsia="zh-CN" w:bidi="ar"/>
                      <w14:ligatures w14:val="none"/>
                    </w:rPr>
                    <w:t>60</w:t>
                  </w:r>
                </w:p>
              </w:tc>
              <w:tc>
                <w:tcPr>
                  <w:tcW w:w="654" w:type="dxa"/>
                  <w:tcBorders>
                    <w:tl2br w:val="nil"/>
                    <w:tr2bl w:val="nil"/>
                  </w:tcBorders>
                  <w:noWrap/>
                  <w:vAlign w:val="center"/>
                </w:tcPr>
                <w:p w14:paraId="5B5FA59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pPr>
                  <w: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t>0.</w:t>
                  </w:r>
                  <w:r>
                    <w:rPr>
                      <w:rFonts w:hint="eastAsia" w:cs="Times New Roman"/>
                      <w:i w:val="0"/>
                      <w:iCs w:val="0"/>
                      <w:snapToGrid w:val="0"/>
                      <w:color w:val="auto"/>
                      <w:kern w:val="0"/>
                      <w:sz w:val="21"/>
                      <w:szCs w:val="21"/>
                      <w:highlight w:val="none"/>
                      <w:u w:val="none"/>
                      <w:lang w:val="en-US" w:eastAsia="zh-CN" w:bidi="ar"/>
                      <w14:ligatures w14:val="none"/>
                    </w:rPr>
                    <w:t>18</w:t>
                  </w:r>
                </w:p>
              </w:tc>
              <w:tc>
                <w:tcPr>
                  <w:tcW w:w="622" w:type="dxa"/>
                  <w:tcBorders>
                    <w:tl2br w:val="nil"/>
                    <w:tr2bl w:val="nil"/>
                  </w:tcBorders>
                  <w:noWrap/>
                  <w:vAlign w:val="center"/>
                </w:tcPr>
                <w:p w14:paraId="1F1C3BF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pPr>
                  <w:r>
                    <w:rPr>
                      <w:rFonts w:hint="eastAsia" w:cs="Times New Roman"/>
                      <w:i w:val="0"/>
                      <w:iCs w:val="0"/>
                      <w:snapToGrid w:val="0"/>
                      <w:color w:val="auto"/>
                      <w:kern w:val="0"/>
                      <w:sz w:val="21"/>
                      <w:szCs w:val="21"/>
                      <w:highlight w:val="none"/>
                      <w:u w:val="none"/>
                      <w:lang w:val="en-US" w:eastAsia="zh-CN" w:bidi="ar"/>
                      <w14:ligatures w14:val="none"/>
                    </w:rPr>
                    <w:t>0.0009</w:t>
                  </w:r>
                </w:p>
              </w:tc>
              <w:tc>
                <w:tcPr>
                  <w:tcW w:w="549" w:type="dxa"/>
                  <w:tcBorders>
                    <w:tl2br w:val="nil"/>
                    <w:tr2bl w:val="nil"/>
                  </w:tcBorders>
                  <w:noWrap/>
                  <w:vAlign w:val="center"/>
                </w:tcPr>
                <w:p w14:paraId="4A87B41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pPr>
                  <w:r>
                    <w:rPr>
                      <w:rFonts w:hint="eastAsia" w:cs="Times New Roman"/>
                      <w:i w:val="0"/>
                      <w:iCs w:val="0"/>
                      <w:snapToGrid w:val="0"/>
                      <w:color w:val="auto"/>
                      <w:kern w:val="0"/>
                      <w:sz w:val="21"/>
                      <w:szCs w:val="21"/>
                      <w:highlight w:val="none"/>
                      <w:u w:val="none"/>
                      <w:lang w:val="en-US" w:eastAsia="zh-CN" w:bidi="ar"/>
                      <w14:ligatures w14:val="none"/>
                    </w:rPr>
                    <w:t>0.001314</w:t>
                  </w:r>
                </w:p>
              </w:tc>
              <w:tc>
                <w:tcPr>
                  <w:tcW w:w="654" w:type="dxa"/>
                  <w:tcBorders>
                    <w:tl2br w:val="nil"/>
                    <w:tr2bl w:val="nil"/>
                  </w:tcBorders>
                  <w:noWrap/>
                  <w:vAlign w:val="center"/>
                </w:tcPr>
                <w:p w14:paraId="340A76F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snapToGrid w:val="0"/>
                      <w:color w:val="auto"/>
                      <w:kern w:val="0"/>
                      <w:sz w:val="21"/>
                      <w:szCs w:val="21"/>
                      <w:highlight w:val="none"/>
                      <w:u w:val="none"/>
                      <w:lang w:val="en-US" w:eastAsia="zh-CN" w:bidi="ar"/>
                      <w14:ligatures w14:val="none"/>
                    </w:rPr>
                  </w:pPr>
                  <w:r>
                    <w:rPr>
                      <w:rFonts w:hint="eastAsia" w:cs="Times New Roman"/>
                      <w:i w:val="0"/>
                      <w:iCs w:val="0"/>
                      <w:snapToGrid w:val="0"/>
                      <w:color w:val="auto"/>
                      <w:kern w:val="0"/>
                      <w:sz w:val="21"/>
                      <w:szCs w:val="21"/>
                      <w:highlight w:val="none"/>
                      <w:u w:val="none"/>
                      <w:lang w:val="en-US" w:eastAsia="zh-CN" w:bidi="ar"/>
                      <w14:ligatures w14:val="none"/>
                    </w:rPr>
                    <w:t>/</w:t>
                  </w:r>
                </w:p>
              </w:tc>
            </w:tr>
          </w:tbl>
          <w:p w14:paraId="3F84ECAC">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color w:val="auto"/>
                <w:highlight w:val="none"/>
              </w:rPr>
              <w:t>4.</w:t>
            </w:r>
            <w:r>
              <w:rPr>
                <w:rFonts w:hint="eastAsia" w:ascii="Times New Roman" w:hAnsi="Times New Roman" w:eastAsia="宋体" w:cs="Times New Roman"/>
                <w:b/>
                <w:color w:val="auto"/>
                <w:highlight w:val="none"/>
                <w:lang w:val="en-US" w:eastAsia="zh-CN"/>
              </w:rPr>
              <w:t>7</w:t>
            </w:r>
            <w:r>
              <w:rPr>
                <w:rFonts w:hint="default" w:ascii="Times New Roman" w:hAnsi="Times New Roman" w:eastAsia="宋体" w:cs="Times New Roman"/>
                <w:b/>
                <w:color w:val="auto"/>
                <w:highlight w:val="none"/>
              </w:rPr>
              <w:t>.1废气源强</w:t>
            </w:r>
          </w:p>
          <w:p w14:paraId="5C517CC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ascii="Times New Roman" w:hAnsi="Times New Roman" w:cs="Times New Roman"/>
                <w:snapToGrid/>
                <w:color w:val="auto"/>
                <w:kern w:val="2"/>
                <w:sz w:val="24"/>
                <w:szCs w:val="24"/>
                <w:highlight w:val="none"/>
                <w:lang w:val="en-US" w:eastAsia="zh-CN" w:bidi="ar-SA"/>
              </w:rPr>
            </w:pPr>
            <w:r>
              <w:rPr>
                <w:rFonts w:hint="eastAsia" w:ascii="Times New Roman" w:hAnsi="Times New Roman" w:cs="Times New Roman"/>
                <w:snapToGrid/>
                <w:color w:val="auto"/>
                <w:kern w:val="2"/>
                <w:sz w:val="24"/>
                <w:szCs w:val="24"/>
                <w:highlight w:val="none"/>
                <w:lang w:val="en-US" w:eastAsia="zh-CN" w:bidi="ar-SA"/>
              </w:rPr>
              <w:t>（1）为汽车运输扬尘及汽车尾气</w:t>
            </w:r>
          </w:p>
          <w:p w14:paraId="2F9C45F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ascii="Times New Roman" w:hAnsi="Times New Roman" w:cs="Times New Roman"/>
                <w:snapToGrid/>
                <w:color w:val="auto"/>
                <w:kern w:val="2"/>
                <w:sz w:val="24"/>
                <w:szCs w:val="24"/>
                <w:highlight w:val="none"/>
                <w:lang w:val="en-US" w:eastAsia="zh-CN" w:bidi="ar-SA"/>
              </w:rPr>
            </w:pPr>
            <w:r>
              <w:rPr>
                <w:rFonts w:hint="eastAsia" w:ascii="Times New Roman" w:hAnsi="Times New Roman" w:cs="Times New Roman"/>
                <w:snapToGrid/>
                <w:color w:val="auto"/>
                <w:kern w:val="2"/>
                <w:sz w:val="24"/>
                <w:szCs w:val="24"/>
                <w:highlight w:val="none"/>
                <w:lang w:val="en-US" w:eastAsia="zh-CN" w:bidi="ar-SA"/>
              </w:rPr>
              <w:t>本项目仅为民用爆炸物品的储存项目，不涉及生产、加工及包装、拆包等，因此无工艺废气产生，产生的废气仅为汽车运输扬尘及汽车尾气等。</w:t>
            </w:r>
          </w:p>
          <w:p w14:paraId="05CD2E8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ascii="Times New Roman" w:hAnsi="Times New Roman" w:cs="Times New Roman"/>
                <w:snapToGrid/>
                <w:color w:val="auto"/>
                <w:kern w:val="2"/>
                <w:sz w:val="24"/>
                <w:szCs w:val="24"/>
                <w:highlight w:val="none"/>
                <w:lang w:val="en-US" w:eastAsia="zh-CN" w:bidi="ar-SA"/>
              </w:rPr>
            </w:pPr>
            <w:r>
              <w:rPr>
                <w:rFonts w:hint="eastAsia" w:ascii="Times New Roman" w:hAnsi="Times New Roman" w:cs="Times New Roman"/>
                <w:snapToGrid/>
                <w:color w:val="auto"/>
                <w:kern w:val="2"/>
                <w:sz w:val="24"/>
                <w:szCs w:val="24"/>
                <w:highlight w:val="none"/>
                <w:lang w:val="en-US" w:eastAsia="zh-CN" w:bidi="ar-SA"/>
              </w:rPr>
              <w:t>本项目炸药运输车辆会产生少量扬尘，为非连续性，主要污染因子为颗粒物，产生量很小，定期对运输道路进行洒水降尘、车辆减速慢行，运输扬尘对大气环境影响较小；炸药运输车辆会产生少量汽车尾气，为非连续性，主要污染因子为CO、NO</w:t>
            </w:r>
            <w:r>
              <w:rPr>
                <w:rFonts w:hint="eastAsia" w:ascii="Times New Roman" w:hAnsi="Times New Roman" w:cs="Times New Roman"/>
                <w:snapToGrid/>
                <w:color w:val="auto"/>
                <w:kern w:val="2"/>
                <w:sz w:val="24"/>
                <w:szCs w:val="24"/>
                <w:highlight w:val="none"/>
                <w:vertAlign w:val="subscript"/>
                <w:lang w:val="en-US" w:eastAsia="zh-CN" w:bidi="ar-SA"/>
              </w:rPr>
              <w:t>X</w:t>
            </w:r>
            <w:r>
              <w:rPr>
                <w:rFonts w:hint="eastAsia" w:ascii="Times New Roman" w:hAnsi="Times New Roman" w:cs="Times New Roman"/>
                <w:snapToGrid/>
                <w:color w:val="auto"/>
                <w:kern w:val="2"/>
                <w:sz w:val="24"/>
                <w:szCs w:val="24"/>
                <w:highlight w:val="none"/>
                <w:lang w:val="en-US" w:eastAsia="zh-CN" w:bidi="ar-SA"/>
              </w:rPr>
              <w:t>、</w:t>
            </w:r>
            <w:r>
              <w:rPr>
                <w:rFonts w:hint="eastAsia" w:cs="Times New Roman"/>
                <w:snapToGrid/>
                <w:color w:val="auto"/>
                <w:kern w:val="2"/>
                <w:sz w:val="24"/>
                <w:szCs w:val="24"/>
                <w:highlight w:val="none"/>
                <w:lang w:val="en-US" w:eastAsia="zh-CN" w:bidi="ar-SA"/>
              </w:rPr>
              <w:t>TH</w:t>
            </w:r>
            <w:r>
              <w:rPr>
                <w:rFonts w:hint="eastAsia" w:ascii="Times New Roman" w:hAnsi="Times New Roman" w:cs="Times New Roman"/>
                <w:snapToGrid/>
                <w:color w:val="auto"/>
                <w:kern w:val="2"/>
                <w:sz w:val="24"/>
                <w:szCs w:val="24"/>
                <w:highlight w:val="none"/>
                <w:lang w:val="en-US" w:eastAsia="zh-CN" w:bidi="ar-SA"/>
              </w:rPr>
              <w:t>C，本项目仓库运输量较小，汽车尾气产生量很小，加强对进出车辆的管理，减少进出车辆怠速和频繁启动，汽车尾气对大气环境影响较小。</w:t>
            </w:r>
          </w:p>
          <w:p w14:paraId="1EDCD68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eastAsia" w:ascii="Times New Roman" w:hAnsi="Times New Roman" w:cs="Times New Roman"/>
                <w:snapToGrid/>
                <w:color w:val="auto"/>
                <w:kern w:val="2"/>
                <w:sz w:val="24"/>
                <w:szCs w:val="24"/>
                <w:highlight w:val="none"/>
                <w:lang w:val="en-US" w:eastAsia="zh-CN" w:bidi="ar-SA"/>
              </w:rPr>
              <w:t>（</w:t>
            </w:r>
            <w:r>
              <w:rPr>
                <w:rFonts w:hint="eastAsia" w:cs="Times New Roman"/>
                <w:snapToGrid/>
                <w:color w:val="auto"/>
                <w:kern w:val="2"/>
                <w:sz w:val="24"/>
                <w:szCs w:val="24"/>
                <w:highlight w:val="none"/>
                <w:lang w:val="en-US" w:eastAsia="zh-CN" w:bidi="ar-SA"/>
              </w:rPr>
              <w:t>2</w:t>
            </w:r>
            <w:r>
              <w:rPr>
                <w:rFonts w:hint="eastAsia" w:ascii="Times New Roman" w:hAnsi="Times New Roman" w:cs="Times New Roman"/>
                <w:snapToGrid/>
                <w:color w:val="auto"/>
                <w:kern w:val="2"/>
                <w:sz w:val="24"/>
                <w:szCs w:val="24"/>
                <w:highlight w:val="none"/>
                <w:lang w:val="en-US" w:eastAsia="zh-CN" w:bidi="ar-SA"/>
              </w:rPr>
              <w:t>）</w:t>
            </w:r>
            <w:r>
              <w:rPr>
                <w:rFonts w:hint="eastAsia" w:cs="Times New Roman"/>
                <w:snapToGrid/>
                <w:color w:val="auto"/>
                <w:kern w:val="2"/>
                <w:sz w:val="24"/>
                <w:szCs w:val="24"/>
                <w:highlight w:val="none"/>
                <w:lang w:val="en-US" w:eastAsia="zh-CN" w:bidi="ar-SA"/>
              </w:rPr>
              <w:t>食堂油烟</w:t>
            </w:r>
          </w:p>
          <w:p w14:paraId="75FFBE80">
            <w:pPr>
              <w:keepNext w:val="0"/>
              <w:keepLines w:val="0"/>
              <w:pageBreakBefore w:val="0"/>
              <w:widowControl w:val="0"/>
              <w:kinsoku/>
              <w:wordWrap/>
              <w:overflowPunct/>
              <w:topLinePunct w:val="0"/>
              <w:autoSpaceDE/>
              <w:autoSpaceDN/>
              <w:bidi w:val="0"/>
              <w:adjustRightInd w:val="0"/>
              <w:snapToGrid w:val="0"/>
              <w:spacing w:line="500" w:lineRule="exact"/>
              <w:ind w:firstLine="484"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spacing w:val="1"/>
                <w:highlight w:val="none"/>
              </w:rPr>
              <w:t>根据咨询建设单位可知，食堂每天约有</w:t>
            </w:r>
            <w:r>
              <w:rPr>
                <w:rFonts w:hint="eastAsia"/>
                <w:spacing w:val="-20"/>
                <w:highlight w:val="none"/>
                <w:lang w:val="en-US" w:eastAsia="zh-CN"/>
              </w:rPr>
              <w:t>10</w:t>
            </w:r>
            <w:r>
              <w:rPr>
                <w:spacing w:val="1"/>
                <w:highlight w:val="none"/>
              </w:rPr>
              <w:t>人就餐，</w:t>
            </w:r>
            <w:r>
              <w:rPr>
                <w:rFonts w:hint="eastAsia"/>
                <w:spacing w:val="1"/>
                <w:highlight w:val="none"/>
              </w:rPr>
              <w:t>灶头数量</w:t>
            </w:r>
            <w:r>
              <w:rPr>
                <w:rFonts w:hint="eastAsia"/>
                <w:spacing w:val="1"/>
                <w:highlight w:val="none"/>
                <w:lang w:val="en-US" w:eastAsia="zh-CN"/>
              </w:rPr>
              <w:t>小于3，</w:t>
            </w:r>
            <w:r>
              <w:rPr>
                <w:spacing w:val="1"/>
                <w:highlight w:val="none"/>
              </w:rPr>
              <w:t>属于</w:t>
            </w:r>
            <w:r>
              <w:rPr>
                <w:rFonts w:hint="eastAsia"/>
                <w:spacing w:val="1"/>
                <w:highlight w:val="none"/>
                <w:lang w:val="en-US" w:eastAsia="zh-CN"/>
              </w:rPr>
              <w:t>小</w:t>
            </w:r>
            <w:r>
              <w:rPr>
                <w:spacing w:val="1"/>
                <w:highlight w:val="none"/>
              </w:rPr>
              <w:t>型食堂，</w:t>
            </w:r>
            <w:r>
              <w:rPr>
                <w:rFonts w:hint="default" w:ascii="Times New Roman" w:hAnsi="Times New Roman" w:eastAsia="宋体" w:cs="Times New Roman"/>
                <w:snapToGrid/>
                <w:color w:val="auto"/>
                <w:kern w:val="2"/>
                <w:sz w:val="24"/>
                <w:szCs w:val="24"/>
                <w:highlight w:val="none"/>
                <w:lang w:val="en-US" w:eastAsia="zh-CN" w:bidi="ar-SA"/>
              </w:rPr>
              <w:t>食物在烹饪、加工过程中将挥发出油脂、有机质及热分解或裂解产物，从而产生油烟废气。经调查，食用油消耗系数按每人0.0</w:t>
            </w:r>
            <w:r>
              <w:rPr>
                <w:rFonts w:hint="eastAsia" w:ascii="Times New Roman" w:hAnsi="Times New Roman" w:eastAsia="宋体" w:cs="Times New Roman"/>
                <w:snapToGrid/>
                <w:color w:val="auto"/>
                <w:kern w:val="2"/>
                <w:sz w:val="24"/>
                <w:szCs w:val="24"/>
                <w:highlight w:val="none"/>
                <w:lang w:val="en-US" w:eastAsia="zh-CN" w:bidi="ar-SA"/>
              </w:rPr>
              <w:t>3</w:t>
            </w:r>
            <w:r>
              <w:rPr>
                <w:rFonts w:hint="default" w:ascii="Times New Roman" w:hAnsi="Times New Roman" w:eastAsia="宋体" w:cs="Times New Roman"/>
                <w:snapToGrid/>
                <w:color w:val="auto"/>
                <w:kern w:val="2"/>
                <w:sz w:val="24"/>
                <w:szCs w:val="24"/>
                <w:highlight w:val="none"/>
                <w:lang w:val="en-US" w:eastAsia="zh-CN" w:bidi="ar-SA"/>
              </w:rPr>
              <w:t>kg/d，则总用量为</w:t>
            </w:r>
            <w:r>
              <w:rPr>
                <w:rFonts w:hint="eastAsia" w:cs="Times New Roman"/>
                <w:snapToGrid/>
                <w:color w:val="auto"/>
                <w:kern w:val="2"/>
                <w:sz w:val="24"/>
                <w:szCs w:val="24"/>
                <w:highlight w:val="none"/>
                <w:lang w:val="en-US" w:eastAsia="zh-CN" w:bidi="ar-SA"/>
              </w:rPr>
              <w:t>109.5</w:t>
            </w:r>
            <w:r>
              <w:rPr>
                <w:rFonts w:hint="default" w:ascii="Times New Roman" w:hAnsi="Times New Roman" w:eastAsia="宋体" w:cs="Times New Roman"/>
                <w:snapToGrid/>
                <w:color w:val="auto"/>
                <w:kern w:val="2"/>
                <w:sz w:val="24"/>
                <w:szCs w:val="24"/>
                <w:highlight w:val="none"/>
                <w:lang w:val="en-US" w:eastAsia="zh-CN" w:bidi="ar-SA"/>
              </w:rPr>
              <w:t>kg/a。一般油烟挥发量占总耗油量的2%</w:t>
            </w:r>
            <w:r>
              <w:rPr>
                <w:rFonts w:hint="eastAsia" w:ascii="Times New Roman" w:hAnsi="Times New Roman" w:eastAsia="宋体"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4%，取3%，则油烟产生量约为</w:t>
            </w:r>
            <w:r>
              <w:rPr>
                <w:rFonts w:hint="eastAsia" w:cs="Times New Roman"/>
                <w:snapToGrid/>
                <w:color w:val="auto"/>
                <w:kern w:val="2"/>
                <w:sz w:val="24"/>
                <w:szCs w:val="24"/>
                <w:highlight w:val="none"/>
                <w:lang w:val="en-US" w:eastAsia="zh-CN" w:bidi="ar-SA"/>
              </w:rPr>
              <w:t>3.285</w:t>
            </w:r>
            <w:r>
              <w:rPr>
                <w:rFonts w:hint="default" w:ascii="Times New Roman" w:hAnsi="Times New Roman" w:eastAsia="宋体" w:cs="Times New Roman"/>
                <w:snapToGrid/>
                <w:color w:val="auto"/>
                <w:kern w:val="2"/>
                <w:sz w:val="24"/>
                <w:szCs w:val="24"/>
                <w:highlight w:val="none"/>
                <w:lang w:val="en-US" w:eastAsia="zh-CN" w:bidi="ar-SA"/>
              </w:rPr>
              <w:t>kg/a。项目厨房安装一台油烟净化器，去除率约为</w:t>
            </w:r>
            <w:r>
              <w:rPr>
                <w:rFonts w:hint="eastAsia" w:cs="Times New Roman"/>
                <w:snapToGrid/>
                <w:color w:val="auto"/>
                <w:kern w:val="2"/>
                <w:sz w:val="24"/>
                <w:szCs w:val="24"/>
                <w:highlight w:val="none"/>
                <w:lang w:val="en-US" w:eastAsia="zh-CN" w:bidi="ar-SA"/>
              </w:rPr>
              <w:t>60</w:t>
            </w:r>
            <w:r>
              <w:rPr>
                <w:rFonts w:hint="default" w:ascii="Times New Roman" w:hAnsi="Times New Roman" w:eastAsia="宋体" w:cs="Times New Roman"/>
                <w:snapToGrid/>
                <w:color w:val="auto"/>
                <w:kern w:val="2"/>
                <w:sz w:val="24"/>
                <w:szCs w:val="24"/>
                <w:highlight w:val="none"/>
                <w:lang w:val="en-US" w:eastAsia="zh-CN" w:bidi="ar-SA"/>
              </w:rPr>
              <w:t>%，经过油烟净化器处理后排放量为</w:t>
            </w:r>
            <w:r>
              <w:rPr>
                <w:rFonts w:hint="eastAsia" w:cs="Times New Roman"/>
                <w:snapToGrid/>
                <w:color w:val="auto"/>
                <w:kern w:val="2"/>
                <w:sz w:val="24"/>
                <w:szCs w:val="24"/>
                <w:highlight w:val="none"/>
                <w:lang w:val="en-US" w:eastAsia="zh-CN" w:bidi="ar-SA"/>
              </w:rPr>
              <w:t>1.314</w:t>
            </w:r>
            <w:r>
              <w:rPr>
                <w:rFonts w:hint="default" w:ascii="Times New Roman" w:hAnsi="Times New Roman" w:eastAsia="宋体" w:cs="Times New Roman"/>
                <w:snapToGrid/>
                <w:color w:val="auto"/>
                <w:kern w:val="2"/>
                <w:sz w:val="24"/>
                <w:szCs w:val="24"/>
                <w:highlight w:val="none"/>
                <w:lang w:val="en-US" w:eastAsia="zh-CN" w:bidi="ar-SA"/>
              </w:rPr>
              <w:t>kg/a，油烟净化器风量为</w:t>
            </w:r>
            <w:r>
              <w:rPr>
                <w:rFonts w:hint="eastAsia" w:ascii="Times New Roman" w:hAnsi="Times New Roman" w:cs="Times New Roman"/>
                <w:snapToGrid/>
                <w:color w:val="auto"/>
                <w:kern w:val="2"/>
                <w:sz w:val="24"/>
                <w:szCs w:val="24"/>
                <w:highlight w:val="none"/>
                <w:lang w:val="en-US" w:eastAsia="zh-CN" w:bidi="ar-SA"/>
              </w:rPr>
              <w:t>500</w:t>
            </w:r>
            <w:r>
              <w:rPr>
                <w:rFonts w:hint="default" w:ascii="Times New Roman" w:hAnsi="Times New Roman" w:eastAsia="宋体" w:cs="Times New Roman"/>
                <w:snapToGrid/>
                <w:color w:val="auto"/>
                <w:kern w:val="2"/>
                <w:sz w:val="24"/>
                <w:szCs w:val="24"/>
                <w:highlight w:val="none"/>
                <w:lang w:val="en-US" w:eastAsia="zh-CN" w:bidi="ar-SA"/>
              </w:rPr>
              <w:t>0m</w:t>
            </w:r>
            <w:r>
              <w:rPr>
                <w:rFonts w:hint="default" w:ascii="Times New Roman" w:hAnsi="Times New Roman" w:eastAsia="宋体" w:cs="Times New Roman"/>
                <w:snapToGrid/>
                <w:color w:val="auto"/>
                <w:kern w:val="2"/>
                <w:sz w:val="24"/>
                <w:szCs w:val="24"/>
                <w:highlight w:val="none"/>
                <w:vertAlign w:val="superscript"/>
                <w:lang w:val="en-US" w:eastAsia="zh-CN" w:bidi="ar-SA"/>
              </w:rPr>
              <w:t>3</w:t>
            </w:r>
            <w:r>
              <w:rPr>
                <w:rFonts w:hint="default" w:ascii="Times New Roman" w:hAnsi="Times New Roman" w:eastAsia="宋体" w:cs="Times New Roman"/>
                <w:snapToGrid/>
                <w:color w:val="auto"/>
                <w:kern w:val="2"/>
                <w:sz w:val="24"/>
                <w:szCs w:val="24"/>
                <w:highlight w:val="none"/>
                <w:lang w:val="en-US" w:eastAsia="zh-CN" w:bidi="ar-SA"/>
              </w:rPr>
              <w:t>/h，油烟排放速率为</w:t>
            </w:r>
            <w:r>
              <w:rPr>
                <w:rFonts w:hint="eastAsia" w:eastAsia="宋体" w:cs="Times New Roman"/>
                <w:snapToGrid/>
                <w:color w:val="auto"/>
                <w:kern w:val="2"/>
                <w:sz w:val="24"/>
                <w:szCs w:val="24"/>
                <w:highlight w:val="none"/>
                <w:lang w:val="en-US" w:eastAsia="zh-CN" w:bidi="ar-SA"/>
              </w:rPr>
              <w:t>0.0</w:t>
            </w:r>
            <w:r>
              <w:rPr>
                <w:rFonts w:hint="eastAsia" w:cs="Times New Roman"/>
                <w:snapToGrid/>
                <w:color w:val="auto"/>
                <w:kern w:val="2"/>
                <w:sz w:val="24"/>
                <w:szCs w:val="24"/>
                <w:highlight w:val="none"/>
                <w:lang w:val="en-US" w:eastAsia="zh-CN" w:bidi="ar-SA"/>
              </w:rPr>
              <w:t>009</w:t>
            </w:r>
            <w:r>
              <w:rPr>
                <w:rFonts w:hint="default" w:ascii="Times New Roman" w:hAnsi="Times New Roman" w:eastAsia="宋体" w:cs="Times New Roman"/>
                <w:snapToGrid/>
                <w:color w:val="auto"/>
                <w:kern w:val="2"/>
                <w:sz w:val="24"/>
                <w:szCs w:val="24"/>
                <w:highlight w:val="none"/>
                <w:lang w:val="en-US" w:eastAsia="zh-CN" w:bidi="ar-SA"/>
              </w:rPr>
              <w:t>kg/h，则油烟排放浓度为</w:t>
            </w:r>
            <w:r>
              <w:rPr>
                <w:rFonts w:hint="eastAsia" w:ascii="Times New Roman" w:hAnsi="Times New Roman" w:cs="Times New Roman"/>
                <w:snapToGrid/>
                <w:color w:val="auto"/>
                <w:kern w:val="2"/>
                <w:sz w:val="24"/>
                <w:szCs w:val="24"/>
                <w:highlight w:val="none"/>
                <w:lang w:val="en-US" w:eastAsia="zh-CN" w:bidi="ar-SA"/>
              </w:rPr>
              <w:t>0.</w:t>
            </w:r>
            <w:r>
              <w:rPr>
                <w:rFonts w:hint="eastAsia" w:cs="Times New Roman"/>
                <w:snapToGrid/>
                <w:color w:val="auto"/>
                <w:kern w:val="2"/>
                <w:sz w:val="24"/>
                <w:szCs w:val="24"/>
                <w:highlight w:val="none"/>
                <w:lang w:val="en-US" w:eastAsia="zh-CN" w:bidi="ar-SA"/>
              </w:rPr>
              <w:t>18</w:t>
            </w:r>
            <w:r>
              <w:rPr>
                <w:rFonts w:hint="default" w:ascii="Times New Roman" w:hAnsi="Times New Roman" w:eastAsia="宋体" w:cs="Times New Roman"/>
                <w:snapToGrid/>
                <w:color w:val="auto"/>
                <w:kern w:val="2"/>
                <w:sz w:val="24"/>
                <w:szCs w:val="24"/>
                <w:highlight w:val="none"/>
                <w:lang w:val="en-US" w:eastAsia="zh-CN" w:bidi="ar-SA"/>
              </w:rPr>
              <w:t>mg/m</w:t>
            </w:r>
            <w:r>
              <w:rPr>
                <w:rFonts w:hint="default" w:ascii="Times New Roman" w:hAnsi="Times New Roman" w:eastAsia="宋体" w:cs="Times New Roman"/>
                <w:snapToGrid/>
                <w:color w:val="auto"/>
                <w:kern w:val="2"/>
                <w:sz w:val="24"/>
                <w:szCs w:val="24"/>
                <w:highlight w:val="none"/>
                <w:vertAlign w:val="superscript"/>
                <w:lang w:val="en-US" w:eastAsia="zh-CN" w:bidi="ar-SA"/>
              </w:rPr>
              <w:t>3</w:t>
            </w:r>
            <w:r>
              <w:rPr>
                <w:rFonts w:hint="default" w:ascii="Times New Roman" w:hAnsi="Times New Roman" w:eastAsia="宋体" w:cs="Times New Roman"/>
                <w:snapToGrid/>
                <w:color w:val="auto"/>
                <w:kern w:val="2"/>
                <w:sz w:val="24"/>
                <w:szCs w:val="24"/>
                <w:highlight w:val="none"/>
                <w:lang w:val="en-US" w:eastAsia="zh-CN" w:bidi="ar-SA"/>
              </w:rPr>
              <w:t>。油烟经油烟净化器处理后能够达到《饮食业油烟排放标准（试行）》</w:t>
            </w:r>
            <w:r>
              <w:rPr>
                <w:rFonts w:hint="eastAsia" w:ascii="Times New Roman" w:hAnsi="Times New Roman" w:eastAsia="宋体" w:cs="Times New Roman"/>
                <w:snapToGrid/>
                <w:color w:val="auto"/>
                <w:kern w:val="2"/>
                <w:sz w:val="24"/>
                <w:szCs w:val="24"/>
                <w:highlight w:val="none"/>
                <w:lang w:val="en-US" w:eastAsia="zh-CN" w:bidi="ar-SA"/>
              </w:rPr>
              <w:t>（</w:t>
            </w:r>
            <w:r>
              <w:rPr>
                <w:rFonts w:hint="default" w:ascii="Times New Roman" w:hAnsi="Times New Roman" w:eastAsia="宋体" w:cs="Times New Roman"/>
                <w:snapToGrid/>
                <w:color w:val="auto"/>
                <w:kern w:val="2"/>
                <w:sz w:val="24"/>
                <w:szCs w:val="24"/>
                <w:highlight w:val="none"/>
                <w:lang w:val="en-US" w:eastAsia="zh-CN" w:bidi="ar-SA"/>
              </w:rPr>
              <w:t>GB18483-2001）中规定的最高允许排放浓度2.0mg/m</w:t>
            </w:r>
            <w:r>
              <w:rPr>
                <w:rFonts w:hint="default" w:ascii="Times New Roman" w:hAnsi="Times New Roman" w:eastAsia="宋体" w:cs="Times New Roman"/>
                <w:snapToGrid/>
                <w:color w:val="auto"/>
                <w:kern w:val="2"/>
                <w:sz w:val="24"/>
                <w:szCs w:val="24"/>
                <w:highlight w:val="none"/>
                <w:vertAlign w:val="superscript"/>
                <w:lang w:val="en-US" w:eastAsia="zh-CN" w:bidi="ar-SA"/>
              </w:rPr>
              <w:t>3</w:t>
            </w:r>
            <w:r>
              <w:rPr>
                <w:rFonts w:hint="default" w:ascii="Times New Roman" w:hAnsi="Times New Roman" w:eastAsia="宋体" w:cs="Times New Roman"/>
                <w:snapToGrid/>
                <w:color w:val="auto"/>
                <w:kern w:val="2"/>
                <w:sz w:val="24"/>
                <w:szCs w:val="24"/>
                <w:highlight w:val="none"/>
                <w:lang w:val="en-US" w:eastAsia="zh-CN" w:bidi="ar-SA"/>
              </w:rPr>
              <w:t>的要求。因此，食堂油烟对周围环境影响较小。</w:t>
            </w:r>
          </w:p>
          <w:p w14:paraId="3E588367">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4.</w:t>
            </w:r>
            <w:r>
              <w:rPr>
                <w:rFonts w:hint="eastAsia" w:ascii="Times New Roman" w:hAnsi="Times New Roman" w:eastAsia="宋体" w:cs="Times New Roman"/>
                <w:b/>
                <w:bCs/>
                <w:color w:val="auto"/>
                <w:highlight w:val="none"/>
                <w:lang w:val="en-US" w:eastAsia="zh-CN"/>
              </w:rPr>
              <w:t>8</w:t>
            </w:r>
            <w:r>
              <w:rPr>
                <w:rFonts w:hint="default" w:ascii="Times New Roman" w:hAnsi="Times New Roman" w:eastAsia="宋体" w:cs="Times New Roman"/>
                <w:b/>
                <w:bCs/>
                <w:color w:val="auto"/>
                <w:highlight w:val="none"/>
              </w:rPr>
              <w:t>水环境影响分析及保护措施</w:t>
            </w:r>
          </w:p>
          <w:p w14:paraId="7BD18BA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highlight w:val="none"/>
              </w:rPr>
            </w:pPr>
            <w:r>
              <w:rPr>
                <w:rFonts w:hint="eastAsia"/>
                <w:color w:val="auto"/>
                <w:highlight w:val="none"/>
                <w:lang w:eastAsia="zh-CN"/>
              </w:rPr>
              <w:t>项目食堂废水经隔油预处理后与生活污水经地埋式一体化污水处理设施处理达标；春夏秋季用于洒水降尘，冬季储存于水箱，次年回暖后回用</w:t>
            </w:r>
            <w:r>
              <w:rPr>
                <w:rFonts w:hint="default" w:ascii="Times New Roman" w:hAnsi="Times New Roman" w:eastAsia="宋体" w:cs="Times New Roman"/>
                <w:bCs/>
                <w:color w:val="auto"/>
                <w:highlight w:val="none"/>
              </w:rPr>
              <w:t>。根据用水定额每人每天</w:t>
            </w:r>
            <w:r>
              <w:rPr>
                <w:rFonts w:hint="eastAsia" w:cs="Times New Roman"/>
                <w:bCs/>
                <w:color w:val="auto"/>
                <w:highlight w:val="none"/>
                <w:lang w:val="en-US" w:eastAsia="zh-CN"/>
              </w:rPr>
              <w:t>80</w:t>
            </w:r>
            <w:r>
              <w:rPr>
                <w:rFonts w:hint="default" w:ascii="Times New Roman" w:hAnsi="Times New Roman" w:eastAsia="宋体" w:cs="Times New Roman"/>
                <w:bCs/>
                <w:color w:val="auto"/>
                <w:highlight w:val="none"/>
              </w:rPr>
              <w:t>L</w:t>
            </w:r>
            <w:r>
              <w:rPr>
                <w:rFonts w:hint="eastAsia" w:cs="Times New Roman"/>
                <w:bCs/>
                <w:color w:val="auto"/>
                <w:highlight w:val="none"/>
                <w:lang w:eastAsia="zh-CN"/>
              </w:rPr>
              <w:t>（</w:t>
            </w:r>
            <w:r>
              <w:rPr>
                <w:rFonts w:hint="eastAsia" w:cs="Times New Roman"/>
                <w:bCs/>
                <w:color w:val="auto"/>
                <w:highlight w:val="none"/>
                <w:lang w:val="en-US" w:eastAsia="zh-CN"/>
              </w:rPr>
              <w:t>包含食堂用水</w:t>
            </w:r>
            <w:r>
              <w:rPr>
                <w:rFonts w:hint="eastAsia" w:cs="Times New Roman"/>
                <w:bCs/>
                <w:color w:val="auto"/>
                <w:highlight w:val="none"/>
                <w:lang w:eastAsia="zh-CN"/>
              </w:rPr>
              <w:t>）</w:t>
            </w:r>
            <w:r>
              <w:rPr>
                <w:rFonts w:hint="default" w:ascii="Times New Roman" w:hAnsi="Times New Roman" w:eastAsia="宋体" w:cs="Times New Roman"/>
                <w:bCs/>
                <w:color w:val="auto"/>
                <w:highlight w:val="none"/>
              </w:rPr>
              <w:t>，则用水量为</w:t>
            </w:r>
            <w:r>
              <w:rPr>
                <w:rFonts w:hint="eastAsia" w:cs="Times New Roman"/>
                <w:bCs/>
                <w:color w:val="auto"/>
                <w:highlight w:val="none"/>
                <w:lang w:val="en-US" w:eastAsia="zh-CN"/>
              </w:rPr>
              <w:t>0.8</w:t>
            </w:r>
            <w:r>
              <w:rPr>
                <w:rFonts w:hint="default" w:ascii="Times New Roman" w:hAnsi="Times New Roman" w:eastAsia="宋体" w:cs="Times New Roman"/>
                <w:bCs/>
                <w:color w:val="auto"/>
                <w:highlight w:val="none"/>
              </w:rPr>
              <w:t>m</w:t>
            </w:r>
            <w:r>
              <w:rPr>
                <w:rFonts w:hint="default" w:ascii="Times New Roman" w:hAnsi="Times New Roman" w:eastAsia="宋体" w:cs="Times New Roman"/>
                <w:bCs/>
                <w:color w:val="auto"/>
                <w:highlight w:val="none"/>
                <w:vertAlign w:val="superscript"/>
              </w:rPr>
              <w:t>3</w:t>
            </w:r>
            <w:r>
              <w:rPr>
                <w:rFonts w:hint="default" w:ascii="Times New Roman" w:hAnsi="Times New Roman" w:eastAsia="宋体" w:cs="Times New Roman"/>
                <w:bCs/>
                <w:color w:val="auto"/>
                <w:highlight w:val="none"/>
              </w:rPr>
              <w:t>/d（</w:t>
            </w:r>
            <w:r>
              <w:rPr>
                <w:rFonts w:hint="eastAsia" w:cs="Times New Roman"/>
                <w:bCs/>
                <w:color w:val="auto"/>
                <w:highlight w:val="none"/>
                <w:lang w:val="en-US" w:eastAsia="zh-CN"/>
              </w:rPr>
              <w:t>292</w:t>
            </w:r>
            <w:r>
              <w:rPr>
                <w:rFonts w:hint="default" w:ascii="Times New Roman" w:hAnsi="Times New Roman" w:eastAsia="宋体" w:cs="Times New Roman"/>
                <w:bCs/>
                <w:color w:val="auto"/>
                <w:highlight w:val="none"/>
              </w:rPr>
              <w:t>m</w:t>
            </w:r>
            <w:r>
              <w:rPr>
                <w:rFonts w:hint="default" w:ascii="Times New Roman" w:hAnsi="Times New Roman" w:eastAsia="宋体" w:cs="Times New Roman"/>
                <w:bCs/>
                <w:color w:val="auto"/>
                <w:highlight w:val="none"/>
                <w:vertAlign w:val="superscript"/>
              </w:rPr>
              <w:t>3</w:t>
            </w:r>
            <w:r>
              <w:rPr>
                <w:rFonts w:hint="default" w:ascii="Times New Roman" w:hAnsi="Times New Roman" w:eastAsia="宋体" w:cs="Times New Roman"/>
                <w:bCs/>
                <w:color w:val="auto"/>
                <w:highlight w:val="none"/>
              </w:rPr>
              <w:t>/a）。排水系数按0.8计，则污水排放量约为</w:t>
            </w:r>
            <w:r>
              <w:rPr>
                <w:rFonts w:hint="eastAsia" w:cs="Times New Roman"/>
                <w:bCs/>
                <w:color w:val="auto"/>
                <w:highlight w:val="none"/>
                <w:lang w:val="en-US" w:eastAsia="zh-CN"/>
              </w:rPr>
              <w:t>0.64</w:t>
            </w:r>
            <w:r>
              <w:rPr>
                <w:rFonts w:hint="default" w:ascii="Times New Roman" w:hAnsi="Times New Roman" w:eastAsia="宋体" w:cs="Times New Roman"/>
                <w:bCs/>
                <w:color w:val="auto"/>
                <w:highlight w:val="none"/>
              </w:rPr>
              <w:t>m</w:t>
            </w:r>
            <w:r>
              <w:rPr>
                <w:rFonts w:hint="default" w:ascii="Times New Roman" w:hAnsi="Times New Roman" w:eastAsia="宋体" w:cs="Times New Roman"/>
                <w:bCs/>
                <w:color w:val="auto"/>
                <w:highlight w:val="none"/>
                <w:vertAlign w:val="superscript"/>
              </w:rPr>
              <w:t>3</w:t>
            </w:r>
            <w:r>
              <w:rPr>
                <w:rFonts w:hint="default" w:ascii="Times New Roman" w:hAnsi="Times New Roman" w:eastAsia="宋体" w:cs="Times New Roman"/>
                <w:bCs/>
                <w:color w:val="auto"/>
                <w:highlight w:val="none"/>
              </w:rPr>
              <w:t>/d（</w:t>
            </w:r>
            <w:r>
              <w:rPr>
                <w:rFonts w:hint="eastAsia" w:cs="Times New Roman"/>
                <w:bCs/>
                <w:color w:val="auto"/>
                <w:highlight w:val="none"/>
                <w:lang w:val="en-US" w:eastAsia="zh-CN"/>
              </w:rPr>
              <w:t>233.6</w:t>
            </w:r>
            <w:r>
              <w:rPr>
                <w:rFonts w:hint="default" w:ascii="Times New Roman" w:hAnsi="Times New Roman" w:eastAsia="宋体" w:cs="Times New Roman"/>
                <w:bCs/>
                <w:color w:val="auto"/>
                <w:highlight w:val="none"/>
              </w:rPr>
              <w:t>m</w:t>
            </w:r>
            <w:r>
              <w:rPr>
                <w:rFonts w:hint="default" w:ascii="Times New Roman" w:hAnsi="Times New Roman" w:eastAsia="宋体" w:cs="Times New Roman"/>
                <w:bCs/>
                <w:color w:val="auto"/>
                <w:highlight w:val="none"/>
                <w:vertAlign w:val="superscript"/>
              </w:rPr>
              <w:t>3</w:t>
            </w:r>
            <w:r>
              <w:rPr>
                <w:rFonts w:hint="default" w:ascii="Times New Roman" w:hAnsi="Times New Roman" w:eastAsia="宋体" w:cs="Times New Roman"/>
                <w:bCs/>
                <w:color w:val="auto"/>
                <w:highlight w:val="none"/>
              </w:rPr>
              <w:t>/a）</w:t>
            </w:r>
            <w:r>
              <w:rPr>
                <w:rFonts w:hint="default" w:ascii="Times New Roman" w:hAnsi="Times New Roman" w:eastAsia="宋体" w:cs="Times New Roman"/>
                <w:color w:val="auto"/>
                <w:highlight w:val="none"/>
              </w:rPr>
              <w:t>。</w:t>
            </w:r>
          </w:p>
          <w:p w14:paraId="3D88CB07">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snapToGrid w:val="0"/>
                <w:color w:val="auto"/>
                <w:kern w:val="0"/>
                <w:sz w:val="21"/>
                <w:szCs w:val="21"/>
                <w:highlight w:val="none"/>
                <w:lang w:val="en-US" w:eastAsia="zh-CN" w:bidi="ar-SA"/>
                <w14:ligatures w14:val="none"/>
              </w:rPr>
              <w:t>表4</w:t>
            </w:r>
            <w:r>
              <w:rPr>
                <w:rFonts w:hint="eastAsia" w:ascii="Times New Roman" w:hAnsi="Times New Roman" w:eastAsia="宋体" w:cs="Times New Roman"/>
                <w:b/>
                <w:bCs/>
                <w:snapToGrid w:val="0"/>
                <w:color w:val="auto"/>
                <w:kern w:val="0"/>
                <w:sz w:val="21"/>
                <w:szCs w:val="21"/>
                <w:highlight w:val="none"/>
                <w:lang w:val="en-US" w:eastAsia="zh-CN" w:bidi="ar-SA"/>
                <w14:ligatures w14:val="none"/>
              </w:rPr>
              <w:t>.8-1</w:t>
            </w:r>
            <w:r>
              <w:rPr>
                <w:rFonts w:hint="default" w:ascii="Times New Roman" w:hAnsi="Times New Roman" w:eastAsia="宋体" w:cs="Times New Roman"/>
                <w:b/>
                <w:bCs/>
                <w:snapToGrid w:val="0"/>
                <w:color w:val="auto"/>
                <w:kern w:val="0"/>
                <w:sz w:val="21"/>
                <w:szCs w:val="21"/>
                <w:highlight w:val="none"/>
                <w:lang w:val="en-US" w:eastAsia="zh-CN" w:bidi="ar-SA"/>
                <w14:ligatures w14:val="none"/>
              </w:rPr>
              <w:t xml:space="preserve">  </w:t>
            </w:r>
            <w:r>
              <w:rPr>
                <w:rFonts w:hint="eastAsia" w:ascii="Times New Roman" w:hAnsi="Times New Roman" w:eastAsia="宋体" w:cs="Times New Roman"/>
                <w:b/>
                <w:bCs/>
                <w:snapToGrid w:val="0"/>
                <w:color w:val="auto"/>
                <w:kern w:val="0"/>
                <w:sz w:val="21"/>
                <w:szCs w:val="21"/>
                <w:highlight w:val="none"/>
                <w:lang w:val="en-US" w:eastAsia="zh-CN" w:bidi="ar-SA"/>
                <w14:ligatures w14:val="none"/>
              </w:rPr>
              <w:t xml:space="preserve"> </w:t>
            </w:r>
            <w:r>
              <w:rPr>
                <w:rFonts w:hint="default" w:ascii="Times New Roman" w:hAnsi="Times New Roman" w:eastAsia="宋体" w:cs="Times New Roman"/>
                <w:b/>
                <w:bCs/>
                <w:snapToGrid w:val="0"/>
                <w:color w:val="auto"/>
                <w:kern w:val="0"/>
                <w:sz w:val="21"/>
                <w:szCs w:val="21"/>
                <w:highlight w:val="none"/>
                <w:lang w:val="en-US" w:eastAsia="zh-CN" w:bidi="ar-SA"/>
                <w14:ligatures w14:val="none"/>
              </w:rPr>
              <w:t>项目废水排放情况一览表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18"/>
              <w:gridCol w:w="568"/>
              <w:gridCol w:w="590"/>
              <w:gridCol w:w="571"/>
              <w:gridCol w:w="497"/>
              <w:gridCol w:w="781"/>
              <w:gridCol w:w="364"/>
              <w:gridCol w:w="675"/>
              <w:gridCol w:w="569"/>
              <w:gridCol w:w="693"/>
              <w:gridCol w:w="578"/>
              <w:gridCol w:w="1956"/>
            </w:tblGrid>
            <w:tr w14:paraId="2B12CF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361" w:hRule="atLeast"/>
                <w:jc w:val="center"/>
              </w:trPr>
              <w:tc>
                <w:tcPr>
                  <w:tcW w:w="0" w:type="auto"/>
                  <w:vMerge w:val="restart"/>
                  <w:tcBorders>
                    <w:tl2br w:val="nil"/>
                    <w:tr2bl w:val="nil"/>
                  </w:tcBorders>
                  <w:vAlign w:val="center"/>
                </w:tcPr>
                <w:p w14:paraId="5C6E5DFC">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废水</w:t>
                  </w:r>
                </w:p>
                <w:p w14:paraId="75F2B60F">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来源</w:t>
                  </w:r>
                </w:p>
              </w:tc>
              <w:tc>
                <w:tcPr>
                  <w:tcW w:w="0" w:type="auto"/>
                  <w:vMerge w:val="restart"/>
                  <w:tcBorders>
                    <w:tl2br w:val="nil"/>
                    <w:tr2bl w:val="nil"/>
                  </w:tcBorders>
                  <w:vAlign w:val="center"/>
                </w:tcPr>
                <w:p w14:paraId="32991B45">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废水量</w:t>
                  </w:r>
                </w:p>
                <w:p w14:paraId="40B53244">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(m</w:t>
                  </w:r>
                  <w:r>
                    <w:rPr>
                      <w:rFonts w:hint="default" w:ascii="Times New Roman" w:hAnsi="Times New Roman" w:eastAsia="宋体" w:cs="Times New Roman"/>
                      <w:b/>
                      <w:color w:val="auto"/>
                      <w:sz w:val="21"/>
                      <w:szCs w:val="21"/>
                      <w:highlight w:val="none"/>
                      <w:vertAlign w:val="superscript"/>
                    </w:rPr>
                    <w:t>3</w:t>
                  </w:r>
                  <w:r>
                    <w:rPr>
                      <w:rFonts w:hint="default" w:ascii="Times New Roman" w:hAnsi="Times New Roman" w:eastAsia="宋体" w:cs="Times New Roman"/>
                      <w:b/>
                      <w:color w:val="auto"/>
                      <w:sz w:val="21"/>
                      <w:szCs w:val="21"/>
                      <w:highlight w:val="none"/>
                    </w:rPr>
                    <w:t>/a)</w:t>
                  </w:r>
                </w:p>
              </w:tc>
              <w:tc>
                <w:tcPr>
                  <w:tcW w:w="0" w:type="auto"/>
                  <w:vMerge w:val="restart"/>
                  <w:tcBorders>
                    <w:tl2br w:val="nil"/>
                    <w:tr2bl w:val="nil"/>
                  </w:tcBorders>
                  <w:vAlign w:val="center"/>
                </w:tcPr>
                <w:p w14:paraId="4578676B">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污染物名称</w:t>
                  </w:r>
                </w:p>
              </w:tc>
              <w:tc>
                <w:tcPr>
                  <w:tcW w:w="0" w:type="auto"/>
                  <w:gridSpan w:val="2"/>
                  <w:tcBorders>
                    <w:tl2br w:val="nil"/>
                    <w:tr2bl w:val="nil"/>
                  </w:tcBorders>
                  <w:vAlign w:val="center"/>
                </w:tcPr>
                <w:p w14:paraId="64D63FF3">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pacing w:val="-8"/>
                      <w:sz w:val="21"/>
                      <w:szCs w:val="21"/>
                      <w:highlight w:val="none"/>
                    </w:rPr>
                    <w:t>污染物产生量</w:t>
                  </w:r>
                </w:p>
              </w:tc>
              <w:tc>
                <w:tcPr>
                  <w:tcW w:w="0" w:type="auto"/>
                  <w:vMerge w:val="restart"/>
                  <w:tcBorders>
                    <w:tl2br w:val="nil"/>
                    <w:tr2bl w:val="nil"/>
                  </w:tcBorders>
                  <w:vAlign w:val="center"/>
                </w:tcPr>
                <w:p w14:paraId="64DCB1EC">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治理</w:t>
                  </w:r>
                </w:p>
                <w:p w14:paraId="029B0280">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工艺</w:t>
                  </w:r>
                </w:p>
              </w:tc>
              <w:tc>
                <w:tcPr>
                  <w:tcW w:w="0" w:type="auto"/>
                  <w:vMerge w:val="restart"/>
                  <w:tcBorders>
                    <w:tl2br w:val="nil"/>
                    <w:tr2bl w:val="nil"/>
                  </w:tcBorders>
                  <w:vAlign w:val="center"/>
                </w:tcPr>
                <w:p w14:paraId="63CD6F24">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pacing w:val="-8"/>
                      <w:sz w:val="21"/>
                      <w:szCs w:val="21"/>
                      <w:highlight w:val="none"/>
                    </w:rPr>
                  </w:pPr>
                  <w:r>
                    <w:rPr>
                      <w:rFonts w:hint="default" w:ascii="Times New Roman" w:hAnsi="Times New Roman" w:eastAsia="宋体" w:cs="Times New Roman"/>
                      <w:b/>
                      <w:color w:val="auto"/>
                      <w:spacing w:val="-8"/>
                      <w:sz w:val="21"/>
                      <w:szCs w:val="21"/>
                      <w:highlight w:val="none"/>
                    </w:rPr>
                    <w:t>是否为可行技术</w:t>
                  </w:r>
                </w:p>
              </w:tc>
              <w:tc>
                <w:tcPr>
                  <w:tcW w:w="0" w:type="auto"/>
                  <w:vMerge w:val="restart"/>
                  <w:tcBorders>
                    <w:tl2br w:val="nil"/>
                    <w:tr2bl w:val="nil"/>
                  </w:tcBorders>
                  <w:vAlign w:val="center"/>
                </w:tcPr>
                <w:p w14:paraId="55C5583A">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pacing w:val="-8"/>
                      <w:sz w:val="21"/>
                      <w:szCs w:val="21"/>
                      <w:highlight w:val="none"/>
                    </w:rPr>
                  </w:pPr>
                  <w:r>
                    <w:rPr>
                      <w:rFonts w:hint="default" w:ascii="Times New Roman" w:hAnsi="Times New Roman" w:eastAsia="宋体" w:cs="Times New Roman"/>
                      <w:b/>
                      <w:color w:val="auto"/>
                      <w:spacing w:val="-8"/>
                      <w:sz w:val="21"/>
                      <w:szCs w:val="21"/>
                      <w:highlight w:val="none"/>
                    </w:rPr>
                    <w:t>去除率（%）</w:t>
                  </w:r>
                </w:p>
              </w:tc>
              <w:tc>
                <w:tcPr>
                  <w:tcW w:w="0" w:type="auto"/>
                  <w:gridSpan w:val="2"/>
                  <w:tcBorders>
                    <w:tl2br w:val="nil"/>
                    <w:tr2bl w:val="nil"/>
                  </w:tcBorders>
                  <w:vAlign w:val="center"/>
                </w:tcPr>
                <w:p w14:paraId="222D922F">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pacing w:val="-8"/>
                      <w:sz w:val="21"/>
                      <w:szCs w:val="21"/>
                      <w:highlight w:val="none"/>
                    </w:rPr>
                    <w:t>污染物排放量</w:t>
                  </w:r>
                </w:p>
              </w:tc>
              <w:tc>
                <w:tcPr>
                  <w:tcW w:w="0" w:type="auto"/>
                  <w:vMerge w:val="restart"/>
                  <w:tcBorders>
                    <w:tl2br w:val="nil"/>
                    <w:tr2bl w:val="nil"/>
                  </w:tcBorders>
                  <w:vAlign w:val="center"/>
                </w:tcPr>
                <w:p w14:paraId="4F4F05D7">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标准浓</w:t>
                  </w:r>
                </w:p>
                <w:p w14:paraId="40F51FAF">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度限值</w:t>
                  </w:r>
                </w:p>
                <w:p w14:paraId="77A742BD">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pacing w:val="-10"/>
                      <w:sz w:val="21"/>
                      <w:szCs w:val="21"/>
                      <w:highlight w:val="none"/>
                    </w:rPr>
                    <w:t>(mg/L)</w:t>
                  </w:r>
                </w:p>
              </w:tc>
              <w:tc>
                <w:tcPr>
                  <w:tcW w:w="0" w:type="auto"/>
                  <w:vMerge w:val="restart"/>
                  <w:tcBorders>
                    <w:tl2br w:val="nil"/>
                    <w:tr2bl w:val="nil"/>
                  </w:tcBorders>
                  <w:vAlign w:val="center"/>
                </w:tcPr>
                <w:p w14:paraId="250CA38A">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排放方式与去向</w:t>
                  </w:r>
                </w:p>
              </w:tc>
            </w:tr>
            <w:tr w14:paraId="3FC646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473" w:hRule="atLeast"/>
                <w:jc w:val="center"/>
              </w:trPr>
              <w:tc>
                <w:tcPr>
                  <w:tcW w:w="0" w:type="auto"/>
                  <w:vMerge w:val="continue"/>
                  <w:tcBorders>
                    <w:tl2br w:val="nil"/>
                    <w:tr2bl w:val="nil"/>
                  </w:tcBorders>
                  <w:vAlign w:val="center"/>
                </w:tcPr>
                <w:p w14:paraId="078ACD69">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0" w:type="auto"/>
                  <w:vMerge w:val="continue"/>
                  <w:tcBorders>
                    <w:tl2br w:val="nil"/>
                    <w:tr2bl w:val="nil"/>
                  </w:tcBorders>
                  <w:vAlign w:val="center"/>
                </w:tcPr>
                <w:p w14:paraId="0F9E0BB8">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0" w:type="auto"/>
                  <w:vMerge w:val="continue"/>
                  <w:tcBorders>
                    <w:tl2br w:val="nil"/>
                    <w:tr2bl w:val="nil"/>
                  </w:tcBorders>
                  <w:vAlign w:val="center"/>
                </w:tcPr>
                <w:p w14:paraId="64AD533E">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0" w:type="auto"/>
                  <w:tcBorders>
                    <w:tl2br w:val="nil"/>
                    <w:tr2bl w:val="nil"/>
                  </w:tcBorders>
                  <w:vAlign w:val="center"/>
                </w:tcPr>
                <w:p w14:paraId="5C9B2E91">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浓度</w:t>
                  </w:r>
                </w:p>
                <w:p w14:paraId="4F230C48">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pacing w:val="-10"/>
                      <w:sz w:val="21"/>
                      <w:szCs w:val="21"/>
                      <w:highlight w:val="none"/>
                    </w:rPr>
                  </w:pPr>
                  <w:r>
                    <w:rPr>
                      <w:rFonts w:hint="default" w:ascii="Times New Roman" w:hAnsi="Times New Roman" w:eastAsia="宋体" w:cs="Times New Roman"/>
                      <w:b/>
                      <w:color w:val="auto"/>
                      <w:spacing w:val="-10"/>
                      <w:sz w:val="21"/>
                      <w:szCs w:val="21"/>
                      <w:highlight w:val="none"/>
                    </w:rPr>
                    <w:t>(mg/L)</w:t>
                  </w:r>
                </w:p>
              </w:tc>
              <w:tc>
                <w:tcPr>
                  <w:tcW w:w="0" w:type="auto"/>
                  <w:tcBorders>
                    <w:tl2br w:val="nil"/>
                    <w:tr2bl w:val="nil"/>
                  </w:tcBorders>
                  <w:vAlign w:val="center"/>
                </w:tcPr>
                <w:p w14:paraId="7D3458DC">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pacing w:val="-10"/>
                      <w:sz w:val="21"/>
                      <w:szCs w:val="21"/>
                      <w:highlight w:val="none"/>
                    </w:rPr>
                  </w:pPr>
                  <w:r>
                    <w:rPr>
                      <w:rFonts w:hint="default" w:ascii="Times New Roman" w:hAnsi="Times New Roman" w:eastAsia="宋体" w:cs="Times New Roman"/>
                      <w:b/>
                      <w:color w:val="auto"/>
                      <w:spacing w:val="-10"/>
                      <w:sz w:val="21"/>
                      <w:szCs w:val="21"/>
                      <w:highlight w:val="none"/>
                    </w:rPr>
                    <w:t>产生量</w:t>
                  </w:r>
                </w:p>
                <w:p w14:paraId="68E4046D">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(t/a)</w:t>
                  </w:r>
                </w:p>
              </w:tc>
              <w:tc>
                <w:tcPr>
                  <w:tcW w:w="0" w:type="auto"/>
                  <w:vMerge w:val="continue"/>
                  <w:tcBorders>
                    <w:tl2br w:val="nil"/>
                    <w:tr2bl w:val="nil"/>
                  </w:tcBorders>
                  <w:vAlign w:val="center"/>
                </w:tcPr>
                <w:p w14:paraId="004F15B8">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p>
              </w:tc>
              <w:tc>
                <w:tcPr>
                  <w:tcW w:w="0" w:type="auto"/>
                  <w:vMerge w:val="continue"/>
                  <w:tcBorders>
                    <w:tl2br w:val="nil"/>
                    <w:tr2bl w:val="nil"/>
                  </w:tcBorders>
                  <w:vAlign w:val="center"/>
                </w:tcPr>
                <w:p w14:paraId="3D623F2E">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pacing w:val="-10"/>
                      <w:sz w:val="21"/>
                      <w:szCs w:val="21"/>
                      <w:highlight w:val="none"/>
                    </w:rPr>
                  </w:pPr>
                </w:p>
              </w:tc>
              <w:tc>
                <w:tcPr>
                  <w:tcW w:w="0" w:type="auto"/>
                  <w:vMerge w:val="continue"/>
                  <w:tcBorders>
                    <w:tl2br w:val="nil"/>
                    <w:tr2bl w:val="nil"/>
                  </w:tcBorders>
                  <w:vAlign w:val="center"/>
                </w:tcPr>
                <w:p w14:paraId="623286EF">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pacing w:val="-10"/>
                      <w:sz w:val="21"/>
                      <w:szCs w:val="21"/>
                      <w:highlight w:val="none"/>
                    </w:rPr>
                  </w:pPr>
                </w:p>
              </w:tc>
              <w:tc>
                <w:tcPr>
                  <w:tcW w:w="0" w:type="auto"/>
                  <w:tcBorders>
                    <w:tl2br w:val="nil"/>
                    <w:tr2bl w:val="nil"/>
                  </w:tcBorders>
                  <w:vAlign w:val="center"/>
                </w:tcPr>
                <w:p w14:paraId="3F2F651D">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浓度</w:t>
                  </w:r>
                </w:p>
                <w:p w14:paraId="1F68469B">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pacing w:val="-10"/>
                      <w:sz w:val="21"/>
                      <w:szCs w:val="21"/>
                      <w:highlight w:val="none"/>
                    </w:rPr>
                    <w:t>(mg/L)</w:t>
                  </w:r>
                </w:p>
              </w:tc>
              <w:tc>
                <w:tcPr>
                  <w:tcW w:w="0" w:type="auto"/>
                  <w:tcBorders>
                    <w:tl2br w:val="nil"/>
                    <w:tr2bl w:val="nil"/>
                  </w:tcBorders>
                  <w:vAlign w:val="center"/>
                </w:tcPr>
                <w:p w14:paraId="44AC5925">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pacing w:val="-10"/>
                      <w:sz w:val="21"/>
                      <w:szCs w:val="21"/>
                      <w:highlight w:val="none"/>
                    </w:rPr>
                  </w:pPr>
                  <w:r>
                    <w:rPr>
                      <w:rFonts w:hint="default" w:ascii="Times New Roman" w:hAnsi="Times New Roman" w:eastAsia="宋体" w:cs="Times New Roman"/>
                      <w:b/>
                      <w:color w:val="auto"/>
                      <w:spacing w:val="-10"/>
                      <w:sz w:val="21"/>
                      <w:szCs w:val="21"/>
                      <w:highlight w:val="none"/>
                    </w:rPr>
                    <w:t>排放量</w:t>
                  </w:r>
                </w:p>
                <w:p w14:paraId="16872DDA">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(t/a)</w:t>
                  </w:r>
                </w:p>
              </w:tc>
              <w:tc>
                <w:tcPr>
                  <w:tcW w:w="0" w:type="auto"/>
                  <w:vMerge w:val="continue"/>
                  <w:tcBorders>
                    <w:tl2br w:val="nil"/>
                    <w:tr2bl w:val="nil"/>
                  </w:tcBorders>
                  <w:vAlign w:val="center"/>
                </w:tcPr>
                <w:p w14:paraId="017DB9F3">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p>
              </w:tc>
              <w:tc>
                <w:tcPr>
                  <w:tcW w:w="0" w:type="auto"/>
                  <w:vMerge w:val="continue"/>
                  <w:tcBorders>
                    <w:tl2br w:val="nil"/>
                    <w:tr2bl w:val="nil"/>
                  </w:tcBorders>
                  <w:vAlign w:val="center"/>
                </w:tcPr>
                <w:p w14:paraId="66F3DB2E">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p>
              </w:tc>
            </w:tr>
            <w:tr w14:paraId="07A4CF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316" w:hRule="atLeast"/>
                <w:jc w:val="center"/>
              </w:trPr>
              <w:tc>
                <w:tcPr>
                  <w:tcW w:w="0" w:type="auto"/>
                  <w:vMerge w:val="restart"/>
                  <w:tcBorders>
                    <w:tl2br w:val="nil"/>
                    <w:tr2bl w:val="nil"/>
                  </w:tcBorders>
                  <w:vAlign w:val="center"/>
                </w:tcPr>
                <w:p w14:paraId="74727349">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生活污水</w:t>
                  </w: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食堂废水</w:t>
                  </w:r>
                </w:p>
              </w:tc>
              <w:tc>
                <w:tcPr>
                  <w:tcW w:w="0" w:type="auto"/>
                  <w:vMerge w:val="restart"/>
                  <w:tcBorders>
                    <w:tl2br w:val="nil"/>
                    <w:tr2bl w:val="nil"/>
                  </w:tcBorders>
                  <w:vAlign w:val="center"/>
                </w:tcPr>
                <w:p w14:paraId="657E7544">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233.6</w:t>
                  </w:r>
                </w:p>
              </w:tc>
              <w:tc>
                <w:tcPr>
                  <w:tcW w:w="0" w:type="auto"/>
                  <w:tcBorders>
                    <w:tl2br w:val="nil"/>
                    <w:tr2bl w:val="nil"/>
                  </w:tcBorders>
                  <w:vAlign w:val="center"/>
                </w:tcPr>
                <w:p w14:paraId="018C7136">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COD</w:t>
                  </w:r>
                </w:p>
              </w:tc>
              <w:tc>
                <w:tcPr>
                  <w:tcW w:w="0" w:type="auto"/>
                  <w:tcBorders>
                    <w:tl2br w:val="nil"/>
                    <w:tr2bl w:val="nil"/>
                  </w:tcBorders>
                  <w:vAlign w:val="center"/>
                </w:tcPr>
                <w:p w14:paraId="6643018C">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400</w:t>
                  </w:r>
                </w:p>
              </w:tc>
              <w:tc>
                <w:tcPr>
                  <w:tcW w:w="0" w:type="auto"/>
                  <w:tcBorders>
                    <w:tl2br w:val="nil"/>
                    <w:tr2bl w:val="nil"/>
                  </w:tcBorders>
                  <w:vAlign w:val="center"/>
                </w:tcPr>
                <w:p w14:paraId="3BB0A0E5">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0.093</w:t>
                  </w:r>
                </w:p>
              </w:tc>
              <w:tc>
                <w:tcPr>
                  <w:tcW w:w="0" w:type="auto"/>
                  <w:vMerge w:val="restart"/>
                  <w:tcBorders>
                    <w:tl2br w:val="nil"/>
                    <w:tr2bl w:val="nil"/>
                  </w:tcBorders>
                  <w:vAlign w:val="center"/>
                </w:tcPr>
                <w:p w14:paraId="39D93693">
                  <w:pPr>
                    <w:pageBreakBefore w:val="0"/>
                    <w:kinsoku/>
                    <w:wordWrap/>
                    <w:overflowPunct/>
                    <w:topLinePunct w:val="0"/>
                    <w:bidi w:val="0"/>
                    <w:adjustRightInd w:val="0"/>
                    <w:snapToGrid w:val="0"/>
                    <w:spacing w:line="240" w:lineRule="auto"/>
                    <w:jc w:val="center"/>
                    <w:rPr>
                      <w:rFonts w:hint="eastAsia" w:ascii="Times New Roman" w:hAnsi="Times New Roman" w:eastAsia="宋体" w:cs="Times New Roman"/>
                      <w:b w:val="0"/>
                      <w:bCs w:val="0"/>
                      <w:color w:val="auto"/>
                      <w:sz w:val="21"/>
                      <w:szCs w:val="21"/>
                      <w:highlight w:val="none"/>
                      <w:lang w:eastAsia="zh-CN"/>
                    </w:rPr>
                  </w:pPr>
                  <w:r>
                    <w:rPr>
                      <w:rFonts w:hint="eastAsia"/>
                      <w:sz w:val="21"/>
                      <w:szCs w:val="21"/>
                      <w:highlight w:val="none"/>
                      <w:lang w:eastAsia="zh-CN"/>
                    </w:rPr>
                    <w:t>格栅+A/O+二沉+消毒</w:t>
                  </w:r>
                </w:p>
              </w:tc>
              <w:tc>
                <w:tcPr>
                  <w:tcW w:w="0" w:type="auto"/>
                  <w:vMerge w:val="restart"/>
                  <w:tcBorders>
                    <w:tl2br w:val="nil"/>
                    <w:tr2bl w:val="nil"/>
                  </w:tcBorders>
                  <w:vAlign w:val="center"/>
                </w:tcPr>
                <w:p w14:paraId="6095711A">
                  <w:pPr>
                    <w:pageBreakBefore w:val="0"/>
                    <w:kinsoku/>
                    <w:wordWrap/>
                    <w:overflowPunct/>
                    <w:topLinePunct w:val="0"/>
                    <w:bidi w:val="0"/>
                    <w:adjustRightInd w:val="0"/>
                    <w:snapToGrid w:val="0"/>
                    <w:spacing w:line="240" w:lineRule="auto"/>
                    <w:jc w:val="center"/>
                    <w:textAlignment w:val="center"/>
                    <w:rPr>
                      <w:rFonts w:hint="eastAsia"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highlight w:val="none"/>
                      <w:lang w:val="en-US" w:eastAsia="zh-CN"/>
                    </w:rPr>
                    <w:t>是</w:t>
                  </w:r>
                </w:p>
              </w:tc>
              <w:tc>
                <w:tcPr>
                  <w:tcW w:w="0" w:type="auto"/>
                  <w:tcBorders>
                    <w:tl2br w:val="nil"/>
                    <w:tr2bl w:val="nil"/>
                  </w:tcBorders>
                  <w:vAlign w:val="center"/>
                </w:tcPr>
                <w:p w14:paraId="7C0CCEE5">
                  <w:pPr>
                    <w:pageBreakBefore w:val="0"/>
                    <w:kinsoku/>
                    <w:wordWrap/>
                    <w:overflowPunct/>
                    <w:topLinePunct w:val="0"/>
                    <w:bidi w:val="0"/>
                    <w:adjustRightInd w:val="0"/>
                    <w:snapToGrid w:val="0"/>
                    <w:spacing w:line="240" w:lineRule="auto"/>
                    <w:jc w:val="center"/>
                    <w:textAlignment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90</w:t>
                  </w:r>
                </w:p>
              </w:tc>
              <w:tc>
                <w:tcPr>
                  <w:tcW w:w="0" w:type="auto"/>
                  <w:tcBorders>
                    <w:tl2br w:val="nil"/>
                    <w:tr2bl w:val="nil"/>
                  </w:tcBorders>
                  <w:vAlign w:val="center"/>
                </w:tcPr>
                <w:p w14:paraId="6A5A3DAD">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40</w:t>
                  </w:r>
                </w:p>
              </w:tc>
              <w:tc>
                <w:tcPr>
                  <w:tcW w:w="0" w:type="auto"/>
                  <w:tcBorders>
                    <w:tl2br w:val="nil"/>
                    <w:tr2bl w:val="nil"/>
                  </w:tcBorders>
                  <w:vAlign w:val="center"/>
                </w:tcPr>
                <w:p w14:paraId="3E7376F2">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0.0093</w:t>
                  </w:r>
                </w:p>
              </w:tc>
              <w:tc>
                <w:tcPr>
                  <w:tcW w:w="0" w:type="auto"/>
                  <w:tcBorders>
                    <w:tl2br w:val="nil"/>
                    <w:tr2bl w:val="nil"/>
                  </w:tcBorders>
                  <w:vAlign w:val="center"/>
                </w:tcPr>
                <w:p w14:paraId="3DE9EEAB">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0" w:type="auto"/>
                  <w:vMerge w:val="restart"/>
                  <w:tcBorders>
                    <w:tl2br w:val="nil"/>
                    <w:tr2bl w:val="nil"/>
                  </w:tcBorders>
                  <w:vAlign w:val="center"/>
                </w:tcPr>
                <w:p w14:paraId="19161E50">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lang w:val="en-US"/>
                    </w:rPr>
                  </w:pPr>
                  <w:r>
                    <w:rPr>
                      <w:rFonts w:hint="default" w:ascii="Times New Roman" w:hAnsi="Times New Roman" w:eastAsia="宋体" w:cs="Times New Roman"/>
                      <w:b w:val="0"/>
                      <w:bCs w:val="0"/>
                      <w:color w:val="auto"/>
                      <w:sz w:val="21"/>
                      <w:szCs w:val="21"/>
                      <w:highlight w:val="none"/>
                      <w:lang w:val="en-US"/>
                    </w:rPr>
                    <w:t>食堂废水经隔油预处理后与生活污水经地埋式一体化污水处理设施处理达标；春夏秋季用于洒水降尘，冬季储存于水箱，次年回暖后回用</w:t>
                  </w:r>
                </w:p>
              </w:tc>
            </w:tr>
            <w:tr w14:paraId="71CDAF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0" w:type="auto"/>
                  <w:vMerge w:val="continue"/>
                  <w:tcBorders>
                    <w:tl2br w:val="nil"/>
                    <w:tr2bl w:val="nil"/>
                  </w:tcBorders>
                  <w:vAlign w:val="center"/>
                </w:tcPr>
                <w:p w14:paraId="0423184C">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0" w:type="auto"/>
                  <w:vMerge w:val="continue"/>
                  <w:tcBorders>
                    <w:tl2br w:val="nil"/>
                    <w:tr2bl w:val="nil"/>
                  </w:tcBorders>
                  <w:vAlign w:val="center"/>
                </w:tcPr>
                <w:p w14:paraId="12E2E4AA">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0" w:type="auto"/>
                  <w:tcBorders>
                    <w:tl2br w:val="nil"/>
                    <w:tr2bl w:val="nil"/>
                  </w:tcBorders>
                  <w:vAlign w:val="center"/>
                </w:tcPr>
                <w:p w14:paraId="50709640">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BOD</w:t>
                  </w:r>
                  <w:r>
                    <w:rPr>
                      <w:rFonts w:hint="default" w:ascii="Times New Roman" w:hAnsi="Times New Roman" w:eastAsia="宋体" w:cs="Times New Roman"/>
                      <w:color w:val="auto"/>
                      <w:sz w:val="21"/>
                      <w:szCs w:val="21"/>
                      <w:highlight w:val="none"/>
                      <w:vertAlign w:val="subscript"/>
                    </w:rPr>
                    <w:t>5</w:t>
                  </w:r>
                </w:p>
              </w:tc>
              <w:tc>
                <w:tcPr>
                  <w:tcW w:w="0" w:type="auto"/>
                  <w:tcBorders>
                    <w:tl2br w:val="nil"/>
                    <w:tr2bl w:val="nil"/>
                  </w:tcBorders>
                  <w:vAlign w:val="center"/>
                </w:tcPr>
                <w:p w14:paraId="4B0BB831">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300</w:t>
                  </w:r>
                </w:p>
              </w:tc>
              <w:tc>
                <w:tcPr>
                  <w:tcW w:w="0" w:type="auto"/>
                  <w:tcBorders>
                    <w:tl2br w:val="nil"/>
                    <w:tr2bl w:val="nil"/>
                  </w:tcBorders>
                  <w:vAlign w:val="center"/>
                </w:tcPr>
                <w:p w14:paraId="49D95971">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0.070</w:t>
                  </w:r>
                </w:p>
              </w:tc>
              <w:tc>
                <w:tcPr>
                  <w:tcW w:w="0" w:type="auto"/>
                  <w:vMerge w:val="continue"/>
                  <w:tcBorders>
                    <w:tl2br w:val="nil"/>
                    <w:tr2bl w:val="nil"/>
                  </w:tcBorders>
                  <w:vAlign w:val="center"/>
                </w:tcPr>
                <w:p w14:paraId="14185C39">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0" w:type="auto"/>
                  <w:vMerge w:val="continue"/>
                  <w:tcBorders>
                    <w:tl2br w:val="nil"/>
                    <w:tr2bl w:val="nil"/>
                  </w:tcBorders>
                  <w:vAlign w:val="center"/>
                </w:tcPr>
                <w:p w14:paraId="2AE03955">
                  <w:pPr>
                    <w:pageBreakBefore w:val="0"/>
                    <w:kinsoku/>
                    <w:wordWrap/>
                    <w:overflowPunct/>
                    <w:topLinePunct w:val="0"/>
                    <w:bidi w:val="0"/>
                    <w:adjustRightInd w:val="0"/>
                    <w:snapToGrid w:val="0"/>
                    <w:spacing w:line="240" w:lineRule="auto"/>
                    <w:jc w:val="center"/>
                    <w:textAlignment w:val="center"/>
                    <w:rPr>
                      <w:rFonts w:hint="default" w:ascii="Times New Roman" w:hAnsi="Times New Roman" w:eastAsia="宋体" w:cs="Times New Roman"/>
                      <w:color w:val="auto"/>
                      <w:sz w:val="21"/>
                      <w:szCs w:val="21"/>
                      <w:highlight w:val="none"/>
                    </w:rPr>
                  </w:pPr>
                </w:p>
              </w:tc>
              <w:tc>
                <w:tcPr>
                  <w:tcW w:w="0" w:type="auto"/>
                  <w:tcBorders>
                    <w:tl2br w:val="nil"/>
                    <w:tr2bl w:val="nil"/>
                  </w:tcBorders>
                  <w:vAlign w:val="center"/>
                </w:tcPr>
                <w:p w14:paraId="401DD5DB">
                  <w:pPr>
                    <w:pageBreakBefore w:val="0"/>
                    <w:kinsoku/>
                    <w:wordWrap/>
                    <w:overflowPunct/>
                    <w:topLinePunct w:val="0"/>
                    <w:bidi w:val="0"/>
                    <w:adjustRightInd w:val="0"/>
                    <w:snapToGrid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97</w:t>
                  </w:r>
                </w:p>
              </w:tc>
              <w:tc>
                <w:tcPr>
                  <w:tcW w:w="0" w:type="auto"/>
                  <w:tcBorders>
                    <w:tl2br w:val="nil"/>
                    <w:tr2bl w:val="nil"/>
                  </w:tcBorders>
                  <w:vAlign w:val="center"/>
                </w:tcPr>
                <w:p w14:paraId="0D606355">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w:t>
                  </w:r>
                </w:p>
              </w:tc>
              <w:tc>
                <w:tcPr>
                  <w:tcW w:w="0" w:type="auto"/>
                  <w:tcBorders>
                    <w:tl2br w:val="nil"/>
                    <w:tr2bl w:val="nil"/>
                  </w:tcBorders>
                  <w:vAlign w:val="center"/>
                </w:tcPr>
                <w:p w14:paraId="3B0D89FC">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0.0021</w:t>
                  </w:r>
                </w:p>
              </w:tc>
              <w:tc>
                <w:tcPr>
                  <w:tcW w:w="0" w:type="auto"/>
                  <w:tcBorders>
                    <w:tl2br w:val="nil"/>
                    <w:tr2bl w:val="nil"/>
                  </w:tcBorders>
                  <w:vAlign w:val="center"/>
                </w:tcPr>
                <w:p w14:paraId="58CC6762">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w:t>
                  </w:r>
                </w:p>
              </w:tc>
              <w:tc>
                <w:tcPr>
                  <w:tcW w:w="0" w:type="auto"/>
                  <w:vMerge w:val="continue"/>
                  <w:tcBorders>
                    <w:tl2br w:val="nil"/>
                    <w:tr2bl w:val="nil"/>
                  </w:tcBorders>
                  <w:vAlign w:val="center"/>
                </w:tcPr>
                <w:p w14:paraId="483875F7">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r w14:paraId="4B923B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0" w:type="auto"/>
                  <w:vMerge w:val="continue"/>
                  <w:tcBorders>
                    <w:tl2br w:val="nil"/>
                    <w:tr2bl w:val="nil"/>
                  </w:tcBorders>
                  <w:vAlign w:val="center"/>
                </w:tcPr>
                <w:p w14:paraId="6E7062F0">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0" w:type="auto"/>
                  <w:vMerge w:val="continue"/>
                  <w:tcBorders>
                    <w:tl2br w:val="nil"/>
                    <w:tr2bl w:val="nil"/>
                  </w:tcBorders>
                  <w:vAlign w:val="center"/>
                </w:tcPr>
                <w:p w14:paraId="15491266">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0" w:type="auto"/>
                  <w:tcBorders>
                    <w:tl2br w:val="nil"/>
                    <w:tr2bl w:val="nil"/>
                  </w:tcBorders>
                  <w:vAlign w:val="center"/>
                </w:tcPr>
                <w:p w14:paraId="583F12E3">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氨氮</w:t>
                  </w:r>
                </w:p>
              </w:tc>
              <w:tc>
                <w:tcPr>
                  <w:tcW w:w="0" w:type="auto"/>
                  <w:tcBorders>
                    <w:tl2br w:val="nil"/>
                    <w:tr2bl w:val="nil"/>
                  </w:tcBorders>
                  <w:vAlign w:val="center"/>
                </w:tcPr>
                <w:p w14:paraId="76FBD895">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30</w:t>
                  </w:r>
                </w:p>
              </w:tc>
              <w:tc>
                <w:tcPr>
                  <w:tcW w:w="0" w:type="auto"/>
                  <w:tcBorders>
                    <w:tl2br w:val="nil"/>
                    <w:tr2bl w:val="nil"/>
                  </w:tcBorders>
                  <w:vAlign w:val="center"/>
                </w:tcPr>
                <w:p w14:paraId="204465FF">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0.007</w:t>
                  </w:r>
                </w:p>
              </w:tc>
              <w:tc>
                <w:tcPr>
                  <w:tcW w:w="0" w:type="auto"/>
                  <w:vMerge w:val="continue"/>
                  <w:tcBorders>
                    <w:tl2br w:val="nil"/>
                    <w:tr2bl w:val="nil"/>
                  </w:tcBorders>
                  <w:vAlign w:val="center"/>
                </w:tcPr>
                <w:p w14:paraId="08A3C741">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0" w:type="auto"/>
                  <w:vMerge w:val="continue"/>
                  <w:tcBorders>
                    <w:tl2br w:val="nil"/>
                    <w:tr2bl w:val="nil"/>
                  </w:tcBorders>
                  <w:vAlign w:val="center"/>
                </w:tcPr>
                <w:p w14:paraId="7088B92B">
                  <w:pPr>
                    <w:pageBreakBefore w:val="0"/>
                    <w:kinsoku/>
                    <w:wordWrap/>
                    <w:overflowPunct/>
                    <w:topLinePunct w:val="0"/>
                    <w:bidi w:val="0"/>
                    <w:adjustRightInd w:val="0"/>
                    <w:snapToGrid w:val="0"/>
                    <w:spacing w:line="240" w:lineRule="auto"/>
                    <w:jc w:val="center"/>
                    <w:textAlignment w:val="center"/>
                    <w:rPr>
                      <w:rFonts w:hint="default" w:ascii="Times New Roman" w:hAnsi="Times New Roman" w:eastAsia="宋体" w:cs="Times New Roman"/>
                      <w:color w:val="auto"/>
                      <w:sz w:val="21"/>
                      <w:szCs w:val="21"/>
                      <w:highlight w:val="none"/>
                    </w:rPr>
                  </w:pPr>
                </w:p>
              </w:tc>
              <w:tc>
                <w:tcPr>
                  <w:tcW w:w="0" w:type="auto"/>
                  <w:tcBorders>
                    <w:tl2br w:val="nil"/>
                    <w:tr2bl w:val="nil"/>
                  </w:tcBorders>
                  <w:vAlign w:val="center"/>
                </w:tcPr>
                <w:p w14:paraId="5F898E6B">
                  <w:pPr>
                    <w:pageBreakBefore w:val="0"/>
                    <w:kinsoku/>
                    <w:wordWrap/>
                    <w:overflowPunct/>
                    <w:topLinePunct w:val="0"/>
                    <w:bidi w:val="0"/>
                    <w:adjustRightInd w:val="0"/>
                    <w:snapToGrid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0" w:type="auto"/>
                  <w:tcBorders>
                    <w:tl2br w:val="nil"/>
                    <w:tr2bl w:val="nil"/>
                  </w:tcBorders>
                  <w:vAlign w:val="center"/>
                </w:tcPr>
                <w:p w14:paraId="09988D11">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0" w:type="auto"/>
                  <w:tcBorders>
                    <w:tl2br w:val="nil"/>
                    <w:tr2bl w:val="nil"/>
                  </w:tcBorders>
                  <w:vAlign w:val="center"/>
                </w:tcPr>
                <w:p w14:paraId="7EAD3AB2">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0.00175</w:t>
                  </w:r>
                </w:p>
              </w:tc>
              <w:tc>
                <w:tcPr>
                  <w:tcW w:w="0" w:type="auto"/>
                  <w:tcBorders>
                    <w:tl2br w:val="nil"/>
                    <w:tr2bl w:val="nil"/>
                  </w:tcBorders>
                  <w:vAlign w:val="center"/>
                </w:tcPr>
                <w:p w14:paraId="19EFCAD9">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w:t>
                  </w:r>
                </w:p>
              </w:tc>
              <w:tc>
                <w:tcPr>
                  <w:tcW w:w="0" w:type="auto"/>
                  <w:vMerge w:val="continue"/>
                  <w:tcBorders>
                    <w:tl2br w:val="nil"/>
                    <w:tr2bl w:val="nil"/>
                  </w:tcBorders>
                  <w:vAlign w:val="center"/>
                </w:tcPr>
                <w:p w14:paraId="1CD27A4F">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r w14:paraId="5041C4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cantSplit/>
                <w:trHeight w:val="283" w:hRule="atLeast"/>
                <w:jc w:val="center"/>
              </w:trPr>
              <w:tc>
                <w:tcPr>
                  <w:tcW w:w="0" w:type="auto"/>
                  <w:vMerge w:val="continue"/>
                  <w:tcBorders>
                    <w:tl2br w:val="nil"/>
                    <w:tr2bl w:val="nil"/>
                  </w:tcBorders>
                  <w:vAlign w:val="center"/>
                </w:tcPr>
                <w:p w14:paraId="0232B684">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0" w:type="auto"/>
                  <w:vMerge w:val="continue"/>
                  <w:tcBorders>
                    <w:tl2br w:val="nil"/>
                    <w:tr2bl w:val="nil"/>
                  </w:tcBorders>
                  <w:vAlign w:val="center"/>
                </w:tcPr>
                <w:p w14:paraId="078F35B7">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0" w:type="auto"/>
                  <w:tcBorders>
                    <w:tl2br w:val="nil"/>
                    <w:tr2bl w:val="nil"/>
                  </w:tcBorders>
                  <w:vAlign w:val="center"/>
                </w:tcPr>
                <w:p w14:paraId="7C8995CF">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SS</w:t>
                  </w:r>
                </w:p>
              </w:tc>
              <w:tc>
                <w:tcPr>
                  <w:tcW w:w="0" w:type="auto"/>
                  <w:tcBorders>
                    <w:tl2br w:val="nil"/>
                    <w:tr2bl w:val="nil"/>
                  </w:tcBorders>
                  <w:vAlign w:val="center"/>
                </w:tcPr>
                <w:p w14:paraId="05818AFE">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250</w:t>
                  </w:r>
                </w:p>
              </w:tc>
              <w:tc>
                <w:tcPr>
                  <w:tcW w:w="0" w:type="auto"/>
                  <w:tcBorders>
                    <w:tl2br w:val="nil"/>
                    <w:tr2bl w:val="nil"/>
                  </w:tcBorders>
                  <w:vAlign w:val="center"/>
                </w:tcPr>
                <w:p w14:paraId="00A5460E">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0.058</w:t>
                  </w:r>
                </w:p>
              </w:tc>
              <w:tc>
                <w:tcPr>
                  <w:tcW w:w="0" w:type="auto"/>
                  <w:vMerge w:val="continue"/>
                  <w:tcBorders>
                    <w:tl2br w:val="nil"/>
                    <w:tr2bl w:val="nil"/>
                  </w:tcBorders>
                  <w:vAlign w:val="center"/>
                </w:tcPr>
                <w:p w14:paraId="563E5034">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0" w:type="auto"/>
                  <w:vMerge w:val="continue"/>
                  <w:tcBorders>
                    <w:tl2br w:val="nil"/>
                    <w:tr2bl w:val="nil"/>
                  </w:tcBorders>
                  <w:vAlign w:val="center"/>
                </w:tcPr>
                <w:p w14:paraId="6810AD78">
                  <w:pPr>
                    <w:pageBreakBefore w:val="0"/>
                    <w:kinsoku/>
                    <w:wordWrap/>
                    <w:overflowPunct/>
                    <w:topLinePunct w:val="0"/>
                    <w:bidi w:val="0"/>
                    <w:adjustRightInd w:val="0"/>
                    <w:snapToGrid w:val="0"/>
                    <w:spacing w:line="240" w:lineRule="auto"/>
                    <w:jc w:val="center"/>
                    <w:textAlignment w:val="center"/>
                    <w:rPr>
                      <w:rFonts w:hint="default" w:ascii="Times New Roman" w:hAnsi="Times New Roman" w:eastAsia="宋体" w:cs="Times New Roman"/>
                      <w:color w:val="auto"/>
                      <w:sz w:val="21"/>
                      <w:szCs w:val="21"/>
                      <w:highlight w:val="none"/>
                    </w:rPr>
                  </w:pPr>
                </w:p>
              </w:tc>
              <w:tc>
                <w:tcPr>
                  <w:tcW w:w="0" w:type="auto"/>
                  <w:tcBorders>
                    <w:tl2br w:val="nil"/>
                    <w:tr2bl w:val="nil"/>
                  </w:tcBorders>
                  <w:vAlign w:val="center"/>
                </w:tcPr>
                <w:p w14:paraId="5E67B8C4">
                  <w:pPr>
                    <w:pageBreakBefore w:val="0"/>
                    <w:kinsoku/>
                    <w:wordWrap/>
                    <w:overflowPunct/>
                    <w:topLinePunct w:val="0"/>
                    <w:bidi w:val="0"/>
                    <w:adjustRightInd w:val="0"/>
                    <w:snapToGrid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90</w:t>
                  </w:r>
                </w:p>
              </w:tc>
              <w:tc>
                <w:tcPr>
                  <w:tcW w:w="0" w:type="auto"/>
                  <w:tcBorders>
                    <w:tl2br w:val="nil"/>
                    <w:tr2bl w:val="nil"/>
                  </w:tcBorders>
                  <w:vAlign w:val="center"/>
                </w:tcPr>
                <w:p w14:paraId="65B7498C">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w:t>
                  </w:r>
                </w:p>
              </w:tc>
              <w:tc>
                <w:tcPr>
                  <w:tcW w:w="0" w:type="auto"/>
                  <w:tcBorders>
                    <w:tl2br w:val="nil"/>
                    <w:tr2bl w:val="nil"/>
                  </w:tcBorders>
                  <w:vAlign w:val="center"/>
                </w:tcPr>
                <w:p w14:paraId="31E04BB8">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0.0058</w:t>
                  </w:r>
                </w:p>
              </w:tc>
              <w:tc>
                <w:tcPr>
                  <w:tcW w:w="0" w:type="auto"/>
                  <w:tcBorders>
                    <w:tl2br w:val="nil"/>
                    <w:tr2bl w:val="nil"/>
                  </w:tcBorders>
                  <w:vAlign w:val="center"/>
                </w:tcPr>
                <w:p w14:paraId="557AB451">
                  <w:pPr>
                    <w:pageBreakBefore w:val="0"/>
                    <w:widowControl/>
                    <w:kinsoku/>
                    <w:wordWrap/>
                    <w:overflowPunct/>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0" w:type="auto"/>
                  <w:vMerge w:val="continue"/>
                  <w:tcBorders>
                    <w:tl2br w:val="nil"/>
                    <w:tr2bl w:val="nil"/>
                  </w:tcBorders>
                  <w:vAlign w:val="center"/>
                </w:tcPr>
                <w:p w14:paraId="04F047FF">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bl>
          <w:p w14:paraId="6B9342C0">
            <w:pPr>
              <w:pStyle w:val="32"/>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both"/>
              <w:textAlignment w:val="auto"/>
              <w:rPr>
                <w:rFonts w:hint="eastAsia" w:ascii="Times New Roman" w:hAnsi="Times New Roman" w:cs="Times New Roman"/>
                <w:b/>
                <w:bCs w:val="0"/>
                <w:color w:val="auto"/>
                <w:highlight w:val="none"/>
                <w:lang w:val="en-US" w:eastAsia="zh-CN"/>
              </w:rPr>
            </w:pPr>
            <w:r>
              <w:rPr>
                <w:rFonts w:hint="eastAsia" w:ascii="Times New Roman" w:hAnsi="Times New Roman" w:cs="Times New Roman"/>
                <w:b/>
                <w:bCs w:val="0"/>
                <w:color w:val="auto"/>
                <w:highlight w:val="none"/>
                <w:lang w:val="en-US" w:eastAsia="zh-CN"/>
              </w:rPr>
              <w:t>污水处理的可行性分析：</w:t>
            </w:r>
          </w:p>
          <w:p w14:paraId="7292F38C">
            <w:pPr>
              <w:pStyle w:val="32"/>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b w:val="0"/>
                <w:bCs/>
                <w:highlight w:val="none"/>
                <w:lang w:val="en-US" w:eastAsia="zh-CN"/>
              </w:rPr>
            </w:pPr>
            <w:r>
              <w:rPr>
                <w:rFonts w:hint="eastAsia" w:ascii="Times New Roman" w:hAnsi="Times New Roman" w:cs="Times New Roman"/>
                <w:b w:val="0"/>
                <w:bCs/>
                <w:color w:val="auto"/>
                <w:highlight w:val="none"/>
                <w:lang w:val="en-US" w:eastAsia="zh-CN"/>
              </w:rPr>
              <w:t>一体化处理设施采用“格栅+A/O+二沉+消毒组合工艺”处理工艺，简称“A/O”工艺，其中二沉池污泥回流至缺氧池，完成反硝化脱氮，该处理工艺为成熟的污水处理工艺，</w:t>
            </w:r>
            <w:r>
              <w:rPr>
                <w:rFonts w:hint="eastAsia" w:hAnsi="Times New Roman" w:cs="Times New Roman"/>
                <w:b w:val="0"/>
                <w:bCs/>
                <w:color w:val="auto"/>
                <w:highlight w:val="none"/>
                <w:lang w:val="en-US" w:eastAsia="zh-CN"/>
              </w:rPr>
              <w:t>处理后达到《城市污水再生利用 城市杂用水水质》（GB/T 18920-2020），</w:t>
            </w:r>
            <w:r>
              <w:rPr>
                <w:rFonts w:hint="eastAsia" w:ascii="Times New Roman" w:hAnsi="Times New Roman" w:cs="Times New Roman"/>
                <w:b w:val="0"/>
                <w:bCs/>
                <w:color w:val="auto"/>
                <w:highlight w:val="none"/>
                <w:lang w:val="en-US" w:eastAsia="zh-CN"/>
              </w:rPr>
              <w:t>故污水处理方式可行。</w:t>
            </w:r>
          </w:p>
          <w:p w14:paraId="082E7606">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4.</w:t>
            </w:r>
            <w:r>
              <w:rPr>
                <w:rFonts w:hint="eastAsia" w:ascii="Times New Roman" w:hAnsi="Times New Roman" w:eastAsia="宋体" w:cs="Times New Roman"/>
                <w:b/>
                <w:color w:val="auto"/>
                <w:highlight w:val="none"/>
                <w:lang w:val="en-US" w:eastAsia="zh-CN"/>
              </w:rPr>
              <w:t>9</w:t>
            </w:r>
            <w:r>
              <w:rPr>
                <w:rFonts w:hint="default" w:ascii="Times New Roman" w:hAnsi="Times New Roman" w:eastAsia="宋体" w:cs="Times New Roman"/>
                <w:b/>
                <w:color w:val="auto"/>
                <w:highlight w:val="none"/>
              </w:rPr>
              <w:t>声环境影响及保护措施</w:t>
            </w:r>
          </w:p>
          <w:p w14:paraId="78952730">
            <w:pPr>
              <w:keepNext w:val="0"/>
              <w:keepLines w:val="0"/>
              <w:pageBreakBefore w:val="0"/>
              <w:widowControl/>
              <w:suppressLineNumbers w:val="0"/>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营运过程中炸药及雷管装卸过程中全部为人力搬卸，不使用动力设备。项目噪声源主要为进出仓库及炸药运输车辆进出厂时产生的噪声，噪声级在70~85dB（A）之间。项目运输时间安排在昼间，夜间不运输，同时进场道路设置限速、禁鸣标识。项目运输噪声对周围声环境影响小。</w:t>
            </w:r>
          </w:p>
          <w:p w14:paraId="70E216FA">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color w:val="auto"/>
                <w:highlight w:val="none"/>
              </w:rPr>
            </w:pPr>
            <w:bookmarkStart w:id="11" w:name="_Toc332103732"/>
            <w:bookmarkStart w:id="12" w:name="_Toc332103632"/>
            <w:bookmarkStart w:id="13" w:name="_Toc382903251"/>
            <w:bookmarkStart w:id="14" w:name="_Toc319228420"/>
            <w:bookmarkStart w:id="15" w:name="_Toc16383"/>
            <w:bookmarkStart w:id="16" w:name="_Toc383796790"/>
            <w:bookmarkStart w:id="17" w:name="_Toc249693709"/>
            <w:bookmarkStart w:id="18" w:name="_Toc381340756"/>
            <w:bookmarkStart w:id="19" w:name="_Toc383796785"/>
            <w:bookmarkStart w:id="20" w:name="_Toc382903246"/>
            <w:bookmarkStart w:id="21" w:name="_Toc381340751"/>
            <w:bookmarkStart w:id="22" w:name="_Toc384381675"/>
            <w:r>
              <w:rPr>
                <w:rFonts w:hint="default" w:ascii="Times New Roman" w:hAnsi="Times New Roman" w:eastAsia="宋体" w:cs="Times New Roman"/>
                <w:b/>
                <w:color w:val="auto"/>
                <w:highlight w:val="none"/>
              </w:rPr>
              <w:t>4.</w:t>
            </w:r>
            <w:r>
              <w:rPr>
                <w:rFonts w:hint="eastAsia" w:ascii="Times New Roman" w:hAnsi="Times New Roman" w:eastAsia="宋体" w:cs="Times New Roman"/>
                <w:b/>
                <w:color w:val="auto"/>
                <w:highlight w:val="none"/>
                <w:lang w:val="en-US" w:eastAsia="zh-CN"/>
              </w:rPr>
              <w:t>10</w:t>
            </w:r>
            <w:r>
              <w:rPr>
                <w:rFonts w:hint="default" w:ascii="Times New Roman" w:hAnsi="Times New Roman" w:eastAsia="宋体" w:cs="Times New Roman"/>
                <w:b/>
                <w:color w:val="auto"/>
                <w:highlight w:val="none"/>
              </w:rPr>
              <w:t>固体废物</w:t>
            </w:r>
            <w:bookmarkEnd w:id="11"/>
            <w:bookmarkEnd w:id="12"/>
            <w:bookmarkEnd w:id="13"/>
            <w:bookmarkEnd w:id="14"/>
            <w:bookmarkEnd w:id="15"/>
            <w:bookmarkEnd w:id="16"/>
            <w:bookmarkEnd w:id="17"/>
            <w:bookmarkEnd w:id="18"/>
            <w:r>
              <w:rPr>
                <w:rFonts w:hint="default" w:ascii="Times New Roman" w:hAnsi="Times New Roman" w:eastAsia="宋体" w:cs="Times New Roman"/>
                <w:b/>
                <w:color w:val="auto"/>
                <w:highlight w:val="none"/>
              </w:rPr>
              <w:t>影响分析及防治措施</w:t>
            </w:r>
          </w:p>
          <w:p w14:paraId="7EB8997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本项目建设完成后，产生的固体废物为：生活垃圾</w:t>
            </w:r>
            <w:r>
              <w:rPr>
                <w:rFonts w:hint="eastAsia" w:cs="Times New Roman"/>
                <w:bCs/>
                <w:color w:val="auto"/>
                <w:highlight w:val="none"/>
                <w:lang w:eastAsia="zh-CN"/>
              </w:rPr>
              <w:t>、</w:t>
            </w:r>
            <w:r>
              <w:rPr>
                <w:rFonts w:hint="default" w:ascii="Times New Roman" w:hAnsi="Times New Roman" w:eastAsia="宋体" w:cs="Times New Roman"/>
                <w:bCs/>
                <w:color w:val="auto"/>
                <w:highlight w:val="none"/>
              </w:rPr>
              <w:t>过期、残次、破损炸药/雷管，根据建设单位提供资料，固体废物主要产排情况见下表。</w:t>
            </w:r>
          </w:p>
          <w:p w14:paraId="5DA6B0A0">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napToGrid w:val="0"/>
                <w:color w:val="auto"/>
                <w:kern w:val="0"/>
                <w:sz w:val="21"/>
                <w:szCs w:val="21"/>
                <w:highlight w:val="none"/>
                <w:lang w:val="en-US" w:eastAsia="zh-CN" w:bidi="ar-SA"/>
                <w14:ligatures w14:val="none"/>
              </w:rPr>
            </w:pPr>
            <w:r>
              <w:rPr>
                <w:rFonts w:hint="default" w:ascii="Times New Roman" w:hAnsi="Times New Roman" w:eastAsia="宋体" w:cs="Times New Roman"/>
                <w:b/>
                <w:bCs/>
                <w:snapToGrid w:val="0"/>
                <w:color w:val="auto"/>
                <w:kern w:val="0"/>
                <w:sz w:val="21"/>
                <w:szCs w:val="21"/>
                <w:highlight w:val="none"/>
                <w:lang w:val="en-US" w:eastAsia="zh-CN" w:bidi="ar-SA"/>
                <w14:ligatures w14:val="none"/>
              </w:rPr>
              <w:t>表4</w:t>
            </w:r>
            <w:r>
              <w:rPr>
                <w:rFonts w:hint="eastAsia" w:ascii="Times New Roman" w:hAnsi="Times New Roman" w:eastAsia="宋体" w:cs="Times New Roman"/>
                <w:b/>
                <w:bCs/>
                <w:snapToGrid w:val="0"/>
                <w:color w:val="auto"/>
                <w:kern w:val="0"/>
                <w:sz w:val="21"/>
                <w:szCs w:val="21"/>
                <w:highlight w:val="none"/>
                <w:lang w:val="en-US" w:eastAsia="zh-CN" w:bidi="ar-SA"/>
                <w14:ligatures w14:val="none"/>
              </w:rPr>
              <w:t>.10-1</w:t>
            </w:r>
            <w:r>
              <w:rPr>
                <w:rFonts w:hint="default" w:ascii="Times New Roman" w:hAnsi="Times New Roman" w:eastAsia="宋体" w:cs="Times New Roman"/>
                <w:b/>
                <w:bCs/>
                <w:snapToGrid w:val="0"/>
                <w:color w:val="auto"/>
                <w:kern w:val="0"/>
                <w:sz w:val="21"/>
                <w:szCs w:val="21"/>
                <w:highlight w:val="none"/>
                <w:lang w:val="en-US" w:eastAsia="zh-CN" w:bidi="ar-SA"/>
                <w14:ligatures w14:val="none"/>
              </w:rPr>
              <w:t xml:space="preserve"> </w:t>
            </w:r>
            <w:r>
              <w:rPr>
                <w:rFonts w:hint="eastAsia" w:ascii="Times New Roman" w:hAnsi="Times New Roman" w:eastAsia="宋体" w:cs="Times New Roman"/>
                <w:b/>
                <w:bCs/>
                <w:snapToGrid w:val="0"/>
                <w:color w:val="auto"/>
                <w:kern w:val="0"/>
                <w:sz w:val="21"/>
                <w:szCs w:val="21"/>
                <w:highlight w:val="none"/>
                <w:lang w:val="en-US" w:eastAsia="zh-CN" w:bidi="ar-SA"/>
                <w14:ligatures w14:val="none"/>
              </w:rPr>
              <w:t xml:space="preserve"> </w:t>
            </w:r>
            <w:r>
              <w:rPr>
                <w:rFonts w:hint="default" w:ascii="Times New Roman" w:hAnsi="Times New Roman" w:eastAsia="宋体" w:cs="Times New Roman"/>
                <w:b/>
                <w:bCs/>
                <w:snapToGrid w:val="0"/>
                <w:color w:val="auto"/>
                <w:kern w:val="0"/>
                <w:sz w:val="21"/>
                <w:szCs w:val="21"/>
                <w:highlight w:val="none"/>
                <w:lang w:val="en-US" w:eastAsia="zh-CN" w:bidi="ar-SA"/>
                <w14:ligatures w14:val="none"/>
              </w:rPr>
              <w:t xml:space="preserve"> 项目固体废物产生及排放情况表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2"/>
              <w:gridCol w:w="607"/>
              <w:gridCol w:w="412"/>
              <w:gridCol w:w="803"/>
              <w:gridCol w:w="1239"/>
              <w:gridCol w:w="413"/>
              <w:gridCol w:w="413"/>
              <w:gridCol w:w="657"/>
              <w:gridCol w:w="413"/>
              <w:gridCol w:w="608"/>
              <w:gridCol w:w="657"/>
              <w:gridCol w:w="1826"/>
            </w:tblGrid>
            <w:tr w14:paraId="275F4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vAlign w:val="center"/>
                </w:tcPr>
                <w:p w14:paraId="3AF2A632">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产生环节</w:t>
                  </w:r>
                </w:p>
              </w:tc>
              <w:tc>
                <w:tcPr>
                  <w:tcW w:w="0" w:type="auto"/>
                  <w:tcBorders>
                    <w:tl2br w:val="nil"/>
                    <w:tr2bl w:val="nil"/>
                  </w:tcBorders>
                  <w:vAlign w:val="center"/>
                </w:tcPr>
                <w:p w14:paraId="57C0EB81">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名称</w:t>
                  </w:r>
                </w:p>
              </w:tc>
              <w:tc>
                <w:tcPr>
                  <w:tcW w:w="0" w:type="auto"/>
                  <w:tcBorders>
                    <w:tl2br w:val="nil"/>
                    <w:tr2bl w:val="nil"/>
                  </w:tcBorders>
                  <w:vAlign w:val="center"/>
                </w:tcPr>
                <w:p w14:paraId="298C7C5B">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属性</w:t>
                  </w:r>
                </w:p>
              </w:tc>
              <w:tc>
                <w:tcPr>
                  <w:tcW w:w="0" w:type="auto"/>
                  <w:tcBorders>
                    <w:tl2br w:val="nil"/>
                    <w:tr2bl w:val="nil"/>
                  </w:tcBorders>
                  <w:vAlign w:val="center"/>
                </w:tcPr>
                <w:p w14:paraId="0F5CBB34">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有毒</w:t>
                  </w:r>
                  <w:r>
                    <w:rPr>
                      <w:rFonts w:hint="default" w:ascii="Times New Roman" w:hAnsi="Times New Roman" w:eastAsia="宋体" w:cs="Times New Roman"/>
                      <w:b/>
                      <w:color w:val="auto"/>
                      <w:sz w:val="21"/>
                      <w:szCs w:val="21"/>
                      <w:highlight w:val="none"/>
                      <w:lang w:eastAsia="zh-CN"/>
                    </w:rPr>
                    <w:t>有害物质</w:t>
                  </w:r>
                  <w:r>
                    <w:rPr>
                      <w:rFonts w:hint="default" w:ascii="Times New Roman" w:hAnsi="Times New Roman" w:eastAsia="宋体" w:cs="Times New Roman"/>
                      <w:b/>
                      <w:color w:val="auto"/>
                      <w:sz w:val="21"/>
                      <w:szCs w:val="21"/>
                      <w:highlight w:val="none"/>
                    </w:rPr>
                    <w:t>名称</w:t>
                  </w:r>
                </w:p>
              </w:tc>
              <w:tc>
                <w:tcPr>
                  <w:tcW w:w="0" w:type="auto"/>
                  <w:tcBorders>
                    <w:tl2br w:val="nil"/>
                    <w:tr2bl w:val="nil"/>
                  </w:tcBorders>
                  <w:vAlign w:val="center"/>
                </w:tcPr>
                <w:p w14:paraId="055466F1">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固体废物及危险废物编码</w:t>
                  </w:r>
                </w:p>
              </w:tc>
              <w:tc>
                <w:tcPr>
                  <w:tcW w:w="0" w:type="auto"/>
                  <w:tcBorders>
                    <w:tl2br w:val="nil"/>
                    <w:tr2bl w:val="nil"/>
                  </w:tcBorders>
                  <w:vAlign w:val="center"/>
                </w:tcPr>
                <w:p w14:paraId="41FF941C">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物理形状</w:t>
                  </w:r>
                </w:p>
              </w:tc>
              <w:tc>
                <w:tcPr>
                  <w:tcW w:w="0" w:type="auto"/>
                  <w:tcBorders>
                    <w:tl2br w:val="nil"/>
                    <w:tr2bl w:val="nil"/>
                  </w:tcBorders>
                  <w:vAlign w:val="center"/>
                </w:tcPr>
                <w:p w14:paraId="5E937B5F">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环境危险特性</w:t>
                  </w:r>
                </w:p>
              </w:tc>
              <w:tc>
                <w:tcPr>
                  <w:tcW w:w="0" w:type="auto"/>
                  <w:tcBorders>
                    <w:tl2br w:val="nil"/>
                    <w:tr2bl w:val="nil"/>
                  </w:tcBorders>
                  <w:vAlign w:val="center"/>
                </w:tcPr>
                <w:p w14:paraId="78C8F60A">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产生量(t/a)</w:t>
                  </w:r>
                </w:p>
              </w:tc>
              <w:tc>
                <w:tcPr>
                  <w:tcW w:w="0" w:type="auto"/>
                  <w:tcBorders>
                    <w:tl2br w:val="nil"/>
                    <w:tr2bl w:val="nil"/>
                  </w:tcBorders>
                  <w:vAlign w:val="center"/>
                </w:tcPr>
                <w:p w14:paraId="05B618DC">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贮存方式</w:t>
                  </w:r>
                </w:p>
              </w:tc>
              <w:tc>
                <w:tcPr>
                  <w:tcW w:w="0" w:type="auto"/>
                  <w:tcBorders>
                    <w:tl2br w:val="nil"/>
                    <w:tr2bl w:val="nil"/>
                  </w:tcBorders>
                  <w:vAlign w:val="center"/>
                </w:tcPr>
                <w:p w14:paraId="50897826">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利用处置方式和去向</w:t>
                  </w:r>
                </w:p>
              </w:tc>
              <w:tc>
                <w:tcPr>
                  <w:tcW w:w="0" w:type="auto"/>
                  <w:tcBorders>
                    <w:tl2br w:val="nil"/>
                    <w:tr2bl w:val="nil"/>
                  </w:tcBorders>
                  <w:vAlign w:val="center"/>
                </w:tcPr>
                <w:p w14:paraId="0DE8C264">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利用或处置量(t/a)</w:t>
                  </w:r>
                </w:p>
              </w:tc>
              <w:tc>
                <w:tcPr>
                  <w:tcW w:w="0" w:type="auto"/>
                  <w:tcBorders>
                    <w:tl2br w:val="nil"/>
                    <w:tr2bl w:val="nil"/>
                  </w:tcBorders>
                  <w:vAlign w:val="center"/>
                </w:tcPr>
                <w:p w14:paraId="74EDE527">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环境管理要求</w:t>
                  </w:r>
                </w:p>
              </w:tc>
            </w:tr>
            <w:tr w14:paraId="54736B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vAlign w:val="center"/>
                </w:tcPr>
                <w:p w14:paraId="4FBF4DFB">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生活区</w:t>
                  </w:r>
                </w:p>
              </w:tc>
              <w:tc>
                <w:tcPr>
                  <w:tcW w:w="0" w:type="auto"/>
                  <w:tcBorders>
                    <w:tl2br w:val="nil"/>
                    <w:tr2bl w:val="nil"/>
                  </w:tcBorders>
                  <w:vAlign w:val="center"/>
                </w:tcPr>
                <w:p w14:paraId="44BA10AC">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生活垃圾</w:t>
                  </w:r>
                </w:p>
              </w:tc>
              <w:tc>
                <w:tcPr>
                  <w:tcW w:w="0" w:type="auto"/>
                  <w:tcBorders>
                    <w:tl2br w:val="nil"/>
                    <w:tr2bl w:val="nil"/>
                  </w:tcBorders>
                  <w:vAlign w:val="center"/>
                </w:tcPr>
                <w:p w14:paraId="2871C5A5">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生活垃圾</w:t>
                  </w:r>
                </w:p>
              </w:tc>
              <w:tc>
                <w:tcPr>
                  <w:tcW w:w="0" w:type="auto"/>
                  <w:tcBorders>
                    <w:tl2br w:val="nil"/>
                    <w:tr2bl w:val="nil"/>
                  </w:tcBorders>
                  <w:vAlign w:val="center"/>
                </w:tcPr>
                <w:p w14:paraId="45B6AA9E">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无</w:t>
                  </w:r>
                </w:p>
              </w:tc>
              <w:tc>
                <w:tcPr>
                  <w:tcW w:w="0" w:type="auto"/>
                  <w:tcBorders>
                    <w:tl2br w:val="nil"/>
                    <w:tr2bl w:val="nil"/>
                  </w:tcBorders>
                  <w:vAlign w:val="center"/>
                </w:tcPr>
                <w:p w14:paraId="24E892D4">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900-002-S62</w:t>
                  </w:r>
                </w:p>
              </w:tc>
              <w:tc>
                <w:tcPr>
                  <w:tcW w:w="0" w:type="auto"/>
                  <w:tcBorders>
                    <w:tl2br w:val="nil"/>
                    <w:tr2bl w:val="nil"/>
                  </w:tcBorders>
                  <w:vAlign w:val="center"/>
                </w:tcPr>
                <w:p w14:paraId="7D6F0D2A">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固态</w:t>
                  </w:r>
                </w:p>
              </w:tc>
              <w:tc>
                <w:tcPr>
                  <w:tcW w:w="0" w:type="auto"/>
                  <w:tcBorders>
                    <w:tl2br w:val="nil"/>
                    <w:tr2bl w:val="nil"/>
                  </w:tcBorders>
                  <w:vAlign w:val="center"/>
                </w:tcPr>
                <w:p w14:paraId="6FD00118">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无</w:t>
                  </w:r>
                </w:p>
              </w:tc>
              <w:tc>
                <w:tcPr>
                  <w:tcW w:w="0" w:type="auto"/>
                  <w:tcBorders>
                    <w:tl2br w:val="nil"/>
                    <w:tr2bl w:val="nil"/>
                  </w:tcBorders>
                  <w:vAlign w:val="center"/>
                </w:tcPr>
                <w:p w14:paraId="53391361">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1.825</w:t>
                  </w:r>
                </w:p>
              </w:tc>
              <w:tc>
                <w:tcPr>
                  <w:tcW w:w="0" w:type="auto"/>
                  <w:tcBorders>
                    <w:tl2br w:val="nil"/>
                    <w:tr2bl w:val="nil"/>
                  </w:tcBorders>
                  <w:vAlign w:val="center"/>
                </w:tcPr>
                <w:p w14:paraId="2F2385A4">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r>
                    <w:rPr>
                      <w:rFonts w:hint="eastAsia" w:cs="Times New Roman"/>
                      <w:bCs/>
                      <w:color w:val="auto"/>
                      <w:sz w:val="21"/>
                      <w:szCs w:val="21"/>
                      <w:highlight w:val="none"/>
                      <w:lang w:val="en-US" w:eastAsia="zh-CN"/>
                    </w:rPr>
                    <w:t>集中收集</w:t>
                  </w:r>
                </w:p>
              </w:tc>
              <w:tc>
                <w:tcPr>
                  <w:tcW w:w="0" w:type="auto"/>
                  <w:tcBorders>
                    <w:tl2br w:val="nil"/>
                    <w:tr2bl w:val="nil"/>
                  </w:tcBorders>
                  <w:vAlign w:val="center"/>
                </w:tcPr>
                <w:p w14:paraId="5AC13E2D">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交由环卫部门处理</w:t>
                  </w:r>
                </w:p>
              </w:tc>
              <w:tc>
                <w:tcPr>
                  <w:tcW w:w="0" w:type="auto"/>
                  <w:tcBorders>
                    <w:tl2br w:val="nil"/>
                    <w:tr2bl w:val="nil"/>
                  </w:tcBorders>
                  <w:vAlign w:val="center"/>
                </w:tcPr>
                <w:p w14:paraId="2189EBAA">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1.825</w:t>
                  </w:r>
                </w:p>
              </w:tc>
              <w:tc>
                <w:tcPr>
                  <w:tcW w:w="0" w:type="auto"/>
                  <w:tcBorders>
                    <w:tl2br w:val="nil"/>
                    <w:tr2bl w:val="nil"/>
                  </w:tcBorders>
                  <w:vAlign w:val="center"/>
                </w:tcPr>
                <w:p w14:paraId="2B06F457">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w:t>
                  </w:r>
                  <w:r>
                    <w:rPr>
                      <w:rFonts w:hint="default" w:ascii="Times New Roman" w:hAnsi="Times New Roman" w:eastAsia="宋体" w:cs="Times New Roman"/>
                      <w:color w:val="auto"/>
                      <w:sz w:val="21"/>
                      <w:szCs w:val="21"/>
                      <w:highlight w:val="none"/>
                    </w:rPr>
                    <w:t>生活垃圾填埋场污染控制标准》（GB16889-20</w:t>
                  </w:r>
                  <w:r>
                    <w:rPr>
                      <w:rFonts w:hint="eastAsia" w:cs="Times New Roman"/>
                      <w:color w:val="auto"/>
                      <w:sz w:val="21"/>
                      <w:szCs w:val="21"/>
                      <w:highlight w:val="none"/>
                      <w:lang w:val="en-US" w:eastAsia="zh-CN"/>
                    </w:rPr>
                    <w:t>24</w:t>
                  </w:r>
                  <w:r>
                    <w:rPr>
                      <w:rFonts w:hint="default" w:ascii="Times New Roman" w:hAnsi="Times New Roman" w:eastAsia="宋体" w:cs="Times New Roman"/>
                      <w:color w:val="auto"/>
                      <w:sz w:val="21"/>
                      <w:szCs w:val="21"/>
                      <w:highlight w:val="none"/>
                    </w:rPr>
                    <w:t>）</w:t>
                  </w:r>
                </w:p>
              </w:tc>
            </w:tr>
            <w:tr w14:paraId="512DE1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tcBorders>
                    <w:tl2br w:val="nil"/>
                    <w:tr2bl w:val="nil"/>
                  </w:tcBorders>
                  <w:vAlign w:val="center"/>
                </w:tcPr>
                <w:p w14:paraId="63B9BEB3">
                  <w:pPr>
                    <w:pageBreakBefore w:val="0"/>
                    <w:kinsoku/>
                    <w:wordWrap/>
                    <w:overflowPunct/>
                    <w:topLinePunct w:val="0"/>
                    <w:bidi w:val="0"/>
                    <w:adjustRightInd w:val="0"/>
                    <w:snapToGrid w:val="0"/>
                    <w:spacing w:line="240" w:lineRule="auto"/>
                    <w:jc w:val="center"/>
                    <w:rPr>
                      <w:rFonts w:hint="eastAsia"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仓库</w:t>
                  </w:r>
                </w:p>
              </w:tc>
              <w:tc>
                <w:tcPr>
                  <w:tcW w:w="0" w:type="auto"/>
                  <w:tcBorders>
                    <w:tl2br w:val="nil"/>
                    <w:tr2bl w:val="nil"/>
                  </w:tcBorders>
                  <w:vAlign w:val="center"/>
                </w:tcPr>
                <w:p w14:paraId="054E1F07">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r>
                    <w:rPr>
                      <w:rFonts w:hint="eastAsia"/>
                      <w:sz w:val="21"/>
                      <w:szCs w:val="21"/>
                      <w:highlight w:val="none"/>
                    </w:rPr>
                    <w:t>过期、残次、破损炸药/雷管</w:t>
                  </w:r>
                </w:p>
              </w:tc>
              <w:tc>
                <w:tcPr>
                  <w:tcW w:w="0" w:type="auto"/>
                  <w:tcBorders>
                    <w:tl2br w:val="nil"/>
                    <w:tr2bl w:val="nil"/>
                  </w:tcBorders>
                  <w:vAlign w:val="center"/>
                </w:tcPr>
                <w:p w14:paraId="56644D82">
                  <w:pPr>
                    <w:pageBreakBefore w:val="0"/>
                    <w:kinsoku/>
                    <w:wordWrap/>
                    <w:overflowPunct/>
                    <w:topLinePunct w:val="0"/>
                    <w:bidi w:val="0"/>
                    <w:adjustRightInd w:val="0"/>
                    <w:snapToGrid w:val="0"/>
                    <w:spacing w:line="240" w:lineRule="auto"/>
                    <w:jc w:val="center"/>
                    <w:rPr>
                      <w:rFonts w:hint="eastAsia"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危险废物</w:t>
                  </w:r>
                </w:p>
              </w:tc>
              <w:tc>
                <w:tcPr>
                  <w:tcW w:w="0" w:type="auto"/>
                  <w:tcBorders>
                    <w:tl2br w:val="nil"/>
                    <w:tr2bl w:val="nil"/>
                  </w:tcBorders>
                  <w:vAlign w:val="center"/>
                </w:tcPr>
                <w:p w14:paraId="5508B1CC">
                  <w:pPr>
                    <w:pageBreakBefore w:val="0"/>
                    <w:kinsoku/>
                    <w:wordWrap/>
                    <w:overflowPunct/>
                    <w:topLinePunct w:val="0"/>
                    <w:bidi w:val="0"/>
                    <w:adjustRightInd w:val="0"/>
                    <w:snapToGrid w:val="0"/>
                    <w:spacing w:line="240" w:lineRule="auto"/>
                    <w:jc w:val="center"/>
                    <w:rPr>
                      <w:rFonts w:hint="eastAsia"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rPr>
                    <w:t>硝酸铵</w:t>
                  </w:r>
                  <w:r>
                    <w:rPr>
                      <w:rFonts w:hint="eastAsia" w:cs="Times New Roman"/>
                      <w:bCs/>
                      <w:color w:val="auto"/>
                      <w:sz w:val="21"/>
                      <w:szCs w:val="21"/>
                      <w:highlight w:val="none"/>
                      <w:lang w:eastAsia="zh-CN"/>
                    </w:rPr>
                    <w:t>、</w:t>
                  </w:r>
                </w:p>
                <w:p w14:paraId="0D014C20">
                  <w:pPr>
                    <w:pageBreakBefore w:val="0"/>
                    <w:kinsoku/>
                    <w:wordWrap/>
                    <w:overflowPunct/>
                    <w:topLinePunct w:val="0"/>
                    <w:bidi w:val="0"/>
                    <w:adjustRightInd w:val="0"/>
                    <w:snapToGrid w:val="0"/>
                    <w:spacing w:line="240" w:lineRule="auto"/>
                    <w:jc w:val="center"/>
                    <w:rPr>
                      <w:rFonts w:hint="eastAsia"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rPr>
                    <w:t>柴油</w:t>
                  </w:r>
                  <w:r>
                    <w:rPr>
                      <w:rFonts w:hint="eastAsia" w:cs="Times New Roman"/>
                      <w:bCs/>
                      <w:color w:val="auto"/>
                      <w:sz w:val="21"/>
                      <w:szCs w:val="21"/>
                      <w:highlight w:val="none"/>
                      <w:lang w:eastAsia="zh-CN"/>
                    </w:rPr>
                    <w:t>、</w:t>
                  </w:r>
                </w:p>
                <w:p w14:paraId="5250BC08">
                  <w:pPr>
                    <w:pageBreakBefore w:val="0"/>
                    <w:kinsoku/>
                    <w:wordWrap/>
                    <w:overflowPunct/>
                    <w:topLinePunct w:val="0"/>
                    <w:bidi w:val="0"/>
                    <w:adjustRightInd w:val="0"/>
                    <w:snapToGrid w:val="0"/>
                    <w:spacing w:line="240" w:lineRule="auto"/>
                    <w:jc w:val="center"/>
                    <w:rPr>
                      <w:rFonts w:hint="eastAsia"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rPr>
                    <w:t>环三亚甲基三硝胺（黑索金）</w:t>
                  </w:r>
                  <w:r>
                    <w:rPr>
                      <w:rFonts w:hint="eastAsia" w:cs="Times New Roman"/>
                      <w:bCs/>
                      <w:color w:val="auto"/>
                      <w:sz w:val="21"/>
                      <w:szCs w:val="21"/>
                      <w:highlight w:val="none"/>
                      <w:lang w:eastAsia="zh-CN"/>
                    </w:rPr>
                    <w:t>、</w:t>
                  </w:r>
                </w:p>
                <w:p w14:paraId="1A906A8A">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二硝基重氮酚</w:t>
                  </w:r>
                </w:p>
              </w:tc>
              <w:tc>
                <w:tcPr>
                  <w:tcW w:w="0" w:type="auto"/>
                  <w:tcBorders>
                    <w:tl2br w:val="nil"/>
                    <w:tr2bl w:val="nil"/>
                  </w:tcBorders>
                  <w:vAlign w:val="center"/>
                </w:tcPr>
                <w:p w14:paraId="4CF40365">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900-999-49</w:t>
                  </w:r>
                </w:p>
              </w:tc>
              <w:tc>
                <w:tcPr>
                  <w:tcW w:w="0" w:type="auto"/>
                  <w:tcBorders>
                    <w:tl2br w:val="nil"/>
                    <w:tr2bl w:val="nil"/>
                  </w:tcBorders>
                  <w:vAlign w:val="center"/>
                </w:tcPr>
                <w:p w14:paraId="27639F58">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固态</w:t>
                  </w:r>
                </w:p>
              </w:tc>
              <w:tc>
                <w:tcPr>
                  <w:tcW w:w="0" w:type="auto"/>
                  <w:tcBorders>
                    <w:tl2br w:val="nil"/>
                    <w:tr2bl w:val="nil"/>
                  </w:tcBorders>
                  <w:vAlign w:val="center"/>
                </w:tcPr>
                <w:p w14:paraId="3540AB32">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R</w:t>
                  </w:r>
                </w:p>
              </w:tc>
              <w:tc>
                <w:tcPr>
                  <w:tcW w:w="0" w:type="auto"/>
                  <w:tcBorders>
                    <w:tl2br w:val="nil"/>
                    <w:tr2bl w:val="nil"/>
                  </w:tcBorders>
                  <w:vAlign w:val="center"/>
                </w:tcPr>
                <w:p w14:paraId="0D0E0060">
                  <w:pPr>
                    <w:pageBreakBefore w:val="0"/>
                    <w:kinsoku/>
                    <w:wordWrap/>
                    <w:overflowPunct/>
                    <w:topLinePunct w:val="0"/>
                    <w:bidi w:val="0"/>
                    <w:adjustRightInd w:val="0"/>
                    <w:snapToGrid w:val="0"/>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0.3</w:t>
                  </w:r>
                </w:p>
              </w:tc>
              <w:tc>
                <w:tcPr>
                  <w:tcW w:w="0" w:type="auto"/>
                  <w:tcBorders>
                    <w:tl2br w:val="nil"/>
                    <w:tr2bl w:val="nil"/>
                  </w:tcBorders>
                  <w:vAlign w:val="center"/>
                </w:tcPr>
                <w:p w14:paraId="291972E7">
                  <w:pPr>
                    <w:pageBreakBefore w:val="0"/>
                    <w:kinsoku/>
                    <w:wordWrap/>
                    <w:overflowPunct/>
                    <w:topLinePunct w:val="0"/>
                    <w:bidi w:val="0"/>
                    <w:adjustRightInd w:val="0"/>
                    <w:snapToGrid w:val="0"/>
                    <w:spacing w:line="240" w:lineRule="auto"/>
                    <w:jc w:val="center"/>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集中收集</w:t>
                  </w:r>
                </w:p>
              </w:tc>
              <w:tc>
                <w:tcPr>
                  <w:tcW w:w="0" w:type="auto"/>
                  <w:tcBorders>
                    <w:tl2br w:val="nil"/>
                    <w:tr2bl w:val="nil"/>
                  </w:tcBorders>
                  <w:vAlign w:val="center"/>
                </w:tcPr>
                <w:p w14:paraId="0C2CEB2A">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由民用爆炸物品行业主管部门、所在地县级人民政府公安机关组织监督销毁</w:t>
                  </w:r>
                </w:p>
              </w:tc>
              <w:tc>
                <w:tcPr>
                  <w:tcW w:w="0" w:type="auto"/>
                  <w:tcBorders>
                    <w:tl2br w:val="nil"/>
                    <w:tr2bl w:val="nil"/>
                  </w:tcBorders>
                  <w:vAlign w:val="center"/>
                </w:tcPr>
                <w:p w14:paraId="32641020">
                  <w:pPr>
                    <w:pageBreakBefore w:val="0"/>
                    <w:kinsoku/>
                    <w:wordWrap/>
                    <w:overflowPunct/>
                    <w:topLinePunct w:val="0"/>
                    <w:bidi w:val="0"/>
                    <w:adjustRightInd w:val="0"/>
                    <w:snapToGrid w:val="0"/>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0.3</w:t>
                  </w:r>
                </w:p>
              </w:tc>
              <w:tc>
                <w:tcPr>
                  <w:tcW w:w="0" w:type="auto"/>
                  <w:tcBorders>
                    <w:tl2br w:val="nil"/>
                    <w:tr2bl w:val="nil"/>
                  </w:tcBorders>
                  <w:vAlign w:val="center"/>
                </w:tcPr>
                <w:p w14:paraId="7DFD95CD">
                  <w:pPr>
                    <w:pageBreakBefore w:val="0"/>
                    <w:kinsoku/>
                    <w:wordWrap/>
                    <w:overflowPunct/>
                    <w:topLinePunct w:val="0"/>
                    <w:bidi w:val="0"/>
                    <w:adjustRightInd w:val="0"/>
                    <w:snapToGrid w:val="0"/>
                    <w:spacing w:line="240" w:lineRule="auto"/>
                    <w:jc w:val="center"/>
                    <w:rPr>
                      <w:rFonts w:hint="eastAsia"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r>
            <w:bookmarkEnd w:id="19"/>
            <w:bookmarkEnd w:id="20"/>
            <w:bookmarkEnd w:id="21"/>
            <w:bookmarkEnd w:id="22"/>
          </w:tbl>
          <w:p w14:paraId="1F371F4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）生活</w:t>
            </w:r>
            <w:r>
              <w:rPr>
                <w:rFonts w:hint="eastAsia" w:cs="Times New Roman"/>
                <w:color w:val="auto"/>
                <w:sz w:val="24"/>
                <w:szCs w:val="24"/>
                <w:highlight w:val="none"/>
                <w:lang w:val="en-US" w:eastAsia="zh-CN"/>
              </w:rPr>
              <w:t>垃圾</w:t>
            </w:r>
          </w:p>
          <w:p w14:paraId="08C5500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项目定员</w:t>
            </w:r>
            <w:r>
              <w:rPr>
                <w:rFonts w:hint="eastAsia"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人，按每人每天产生生活垃圾0.5kg计算，项目年</w:t>
            </w:r>
            <w:r>
              <w:rPr>
                <w:rFonts w:hint="eastAsia" w:cs="Times New Roman"/>
                <w:color w:val="auto"/>
                <w:sz w:val="24"/>
                <w:szCs w:val="24"/>
                <w:highlight w:val="none"/>
                <w:lang w:val="en-US" w:eastAsia="zh-CN"/>
              </w:rPr>
              <w:t>工作365</w:t>
            </w:r>
            <w:r>
              <w:rPr>
                <w:rFonts w:hint="default" w:ascii="Times New Roman" w:hAnsi="Times New Roman" w:eastAsia="宋体" w:cs="Times New Roman"/>
                <w:color w:val="auto"/>
                <w:sz w:val="24"/>
                <w:szCs w:val="24"/>
                <w:highlight w:val="none"/>
              </w:rPr>
              <w:t>天，则年产生量为</w:t>
            </w:r>
            <w:r>
              <w:rPr>
                <w:rFonts w:hint="eastAsia" w:cs="Times New Roman"/>
                <w:color w:val="auto"/>
                <w:sz w:val="24"/>
                <w:szCs w:val="24"/>
                <w:highlight w:val="none"/>
                <w:lang w:val="en-US" w:eastAsia="zh-CN"/>
              </w:rPr>
              <w:t>1.825</w:t>
            </w:r>
            <w:r>
              <w:rPr>
                <w:rFonts w:hint="default" w:ascii="Times New Roman" w:hAnsi="Times New Roman" w:eastAsia="宋体" w:cs="Times New Roman"/>
                <w:color w:val="auto"/>
                <w:sz w:val="24"/>
                <w:szCs w:val="24"/>
                <w:highlight w:val="none"/>
              </w:rPr>
              <w:t>t/a</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集中收集定期交由环卫部门进行处理。</w:t>
            </w:r>
          </w:p>
          <w:p w14:paraId="3F508E4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（2）过期、残次、破损炸药/雷管</w:t>
            </w:r>
          </w:p>
          <w:p w14:paraId="154EECE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年产生量为</w:t>
            </w:r>
            <w:r>
              <w:rPr>
                <w:rFonts w:hint="eastAsia" w:cs="Times New Roman"/>
                <w:color w:val="auto"/>
                <w:sz w:val="24"/>
                <w:szCs w:val="24"/>
                <w:highlight w:val="none"/>
                <w:lang w:val="en-US" w:eastAsia="zh-CN"/>
              </w:rPr>
              <w:t>0.3</w:t>
            </w:r>
            <w:r>
              <w:rPr>
                <w:rFonts w:hint="default" w:ascii="Times New Roman" w:hAnsi="Times New Roman" w:eastAsia="宋体" w:cs="Times New Roman"/>
                <w:color w:val="auto"/>
                <w:sz w:val="24"/>
                <w:szCs w:val="24"/>
                <w:highlight w:val="none"/>
              </w:rPr>
              <w:t>t/a</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集中收集由民用爆炸物品行业主管部门、所在地县级人民政府公安机关组织监督销毁。</w:t>
            </w:r>
          </w:p>
          <w:p w14:paraId="776DAD25">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4.</w:t>
            </w:r>
            <w:r>
              <w:rPr>
                <w:rFonts w:hint="eastAsia" w:ascii="Times New Roman" w:hAnsi="Times New Roman" w:eastAsia="宋体" w:cs="Times New Roman"/>
                <w:b/>
                <w:bCs/>
                <w:color w:val="auto"/>
                <w:sz w:val="24"/>
                <w:szCs w:val="24"/>
                <w:highlight w:val="none"/>
                <w:lang w:val="en-US" w:eastAsia="zh-CN"/>
              </w:rPr>
              <w:t>10</w:t>
            </w:r>
            <w:r>
              <w:rPr>
                <w:rFonts w:hint="default" w:ascii="Times New Roman" w:hAnsi="Times New Roman" w:eastAsia="宋体" w:cs="Times New Roman"/>
                <w:b/>
                <w:bCs/>
                <w:color w:val="auto"/>
                <w:sz w:val="24"/>
                <w:szCs w:val="24"/>
                <w:highlight w:val="none"/>
              </w:rPr>
              <w:t>.</w:t>
            </w:r>
            <w:r>
              <w:rPr>
                <w:rFonts w:hint="eastAsia" w:cs="Times New Roman"/>
                <w:b/>
                <w:bCs/>
                <w:color w:val="auto"/>
                <w:sz w:val="24"/>
                <w:szCs w:val="24"/>
                <w:highlight w:val="none"/>
                <w:lang w:val="en-US" w:eastAsia="zh-CN"/>
              </w:rPr>
              <w:t>1危险废物</w:t>
            </w:r>
            <w:r>
              <w:rPr>
                <w:rFonts w:hint="default" w:ascii="Times New Roman" w:hAnsi="Times New Roman" w:eastAsia="宋体" w:cs="Times New Roman"/>
                <w:b/>
                <w:bCs/>
                <w:color w:val="auto"/>
                <w:sz w:val="24"/>
                <w:szCs w:val="24"/>
                <w:highlight w:val="none"/>
              </w:rPr>
              <w:t>防治措施</w:t>
            </w:r>
          </w:p>
          <w:p w14:paraId="21BFB99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hint="eastAsia"/>
                <w:highlight w:val="none"/>
                <w:lang w:eastAsia="zh-CN"/>
              </w:rPr>
            </w:pPr>
            <w:r>
              <w:rPr>
                <w:rFonts w:hint="eastAsia"/>
                <w:highlight w:val="none"/>
                <w:lang w:val="en-US" w:eastAsia="zh-CN"/>
              </w:rPr>
              <w:t>过期</w:t>
            </w:r>
            <w:r>
              <w:rPr>
                <w:rFonts w:hint="eastAsia"/>
                <w:highlight w:val="none"/>
              </w:rPr>
              <w:t>期、残次民用爆炸物品：废物代码900-999-49是指“被所有者申报废弃的，或未申报废弃但被非法排放、倾倒、利用、处置的，以及有关部门依法收缴或接收且需要销毁的列入《危险化学品目录》的危险化学品（不含该目录中仅具有“加压气体”物理危险性的危险化学品）”</w:t>
            </w:r>
            <w:r>
              <w:rPr>
                <w:rFonts w:hint="eastAsia"/>
                <w:highlight w:val="none"/>
                <w:lang w:eastAsia="zh-CN"/>
              </w:rPr>
              <w:t>。</w:t>
            </w:r>
          </w:p>
          <w:p w14:paraId="3E63286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hint="eastAsia"/>
                <w:highlight w:val="none"/>
              </w:rPr>
            </w:pPr>
            <w:r>
              <w:rPr>
                <w:rFonts w:hint="eastAsia"/>
                <w:highlight w:val="none"/>
              </w:rPr>
              <w:t>本项目民用爆炸物品中部分成分（硝酸铵、黑索金）属于《危险化学品目录》的危险化学品。因此本项目将过期或残损而淘汰或放弃的民用爆炸物品列为危险废物。正常情况下基本不会产生过期、残次的民用爆炸物品。本环评按最不利因素考虑，本项目实施后过期、残次的民用爆炸物品产生量（多年平均）按0.</w:t>
            </w:r>
            <w:r>
              <w:rPr>
                <w:rFonts w:hint="eastAsia"/>
                <w:highlight w:val="none"/>
                <w:lang w:val="en-US" w:eastAsia="zh-CN"/>
              </w:rPr>
              <w:t>3</w:t>
            </w:r>
            <w:r>
              <w:rPr>
                <w:rFonts w:hint="eastAsia"/>
                <w:highlight w:val="none"/>
              </w:rPr>
              <w:t>t/a计。根据《民用爆炸物品安全管理条例》（中华人民共和国国务院令第466号）第四十三条中规定：“民用爆炸物品变质和过期失效的，应当及时清理出库，并予以销毁。销毁前应当登记造册，提出销毁实施方案，报省、自治区、直辖市人民政府民用爆炸物品行业主管部门、所在地县级人民政府公安机关组织监督销毁”。</w:t>
            </w:r>
          </w:p>
          <w:p w14:paraId="6831C42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color w:val="auto"/>
                <w:sz w:val="24"/>
                <w:szCs w:val="24"/>
                <w:highlight w:val="none"/>
              </w:rPr>
            </w:pPr>
            <w:r>
              <w:rPr>
                <w:rFonts w:hint="eastAsia"/>
                <w:highlight w:val="none"/>
              </w:rPr>
              <w:t>本项目总库区设置专职保管员进行定期巡查、盘点，可及时发现过期、残次的民用爆炸物品，并及时清理出库（本项目库区不设置危险废物暂存库），登记造册，企业已制定完备的销毁实施方案，及时报人民政府民用爆炸物品行业主管部门、所在地县级人民政府公安机关组织监督销毁。</w:t>
            </w:r>
          </w:p>
          <w:p w14:paraId="0D0AA3ED">
            <w:pPr>
              <w:keepNext w:val="0"/>
              <w:keepLines w:val="0"/>
              <w:pageBreakBefore w:val="0"/>
              <w:widowControl w:val="0"/>
              <w:kinsoku/>
              <w:wordWrap/>
              <w:overflowPunct/>
              <w:topLinePunct w:val="0"/>
              <w:autoSpaceDE/>
              <w:autoSpaceDN/>
              <w:bidi w:val="0"/>
              <w:adjustRightInd w:val="0"/>
              <w:snapToGrid w:val="0"/>
              <w:spacing w:line="500" w:lineRule="exac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4.</w:t>
            </w:r>
            <w:r>
              <w:rPr>
                <w:rFonts w:hint="eastAsia" w:ascii="Times New Roman" w:hAnsi="Times New Roman" w:eastAsia="宋体" w:cs="Times New Roman"/>
                <w:b/>
                <w:bCs/>
                <w:color w:val="auto"/>
                <w:sz w:val="24"/>
                <w:szCs w:val="24"/>
                <w:highlight w:val="none"/>
                <w:lang w:val="en-US" w:eastAsia="zh-CN"/>
              </w:rPr>
              <w:t>10</w:t>
            </w:r>
            <w:r>
              <w:rPr>
                <w:rFonts w:hint="default" w:ascii="Times New Roman" w:hAnsi="Times New Roman" w:eastAsia="宋体" w:cs="Times New Roman"/>
                <w:b/>
                <w:bCs/>
                <w:color w:val="auto"/>
                <w:sz w:val="24"/>
                <w:szCs w:val="24"/>
                <w:highlight w:val="none"/>
              </w:rPr>
              <w:t>.</w:t>
            </w:r>
            <w:r>
              <w:rPr>
                <w:rFonts w:hint="eastAsia"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rPr>
              <w:t>生活垃圾防治措施</w:t>
            </w:r>
          </w:p>
          <w:p w14:paraId="21BD80B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rPr>
                <w:rFonts w:hint="default" w:ascii="Times New Roman" w:hAnsi="Times New Roman" w:eastAsia="宋体" w:cs="Times New Roman"/>
                <w:snapToGrid w:val="0"/>
                <w:color w:val="auto"/>
                <w:kern w:val="0"/>
                <w:sz w:val="24"/>
                <w:szCs w:val="24"/>
                <w:highlight w:val="none"/>
                <w:lang w:val="en-US" w:eastAsia="zh-CN" w:bidi="ar-SA"/>
                <w14:ligatures w14:val="none"/>
              </w:rPr>
            </w:pPr>
            <w:r>
              <w:rPr>
                <w:rFonts w:hint="default" w:ascii="Times New Roman" w:hAnsi="Times New Roman" w:eastAsia="宋体" w:cs="Times New Roman"/>
                <w:color w:val="auto"/>
                <w:sz w:val="24"/>
                <w:szCs w:val="24"/>
                <w:highlight w:val="none"/>
                <w:lang w:eastAsia="zh-CN"/>
              </w:rPr>
              <w:t>项目区设置垃圾桶收集生活垃圾，对生活垃圾集中分类收集，交由环卫部门处理。</w:t>
            </w:r>
          </w:p>
          <w:p w14:paraId="57C29D41">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rPr>
              <w:t>4.</w:t>
            </w:r>
            <w:r>
              <w:rPr>
                <w:rFonts w:hint="eastAsia" w:ascii="Times New Roman" w:hAnsi="Times New Roman" w:eastAsia="宋体" w:cs="Times New Roman"/>
                <w:b/>
                <w:bCs/>
                <w:color w:val="auto"/>
                <w:sz w:val="24"/>
                <w:szCs w:val="24"/>
                <w:highlight w:val="none"/>
                <w:lang w:val="en-US" w:eastAsia="zh-CN"/>
              </w:rPr>
              <w:t>10</w:t>
            </w:r>
            <w:r>
              <w:rPr>
                <w:rFonts w:hint="default" w:ascii="Times New Roman" w:hAnsi="Times New Roman" w:eastAsia="宋体" w:cs="Times New Roman"/>
                <w:b/>
                <w:bCs/>
                <w:color w:val="auto"/>
                <w:sz w:val="24"/>
                <w:szCs w:val="24"/>
                <w:highlight w:val="none"/>
              </w:rPr>
              <w:t>.</w:t>
            </w:r>
            <w:r>
              <w:rPr>
                <w:rFonts w:hint="eastAsia"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环境管理</w:t>
            </w:r>
            <w:r>
              <w:rPr>
                <w:rFonts w:hint="eastAsia" w:ascii="Times New Roman" w:hAnsi="Times New Roman" w:eastAsia="宋体" w:cs="Times New Roman"/>
                <w:b/>
                <w:bCs/>
                <w:color w:val="auto"/>
                <w:sz w:val="24"/>
                <w:szCs w:val="24"/>
                <w:highlight w:val="none"/>
                <w:lang w:val="en-US" w:eastAsia="zh-CN"/>
              </w:rPr>
              <w:t>与监测计划</w:t>
            </w:r>
          </w:p>
          <w:p w14:paraId="2A2A91B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highlight w:val="none"/>
              </w:rPr>
            </w:pPr>
            <w:r>
              <w:rPr>
                <w:rFonts w:hint="eastAsia"/>
                <w:highlight w:val="none"/>
              </w:rPr>
              <w:t>（1）环境管理</w:t>
            </w:r>
          </w:p>
          <w:p w14:paraId="0DECFA5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highlight w:val="none"/>
              </w:rPr>
            </w:pPr>
            <w:r>
              <w:rPr>
                <w:rFonts w:hint="eastAsia"/>
                <w:highlight w:val="none"/>
                <w:lang w:val="en-US" w:eastAsia="zh-CN"/>
              </w:rPr>
              <w:t>1）</w:t>
            </w:r>
            <w:r>
              <w:rPr>
                <w:rFonts w:hint="eastAsia"/>
                <w:highlight w:val="none"/>
              </w:rPr>
              <w:t>根据实际情况，建立环境保护领导小组，专门研究、决策有关环境保护方面的事宜，承担日常环保工作和环境监测工作，使各项环境保护措施、制度得以贯彻落实。</w:t>
            </w:r>
          </w:p>
          <w:p w14:paraId="17BC1F9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highlight w:val="none"/>
              </w:rPr>
            </w:pPr>
            <w:r>
              <w:rPr>
                <w:rFonts w:hint="eastAsia"/>
                <w:highlight w:val="none"/>
                <w:lang w:val="en-US" w:eastAsia="zh-CN"/>
              </w:rPr>
              <w:t>2）</w:t>
            </w:r>
            <w:r>
              <w:rPr>
                <w:rFonts w:hint="eastAsia"/>
                <w:highlight w:val="none"/>
              </w:rPr>
              <w:t>建立环境保护的知识普及、环保教育和宣传制度，定期进行环境保护培训，增强职工环境保护的意识和自觉性；对于环保专职人员，必须掌握国家、地方的环境保护政策、法规、行业环境保护政策法规、行业产业政策等，熟知国家和地方的环境规定与标准。</w:t>
            </w:r>
          </w:p>
          <w:p w14:paraId="475DF69B">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rPr>
              <w:t>4.</w:t>
            </w:r>
            <w:r>
              <w:rPr>
                <w:rFonts w:hint="eastAsia" w:ascii="Times New Roman" w:hAnsi="Times New Roman" w:eastAsia="宋体" w:cs="Times New Roman"/>
                <w:b/>
                <w:bCs/>
                <w:color w:val="auto"/>
                <w:sz w:val="24"/>
                <w:szCs w:val="24"/>
                <w:highlight w:val="none"/>
                <w:lang w:val="en-US" w:eastAsia="zh-CN"/>
              </w:rPr>
              <w:t>10</w:t>
            </w:r>
            <w:r>
              <w:rPr>
                <w:rFonts w:hint="default" w:ascii="Times New Roman" w:hAnsi="Times New Roman" w:eastAsia="宋体" w:cs="Times New Roman"/>
                <w:b/>
                <w:bCs/>
                <w:color w:val="auto"/>
                <w:sz w:val="24"/>
                <w:szCs w:val="24"/>
                <w:highlight w:val="none"/>
              </w:rPr>
              <w:t>.</w:t>
            </w:r>
            <w:r>
              <w:rPr>
                <w:rFonts w:hint="eastAsia" w:cs="Times New Roman"/>
                <w:b/>
                <w:bCs/>
                <w:color w:val="auto"/>
                <w:sz w:val="24"/>
                <w:szCs w:val="24"/>
                <w:highlight w:val="none"/>
                <w:lang w:val="en-US" w:eastAsia="zh-CN"/>
              </w:rPr>
              <w:t>4</w:t>
            </w:r>
            <w:r>
              <w:rPr>
                <w:rFonts w:hint="default"/>
                <w:b/>
                <w:bCs w:val="0"/>
                <w:color w:val="auto"/>
                <w:spacing w:val="0"/>
                <w:kern w:val="0"/>
                <w:sz w:val="24"/>
                <w:szCs w:val="24"/>
                <w:highlight w:val="none"/>
                <w:lang w:val="en-US" w:eastAsia="zh-CN"/>
              </w:rPr>
              <w:t>排污许可</w:t>
            </w:r>
          </w:p>
          <w:p w14:paraId="3ABCE78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对照《固定污染源排污许可分类管理名录（2019年版）》，</w:t>
            </w:r>
            <w:r>
              <w:rPr>
                <w:rFonts w:hint="default" w:ascii="Times New Roman" w:hAnsi="Times New Roman" w:eastAsia="宋体" w:cs="Times New Roman"/>
                <w:highlight w:val="none"/>
                <w:lang w:val="en-US" w:eastAsia="zh-CN"/>
              </w:rPr>
              <w:t>本项目</w:t>
            </w:r>
            <w:r>
              <w:rPr>
                <w:rFonts w:hint="eastAsia" w:cs="Times New Roman"/>
                <w:highlight w:val="none"/>
                <w:lang w:val="en-US" w:eastAsia="zh-CN"/>
              </w:rPr>
              <w:t>属于“四十四、装卸搬运和仓储业 102.危险品仓储594-其他危险品仓储（含油品码头后方配套油库，不含储备油库）”，实行排污登记管理，无需申领排污许可证。</w:t>
            </w:r>
          </w:p>
          <w:p w14:paraId="171121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left"/>
              <w:textAlignment w:val="auto"/>
              <w:rPr>
                <w:color w:val="000000"/>
                <w:sz w:val="24"/>
                <w:szCs w:val="24"/>
                <w:highlight w:val="none"/>
              </w:rPr>
            </w:pPr>
            <w:r>
              <w:rPr>
                <w:rFonts w:hint="eastAsia" w:ascii="Symbol" w:hAnsi="Symbol" w:eastAsia="宋体" w:cs="Symbol"/>
                <w:sz w:val="24"/>
                <w:highlight w:val="none"/>
                <w:lang w:eastAsia="zh-CN"/>
              </w:rPr>
              <w:t>（</w:t>
            </w:r>
            <w:r>
              <w:rPr>
                <w:rFonts w:hint="eastAsia" w:ascii="Symbol" w:hAnsi="Symbol" w:eastAsia="宋体" w:cs="Symbol"/>
                <w:sz w:val="24"/>
                <w:highlight w:val="none"/>
                <w:lang w:val="en-US" w:eastAsia="zh-CN"/>
              </w:rPr>
              <w:t>1</w:t>
            </w:r>
            <w:r>
              <w:rPr>
                <w:rFonts w:hint="eastAsia" w:ascii="Symbol" w:hAnsi="Symbol" w:eastAsia="宋体" w:cs="Symbol"/>
                <w:sz w:val="24"/>
                <w:highlight w:val="none"/>
                <w:lang w:eastAsia="zh-CN"/>
              </w:rPr>
              <w:t>）</w:t>
            </w:r>
            <w:r>
              <w:rPr>
                <w:color w:val="000000"/>
                <w:sz w:val="24"/>
                <w:szCs w:val="24"/>
                <w:highlight w:val="none"/>
              </w:rPr>
              <w:t>环保标识设置：生活垃圾收集点、车辆噪声产排区域，依据国家标准配套设置环境保护图形标志，实现污染物产排点位标准化标识。</w:t>
            </w:r>
          </w:p>
          <w:p w14:paraId="7DF226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left"/>
              <w:textAlignment w:val="auto"/>
              <w:rPr>
                <w:color w:val="000000"/>
                <w:sz w:val="24"/>
                <w:szCs w:val="24"/>
                <w:highlight w:val="none"/>
              </w:rPr>
            </w:pPr>
            <w:r>
              <w:rPr>
                <w:rFonts w:hint="eastAsia" w:ascii="Symbol" w:hAnsi="Symbol" w:eastAsia="宋体" w:cs="Symbol"/>
                <w:sz w:val="24"/>
                <w:highlight w:val="none"/>
                <w:lang w:eastAsia="zh-CN"/>
              </w:rPr>
              <w:t>（</w:t>
            </w:r>
            <w:r>
              <w:rPr>
                <w:rFonts w:hint="eastAsia" w:ascii="Symbol" w:hAnsi="Symbol" w:eastAsia="宋体" w:cs="Symbol"/>
                <w:sz w:val="24"/>
                <w:highlight w:val="none"/>
                <w:lang w:val="en-US" w:eastAsia="zh-CN"/>
              </w:rPr>
              <w:t>2</w:t>
            </w:r>
            <w:r>
              <w:rPr>
                <w:rFonts w:hint="eastAsia" w:ascii="Symbol" w:hAnsi="Symbol" w:eastAsia="宋体" w:cs="Symbol"/>
                <w:sz w:val="24"/>
                <w:highlight w:val="none"/>
                <w:lang w:eastAsia="zh-CN"/>
              </w:rPr>
              <w:t>）</w:t>
            </w:r>
            <w:r>
              <w:rPr>
                <w:color w:val="000000"/>
                <w:sz w:val="24"/>
                <w:szCs w:val="24"/>
                <w:highlight w:val="none"/>
              </w:rPr>
              <w:t>企业日常管理要求：项目投产前需在全国排污许可证管理信息平台完成排污登记；运营期建立完整环境管理台账，常态化运维油烟净化器、一体化污水处理设施等污染治理设备，落实废气、废水、噪声、固废各项污染防治措施；企业排污、基础信息发生变动的，需在20日内完成平台变更填报，主动配合生态环境主管部门监督检查。</w:t>
            </w:r>
          </w:p>
          <w:p w14:paraId="0E9715E8">
            <w:pPr>
              <w:keepNext w:val="0"/>
              <w:keepLines w:val="0"/>
              <w:pageBreakBefore w:val="0"/>
              <w:widowControl w:val="0"/>
              <w:kinsoku/>
              <w:wordWrap/>
              <w:overflowPunct/>
              <w:topLinePunct w:val="0"/>
              <w:autoSpaceDE/>
              <w:autoSpaceDN/>
              <w:bidi w:val="0"/>
              <w:adjustRightInd w:val="0"/>
              <w:snapToGrid w:val="0"/>
              <w:spacing w:line="500" w:lineRule="exac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4.</w:t>
            </w:r>
            <w:r>
              <w:rPr>
                <w:rFonts w:hint="eastAsia" w:ascii="Times New Roman" w:hAnsi="Times New Roman" w:eastAsia="宋体" w:cs="Times New Roman"/>
                <w:b/>
                <w:bCs/>
                <w:color w:val="auto"/>
                <w:sz w:val="24"/>
                <w:szCs w:val="24"/>
                <w:highlight w:val="none"/>
                <w:lang w:val="en-US" w:eastAsia="zh-CN"/>
              </w:rPr>
              <w:t>11</w:t>
            </w:r>
            <w:r>
              <w:rPr>
                <w:rFonts w:hint="default" w:ascii="Times New Roman" w:hAnsi="Times New Roman" w:eastAsia="宋体" w:cs="Times New Roman"/>
                <w:b/>
                <w:bCs/>
                <w:color w:val="auto"/>
                <w:sz w:val="24"/>
                <w:szCs w:val="24"/>
                <w:highlight w:val="none"/>
              </w:rPr>
              <w:t>地下水、土壤环境影响分析</w:t>
            </w:r>
          </w:p>
          <w:p w14:paraId="07B658DB">
            <w:pPr>
              <w:keepNext w:val="0"/>
              <w:keepLines w:val="0"/>
              <w:pageBreakBefore w:val="0"/>
              <w:widowControl w:val="0"/>
              <w:kinsoku/>
              <w:wordWrap/>
              <w:overflowPunct/>
              <w:topLinePunct w:val="0"/>
              <w:autoSpaceDE/>
              <w:autoSpaceDN/>
              <w:bidi w:val="0"/>
              <w:adjustRightInd w:val="0"/>
              <w:snapToGrid w:val="0"/>
              <w:spacing w:line="500" w:lineRule="exac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4.</w:t>
            </w:r>
            <w:r>
              <w:rPr>
                <w:rFonts w:hint="eastAsia" w:ascii="Times New Roman" w:hAnsi="Times New Roman" w:eastAsia="宋体" w:cs="Times New Roman"/>
                <w:b/>
                <w:bCs/>
                <w:color w:val="auto"/>
                <w:sz w:val="24"/>
                <w:szCs w:val="24"/>
                <w:highlight w:val="none"/>
                <w:lang w:val="en-US" w:eastAsia="zh-CN"/>
              </w:rPr>
              <w:t>11</w:t>
            </w:r>
            <w:r>
              <w:rPr>
                <w:rFonts w:hint="default" w:ascii="Times New Roman" w:hAnsi="Times New Roman" w:eastAsia="宋体" w:cs="Times New Roman"/>
                <w:b/>
                <w:bCs/>
                <w:color w:val="auto"/>
                <w:sz w:val="24"/>
                <w:szCs w:val="24"/>
                <w:highlight w:val="none"/>
              </w:rPr>
              <w:t>.1污染源及污染途径</w:t>
            </w:r>
          </w:p>
          <w:p w14:paraId="2935E9D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正常存储过程中不产生液态物质，并且炸药运至仓库及发货过程中不进行分装，营运期不会由于分装引起的炸药撒漏，不存在地下水与土壤污染源。炸药和雷管在事故状态下发生爆炸后，产生的消防废水发生垂直下渗或通过地面径流影响到土壤和地下水。</w:t>
            </w:r>
          </w:p>
          <w:p w14:paraId="68DB3D71">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4.</w:t>
            </w:r>
            <w:r>
              <w:rPr>
                <w:rFonts w:hint="eastAsia" w:ascii="Times New Roman" w:hAnsi="Times New Roman" w:eastAsia="宋体" w:cs="Times New Roman"/>
                <w:b/>
                <w:bCs/>
                <w:color w:val="auto"/>
                <w:highlight w:val="none"/>
                <w:lang w:val="en-US" w:eastAsia="zh-CN"/>
              </w:rPr>
              <w:t>11</w:t>
            </w:r>
            <w:r>
              <w:rPr>
                <w:rFonts w:hint="default" w:ascii="Times New Roman" w:hAnsi="Times New Roman" w:eastAsia="宋体" w:cs="Times New Roman"/>
                <w:b/>
                <w:bCs/>
                <w:color w:val="auto"/>
                <w:highlight w:val="none"/>
              </w:rPr>
              <w:t>.2污染防控措施</w:t>
            </w:r>
          </w:p>
          <w:p w14:paraId="6756CC3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根据建设项目污染物特性，具体防渗措施如下：</w:t>
            </w:r>
          </w:p>
          <w:p w14:paraId="4671ADBD">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napToGrid w:val="0"/>
                <w:color w:val="auto"/>
                <w:kern w:val="0"/>
                <w:sz w:val="21"/>
                <w:szCs w:val="21"/>
                <w:highlight w:val="none"/>
                <w:lang w:val="en-US" w:eastAsia="zh-CN" w:bidi="ar-SA"/>
                <w14:ligatures w14:val="none"/>
              </w:rPr>
            </w:pPr>
            <w:r>
              <w:rPr>
                <w:rFonts w:hint="default" w:ascii="Times New Roman" w:hAnsi="Times New Roman" w:eastAsia="宋体" w:cs="Times New Roman"/>
                <w:b/>
                <w:bCs/>
                <w:snapToGrid w:val="0"/>
                <w:color w:val="auto"/>
                <w:kern w:val="0"/>
                <w:sz w:val="21"/>
                <w:szCs w:val="21"/>
                <w:highlight w:val="none"/>
                <w:lang w:val="en-US" w:eastAsia="zh-CN" w:bidi="ar-SA"/>
                <w14:ligatures w14:val="none"/>
              </w:rPr>
              <w:t>表4</w:t>
            </w:r>
            <w:r>
              <w:rPr>
                <w:rFonts w:hint="eastAsia" w:ascii="Times New Roman" w:hAnsi="Times New Roman" w:eastAsia="宋体" w:cs="Times New Roman"/>
                <w:b/>
                <w:bCs/>
                <w:snapToGrid w:val="0"/>
                <w:color w:val="auto"/>
                <w:kern w:val="0"/>
                <w:sz w:val="21"/>
                <w:szCs w:val="21"/>
                <w:highlight w:val="none"/>
                <w:lang w:val="en-US" w:eastAsia="zh-CN" w:bidi="ar-SA"/>
                <w14:ligatures w14:val="none"/>
              </w:rPr>
              <w:t>.11-</w:t>
            </w:r>
            <w:r>
              <w:rPr>
                <w:rFonts w:hint="eastAsia" w:cs="Times New Roman"/>
                <w:b/>
                <w:bCs/>
                <w:snapToGrid w:val="0"/>
                <w:color w:val="auto"/>
                <w:kern w:val="0"/>
                <w:sz w:val="21"/>
                <w:szCs w:val="21"/>
                <w:highlight w:val="none"/>
                <w:lang w:val="en-US" w:eastAsia="zh-CN" w:bidi="ar-SA"/>
                <w14:ligatures w14:val="none"/>
              </w:rPr>
              <w:t>1</w:t>
            </w:r>
            <w:r>
              <w:rPr>
                <w:rFonts w:hint="default" w:ascii="Times New Roman" w:hAnsi="Times New Roman" w:eastAsia="宋体" w:cs="Times New Roman"/>
                <w:b/>
                <w:bCs/>
                <w:snapToGrid w:val="0"/>
                <w:color w:val="auto"/>
                <w:kern w:val="0"/>
                <w:sz w:val="21"/>
                <w:szCs w:val="21"/>
                <w:highlight w:val="none"/>
                <w:lang w:val="en-US" w:eastAsia="zh-CN" w:bidi="ar-SA"/>
                <w14:ligatures w14:val="none"/>
              </w:rPr>
              <w:t xml:space="preserve">  </w:t>
            </w:r>
            <w:r>
              <w:rPr>
                <w:rFonts w:hint="eastAsia" w:ascii="Times New Roman" w:hAnsi="Times New Roman" w:eastAsia="宋体" w:cs="Times New Roman"/>
                <w:b/>
                <w:bCs/>
                <w:snapToGrid w:val="0"/>
                <w:color w:val="auto"/>
                <w:kern w:val="0"/>
                <w:sz w:val="21"/>
                <w:szCs w:val="21"/>
                <w:highlight w:val="none"/>
                <w:lang w:val="en-US" w:eastAsia="zh-CN" w:bidi="ar-SA"/>
                <w14:ligatures w14:val="none"/>
              </w:rPr>
              <w:t xml:space="preserve"> </w:t>
            </w:r>
            <w:r>
              <w:rPr>
                <w:rFonts w:hint="default" w:ascii="Times New Roman" w:hAnsi="Times New Roman" w:eastAsia="宋体" w:cs="Times New Roman"/>
                <w:b/>
                <w:bCs/>
                <w:snapToGrid w:val="0"/>
                <w:color w:val="auto"/>
                <w:kern w:val="0"/>
                <w:sz w:val="21"/>
                <w:szCs w:val="21"/>
                <w:highlight w:val="none"/>
                <w:lang w:val="en-US" w:eastAsia="zh-CN" w:bidi="ar-SA"/>
                <w14:ligatures w14:val="none"/>
              </w:rPr>
              <w:t>厂区工程防渗措施一览表</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1214"/>
              <w:gridCol w:w="3015"/>
              <w:gridCol w:w="2896"/>
            </w:tblGrid>
            <w:tr w14:paraId="5F53D4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37" w:type="dxa"/>
                  <w:tcBorders>
                    <w:tl2br w:val="nil"/>
                    <w:tr2bl w:val="nil"/>
                  </w:tcBorders>
                  <w:vAlign w:val="center"/>
                </w:tcPr>
                <w:p w14:paraId="73365213">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防渗方式</w:t>
                  </w:r>
                </w:p>
              </w:tc>
              <w:tc>
                <w:tcPr>
                  <w:tcW w:w="1125" w:type="dxa"/>
                  <w:tcBorders>
                    <w:tl2br w:val="nil"/>
                    <w:tr2bl w:val="nil"/>
                  </w:tcBorders>
                  <w:vAlign w:val="center"/>
                </w:tcPr>
                <w:p w14:paraId="04D9818B">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污染区</w:t>
                  </w:r>
                </w:p>
              </w:tc>
              <w:tc>
                <w:tcPr>
                  <w:tcW w:w="2794" w:type="dxa"/>
                  <w:tcBorders>
                    <w:tl2br w:val="nil"/>
                    <w:tr2bl w:val="nil"/>
                  </w:tcBorders>
                  <w:vAlign w:val="center"/>
                </w:tcPr>
                <w:p w14:paraId="468936C6">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防渗结构</w:t>
                  </w:r>
                </w:p>
              </w:tc>
              <w:tc>
                <w:tcPr>
                  <w:tcW w:w="2683" w:type="dxa"/>
                  <w:tcBorders>
                    <w:tl2br w:val="nil"/>
                    <w:tr2bl w:val="nil"/>
                  </w:tcBorders>
                  <w:vAlign w:val="center"/>
                </w:tcPr>
                <w:p w14:paraId="40ED662E">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防渗技术要求</w:t>
                  </w:r>
                </w:p>
              </w:tc>
            </w:tr>
            <w:tr w14:paraId="0EE679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37" w:type="dxa"/>
                  <w:tcBorders>
                    <w:tl2br w:val="nil"/>
                    <w:tr2bl w:val="nil"/>
                  </w:tcBorders>
                  <w:vAlign w:val="center"/>
                </w:tcPr>
                <w:p w14:paraId="57876590">
                  <w:pPr>
                    <w:pageBreakBefore w:val="0"/>
                    <w:kinsoku/>
                    <w:wordWrap/>
                    <w:overflowPunct/>
                    <w:topLinePunct w:val="0"/>
                    <w:bidi w:val="0"/>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一般防渗</w:t>
                  </w:r>
                </w:p>
              </w:tc>
              <w:tc>
                <w:tcPr>
                  <w:tcW w:w="1125" w:type="dxa"/>
                  <w:tcBorders>
                    <w:tl2br w:val="nil"/>
                    <w:tr2bl w:val="nil"/>
                  </w:tcBorders>
                  <w:vAlign w:val="center"/>
                </w:tcPr>
                <w:p w14:paraId="2D59BE56">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炸药库、雷管库、消防水池</w:t>
                  </w:r>
                </w:p>
              </w:tc>
              <w:tc>
                <w:tcPr>
                  <w:tcW w:w="2794" w:type="dxa"/>
                  <w:tcBorders>
                    <w:tl2br w:val="nil"/>
                    <w:tr2bl w:val="nil"/>
                  </w:tcBorders>
                  <w:vAlign w:val="center"/>
                </w:tcPr>
                <w:p w14:paraId="2C7F05D0">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人工防渗层：水泥混凝土硬化地面，厚度20cm</w:t>
                  </w:r>
                </w:p>
              </w:tc>
              <w:tc>
                <w:tcPr>
                  <w:tcW w:w="2683" w:type="dxa"/>
                  <w:tcBorders>
                    <w:tl2br w:val="nil"/>
                    <w:tr2bl w:val="nil"/>
                  </w:tcBorders>
                  <w:vAlign w:val="center"/>
                </w:tcPr>
                <w:p w14:paraId="40F1C9D2">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等效黏土防渗层Mb≥1.5m渗透系数K≤1×10</w:t>
                  </w:r>
                  <w:r>
                    <w:rPr>
                      <w:rFonts w:hint="default" w:ascii="Times New Roman" w:hAnsi="Times New Roman" w:eastAsia="宋体" w:cs="Times New Roman"/>
                      <w:color w:val="auto"/>
                      <w:sz w:val="21"/>
                      <w:szCs w:val="21"/>
                      <w:highlight w:val="none"/>
                      <w:vertAlign w:val="superscript"/>
                    </w:rPr>
                    <w:t>-</w:t>
                  </w:r>
                  <w:r>
                    <w:rPr>
                      <w:rFonts w:hint="eastAsia" w:cs="Times New Roman"/>
                      <w:color w:val="auto"/>
                      <w:sz w:val="21"/>
                      <w:szCs w:val="21"/>
                      <w:highlight w:val="none"/>
                      <w:vertAlign w:val="superscript"/>
                      <w:lang w:val="en-US" w:eastAsia="zh-CN"/>
                    </w:rPr>
                    <w:t>7</w:t>
                  </w:r>
                  <w:r>
                    <w:rPr>
                      <w:rFonts w:hint="default" w:ascii="Times New Roman" w:hAnsi="Times New Roman" w:eastAsia="宋体" w:cs="Times New Roman"/>
                      <w:color w:val="auto"/>
                      <w:sz w:val="21"/>
                      <w:szCs w:val="21"/>
                      <w:highlight w:val="none"/>
                    </w:rPr>
                    <w:t>cm/s</w:t>
                  </w:r>
                </w:p>
              </w:tc>
            </w:tr>
            <w:tr w14:paraId="122F3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37" w:type="dxa"/>
                  <w:tcBorders>
                    <w:tl2br w:val="nil"/>
                    <w:tr2bl w:val="nil"/>
                  </w:tcBorders>
                  <w:vAlign w:val="center"/>
                </w:tcPr>
                <w:p w14:paraId="49497064">
                  <w:pPr>
                    <w:pageBreakBefore w:val="0"/>
                    <w:kinsoku/>
                    <w:wordWrap/>
                    <w:overflowPunct/>
                    <w:topLinePunct w:val="0"/>
                    <w:bidi w:val="0"/>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简单防渗</w:t>
                  </w:r>
                </w:p>
              </w:tc>
              <w:tc>
                <w:tcPr>
                  <w:tcW w:w="1125" w:type="dxa"/>
                  <w:tcBorders>
                    <w:tl2br w:val="nil"/>
                    <w:tr2bl w:val="nil"/>
                  </w:tcBorders>
                  <w:vAlign w:val="center"/>
                </w:tcPr>
                <w:p w14:paraId="634D0494">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值班室</w:t>
                  </w:r>
                </w:p>
              </w:tc>
              <w:tc>
                <w:tcPr>
                  <w:tcW w:w="2794" w:type="dxa"/>
                  <w:tcBorders>
                    <w:tl2br w:val="nil"/>
                    <w:tr2bl w:val="nil"/>
                  </w:tcBorders>
                  <w:vAlign w:val="center"/>
                </w:tcPr>
                <w:p w14:paraId="743D1904">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水泥混凝土硬化地面</w:t>
                  </w:r>
                </w:p>
              </w:tc>
              <w:tc>
                <w:tcPr>
                  <w:tcW w:w="2683" w:type="dxa"/>
                  <w:tcBorders>
                    <w:tl2br w:val="nil"/>
                    <w:tr2bl w:val="nil"/>
                  </w:tcBorders>
                  <w:vAlign w:val="center"/>
                </w:tcPr>
                <w:p w14:paraId="0D2E218B">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一般地面硬化</w:t>
                  </w:r>
                </w:p>
              </w:tc>
            </w:tr>
          </w:tbl>
          <w:p w14:paraId="32B5C93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本项目地下水、</w:t>
            </w:r>
            <w:r>
              <w:rPr>
                <w:rFonts w:hint="default" w:ascii="Times New Roman" w:hAnsi="Times New Roman" w:eastAsia="宋体" w:cs="Times New Roman"/>
                <w:color w:val="auto"/>
                <w:highlight w:val="none"/>
                <w:lang w:eastAsia="zh-CN"/>
              </w:rPr>
              <w:t>土壤污染防治</w:t>
            </w:r>
            <w:r>
              <w:rPr>
                <w:rFonts w:hint="default" w:ascii="Times New Roman" w:hAnsi="Times New Roman" w:eastAsia="宋体" w:cs="Times New Roman"/>
                <w:color w:val="auto"/>
                <w:highlight w:val="none"/>
              </w:rPr>
              <w:t>措施应在做好防止和减少</w:t>
            </w:r>
            <w:r>
              <w:rPr>
                <w:rFonts w:hint="eastAsia" w:cs="Times New Roman"/>
                <w:color w:val="auto"/>
                <w:highlight w:val="none"/>
                <w:lang w:eastAsia="zh-CN"/>
              </w:rPr>
              <w:t>“</w:t>
            </w:r>
            <w:r>
              <w:rPr>
                <w:rFonts w:hint="default" w:ascii="Times New Roman" w:hAnsi="Times New Roman" w:eastAsia="宋体" w:cs="Times New Roman"/>
                <w:color w:val="auto"/>
                <w:highlight w:val="none"/>
              </w:rPr>
              <w:t>跑、冒、滴、漏</w:t>
            </w:r>
            <w:r>
              <w:rPr>
                <w:rFonts w:hint="eastAsia" w:cs="Times New Roman"/>
                <w:color w:val="auto"/>
                <w:highlight w:val="none"/>
                <w:lang w:eastAsia="zh-CN"/>
              </w:rPr>
              <w:t>”</w:t>
            </w:r>
            <w:r>
              <w:rPr>
                <w:rFonts w:hint="default" w:ascii="Times New Roman" w:hAnsi="Times New Roman" w:eastAsia="宋体" w:cs="Times New Roman"/>
                <w:color w:val="auto"/>
                <w:highlight w:val="none"/>
              </w:rPr>
              <w:t>等源头控制措施的基础上，对项目区域进行分区防渗处理。</w:t>
            </w:r>
          </w:p>
          <w:p w14:paraId="3D448AF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①积极推行实施清洁生产，实现各类废物循环利用，减少污染物的排放量；</w:t>
            </w:r>
          </w:p>
          <w:p w14:paraId="6DCC534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②应根据国家现行相关规范加强环境管理，采取防止和降低污染物跑、冒、滴、漏的措施。正常运营过程中应加强巡检及时处理污染物跑、冒、滴、漏，同时应加强对防渗工程的检查，若发现防渗密封材料老化或损坏，应及时维修更换；</w:t>
            </w:r>
          </w:p>
          <w:p w14:paraId="74CA775C">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4.</w:t>
            </w:r>
            <w:r>
              <w:rPr>
                <w:rFonts w:hint="eastAsia" w:ascii="Times New Roman" w:hAnsi="Times New Roman" w:eastAsia="宋体" w:cs="Times New Roman"/>
                <w:b/>
                <w:bCs/>
                <w:color w:val="auto"/>
                <w:highlight w:val="none"/>
                <w:lang w:val="en-US" w:eastAsia="zh-CN"/>
              </w:rPr>
              <w:t>11</w:t>
            </w:r>
            <w:r>
              <w:rPr>
                <w:rFonts w:hint="default" w:ascii="Times New Roman" w:hAnsi="Times New Roman" w:eastAsia="宋体" w:cs="Times New Roman"/>
                <w:b/>
                <w:bCs/>
                <w:color w:val="auto"/>
                <w:highlight w:val="none"/>
              </w:rPr>
              <w:t>.3分区防渗处理</w:t>
            </w:r>
          </w:p>
          <w:p w14:paraId="57389CC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将本项目区域按物料或者污染物泄漏的途径和生产功能单元所处的位置划分为一般防渗区和简单防渗区。</w:t>
            </w:r>
          </w:p>
          <w:p w14:paraId="72D7E62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highlight w:val="none"/>
              </w:rPr>
            </w:pPr>
            <w:r>
              <w:rPr>
                <w:rFonts w:hint="eastAsia" w:cs="Times New Roman"/>
                <w:color w:val="auto"/>
                <w:highlight w:val="none"/>
                <w:lang w:val="en-US" w:eastAsia="zh-CN"/>
              </w:rPr>
              <w:t>①</w:t>
            </w:r>
            <w:r>
              <w:rPr>
                <w:rFonts w:hint="default" w:ascii="Times New Roman" w:hAnsi="Times New Roman" w:eastAsia="宋体" w:cs="Times New Roman"/>
                <w:color w:val="auto"/>
                <w:highlight w:val="none"/>
              </w:rPr>
              <w:t>一般防渗区：炸药库、雷管库、消防水池。一般防渗区防渗要求：等效黏土防渗层Mb≥1.5m，渗透系数K≤1×10</w:t>
            </w:r>
            <w:r>
              <w:rPr>
                <w:rFonts w:hint="default" w:ascii="Times New Roman" w:hAnsi="Times New Roman" w:eastAsia="宋体" w:cs="Times New Roman"/>
                <w:color w:val="auto"/>
                <w:highlight w:val="none"/>
                <w:vertAlign w:val="superscript"/>
              </w:rPr>
              <w:t>-7</w:t>
            </w:r>
            <w:r>
              <w:rPr>
                <w:rFonts w:hint="default" w:ascii="Times New Roman" w:hAnsi="Times New Roman" w:eastAsia="宋体" w:cs="Times New Roman"/>
                <w:color w:val="auto"/>
                <w:highlight w:val="none"/>
              </w:rPr>
              <w:t>cm/s；或参照GB16889执行。</w:t>
            </w:r>
          </w:p>
          <w:p w14:paraId="6B45BDC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②</w:t>
            </w:r>
            <w:r>
              <w:rPr>
                <w:rFonts w:hint="default" w:ascii="Times New Roman" w:hAnsi="Times New Roman" w:eastAsia="宋体" w:cs="Times New Roman"/>
                <w:color w:val="auto"/>
                <w:highlight w:val="none"/>
              </w:rPr>
              <w:t>简单防渗区：值班室</w:t>
            </w:r>
          </w:p>
          <w:p w14:paraId="4D2D376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简单防渗区防渗要求：一般地面硬化。</w:t>
            </w:r>
          </w:p>
          <w:p w14:paraId="596937E2">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napToGrid w:val="0"/>
                <w:color w:val="auto"/>
                <w:kern w:val="0"/>
                <w:sz w:val="21"/>
                <w:szCs w:val="21"/>
                <w:highlight w:val="none"/>
                <w:lang w:val="en-US" w:eastAsia="zh-CN" w:bidi="ar-SA"/>
                <w14:ligatures w14:val="none"/>
              </w:rPr>
            </w:pPr>
            <w:r>
              <w:rPr>
                <w:rFonts w:hint="default" w:ascii="Times New Roman" w:hAnsi="Times New Roman" w:eastAsia="宋体" w:cs="Times New Roman"/>
                <w:b/>
                <w:bCs/>
                <w:snapToGrid w:val="0"/>
                <w:color w:val="auto"/>
                <w:kern w:val="0"/>
                <w:sz w:val="21"/>
                <w:szCs w:val="21"/>
                <w:highlight w:val="none"/>
                <w:lang w:val="en-US" w:eastAsia="zh-CN" w:bidi="ar-SA"/>
                <w14:ligatures w14:val="none"/>
              </w:rPr>
              <w:t>表4</w:t>
            </w:r>
            <w:r>
              <w:rPr>
                <w:rFonts w:hint="eastAsia" w:ascii="Times New Roman" w:hAnsi="Times New Roman" w:eastAsia="宋体" w:cs="Times New Roman"/>
                <w:b/>
                <w:bCs/>
                <w:snapToGrid w:val="0"/>
                <w:color w:val="auto"/>
                <w:kern w:val="0"/>
                <w:sz w:val="21"/>
                <w:szCs w:val="21"/>
                <w:highlight w:val="none"/>
                <w:lang w:val="en-US" w:eastAsia="zh-CN" w:bidi="ar-SA"/>
                <w14:ligatures w14:val="none"/>
              </w:rPr>
              <w:t>.11-</w:t>
            </w:r>
            <w:r>
              <w:rPr>
                <w:rFonts w:hint="eastAsia" w:cs="Times New Roman"/>
                <w:b/>
                <w:bCs/>
                <w:snapToGrid w:val="0"/>
                <w:color w:val="auto"/>
                <w:kern w:val="0"/>
                <w:sz w:val="21"/>
                <w:szCs w:val="21"/>
                <w:highlight w:val="none"/>
                <w:lang w:val="en-US" w:eastAsia="zh-CN" w:bidi="ar-SA"/>
                <w14:ligatures w14:val="none"/>
              </w:rPr>
              <w:t>2</w:t>
            </w:r>
            <w:r>
              <w:rPr>
                <w:rFonts w:hint="default" w:ascii="Times New Roman" w:hAnsi="Times New Roman" w:eastAsia="宋体" w:cs="Times New Roman"/>
                <w:b/>
                <w:bCs/>
                <w:snapToGrid w:val="0"/>
                <w:color w:val="auto"/>
                <w:kern w:val="0"/>
                <w:sz w:val="21"/>
                <w:szCs w:val="21"/>
                <w:highlight w:val="none"/>
                <w:lang w:val="en-US" w:eastAsia="zh-CN" w:bidi="ar-SA"/>
                <w14:ligatures w14:val="none"/>
              </w:rPr>
              <w:t xml:space="preserve">  </w:t>
            </w:r>
            <w:r>
              <w:rPr>
                <w:rFonts w:hint="eastAsia" w:ascii="Times New Roman" w:hAnsi="Times New Roman" w:eastAsia="宋体" w:cs="Times New Roman"/>
                <w:b/>
                <w:bCs/>
                <w:snapToGrid w:val="0"/>
                <w:color w:val="auto"/>
                <w:kern w:val="0"/>
                <w:sz w:val="21"/>
                <w:szCs w:val="21"/>
                <w:highlight w:val="none"/>
                <w:lang w:val="en-US" w:eastAsia="zh-CN" w:bidi="ar-SA"/>
                <w14:ligatures w14:val="none"/>
              </w:rPr>
              <w:t xml:space="preserve"> </w:t>
            </w:r>
            <w:r>
              <w:rPr>
                <w:rFonts w:hint="default" w:ascii="Times New Roman" w:hAnsi="Times New Roman" w:eastAsia="宋体" w:cs="Times New Roman"/>
                <w:b/>
                <w:bCs/>
                <w:snapToGrid w:val="0"/>
                <w:color w:val="auto"/>
                <w:kern w:val="0"/>
                <w:sz w:val="21"/>
                <w:szCs w:val="21"/>
                <w:highlight w:val="none"/>
                <w:lang w:val="en-US" w:eastAsia="zh-CN" w:bidi="ar-SA"/>
                <w14:ligatures w14:val="none"/>
              </w:rPr>
              <w:t>本项目地下水分区防渗情况一览表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490"/>
              <w:gridCol w:w="3420"/>
              <w:gridCol w:w="2397"/>
            </w:tblGrid>
            <w:tr w14:paraId="6F63A5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tcBorders>
                    <w:tl2br w:val="nil"/>
                    <w:tr2bl w:val="nil"/>
                  </w:tcBorders>
                  <w:vAlign w:val="center"/>
                </w:tcPr>
                <w:p w14:paraId="008EEA3A">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防渗分区</w:t>
                  </w:r>
                </w:p>
              </w:tc>
              <w:tc>
                <w:tcPr>
                  <w:tcW w:w="1381" w:type="dxa"/>
                  <w:tcBorders>
                    <w:tl2br w:val="nil"/>
                    <w:tr2bl w:val="nil"/>
                  </w:tcBorders>
                  <w:vAlign w:val="center"/>
                </w:tcPr>
                <w:p w14:paraId="3850DBF7">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防渗区域</w:t>
                  </w:r>
                </w:p>
              </w:tc>
              <w:tc>
                <w:tcPr>
                  <w:tcW w:w="3169" w:type="dxa"/>
                  <w:tcBorders>
                    <w:tl2br w:val="nil"/>
                    <w:tr2bl w:val="nil"/>
                  </w:tcBorders>
                  <w:vAlign w:val="center"/>
                </w:tcPr>
                <w:p w14:paraId="57532070">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防渗要求</w:t>
                  </w:r>
                </w:p>
              </w:tc>
              <w:tc>
                <w:tcPr>
                  <w:tcW w:w="2221" w:type="dxa"/>
                  <w:tcBorders>
                    <w:tl2br w:val="nil"/>
                    <w:tr2bl w:val="nil"/>
                  </w:tcBorders>
                  <w:vAlign w:val="center"/>
                </w:tcPr>
                <w:p w14:paraId="60822DE7">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防渗措施</w:t>
                  </w:r>
                </w:p>
              </w:tc>
            </w:tr>
            <w:tr w14:paraId="072093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068" w:type="dxa"/>
                  <w:tcBorders>
                    <w:tl2br w:val="nil"/>
                    <w:tr2bl w:val="nil"/>
                  </w:tcBorders>
                  <w:vAlign w:val="center"/>
                </w:tcPr>
                <w:p w14:paraId="30F1F51E">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一般防渗区</w:t>
                  </w:r>
                </w:p>
              </w:tc>
              <w:tc>
                <w:tcPr>
                  <w:tcW w:w="1381" w:type="dxa"/>
                  <w:tcBorders>
                    <w:tl2br w:val="nil"/>
                    <w:tr2bl w:val="nil"/>
                  </w:tcBorders>
                  <w:vAlign w:val="center"/>
                </w:tcPr>
                <w:p w14:paraId="6017079B">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炸药库、雷管库、消防水池</w:t>
                  </w:r>
                </w:p>
              </w:tc>
              <w:tc>
                <w:tcPr>
                  <w:tcW w:w="3169" w:type="dxa"/>
                  <w:tcBorders>
                    <w:tl2br w:val="nil"/>
                    <w:tr2bl w:val="nil"/>
                  </w:tcBorders>
                  <w:vAlign w:val="center"/>
                </w:tcPr>
                <w:p w14:paraId="331783E7">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人工防渗层：水泥混凝土硬化地面，厚度20cm</w:t>
                  </w:r>
                </w:p>
              </w:tc>
              <w:tc>
                <w:tcPr>
                  <w:tcW w:w="2221" w:type="dxa"/>
                  <w:tcBorders>
                    <w:tl2br w:val="nil"/>
                    <w:tr2bl w:val="nil"/>
                  </w:tcBorders>
                  <w:vAlign w:val="center"/>
                </w:tcPr>
                <w:p w14:paraId="6DA22D0B">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等效黏土防渗层Mb≥1.5m渗透系数K≤1×10</w:t>
                  </w:r>
                  <w:r>
                    <w:rPr>
                      <w:rFonts w:hint="default" w:ascii="Times New Roman" w:hAnsi="Times New Roman" w:eastAsia="宋体" w:cs="Times New Roman"/>
                      <w:color w:val="auto"/>
                      <w:sz w:val="21"/>
                      <w:szCs w:val="21"/>
                      <w:highlight w:val="none"/>
                      <w:vertAlign w:val="superscript"/>
                    </w:rPr>
                    <w:t>-</w:t>
                  </w:r>
                  <w:r>
                    <w:rPr>
                      <w:rFonts w:hint="eastAsia" w:cs="Times New Roman"/>
                      <w:color w:val="auto"/>
                      <w:sz w:val="21"/>
                      <w:szCs w:val="21"/>
                      <w:highlight w:val="none"/>
                      <w:vertAlign w:val="superscript"/>
                      <w:lang w:val="en-US" w:eastAsia="zh-CN"/>
                    </w:rPr>
                    <w:t>7</w:t>
                  </w:r>
                  <w:r>
                    <w:rPr>
                      <w:rFonts w:hint="default" w:ascii="Times New Roman" w:hAnsi="Times New Roman" w:eastAsia="宋体" w:cs="Times New Roman"/>
                      <w:color w:val="auto"/>
                      <w:sz w:val="21"/>
                      <w:szCs w:val="21"/>
                      <w:highlight w:val="none"/>
                    </w:rPr>
                    <w:t>cm/s</w:t>
                  </w:r>
                </w:p>
              </w:tc>
            </w:tr>
            <w:tr w14:paraId="60B0B7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68" w:type="dxa"/>
                  <w:tcBorders>
                    <w:tl2br w:val="nil"/>
                    <w:tr2bl w:val="nil"/>
                  </w:tcBorders>
                  <w:vAlign w:val="center"/>
                </w:tcPr>
                <w:p w14:paraId="39E96FDB">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简单防渗区</w:t>
                  </w:r>
                </w:p>
              </w:tc>
              <w:tc>
                <w:tcPr>
                  <w:tcW w:w="1381" w:type="dxa"/>
                  <w:tcBorders>
                    <w:tl2br w:val="nil"/>
                    <w:tr2bl w:val="nil"/>
                  </w:tcBorders>
                  <w:vAlign w:val="center"/>
                </w:tcPr>
                <w:p w14:paraId="653CD918">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值班室</w:t>
                  </w:r>
                </w:p>
              </w:tc>
              <w:tc>
                <w:tcPr>
                  <w:tcW w:w="3169" w:type="dxa"/>
                  <w:tcBorders>
                    <w:tl2br w:val="nil"/>
                    <w:tr2bl w:val="nil"/>
                  </w:tcBorders>
                  <w:vAlign w:val="center"/>
                </w:tcPr>
                <w:p w14:paraId="641FCE2C">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水泥混凝土硬化地面</w:t>
                  </w:r>
                </w:p>
              </w:tc>
              <w:tc>
                <w:tcPr>
                  <w:tcW w:w="2221" w:type="dxa"/>
                  <w:tcBorders>
                    <w:tl2br w:val="nil"/>
                    <w:tr2bl w:val="nil"/>
                  </w:tcBorders>
                  <w:vAlign w:val="center"/>
                </w:tcPr>
                <w:p w14:paraId="4A1935C2">
                  <w:pPr>
                    <w:pageBreakBefore w:val="0"/>
                    <w:kinsoku/>
                    <w:wordWrap/>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一般地面硬化</w:t>
                  </w:r>
                </w:p>
              </w:tc>
            </w:tr>
          </w:tbl>
          <w:p w14:paraId="161C616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由上述措施可知，本项目针对可能造成地下水和土壤污染影响的各途径均进行有效预防，在确保各项防控措施得以落实，并加强环境管理的前提下，可有效杜绝地下水和土壤污染。</w:t>
            </w:r>
          </w:p>
          <w:p w14:paraId="6CC1364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综上所述，本项目在采取上述防控措施后，可有效防止地下水和土壤的污染。</w:t>
            </w:r>
          </w:p>
          <w:p w14:paraId="47C38F5B">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Times New Roman" w:hAnsi="Times New Roman" w:eastAsia="宋体" w:cs="Times New Roman"/>
                <w:b/>
                <w:color w:val="auto"/>
                <w:sz w:val="24"/>
                <w:szCs w:val="24"/>
                <w:highlight w:val="none"/>
                <w:lang w:eastAsia="zh-CN"/>
              </w:rPr>
            </w:pPr>
            <w:r>
              <w:rPr>
                <w:rFonts w:hint="default" w:ascii="Times New Roman" w:hAnsi="Times New Roman" w:eastAsia="宋体" w:cs="Times New Roman"/>
                <w:b/>
                <w:color w:val="auto"/>
                <w:sz w:val="24"/>
                <w:szCs w:val="24"/>
                <w:highlight w:val="none"/>
              </w:rPr>
              <w:t>4.</w:t>
            </w:r>
            <w:r>
              <w:rPr>
                <w:rFonts w:hint="eastAsia" w:ascii="Times New Roman" w:hAnsi="Times New Roman" w:eastAsia="宋体" w:cs="Times New Roman"/>
                <w:b/>
                <w:color w:val="auto"/>
                <w:sz w:val="24"/>
                <w:szCs w:val="24"/>
                <w:highlight w:val="none"/>
                <w:lang w:val="en-US" w:eastAsia="zh-CN"/>
              </w:rPr>
              <w:t>12</w:t>
            </w:r>
            <w:r>
              <w:rPr>
                <w:rFonts w:hint="default" w:ascii="Times New Roman" w:hAnsi="Times New Roman" w:eastAsia="宋体" w:cs="Times New Roman"/>
                <w:b/>
                <w:color w:val="auto"/>
                <w:sz w:val="24"/>
                <w:szCs w:val="24"/>
                <w:highlight w:val="none"/>
              </w:rPr>
              <w:t>环境风险</w:t>
            </w:r>
            <w:r>
              <w:rPr>
                <w:rFonts w:hint="eastAsia" w:cs="Times New Roman"/>
                <w:b/>
                <w:color w:val="auto"/>
                <w:sz w:val="24"/>
                <w:szCs w:val="24"/>
                <w:highlight w:val="none"/>
                <w:lang w:val="en-US" w:eastAsia="zh-CN"/>
              </w:rPr>
              <w:t>评价</w:t>
            </w:r>
          </w:p>
          <w:p w14:paraId="47D65D3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环境风险评价的目的是分析和预测建设项目存在的潜在危险、有害因素，项目建设和运行期间发生的可预测突发事件或事故（一般不包括人为破坏及自然灾害），引起有毒有害、易燃易爆等物质泄漏，或突发事件产生的新的有毒有害物质，所造成的对人身安全与环境的影响和损害程度，提出合理可行的防范、应急与减缓措施，以使建设项目事故率、损失和环境影响达到可接受水平。</w:t>
            </w:r>
          </w:p>
          <w:p w14:paraId="25989E71">
            <w:pPr>
              <w:keepNext w:val="0"/>
              <w:keepLines w:val="0"/>
              <w:pageBreakBefore w:val="0"/>
              <w:widowControl w:val="0"/>
              <w:kinsoku/>
              <w:wordWrap/>
              <w:overflowPunct/>
              <w:topLinePunct w:val="0"/>
              <w:autoSpaceDE/>
              <w:autoSpaceDN/>
              <w:bidi w:val="0"/>
              <w:adjustRightInd w:val="0"/>
              <w:snapToGrid w:val="0"/>
              <w:spacing w:line="500" w:lineRule="exact"/>
              <w:ind w:firstLine="0"/>
              <w:textAlignment w:val="auto"/>
              <w:rPr>
                <w:rFonts w:hint="eastAsia" w:eastAsia="宋体"/>
                <w:color w:val="000000" w:themeColor="text1"/>
                <w:highlight w:val="none"/>
                <w:lang w:eastAsia="zh-CN"/>
                <w14:textFill>
                  <w14:solidFill>
                    <w14:schemeClr w14:val="tx1"/>
                  </w14:solidFill>
                </w14:textFill>
              </w:rPr>
            </w:pPr>
            <w:r>
              <w:rPr>
                <w:rFonts w:hint="eastAsia"/>
                <w:b/>
                <w:bCs/>
                <w:color w:val="000000"/>
                <w:highlight w:val="none"/>
              </w:rPr>
              <w:t>4.12.1风险物质</w:t>
            </w:r>
            <w:r>
              <w:rPr>
                <w:rFonts w:hint="eastAsia"/>
                <w:b/>
                <w:bCs/>
                <w:color w:val="000000"/>
                <w:highlight w:val="none"/>
                <w:lang w:val="en-US" w:eastAsia="zh-CN"/>
              </w:rPr>
              <w:t>识别</w:t>
            </w:r>
          </w:p>
          <w:p w14:paraId="6B032958">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highlight w:val="none"/>
              </w:rPr>
            </w:pPr>
            <w:r>
              <w:rPr>
                <w:rFonts w:hint="eastAsia"/>
                <w:color w:val="000000"/>
                <w:highlight w:val="none"/>
              </w:rPr>
              <w:t>根据项目原辅材料情况，拟建项目涉及《建设项目环境风险评价技术导则》（HJ169-2018）附录B所涉及的风险物质</w:t>
            </w:r>
            <w:r>
              <w:rPr>
                <w:rFonts w:hint="eastAsia"/>
                <w:color w:val="000000"/>
                <w:highlight w:val="none"/>
                <w:lang w:eastAsia="zh-CN"/>
              </w:rPr>
              <w:t>。</w:t>
            </w:r>
            <w:r>
              <w:rPr>
                <w:rFonts w:hint="default" w:ascii="Times New Roman" w:hAnsi="Times New Roman" w:eastAsia="宋体" w:cs="Times New Roman"/>
                <w:bCs/>
                <w:color w:val="auto"/>
                <w:highlight w:val="none"/>
                <w:lang w:val="en-US" w:eastAsia="zh-CN"/>
              </w:rPr>
              <w:t>存放的</w:t>
            </w:r>
            <w:r>
              <w:rPr>
                <w:rFonts w:hint="eastAsia" w:cs="Times New Roman"/>
                <w:bCs/>
                <w:color w:val="auto"/>
                <w:highlight w:val="none"/>
                <w:lang w:val="en-US" w:eastAsia="zh-CN"/>
              </w:rPr>
              <w:t>主要为炸药和雷管；</w:t>
            </w:r>
            <w:r>
              <w:rPr>
                <w:rFonts w:hint="default" w:ascii="Times New Roman" w:hAnsi="Times New Roman" w:eastAsia="宋体" w:cs="Times New Roman"/>
                <w:bCs/>
                <w:color w:val="auto"/>
                <w:highlight w:val="none"/>
                <w:lang w:val="en-US" w:eastAsia="zh-CN"/>
              </w:rPr>
              <w:t>炸药主要为乳化炸药</w:t>
            </w:r>
            <w:r>
              <w:rPr>
                <w:rFonts w:hint="eastAsia" w:cs="Times New Roman"/>
                <w:bCs/>
                <w:color w:val="auto"/>
                <w:highlight w:val="none"/>
                <w:lang w:val="en-US" w:eastAsia="zh-CN"/>
              </w:rPr>
              <w:t>和铵油炸药</w:t>
            </w:r>
            <w:r>
              <w:rPr>
                <w:rFonts w:hint="default" w:ascii="Times New Roman" w:hAnsi="Times New Roman" w:eastAsia="宋体" w:cs="Times New Roman"/>
                <w:bCs/>
                <w:color w:val="auto"/>
                <w:highlight w:val="none"/>
                <w:lang w:val="en-US" w:eastAsia="zh-CN"/>
              </w:rPr>
              <w:t>，乳化炸药组分为</w:t>
            </w:r>
            <w:r>
              <w:rPr>
                <w:rFonts w:hint="eastAsia" w:cs="Times New Roman"/>
                <w:bCs/>
                <w:color w:val="auto"/>
                <w:highlight w:val="none"/>
                <w:lang w:val="en-US" w:eastAsia="zh-CN"/>
              </w:rPr>
              <w:t>硝酸铵水溶液、乳胶基质；铵油炸药</w:t>
            </w:r>
            <w:r>
              <w:rPr>
                <w:rFonts w:hint="default" w:ascii="Times New Roman" w:hAnsi="Times New Roman" w:eastAsia="宋体" w:cs="Times New Roman"/>
                <w:bCs/>
                <w:color w:val="auto"/>
                <w:highlight w:val="none"/>
                <w:lang w:val="en-US" w:eastAsia="zh-CN"/>
              </w:rPr>
              <w:t>组分</w:t>
            </w:r>
            <w:r>
              <w:rPr>
                <w:rFonts w:hint="eastAsia" w:ascii="Times New Roman" w:hAnsi="Times New Roman" w:eastAsia="宋体" w:cs="Times New Roman"/>
                <w:bCs/>
                <w:color w:val="auto"/>
                <w:highlight w:val="none"/>
                <w:lang w:val="en-US" w:eastAsia="zh-CN"/>
              </w:rPr>
              <w:t>为</w:t>
            </w:r>
            <w:r>
              <w:rPr>
                <w:rFonts w:hint="eastAsia" w:cs="Times New Roman"/>
                <w:bCs/>
                <w:color w:val="auto"/>
                <w:highlight w:val="none"/>
                <w:lang w:val="en-US" w:eastAsia="zh-CN"/>
              </w:rPr>
              <w:t>硝酸铵、柴油</w:t>
            </w:r>
            <w:r>
              <w:rPr>
                <w:rFonts w:hint="default" w:ascii="Times New Roman" w:hAnsi="Times New Roman" w:eastAsia="宋体" w:cs="Times New Roman"/>
                <w:bCs/>
                <w:color w:val="auto"/>
                <w:highlight w:val="none"/>
                <w:lang w:val="en-US" w:eastAsia="zh-CN"/>
              </w:rPr>
              <w:t>等</w:t>
            </w:r>
            <w:r>
              <w:rPr>
                <w:rFonts w:hint="eastAsia" w:cs="Times New Roman"/>
                <w:bCs/>
                <w:color w:val="auto"/>
                <w:highlight w:val="none"/>
                <w:lang w:val="en-US" w:eastAsia="zh-CN"/>
              </w:rPr>
              <w:t>，雷管主要为二硝基重氮酚和黑索金；</w:t>
            </w:r>
            <w:r>
              <w:rPr>
                <w:rFonts w:hint="eastAsia"/>
                <w:color w:val="000000"/>
                <w:highlight w:val="none"/>
              </w:rPr>
              <w:t>暂存量及分布区域等情况详见</w:t>
            </w:r>
            <w:r>
              <w:rPr>
                <w:rFonts w:hint="eastAsia"/>
                <w:highlight w:val="none"/>
              </w:rPr>
              <w:t>表4</w:t>
            </w:r>
            <w:r>
              <w:rPr>
                <w:rFonts w:hint="eastAsia"/>
                <w:highlight w:val="none"/>
                <w:lang w:val="en-US" w:eastAsia="zh-CN"/>
              </w:rPr>
              <w:t>.12-1</w:t>
            </w:r>
            <w:r>
              <w:rPr>
                <w:rFonts w:hint="eastAsia"/>
                <w:highlight w:val="none"/>
              </w:rPr>
              <w:t>。</w:t>
            </w:r>
          </w:p>
          <w:p w14:paraId="7355FC11">
            <w:pPr>
              <w:pStyle w:val="73"/>
              <w:keepNext w:val="0"/>
              <w:keepLines w:val="0"/>
              <w:pageBreakBefore w:val="0"/>
              <w:widowControl/>
              <w:kinsoku/>
              <w:wordWrap/>
              <w:overflowPunct/>
              <w:topLinePunct w:val="0"/>
              <w:autoSpaceDE/>
              <w:autoSpaceDN/>
              <w:bidi w:val="0"/>
              <w:adjustRightInd w:val="0"/>
              <w:snapToGrid w:val="0"/>
              <w:spacing w:line="240" w:lineRule="auto"/>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表4</w:t>
            </w:r>
            <w:r>
              <w:rPr>
                <w:rFonts w:hint="eastAsia" w:ascii="Times New Roman" w:hAnsi="Times New Roman" w:eastAsia="宋体" w:cs="Times New Roman"/>
                <w:sz w:val="21"/>
                <w:szCs w:val="21"/>
                <w:highlight w:val="none"/>
                <w:lang w:val="en-US" w:eastAsia="zh-CN"/>
              </w:rPr>
              <w:t>.12-1</w:t>
            </w:r>
            <w:r>
              <w:rPr>
                <w:rFonts w:hint="default" w:ascii="Times New Roman" w:hAnsi="Times New Roman" w:cs="Times New Roman"/>
                <w:sz w:val="21"/>
                <w:szCs w:val="21"/>
                <w:highlight w:val="none"/>
              </w:rPr>
              <w:t xml:space="preserve">  本项目涉及的风险源分布情况表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1420"/>
              <w:gridCol w:w="1681"/>
              <w:gridCol w:w="1313"/>
              <w:gridCol w:w="1276"/>
              <w:gridCol w:w="1392"/>
            </w:tblGrid>
            <w:tr w14:paraId="62DB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286" w:type="dxa"/>
                  <w:vAlign w:val="center"/>
                </w:tcPr>
                <w:p w14:paraId="44B415FB">
                  <w:pPr>
                    <w:pStyle w:val="58"/>
                    <w:rPr>
                      <w:sz w:val="21"/>
                      <w:szCs w:val="21"/>
                      <w:highlight w:val="none"/>
                    </w:rPr>
                  </w:pPr>
                  <w:r>
                    <w:rPr>
                      <w:sz w:val="21"/>
                      <w:szCs w:val="21"/>
                      <w:highlight w:val="none"/>
                    </w:rPr>
                    <w:t>名称</w:t>
                  </w:r>
                </w:p>
              </w:tc>
              <w:tc>
                <w:tcPr>
                  <w:tcW w:w="1316" w:type="dxa"/>
                  <w:vAlign w:val="center"/>
                </w:tcPr>
                <w:p w14:paraId="4BBC1720">
                  <w:pPr>
                    <w:pStyle w:val="58"/>
                    <w:rPr>
                      <w:sz w:val="21"/>
                      <w:szCs w:val="21"/>
                      <w:highlight w:val="none"/>
                    </w:rPr>
                  </w:pPr>
                  <w:r>
                    <w:rPr>
                      <w:rFonts w:hint="eastAsia"/>
                      <w:sz w:val="21"/>
                      <w:szCs w:val="21"/>
                      <w:highlight w:val="none"/>
                    </w:rPr>
                    <w:t>CAS号</w:t>
                  </w:r>
                </w:p>
              </w:tc>
              <w:tc>
                <w:tcPr>
                  <w:tcW w:w="1558" w:type="dxa"/>
                  <w:vAlign w:val="center"/>
                </w:tcPr>
                <w:p w14:paraId="096CE0E7">
                  <w:pPr>
                    <w:pStyle w:val="58"/>
                    <w:rPr>
                      <w:sz w:val="21"/>
                      <w:szCs w:val="21"/>
                      <w:highlight w:val="none"/>
                    </w:rPr>
                  </w:pPr>
                  <w:r>
                    <w:rPr>
                      <w:sz w:val="21"/>
                      <w:szCs w:val="21"/>
                      <w:highlight w:val="none"/>
                    </w:rPr>
                    <w:t>最大储存量（t）</w:t>
                  </w:r>
                </w:p>
              </w:tc>
              <w:tc>
                <w:tcPr>
                  <w:tcW w:w="1217" w:type="dxa"/>
                  <w:vAlign w:val="center"/>
                </w:tcPr>
                <w:p w14:paraId="30FCA149">
                  <w:pPr>
                    <w:pStyle w:val="58"/>
                    <w:rPr>
                      <w:sz w:val="21"/>
                      <w:szCs w:val="21"/>
                      <w:highlight w:val="none"/>
                    </w:rPr>
                  </w:pPr>
                  <w:r>
                    <w:rPr>
                      <w:sz w:val="21"/>
                      <w:szCs w:val="21"/>
                      <w:highlight w:val="none"/>
                    </w:rPr>
                    <w:t>临界量（t）</w:t>
                  </w:r>
                </w:p>
              </w:tc>
              <w:tc>
                <w:tcPr>
                  <w:tcW w:w="1183" w:type="dxa"/>
                  <w:vAlign w:val="center"/>
                </w:tcPr>
                <w:p w14:paraId="66C43D2B">
                  <w:pPr>
                    <w:pStyle w:val="58"/>
                    <w:rPr>
                      <w:sz w:val="21"/>
                      <w:szCs w:val="21"/>
                      <w:highlight w:val="none"/>
                    </w:rPr>
                  </w:pPr>
                  <w:r>
                    <w:rPr>
                      <w:sz w:val="21"/>
                      <w:szCs w:val="21"/>
                      <w:highlight w:val="none"/>
                    </w:rPr>
                    <w:t>储存方式</w:t>
                  </w:r>
                </w:p>
              </w:tc>
              <w:tc>
                <w:tcPr>
                  <w:tcW w:w="1290" w:type="dxa"/>
                  <w:vAlign w:val="center"/>
                </w:tcPr>
                <w:p w14:paraId="116B77AF">
                  <w:pPr>
                    <w:pStyle w:val="58"/>
                    <w:rPr>
                      <w:sz w:val="21"/>
                      <w:szCs w:val="21"/>
                      <w:highlight w:val="none"/>
                    </w:rPr>
                  </w:pPr>
                  <w:r>
                    <w:rPr>
                      <w:sz w:val="21"/>
                      <w:szCs w:val="21"/>
                      <w:highlight w:val="none"/>
                    </w:rPr>
                    <w:t>分布区域</w:t>
                  </w:r>
                </w:p>
              </w:tc>
            </w:tr>
            <w:tr w14:paraId="2239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286" w:type="dxa"/>
                  <w:vAlign w:val="center"/>
                </w:tcPr>
                <w:p w14:paraId="100BE4D3">
                  <w:pPr>
                    <w:pageBreakBefore w:val="0"/>
                    <w:kinsoku/>
                    <w:wordWrap/>
                    <w:overflowPunct/>
                    <w:topLinePunct w:val="0"/>
                    <w:bidi w:val="0"/>
                    <w:adjustRightInd w:val="0"/>
                    <w:snapToGrid w:val="0"/>
                    <w:spacing w:line="240" w:lineRule="auto"/>
                    <w:jc w:val="center"/>
                    <w:rPr>
                      <w:rFonts w:hint="eastAsia" w:eastAsia="宋体"/>
                      <w:sz w:val="21"/>
                      <w:szCs w:val="21"/>
                      <w:highlight w:val="none"/>
                      <w:lang w:eastAsia="zh-CN"/>
                    </w:rPr>
                  </w:pPr>
                  <w:r>
                    <w:rPr>
                      <w:rFonts w:hint="eastAsia" w:eastAsia="宋体"/>
                      <w:sz w:val="21"/>
                      <w:szCs w:val="21"/>
                      <w:highlight w:val="none"/>
                      <w:lang w:eastAsia="zh-CN"/>
                    </w:rPr>
                    <w:t>硝酸铵</w:t>
                  </w:r>
                </w:p>
              </w:tc>
              <w:tc>
                <w:tcPr>
                  <w:tcW w:w="1316" w:type="dxa"/>
                  <w:vAlign w:val="center"/>
                </w:tcPr>
                <w:p w14:paraId="33562AA0">
                  <w:pPr>
                    <w:pageBreakBefore w:val="0"/>
                    <w:kinsoku/>
                    <w:wordWrap/>
                    <w:overflowPunct/>
                    <w:topLinePunct w:val="0"/>
                    <w:bidi w:val="0"/>
                    <w:adjustRightInd w:val="0"/>
                    <w:snapToGrid w:val="0"/>
                    <w:spacing w:line="240" w:lineRule="auto"/>
                    <w:jc w:val="center"/>
                    <w:rPr>
                      <w:sz w:val="21"/>
                      <w:szCs w:val="21"/>
                      <w:highlight w:val="none"/>
                    </w:rPr>
                  </w:pPr>
                  <w:r>
                    <w:rPr>
                      <w:rFonts w:hint="eastAsia"/>
                      <w:sz w:val="21"/>
                      <w:szCs w:val="21"/>
                      <w:highlight w:val="none"/>
                    </w:rPr>
                    <w:t>6484-52-2</w:t>
                  </w:r>
                </w:p>
              </w:tc>
              <w:tc>
                <w:tcPr>
                  <w:tcW w:w="1558" w:type="dxa"/>
                  <w:vAlign w:val="center"/>
                </w:tcPr>
                <w:p w14:paraId="2EBEAB3A">
                  <w:pPr>
                    <w:pageBreakBefore w:val="0"/>
                    <w:kinsoku/>
                    <w:wordWrap/>
                    <w:overflowPunct/>
                    <w:topLinePunct w:val="0"/>
                    <w:bidi w:val="0"/>
                    <w:adjustRightInd w:val="0"/>
                    <w:snapToGrid w:val="0"/>
                    <w:spacing w:line="240" w:lineRule="auto"/>
                    <w:jc w:val="center"/>
                    <w:rPr>
                      <w:rFonts w:hint="default" w:eastAsia="宋体"/>
                      <w:sz w:val="21"/>
                      <w:szCs w:val="21"/>
                      <w:highlight w:val="none"/>
                      <w:lang w:val="en-US" w:eastAsia="zh-CN"/>
                    </w:rPr>
                  </w:pPr>
                  <w:r>
                    <w:rPr>
                      <w:rFonts w:hint="eastAsia" w:cs="Times New Roman"/>
                      <w:color w:val="auto"/>
                      <w:sz w:val="21"/>
                      <w:szCs w:val="21"/>
                      <w:highlight w:val="none"/>
                      <w:lang w:val="en-US" w:eastAsia="zh-CN"/>
                    </w:rPr>
                    <w:t>11.6</w:t>
                  </w:r>
                </w:p>
              </w:tc>
              <w:tc>
                <w:tcPr>
                  <w:tcW w:w="1217" w:type="dxa"/>
                  <w:vAlign w:val="center"/>
                </w:tcPr>
                <w:p w14:paraId="63BB8E69">
                  <w:pPr>
                    <w:pStyle w:val="58"/>
                    <w:rPr>
                      <w:rFonts w:hint="default" w:eastAsia="宋体"/>
                      <w:sz w:val="21"/>
                      <w:szCs w:val="21"/>
                      <w:highlight w:val="none"/>
                      <w:lang w:val="en-US" w:eastAsia="zh-CN"/>
                    </w:rPr>
                  </w:pPr>
                  <w:r>
                    <w:rPr>
                      <w:rFonts w:hint="eastAsia"/>
                      <w:sz w:val="21"/>
                      <w:szCs w:val="21"/>
                      <w:highlight w:val="none"/>
                      <w:lang w:val="en-US" w:eastAsia="zh-CN"/>
                    </w:rPr>
                    <w:t>50</w:t>
                  </w:r>
                </w:p>
              </w:tc>
              <w:tc>
                <w:tcPr>
                  <w:tcW w:w="1183" w:type="dxa"/>
                  <w:vAlign w:val="center"/>
                </w:tcPr>
                <w:p w14:paraId="2D5330C8">
                  <w:pPr>
                    <w:pStyle w:val="58"/>
                    <w:rPr>
                      <w:rFonts w:hint="default" w:eastAsia="宋体"/>
                      <w:sz w:val="21"/>
                      <w:szCs w:val="21"/>
                      <w:highlight w:val="none"/>
                      <w:lang w:val="en-US" w:eastAsia="zh-CN"/>
                    </w:rPr>
                  </w:pPr>
                  <w:r>
                    <w:rPr>
                      <w:rFonts w:hint="eastAsia"/>
                      <w:sz w:val="21"/>
                      <w:szCs w:val="21"/>
                      <w:highlight w:val="none"/>
                      <w:lang w:val="en-US" w:eastAsia="zh-CN"/>
                    </w:rPr>
                    <w:t>盒装</w:t>
                  </w:r>
                </w:p>
              </w:tc>
              <w:tc>
                <w:tcPr>
                  <w:tcW w:w="1290" w:type="dxa"/>
                  <w:vAlign w:val="center"/>
                </w:tcPr>
                <w:p w14:paraId="058FFAE6">
                  <w:pPr>
                    <w:pStyle w:val="58"/>
                    <w:ind w:firstLine="0" w:firstLineChars="0"/>
                    <w:rPr>
                      <w:sz w:val="21"/>
                      <w:szCs w:val="21"/>
                      <w:highlight w:val="none"/>
                    </w:rPr>
                  </w:pPr>
                  <w:r>
                    <w:rPr>
                      <w:rFonts w:hint="eastAsia"/>
                      <w:sz w:val="21"/>
                      <w:szCs w:val="21"/>
                      <w:highlight w:val="none"/>
                    </w:rPr>
                    <w:t>炸药库</w:t>
                  </w:r>
                </w:p>
              </w:tc>
            </w:tr>
            <w:tr w14:paraId="3379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286" w:type="dxa"/>
                  <w:vAlign w:val="center"/>
                </w:tcPr>
                <w:p w14:paraId="6A3BEEEC">
                  <w:pPr>
                    <w:pageBreakBefore w:val="0"/>
                    <w:kinsoku/>
                    <w:wordWrap/>
                    <w:overflowPunct/>
                    <w:topLinePunct w:val="0"/>
                    <w:bidi w:val="0"/>
                    <w:adjustRightInd w:val="0"/>
                    <w:snapToGrid w:val="0"/>
                    <w:spacing w:line="240" w:lineRule="auto"/>
                    <w:jc w:val="center"/>
                    <w:rPr>
                      <w:rFonts w:hint="default" w:eastAsia="宋体"/>
                      <w:sz w:val="21"/>
                      <w:szCs w:val="21"/>
                      <w:highlight w:val="none"/>
                      <w:lang w:val="en-US" w:eastAsia="zh-CN"/>
                    </w:rPr>
                  </w:pPr>
                  <w:r>
                    <w:rPr>
                      <w:rFonts w:hint="eastAsia"/>
                      <w:sz w:val="21"/>
                      <w:szCs w:val="21"/>
                      <w:highlight w:val="none"/>
                      <w:lang w:val="en-US" w:eastAsia="zh-CN"/>
                    </w:rPr>
                    <w:t>柴油</w:t>
                  </w:r>
                </w:p>
              </w:tc>
              <w:tc>
                <w:tcPr>
                  <w:tcW w:w="1316" w:type="dxa"/>
                  <w:vAlign w:val="center"/>
                </w:tcPr>
                <w:p w14:paraId="4E4A9207">
                  <w:pPr>
                    <w:pageBreakBefore w:val="0"/>
                    <w:kinsoku/>
                    <w:wordWrap/>
                    <w:overflowPunct/>
                    <w:topLinePunct w:val="0"/>
                    <w:bidi w:val="0"/>
                    <w:adjustRightInd w:val="0"/>
                    <w:snapToGrid w:val="0"/>
                    <w:spacing w:line="240" w:lineRule="auto"/>
                    <w:jc w:val="center"/>
                    <w:rPr>
                      <w:rFonts w:hint="eastAsia"/>
                      <w:sz w:val="21"/>
                      <w:szCs w:val="21"/>
                      <w:highlight w:val="none"/>
                    </w:rPr>
                  </w:pPr>
                  <w:r>
                    <w:rPr>
                      <w:rFonts w:hint="eastAsia"/>
                      <w:sz w:val="21"/>
                      <w:szCs w:val="21"/>
                      <w:highlight w:val="none"/>
                    </w:rPr>
                    <w:t>68334-30-5</w:t>
                  </w:r>
                </w:p>
              </w:tc>
              <w:tc>
                <w:tcPr>
                  <w:tcW w:w="1558" w:type="dxa"/>
                  <w:vAlign w:val="center"/>
                </w:tcPr>
                <w:p w14:paraId="1BF80C2F">
                  <w:pPr>
                    <w:pageBreakBefore w:val="0"/>
                    <w:kinsoku/>
                    <w:wordWrap/>
                    <w:overflowPunct/>
                    <w:topLinePunct w:val="0"/>
                    <w:bidi w:val="0"/>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17.4</w:t>
                  </w:r>
                </w:p>
              </w:tc>
              <w:tc>
                <w:tcPr>
                  <w:tcW w:w="1217" w:type="dxa"/>
                  <w:vAlign w:val="center"/>
                </w:tcPr>
                <w:p w14:paraId="3EA87B20">
                  <w:pPr>
                    <w:pStyle w:val="58"/>
                    <w:rPr>
                      <w:rFonts w:hint="default"/>
                      <w:sz w:val="21"/>
                      <w:szCs w:val="21"/>
                      <w:highlight w:val="none"/>
                      <w:lang w:val="en-US" w:eastAsia="zh-CN"/>
                    </w:rPr>
                  </w:pPr>
                  <w:r>
                    <w:rPr>
                      <w:rFonts w:hint="eastAsia"/>
                      <w:sz w:val="21"/>
                      <w:szCs w:val="21"/>
                      <w:highlight w:val="none"/>
                      <w:lang w:val="en-US" w:eastAsia="zh-CN"/>
                    </w:rPr>
                    <w:t>2500</w:t>
                  </w:r>
                </w:p>
              </w:tc>
              <w:tc>
                <w:tcPr>
                  <w:tcW w:w="1183" w:type="dxa"/>
                  <w:vAlign w:val="center"/>
                </w:tcPr>
                <w:p w14:paraId="0A28885D">
                  <w:pPr>
                    <w:pStyle w:val="58"/>
                    <w:ind w:firstLine="0" w:firstLineChars="0"/>
                    <w:rPr>
                      <w:rFonts w:hint="eastAsia"/>
                      <w:sz w:val="21"/>
                      <w:szCs w:val="21"/>
                      <w:highlight w:val="none"/>
                      <w:lang w:val="en-US" w:eastAsia="zh-CN"/>
                    </w:rPr>
                  </w:pPr>
                  <w:r>
                    <w:rPr>
                      <w:rFonts w:hint="eastAsia"/>
                      <w:sz w:val="21"/>
                      <w:szCs w:val="21"/>
                      <w:highlight w:val="none"/>
                      <w:lang w:val="en-US" w:eastAsia="zh-CN"/>
                    </w:rPr>
                    <w:t>盒装</w:t>
                  </w:r>
                </w:p>
              </w:tc>
              <w:tc>
                <w:tcPr>
                  <w:tcW w:w="1290" w:type="dxa"/>
                  <w:vAlign w:val="center"/>
                </w:tcPr>
                <w:p w14:paraId="5586A0FE">
                  <w:pPr>
                    <w:pStyle w:val="58"/>
                    <w:ind w:firstLine="0" w:firstLineChars="0"/>
                    <w:rPr>
                      <w:rFonts w:hint="eastAsia"/>
                      <w:sz w:val="21"/>
                      <w:szCs w:val="21"/>
                      <w:highlight w:val="none"/>
                    </w:rPr>
                  </w:pPr>
                  <w:r>
                    <w:rPr>
                      <w:rFonts w:hint="eastAsia"/>
                      <w:sz w:val="21"/>
                      <w:szCs w:val="21"/>
                      <w:highlight w:val="none"/>
                    </w:rPr>
                    <w:t>炸药库</w:t>
                  </w:r>
                </w:p>
              </w:tc>
            </w:tr>
            <w:tr w14:paraId="3AF3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286" w:type="dxa"/>
                  <w:vAlign w:val="center"/>
                </w:tcPr>
                <w:p w14:paraId="076A2C5E">
                  <w:pPr>
                    <w:pageBreakBefore w:val="0"/>
                    <w:kinsoku/>
                    <w:wordWrap/>
                    <w:overflowPunct/>
                    <w:topLinePunct w:val="0"/>
                    <w:bidi w:val="0"/>
                    <w:adjustRightInd w:val="0"/>
                    <w:snapToGrid w:val="0"/>
                    <w:spacing w:line="240" w:lineRule="auto"/>
                    <w:jc w:val="center"/>
                    <w:rPr>
                      <w:rFonts w:hint="default"/>
                      <w:sz w:val="21"/>
                      <w:szCs w:val="21"/>
                      <w:highlight w:val="none"/>
                      <w:lang w:val="en-US" w:eastAsia="zh-CN"/>
                    </w:rPr>
                  </w:pPr>
                  <w:r>
                    <w:rPr>
                      <w:rFonts w:hint="default"/>
                      <w:sz w:val="21"/>
                      <w:szCs w:val="21"/>
                      <w:highlight w:val="none"/>
                      <w:lang w:val="en-US" w:eastAsia="zh-CN"/>
                    </w:rPr>
                    <w:t>环三亚甲基三硝胺（黑索金）</w:t>
                  </w:r>
                </w:p>
              </w:tc>
              <w:tc>
                <w:tcPr>
                  <w:tcW w:w="1316" w:type="dxa"/>
                  <w:vAlign w:val="center"/>
                </w:tcPr>
                <w:p w14:paraId="2951DD20">
                  <w:pPr>
                    <w:pageBreakBefore w:val="0"/>
                    <w:kinsoku/>
                    <w:wordWrap/>
                    <w:overflowPunct/>
                    <w:topLinePunct w:val="0"/>
                    <w:bidi w:val="0"/>
                    <w:adjustRightInd w:val="0"/>
                    <w:snapToGrid w:val="0"/>
                    <w:spacing w:line="240" w:lineRule="auto"/>
                    <w:jc w:val="center"/>
                    <w:rPr>
                      <w:sz w:val="21"/>
                      <w:szCs w:val="21"/>
                      <w:highlight w:val="none"/>
                    </w:rPr>
                  </w:pPr>
                  <w:r>
                    <w:rPr>
                      <w:rFonts w:hint="eastAsia"/>
                      <w:sz w:val="21"/>
                      <w:szCs w:val="21"/>
                      <w:highlight w:val="none"/>
                    </w:rPr>
                    <w:t>121-82-4</w:t>
                  </w:r>
                </w:p>
              </w:tc>
              <w:tc>
                <w:tcPr>
                  <w:tcW w:w="1558" w:type="dxa"/>
                  <w:vMerge w:val="restart"/>
                  <w:vAlign w:val="center"/>
                </w:tcPr>
                <w:p w14:paraId="0C9E21C3">
                  <w:pPr>
                    <w:pageBreakBefore w:val="0"/>
                    <w:kinsoku/>
                    <w:wordWrap/>
                    <w:overflowPunct/>
                    <w:topLinePunct w:val="0"/>
                    <w:bidi w:val="0"/>
                    <w:adjustRightInd w:val="0"/>
                    <w:snapToGrid w:val="0"/>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0.03</w:t>
                  </w:r>
                </w:p>
              </w:tc>
              <w:tc>
                <w:tcPr>
                  <w:tcW w:w="1217" w:type="dxa"/>
                  <w:vMerge w:val="restart"/>
                  <w:vAlign w:val="center"/>
                </w:tcPr>
                <w:p w14:paraId="705337CE">
                  <w:pPr>
                    <w:pStyle w:val="58"/>
                    <w:ind w:firstLine="0" w:firstLineChars="0"/>
                    <w:rPr>
                      <w:rFonts w:hint="default"/>
                      <w:sz w:val="21"/>
                      <w:szCs w:val="21"/>
                      <w:highlight w:val="none"/>
                      <w:lang w:val="en-US" w:eastAsia="zh-CN"/>
                    </w:rPr>
                  </w:pPr>
                  <w:r>
                    <w:rPr>
                      <w:rFonts w:hint="eastAsia"/>
                      <w:sz w:val="21"/>
                      <w:szCs w:val="21"/>
                      <w:highlight w:val="none"/>
                      <w:lang w:val="en-US" w:eastAsia="zh-CN"/>
                    </w:rPr>
                    <w:t>50</w:t>
                  </w:r>
                </w:p>
              </w:tc>
              <w:tc>
                <w:tcPr>
                  <w:tcW w:w="1183" w:type="dxa"/>
                  <w:vMerge w:val="restart"/>
                  <w:vAlign w:val="center"/>
                </w:tcPr>
                <w:p w14:paraId="043EAA1B">
                  <w:pPr>
                    <w:pStyle w:val="58"/>
                    <w:ind w:firstLine="0" w:firstLineChars="0"/>
                    <w:rPr>
                      <w:rFonts w:hint="eastAsia"/>
                      <w:sz w:val="21"/>
                      <w:szCs w:val="21"/>
                      <w:highlight w:val="none"/>
                      <w:lang w:val="en-US" w:eastAsia="zh-CN"/>
                    </w:rPr>
                  </w:pPr>
                  <w:r>
                    <w:rPr>
                      <w:rFonts w:hint="eastAsia"/>
                      <w:sz w:val="21"/>
                      <w:szCs w:val="21"/>
                      <w:highlight w:val="none"/>
                      <w:lang w:val="en-US" w:eastAsia="zh-CN"/>
                    </w:rPr>
                    <w:t>盒装</w:t>
                  </w:r>
                </w:p>
              </w:tc>
              <w:tc>
                <w:tcPr>
                  <w:tcW w:w="1290" w:type="dxa"/>
                  <w:vMerge w:val="restart"/>
                  <w:vAlign w:val="center"/>
                </w:tcPr>
                <w:p w14:paraId="7387ECE5">
                  <w:pPr>
                    <w:pStyle w:val="58"/>
                    <w:ind w:firstLine="0" w:firstLineChars="0"/>
                    <w:rPr>
                      <w:rFonts w:hint="eastAsia"/>
                      <w:sz w:val="21"/>
                      <w:szCs w:val="21"/>
                      <w:highlight w:val="none"/>
                    </w:rPr>
                  </w:pPr>
                  <w:r>
                    <w:rPr>
                      <w:rFonts w:hint="eastAsia"/>
                      <w:sz w:val="21"/>
                      <w:szCs w:val="21"/>
                      <w:highlight w:val="none"/>
                    </w:rPr>
                    <w:t>雷管库</w:t>
                  </w:r>
                </w:p>
              </w:tc>
            </w:tr>
            <w:tr w14:paraId="46A8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286" w:type="dxa"/>
                  <w:vAlign w:val="center"/>
                </w:tcPr>
                <w:p w14:paraId="13483212">
                  <w:pPr>
                    <w:pageBreakBefore w:val="0"/>
                    <w:kinsoku/>
                    <w:wordWrap/>
                    <w:overflowPunct/>
                    <w:topLinePunct w:val="0"/>
                    <w:bidi w:val="0"/>
                    <w:adjustRightInd w:val="0"/>
                    <w:snapToGrid w:val="0"/>
                    <w:spacing w:line="240" w:lineRule="auto"/>
                    <w:jc w:val="center"/>
                    <w:rPr>
                      <w:rFonts w:hint="default"/>
                      <w:sz w:val="21"/>
                      <w:szCs w:val="21"/>
                      <w:highlight w:val="none"/>
                      <w:lang w:val="en-US" w:eastAsia="zh-CN"/>
                    </w:rPr>
                  </w:pPr>
                  <w:r>
                    <w:rPr>
                      <w:rFonts w:hint="default"/>
                      <w:sz w:val="21"/>
                      <w:szCs w:val="21"/>
                      <w:highlight w:val="none"/>
                      <w:lang w:val="en-US" w:eastAsia="zh-CN"/>
                    </w:rPr>
                    <w:t>二硝基重氮酚</w:t>
                  </w:r>
                </w:p>
              </w:tc>
              <w:tc>
                <w:tcPr>
                  <w:tcW w:w="1316" w:type="dxa"/>
                  <w:vAlign w:val="center"/>
                </w:tcPr>
                <w:p w14:paraId="59894FB5">
                  <w:pPr>
                    <w:pageBreakBefore w:val="0"/>
                    <w:kinsoku/>
                    <w:wordWrap/>
                    <w:overflowPunct/>
                    <w:topLinePunct w:val="0"/>
                    <w:bidi w:val="0"/>
                    <w:adjustRightInd w:val="0"/>
                    <w:snapToGrid w:val="0"/>
                    <w:spacing w:line="240" w:lineRule="auto"/>
                    <w:jc w:val="center"/>
                    <w:rPr>
                      <w:rFonts w:hint="eastAsia"/>
                      <w:sz w:val="21"/>
                      <w:szCs w:val="21"/>
                      <w:highlight w:val="none"/>
                    </w:rPr>
                  </w:pPr>
                  <w:r>
                    <w:rPr>
                      <w:rFonts w:hint="eastAsia"/>
                      <w:sz w:val="21"/>
                      <w:szCs w:val="21"/>
                      <w:highlight w:val="none"/>
                    </w:rPr>
                    <w:t>87-31-0</w:t>
                  </w:r>
                </w:p>
              </w:tc>
              <w:tc>
                <w:tcPr>
                  <w:tcW w:w="1558" w:type="dxa"/>
                  <w:vMerge w:val="continue"/>
                  <w:vAlign w:val="center"/>
                </w:tcPr>
                <w:p w14:paraId="2744C2FD">
                  <w:pPr>
                    <w:pageBreakBefore w:val="0"/>
                    <w:kinsoku/>
                    <w:wordWrap/>
                    <w:overflowPunct/>
                    <w:topLinePunct w:val="0"/>
                    <w:bidi w:val="0"/>
                    <w:adjustRightInd w:val="0"/>
                    <w:snapToGrid w:val="0"/>
                    <w:spacing w:line="240" w:lineRule="auto"/>
                    <w:jc w:val="center"/>
                    <w:rPr>
                      <w:rFonts w:hint="default" w:cs="Times New Roman"/>
                      <w:color w:val="auto"/>
                      <w:sz w:val="21"/>
                      <w:szCs w:val="21"/>
                      <w:highlight w:val="none"/>
                      <w:lang w:val="en-US" w:eastAsia="zh-CN"/>
                    </w:rPr>
                  </w:pPr>
                </w:p>
              </w:tc>
              <w:tc>
                <w:tcPr>
                  <w:tcW w:w="1217" w:type="dxa"/>
                  <w:vMerge w:val="continue"/>
                  <w:vAlign w:val="center"/>
                </w:tcPr>
                <w:p w14:paraId="5AE86A64">
                  <w:pPr>
                    <w:pStyle w:val="58"/>
                    <w:ind w:firstLine="0" w:firstLineChars="0"/>
                    <w:rPr>
                      <w:rFonts w:hint="default"/>
                      <w:sz w:val="21"/>
                      <w:szCs w:val="21"/>
                      <w:highlight w:val="none"/>
                      <w:lang w:val="en-US" w:eastAsia="zh-CN"/>
                    </w:rPr>
                  </w:pPr>
                </w:p>
              </w:tc>
              <w:tc>
                <w:tcPr>
                  <w:tcW w:w="1183" w:type="dxa"/>
                  <w:vMerge w:val="continue"/>
                  <w:vAlign w:val="center"/>
                </w:tcPr>
                <w:p w14:paraId="49054D8C">
                  <w:pPr>
                    <w:pStyle w:val="58"/>
                    <w:ind w:firstLine="0" w:firstLineChars="0"/>
                    <w:rPr>
                      <w:rFonts w:hint="eastAsia"/>
                      <w:sz w:val="21"/>
                      <w:szCs w:val="21"/>
                      <w:highlight w:val="none"/>
                      <w:lang w:val="en-US" w:eastAsia="zh-CN"/>
                    </w:rPr>
                  </w:pPr>
                </w:p>
              </w:tc>
              <w:tc>
                <w:tcPr>
                  <w:tcW w:w="1290" w:type="dxa"/>
                  <w:vMerge w:val="continue"/>
                  <w:vAlign w:val="center"/>
                </w:tcPr>
                <w:p w14:paraId="348AD801">
                  <w:pPr>
                    <w:pStyle w:val="58"/>
                    <w:ind w:firstLine="0" w:firstLineChars="0"/>
                    <w:rPr>
                      <w:rFonts w:hint="eastAsia"/>
                      <w:sz w:val="21"/>
                      <w:szCs w:val="21"/>
                      <w:highlight w:val="none"/>
                    </w:rPr>
                  </w:pPr>
                </w:p>
              </w:tc>
            </w:tr>
            <w:tr w14:paraId="537B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7850" w:type="dxa"/>
                  <w:gridSpan w:val="6"/>
                  <w:vAlign w:val="center"/>
                </w:tcPr>
                <w:p w14:paraId="4CF6A4DD">
                  <w:pPr>
                    <w:pStyle w:val="58"/>
                    <w:ind w:firstLine="0" w:firstLineChars="0"/>
                    <w:jc w:val="both"/>
                    <w:rPr>
                      <w:rFonts w:hint="eastAsia" w:eastAsia="宋体"/>
                      <w:highlight w:val="none"/>
                      <w:lang w:val="en-US" w:eastAsia="zh-CN"/>
                    </w:rPr>
                  </w:pPr>
                  <w:r>
                    <w:rPr>
                      <w:rFonts w:hint="eastAsia"/>
                      <w:highlight w:val="none"/>
                      <w:lang w:val="en-US" w:eastAsia="zh-CN"/>
                    </w:rPr>
                    <w:t>1.</w:t>
                  </w:r>
                  <w:r>
                    <w:rPr>
                      <w:rFonts w:hint="eastAsia"/>
                      <w:highlight w:val="none"/>
                    </w:rPr>
                    <w:t>导爆索装药量为11g/m</w:t>
                  </w:r>
                  <w:r>
                    <w:rPr>
                      <w:rFonts w:hint="eastAsia"/>
                      <w:highlight w:val="none"/>
                      <w:lang w:eastAsia="zh-CN"/>
                    </w:rPr>
                    <w:t>；</w:t>
                  </w:r>
                  <w:r>
                    <w:rPr>
                      <w:rFonts w:hint="eastAsia"/>
                      <w:highlight w:val="none"/>
                      <w:lang w:val="en-US" w:eastAsia="zh-CN"/>
                    </w:rPr>
                    <w:t>2</w:t>
                  </w:r>
                  <w:r>
                    <w:rPr>
                      <w:rFonts w:hint="eastAsia"/>
                      <w:highlight w:val="none"/>
                    </w:rPr>
                    <w:t>、电子雷管装药量为0.</w:t>
                  </w:r>
                  <w:r>
                    <w:rPr>
                      <w:rFonts w:hint="eastAsia"/>
                      <w:highlight w:val="none"/>
                      <w:lang w:val="en-US" w:eastAsia="zh-CN"/>
                    </w:rPr>
                    <w:t>1</w:t>
                  </w:r>
                  <w:r>
                    <w:rPr>
                      <w:rFonts w:hint="eastAsia"/>
                      <w:highlight w:val="none"/>
                    </w:rPr>
                    <w:t>g/发</w:t>
                  </w:r>
                  <w:r>
                    <w:rPr>
                      <w:rFonts w:hint="eastAsia"/>
                      <w:highlight w:val="none"/>
                      <w:lang w:eastAsia="zh-CN"/>
                    </w:rPr>
                    <w:t>；</w:t>
                  </w:r>
                  <w:r>
                    <w:rPr>
                      <w:rFonts w:hint="eastAsia"/>
                      <w:highlight w:val="none"/>
                      <w:lang w:val="en-US" w:eastAsia="zh-CN"/>
                    </w:rPr>
                    <w:t>3</w:t>
                  </w:r>
                  <w:r>
                    <w:rPr>
                      <w:rFonts w:hint="eastAsia"/>
                      <w:highlight w:val="none"/>
                    </w:rPr>
                    <w:t>、环三亚甲基三硝胺属于健康危险急性毒性</w:t>
                  </w:r>
                  <w:r>
                    <w:rPr>
                      <w:rFonts w:hint="eastAsia"/>
                      <w:highlight w:val="none"/>
                      <w:lang w:eastAsia="zh-CN"/>
                    </w:rPr>
                    <w:t>（</w:t>
                  </w:r>
                  <w:r>
                    <w:rPr>
                      <w:rFonts w:hint="eastAsia"/>
                      <w:highlight w:val="none"/>
                    </w:rPr>
                    <w:t>类别3</w:t>
                  </w:r>
                  <w:r>
                    <w:rPr>
                      <w:rFonts w:hint="eastAsia"/>
                      <w:highlight w:val="none"/>
                      <w:lang w:eastAsia="zh-CN"/>
                    </w:rPr>
                    <w:t>）</w:t>
                  </w:r>
                </w:p>
              </w:tc>
            </w:tr>
          </w:tbl>
          <w:p w14:paraId="16F2049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拟建项目危险物质数量与临界量比值Q=0.</w:t>
            </w:r>
            <w:r>
              <w:rPr>
                <w:rFonts w:hint="eastAsia" w:cs="Times New Roman"/>
                <w:color w:val="000000"/>
                <w:highlight w:val="none"/>
                <w:lang w:val="en-US" w:eastAsia="zh-CN"/>
              </w:rPr>
              <w:t>23956</w:t>
            </w:r>
            <w:r>
              <w:rPr>
                <w:rFonts w:hint="eastAsia" w:ascii="Times New Roman" w:hAnsi="Times New Roman" w:eastAsia="宋体" w:cs="Times New Roman"/>
                <w:color w:val="000000"/>
                <w:highlight w:val="none"/>
              </w:rPr>
              <w:t>＜1。根据《建设项目环境风险评价技术导则》（HJ 169-2018）附录C，当Q＜1时，可直接判断该项目环境风险潜势为</w:t>
            </w:r>
            <w:r>
              <w:rPr>
                <w:rFonts w:hint="default" w:ascii="Times New Roman" w:hAnsi="Times New Roman" w:eastAsia="宋体" w:cs="Times New Roman"/>
                <w:color w:val="000000"/>
                <w:highlight w:val="none"/>
              </w:rPr>
              <w:t>Ⅰ</w:t>
            </w:r>
            <w:r>
              <w:rPr>
                <w:rFonts w:hint="eastAsia" w:ascii="Times New Roman" w:hAnsi="Times New Roman" w:eastAsia="宋体" w:cs="Times New Roman"/>
                <w:color w:val="000000"/>
                <w:highlight w:val="none"/>
              </w:rPr>
              <w:t>。</w:t>
            </w:r>
          </w:p>
          <w:p w14:paraId="5DA652E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w:t>
            </w:r>
            <w:r>
              <w:rPr>
                <w:rFonts w:hint="eastAsia" w:cs="Times New Roman"/>
                <w:color w:val="000000"/>
                <w:highlight w:val="none"/>
                <w:lang w:val="en-US" w:eastAsia="zh-CN"/>
              </w:rPr>
              <w:t>1</w:t>
            </w:r>
            <w:r>
              <w:rPr>
                <w:rFonts w:hint="eastAsia" w:ascii="Times New Roman" w:hAnsi="Times New Roman" w:eastAsia="宋体" w:cs="Times New Roman"/>
                <w:color w:val="000000"/>
                <w:highlight w:val="none"/>
              </w:rPr>
              <w:t>）可能影响途径</w:t>
            </w:r>
          </w:p>
          <w:p w14:paraId="50C7E13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通过对风险物质类型、风险源、有害物质识别可能影响的途径，识别结果详见表4</w:t>
            </w:r>
            <w:r>
              <w:rPr>
                <w:rFonts w:hint="eastAsia" w:ascii="Times New Roman" w:hAnsi="Times New Roman" w:eastAsia="宋体" w:cs="Times New Roman"/>
                <w:color w:val="000000"/>
                <w:highlight w:val="none"/>
                <w:lang w:val="en-US" w:eastAsia="zh-CN"/>
              </w:rPr>
              <w:t>.12-2</w:t>
            </w:r>
            <w:r>
              <w:rPr>
                <w:rFonts w:hint="eastAsia" w:ascii="Times New Roman" w:hAnsi="Times New Roman" w:eastAsia="宋体" w:cs="Times New Roman"/>
                <w:color w:val="000000"/>
                <w:highlight w:val="none"/>
              </w:rPr>
              <w:t>。</w:t>
            </w:r>
          </w:p>
          <w:p w14:paraId="1F176D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sz w:val="21"/>
                <w:szCs w:val="21"/>
                <w:highlight w:val="none"/>
              </w:rPr>
            </w:pPr>
            <w:r>
              <w:rPr>
                <w:rFonts w:hint="default" w:ascii="Times New Roman" w:hAnsi="Times New Roman" w:cs="Times New Roman"/>
                <w:b/>
                <w:bCs/>
                <w:color w:val="000000"/>
                <w:sz w:val="21"/>
                <w:szCs w:val="21"/>
                <w:highlight w:val="none"/>
              </w:rPr>
              <w:t>表4.12-2  拟建项目风险物质影响途径一览表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1123"/>
              <w:gridCol w:w="1483"/>
              <w:gridCol w:w="1745"/>
              <w:gridCol w:w="2731"/>
            </w:tblGrid>
            <w:tr w14:paraId="5CE0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6" w:type="dxa"/>
                  <w:vAlign w:val="center"/>
                </w:tcPr>
                <w:p w14:paraId="60E19F86">
                  <w:pPr>
                    <w:pStyle w:val="58"/>
                    <w:rPr>
                      <w:highlight w:val="none"/>
                    </w:rPr>
                  </w:pPr>
                  <w:r>
                    <w:rPr>
                      <w:rFonts w:hint="eastAsia"/>
                      <w:highlight w:val="none"/>
                    </w:rPr>
                    <w:t>危险单元</w:t>
                  </w:r>
                </w:p>
              </w:tc>
              <w:tc>
                <w:tcPr>
                  <w:tcW w:w="1041" w:type="dxa"/>
                  <w:vAlign w:val="center"/>
                </w:tcPr>
                <w:p w14:paraId="4AB1C3E0">
                  <w:pPr>
                    <w:pStyle w:val="58"/>
                    <w:rPr>
                      <w:highlight w:val="none"/>
                    </w:rPr>
                  </w:pPr>
                  <w:r>
                    <w:rPr>
                      <w:rFonts w:hint="eastAsia"/>
                      <w:highlight w:val="none"/>
                    </w:rPr>
                    <w:t>风险源</w:t>
                  </w:r>
                </w:p>
              </w:tc>
              <w:tc>
                <w:tcPr>
                  <w:tcW w:w="1374" w:type="dxa"/>
                  <w:vAlign w:val="center"/>
                </w:tcPr>
                <w:p w14:paraId="20B44D4E">
                  <w:pPr>
                    <w:pStyle w:val="58"/>
                    <w:rPr>
                      <w:highlight w:val="none"/>
                    </w:rPr>
                  </w:pPr>
                  <w:r>
                    <w:rPr>
                      <w:rFonts w:hint="eastAsia"/>
                      <w:highlight w:val="none"/>
                    </w:rPr>
                    <w:t>有害物质</w:t>
                  </w:r>
                </w:p>
              </w:tc>
              <w:tc>
                <w:tcPr>
                  <w:tcW w:w="1617" w:type="dxa"/>
                  <w:vAlign w:val="center"/>
                </w:tcPr>
                <w:p w14:paraId="40067683">
                  <w:pPr>
                    <w:pStyle w:val="58"/>
                    <w:rPr>
                      <w:highlight w:val="none"/>
                    </w:rPr>
                  </w:pPr>
                  <w:r>
                    <w:rPr>
                      <w:rFonts w:hint="eastAsia"/>
                      <w:highlight w:val="none"/>
                    </w:rPr>
                    <w:t>环境风险类型</w:t>
                  </w:r>
                </w:p>
              </w:tc>
              <w:tc>
                <w:tcPr>
                  <w:tcW w:w="2531" w:type="dxa"/>
                  <w:vAlign w:val="center"/>
                </w:tcPr>
                <w:p w14:paraId="52FD5CE0">
                  <w:pPr>
                    <w:pStyle w:val="58"/>
                    <w:rPr>
                      <w:highlight w:val="none"/>
                    </w:rPr>
                  </w:pPr>
                  <w:r>
                    <w:rPr>
                      <w:rFonts w:hint="eastAsia"/>
                      <w:highlight w:val="none"/>
                    </w:rPr>
                    <w:t>环境影响途径</w:t>
                  </w:r>
                </w:p>
              </w:tc>
            </w:tr>
            <w:tr w14:paraId="2922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6" w:type="dxa"/>
                  <w:vAlign w:val="center"/>
                </w:tcPr>
                <w:p w14:paraId="397F0136">
                  <w:pPr>
                    <w:pStyle w:val="58"/>
                    <w:rPr>
                      <w:rFonts w:hint="eastAsia" w:eastAsia="宋体"/>
                      <w:highlight w:val="none"/>
                      <w:lang w:eastAsia="zh-CN"/>
                    </w:rPr>
                  </w:pPr>
                  <w:r>
                    <w:rPr>
                      <w:rFonts w:hint="eastAsia"/>
                      <w:highlight w:val="none"/>
                    </w:rPr>
                    <w:t>炸药库</w:t>
                  </w:r>
                  <w:r>
                    <w:rPr>
                      <w:rFonts w:hint="eastAsia"/>
                      <w:highlight w:val="none"/>
                      <w:lang w:eastAsia="zh-CN"/>
                    </w:rPr>
                    <w:t>、</w:t>
                  </w:r>
                  <w:r>
                    <w:rPr>
                      <w:rFonts w:hint="eastAsia"/>
                      <w:highlight w:val="none"/>
                    </w:rPr>
                    <w:t>雷管库</w:t>
                  </w:r>
                </w:p>
              </w:tc>
              <w:tc>
                <w:tcPr>
                  <w:tcW w:w="1041" w:type="dxa"/>
                  <w:vAlign w:val="center"/>
                </w:tcPr>
                <w:p w14:paraId="585E5413">
                  <w:pPr>
                    <w:pStyle w:val="58"/>
                    <w:rPr>
                      <w:rFonts w:hint="default" w:eastAsia="宋体"/>
                      <w:highlight w:val="none"/>
                      <w:lang w:val="en-US" w:eastAsia="zh-CN"/>
                    </w:rPr>
                  </w:pPr>
                  <w:r>
                    <w:rPr>
                      <w:rFonts w:hint="eastAsia"/>
                      <w:highlight w:val="none"/>
                      <w:lang w:val="en-US" w:eastAsia="zh-CN"/>
                    </w:rPr>
                    <w:t>炸药、</w:t>
                  </w:r>
                  <w:r>
                    <w:rPr>
                      <w:rFonts w:hint="eastAsia"/>
                      <w:highlight w:val="none"/>
                    </w:rPr>
                    <w:t>导爆索</w:t>
                  </w:r>
                  <w:r>
                    <w:rPr>
                      <w:rFonts w:hint="eastAsia"/>
                      <w:highlight w:val="none"/>
                      <w:lang w:eastAsia="zh-CN"/>
                    </w:rPr>
                    <w:t>、</w:t>
                  </w:r>
                  <w:r>
                    <w:rPr>
                      <w:rFonts w:hint="eastAsia"/>
                      <w:highlight w:val="none"/>
                      <w:lang w:val="en-US" w:eastAsia="zh-CN"/>
                    </w:rPr>
                    <w:t>雷管</w:t>
                  </w:r>
                </w:p>
              </w:tc>
              <w:tc>
                <w:tcPr>
                  <w:tcW w:w="1374" w:type="dxa"/>
                  <w:vAlign w:val="center"/>
                </w:tcPr>
                <w:p w14:paraId="35CC467A">
                  <w:pPr>
                    <w:pStyle w:val="58"/>
                    <w:rPr>
                      <w:rFonts w:hint="default"/>
                      <w:highlight w:val="none"/>
                      <w:lang w:val="en-US"/>
                    </w:rPr>
                  </w:pPr>
                  <w:r>
                    <w:rPr>
                      <w:rFonts w:hint="eastAsia" w:eastAsia="宋体"/>
                      <w:sz w:val="21"/>
                      <w:szCs w:val="21"/>
                      <w:highlight w:val="none"/>
                      <w:lang w:eastAsia="zh-CN"/>
                    </w:rPr>
                    <w:t>硝酸铵</w:t>
                  </w:r>
                  <w:r>
                    <w:rPr>
                      <w:rFonts w:hint="eastAsia"/>
                      <w:sz w:val="21"/>
                      <w:szCs w:val="21"/>
                      <w:highlight w:val="none"/>
                      <w:lang w:eastAsia="zh-CN"/>
                    </w:rPr>
                    <w:t>、</w:t>
                  </w:r>
                  <w:r>
                    <w:rPr>
                      <w:rFonts w:hint="default"/>
                      <w:sz w:val="21"/>
                      <w:szCs w:val="21"/>
                      <w:highlight w:val="none"/>
                      <w:lang w:val="en-US" w:eastAsia="zh-CN"/>
                    </w:rPr>
                    <w:t>环三亚甲基三硝胺（黑索金）</w:t>
                  </w:r>
                  <w:r>
                    <w:rPr>
                      <w:rFonts w:hint="eastAsia"/>
                      <w:sz w:val="21"/>
                      <w:szCs w:val="21"/>
                      <w:highlight w:val="none"/>
                      <w:lang w:val="en-US" w:eastAsia="zh-CN"/>
                    </w:rPr>
                    <w:t>、柴油、</w:t>
                  </w:r>
                  <w:r>
                    <w:rPr>
                      <w:rFonts w:hint="default"/>
                      <w:sz w:val="21"/>
                      <w:szCs w:val="21"/>
                      <w:highlight w:val="none"/>
                      <w:lang w:val="en-US" w:eastAsia="zh-CN"/>
                    </w:rPr>
                    <w:t>二硝基重氮酚</w:t>
                  </w:r>
                </w:p>
              </w:tc>
              <w:tc>
                <w:tcPr>
                  <w:tcW w:w="1617" w:type="dxa"/>
                  <w:vAlign w:val="center"/>
                </w:tcPr>
                <w:p w14:paraId="78B88D89">
                  <w:pPr>
                    <w:pStyle w:val="58"/>
                    <w:rPr>
                      <w:rFonts w:hint="default" w:eastAsia="宋体"/>
                      <w:highlight w:val="none"/>
                      <w:lang w:val="en-US" w:eastAsia="zh-CN"/>
                    </w:rPr>
                  </w:pPr>
                  <w:r>
                    <w:rPr>
                      <w:rFonts w:hint="eastAsia"/>
                      <w:highlight w:val="none"/>
                      <w:lang w:val="en-US" w:eastAsia="zh-CN"/>
                    </w:rPr>
                    <w:t>爆炸、火灾</w:t>
                  </w:r>
                </w:p>
              </w:tc>
              <w:tc>
                <w:tcPr>
                  <w:tcW w:w="2531" w:type="dxa"/>
                  <w:vAlign w:val="center"/>
                </w:tcPr>
                <w:p w14:paraId="5B1AAB17">
                  <w:pPr>
                    <w:pStyle w:val="58"/>
                    <w:rPr>
                      <w:highlight w:val="none"/>
                    </w:rPr>
                  </w:pPr>
                  <w:r>
                    <w:rPr>
                      <w:rFonts w:hint="eastAsia"/>
                      <w:highlight w:val="none"/>
                      <w:lang w:val="en-US" w:eastAsia="zh-CN"/>
                    </w:rPr>
                    <w:t>消防废水</w:t>
                  </w:r>
                  <w:r>
                    <w:rPr>
                      <w:rFonts w:hint="eastAsia"/>
                      <w:highlight w:val="none"/>
                    </w:rPr>
                    <w:t>泄漏通过地坪下渗等对周围地下水和土壤环境造成影响</w:t>
                  </w:r>
                </w:p>
              </w:tc>
            </w:tr>
          </w:tbl>
          <w:p w14:paraId="0B5AC8FC">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w:t>
            </w:r>
            <w:r>
              <w:rPr>
                <w:rFonts w:hint="eastAsia" w:cs="Times New Roman"/>
                <w:color w:val="000000"/>
                <w:highlight w:val="none"/>
                <w:lang w:val="en-US" w:eastAsia="zh-CN"/>
              </w:rPr>
              <w:t>2</w:t>
            </w:r>
            <w:r>
              <w:rPr>
                <w:rFonts w:hint="eastAsia" w:ascii="Times New Roman" w:hAnsi="Times New Roman" w:eastAsia="宋体" w:cs="Times New Roman"/>
                <w:color w:val="000000"/>
                <w:highlight w:val="none"/>
              </w:rPr>
              <w:t>）环境风险防范措施</w:t>
            </w:r>
          </w:p>
          <w:p w14:paraId="34DD113D">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本项目为民用爆炸物品专用储存库，火灾、爆炸事故危害性极大，结合项目现有工程条件，从建筑本质安全、消防系统、智能安防监控、防静电防爆、人员管理、日常巡检、事故应急七大维度制定针对性防范措施，具体如下：</w:t>
            </w:r>
          </w:p>
          <w:p w14:paraId="3EF6CB69">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cs="Times New Roman"/>
                <w:color w:val="000000"/>
                <w:highlight w:val="none"/>
                <w:lang w:val="en-US" w:eastAsia="zh-CN"/>
              </w:rPr>
              <w:t>1）</w:t>
            </w:r>
            <w:r>
              <w:rPr>
                <w:rFonts w:hint="eastAsia" w:ascii="Times New Roman" w:hAnsi="Times New Roman" w:eastAsia="宋体" w:cs="Times New Roman"/>
                <w:color w:val="000000"/>
                <w:highlight w:val="none"/>
              </w:rPr>
              <w:t>建筑与场地本质安全防控</w:t>
            </w:r>
          </w:p>
          <w:p w14:paraId="445C845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严格维持库区现有布局：炸药库与雷管库间距25.3m，满足民用爆炸物品安全距离规范；两座库房四周防爆土堆定期修整、加固，保证土堆完整、无坍塌，利用土堆+场区三面环山的天然山体形成双重物理屏障，一旦发生爆炸，有效阻挡冲击波、烟气向外扩散，缩小事故影响范围。</w:t>
            </w:r>
          </w:p>
          <w:p w14:paraId="2875A182">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库区设置2.5m高实体围墙+顶部铁丝网，全域封闭隔离，围墙无破损、缺口；储存区、值班室、消防区域实行物理分隔，设置独立人行通道、车行通道，严格执行人车分流，禁止通道混用。</w:t>
            </w:r>
          </w:p>
          <w:p w14:paraId="71DCF97D">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库区周边及库房周边严禁堆放杂草、建材、生活垃圾等易燃杂物，从源头减少火灾引燃物。</w:t>
            </w:r>
          </w:p>
          <w:p w14:paraId="7992D35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cs="Times New Roman"/>
                <w:color w:val="000000"/>
                <w:highlight w:val="none"/>
                <w:lang w:val="en-US" w:eastAsia="zh-CN"/>
              </w:rPr>
              <w:t>2）</w:t>
            </w:r>
            <w:r>
              <w:rPr>
                <w:rFonts w:hint="eastAsia" w:ascii="Times New Roman" w:hAnsi="Times New Roman" w:eastAsia="宋体" w:cs="Times New Roman"/>
                <w:color w:val="000000"/>
                <w:highlight w:val="none"/>
              </w:rPr>
              <w:t>消防系统专项管控（消防水池、灭火设施、管网全流程管理）</w:t>
            </w:r>
          </w:p>
          <w:p w14:paraId="371F1F51">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本项目配套专用消防水池，为库区核心消防保障，结合爆炸危险场所特性分类配置灭火器材，建立全周期运维制度。</w:t>
            </w:r>
          </w:p>
          <w:p w14:paraId="154BBEC7">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池体防渗维护：消防水池属于项目一般防渗区，严格执行等效黏土防渗层 Mb≥1.5m，渗透系数K≤1×10</w:t>
            </w:r>
            <w:r>
              <w:rPr>
                <w:rFonts w:hint="eastAsia" w:cs="Times New Roman"/>
                <w:color w:val="000000"/>
                <w:highlight w:val="none"/>
                <w:vertAlign w:val="superscript"/>
                <w:lang w:val="en-US" w:eastAsia="zh-CN"/>
              </w:rPr>
              <w:t>-7</w:t>
            </w:r>
            <w:r>
              <w:rPr>
                <w:rFonts w:hint="eastAsia" w:ascii="Times New Roman" w:hAnsi="Times New Roman" w:eastAsia="宋体" w:cs="Times New Roman"/>
                <w:color w:val="000000"/>
                <w:highlight w:val="none"/>
              </w:rPr>
              <w:t>cm/s防渗标准，每季度检查池底、池壁、防渗层完整性，发现裂缝、渗漏立即停工修补，杜绝池水渗漏污染土壤、地下水。水位与运行管控：水池安装实时液位计+高低水位声光报警装置，24小时在线监测，常态保持满水位；结合当地干旱少雨特点，制定常态化补水方案，每月核查水位，严禁消防水池缺水、干涸。防护与保洁：水池整体加盖、外围设置防护栏杆，防止人员落水、杂物落入；每半年清理池底淤泥，保证消防水质清洁，避免堵塞消防管网。防冻、防风沙防护：针对若羌县昼夜温差大、风沙大的特点，对水池管道、阀门做保温、防沙封堵处理，保障极端天气下消防系统正常运行。</w:t>
            </w:r>
          </w:p>
          <w:p w14:paraId="01638992">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cs="Times New Roman"/>
                <w:color w:val="000000"/>
                <w:highlight w:val="none"/>
                <w:lang w:val="en-US" w:eastAsia="zh-CN"/>
              </w:rPr>
              <w:t>3）</w:t>
            </w:r>
            <w:r>
              <w:rPr>
                <w:rFonts w:hint="eastAsia" w:ascii="Times New Roman" w:hAnsi="Times New Roman" w:eastAsia="宋体" w:cs="Times New Roman"/>
                <w:color w:val="000000"/>
                <w:highlight w:val="none"/>
              </w:rPr>
              <w:t>智能视频监控与周界安防系统（全覆盖、联动报警）</w:t>
            </w:r>
          </w:p>
          <w:p w14:paraId="60A1452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结合库区野外、24小时值守要求，在爆炸危险区域采用防爆型安防设备，实现视频监控、入侵报警、烟温报警三位一体联动。</w:t>
            </w:r>
          </w:p>
          <w:p w14:paraId="1FC4F206">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视频监控系统点位布设（全域无死角）爆炸危险区：炸药库内、库外两侧，雷管库内、库外关键位置均安装摄像头，全覆盖物品堆垛、库房出入口；库区公共区：北侧主出入口、环形通道、消防水池周边、防爆土堆、围墙沿线加密布设摄像头；办公区：值班室、设备机房安装常规摄像头，监管内部作业行为。</w:t>
            </w:r>
          </w:p>
          <w:p w14:paraId="48145961">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门禁管理：库区主入口设置人脸识别+刷卡双重门禁，实行权限分级，仅授权人员可进入爆炸物品储存区；外来人员、车辆禁止直接入库。</w:t>
            </w:r>
          </w:p>
          <w:p w14:paraId="2F33E80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cs="Times New Roman"/>
                <w:color w:val="000000"/>
                <w:highlight w:val="none"/>
                <w:lang w:val="en-US" w:eastAsia="zh-CN"/>
              </w:rPr>
              <w:t>4）</w:t>
            </w:r>
            <w:r>
              <w:rPr>
                <w:rFonts w:hint="eastAsia" w:ascii="Times New Roman" w:hAnsi="Times New Roman" w:eastAsia="宋体" w:cs="Times New Roman"/>
                <w:color w:val="000000"/>
                <w:highlight w:val="none"/>
              </w:rPr>
              <w:t>防静电、防明火、电气防爆专项措施</w:t>
            </w:r>
          </w:p>
          <w:p w14:paraId="18199C93">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静电、明火、电气短路是民爆库房事故首要诱因，制定刚性管控要求：</w:t>
            </w:r>
          </w:p>
          <w:p w14:paraId="3B9AC9E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人体静电管控：炸药库、雷管库门口强制安装人体静电释放柱，所有进入库房人员必须触摸释放静电，值班人员现场监督，严禁省略该步骤；库区作业人员统一穿戴防静电工作服、防静电鞋，禁止穿着化纤衣物、带钉鞋进入储存区。</w:t>
            </w:r>
          </w:p>
          <w:p w14:paraId="69A12CAF">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车辆静电管控：民爆专用运输车辆进场后，必须在指定区域熄火，连接车体静电接地夹，释放车辆静电后方可开展装卸作业。</w:t>
            </w:r>
          </w:p>
          <w:p w14:paraId="49DB4501">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全域禁火管理：整个库区划定绝对禁火区，张贴醒目禁火、禁烟标识；所有人员（内部职工、外来访客、司机）严禁携带打火机、火柴、手机等火种、电子设备进入储存区，手机统一存放于值班室专用储物柜。</w:t>
            </w:r>
          </w:p>
          <w:p w14:paraId="22DC794E">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电气防爆管理：炸药库、雷管内所有灯具、插座、线路、监控、报警设备全部使用防爆电气产品；电气线路全程密闭穿管，每日检查线路有无破损、老化；配电间独立设置并与库房保持安全距离，配备漏电、过载保护装置；爆炸危险区域严禁私拉电线、使用非防爆电器，电气检修必须断电、报备，由专业人员操作。</w:t>
            </w:r>
          </w:p>
          <w:p w14:paraId="1B9D6302">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工具防静电：搬运使用的手推车、托盘、辅助工具均采用防静电材质，金属工具提前做接地处理，防止摩擦起电。</w:t>
            </w:r>
          </w:p>
          <w:p w14:paraId="51938240">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cs="Times New Roman"/>
                <w:color w:val="000000"/>
                <w:highlight w:val="none"/>
                <w:lang w:val="en-US" w:eastAsia="zh-CN"/>
              </w:rPr>
              <w:t>5）</w:t>
            </w:r>
            <w:r>
              <w:rPr>
                <w:rFonts w:hint="eastAsia" w:ascii="Times New Roman" w:hAnsi="Times New Roman" w:eastAsia="宋体" w:cs="Times New Roman"/>
                <w:color w:val="000000"/>
                <w:highlight w:val="none"/>
              </w:rPr>
              <w:t>人员全流程安全管理（值守、出入、作业、培训）</w:t>
            </w:r>
          </w:p>
          <w:p w14:paraId="69DE40D5">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本项目劳动定员10人，实行365天24小时值班制，建立闭环人员管理制度：库区严格执行双人在岗值守，严禁单人值班、脱岗、睡岗；分班组轮班，每班设置主岗（安全监控员）、副岗（库管员），岗位职责上墙公示。</w:t>
            </w:r>
          </w:p>
          <w:p w14:paraId="2A2256BC">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建立《值班台账》，逐笔记录库区巡查情况、设备运行状态、出入人员/车辆、报警信息、天气情况，台账每日归档，长期留存。外来人员：执行先登记、资质核验、专人全程陪同、限时离场制度，严禁外来人员触碰爆炸物品、消防及安防设施。</w:t>
            </w:r>
          </w:p>
          <w:p w14:paraId="3326BCF6">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cs="Times New Roman"/>
                <w:color w:val="000000"/>
                <w:highlight w:val="none"/>
                <w:lang w:val="en-US" w:eastAsia="zh-CN"/>
              </w:rPr>
              <w:t>6）</w:t>
            </w:r>
            <w:r>
              <w:rPr>
                <w:rFonts w:hint="eastAsia" w:ascii="Times New Roman" w:hAnsi="Times New Roman" w:eastAsia="宋体" w:cs="Times New Roman"/>
                <w:color w:val="000000"/>
                <w:highlight w:val="none"/>
              </w:rPr>
              <w:t>日常巡检与设施运维（常态化隐患排查）</w:t>
            </w:r>
          </w:p>
          <w:p w14:paraId="5F820352">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建立分级巡检制度，做到隐患早发现、早整改：</w:t>
            </w:r>
          </w:p>
          <w:p w14:paraId="1A1753F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常规巡检：日间每2小时全覆盖巡检炸药库、雷管库、消防水池、灭火器材、监控设备、围墙、静电装置；夜间每4小时重点巡查库房门窗、周界报警、电气设备。</w:t>
            </w:r>
          </w:p>
          <w:p w14:paraId="1DBFFF12">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特殊天气加密巡检：降雨、大风、雷雨天气增加巡检频次，重点检查环形排水渠、防爆土堆、池体防渗层，防止雨水倒灌、土堆坍塌、池水渗漏。</w:t>
            </w:r>
          </w:p>
          <w:p w14:paraId="57CFB3D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专项运维：每月全面检修消防、监控、报警设备；每季度核查防渗工程、防静电接地装置；所有设施故障24 小时内完成维修。</w:t>
            </w:r>
          </w:p>
          <w:p w14:paraId="2077FB2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隐患闭环：巡检发现一般隐患当日整改；发现防渗破损、电气故障、库房异常等重大隐患，立即停止库区作业、封存爆炸物品，上报主管部门，整改验收合格后方可恢复运营。</w:t>
            </w:r>
          </w:p>
          <w:p w14:paraId="437A2EC2">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cs="Times New Roman"/>
                <w:color w:val="000000"/>
                <w:highlight w:val="none"/>
                <w:lang w:val="en-US" w:eastAsia="zh-CN"/>
              </w:rPr>
              <w:t>7）</w:t>
            </w:r>
            <w:r>
              <w:rPr>
                <w:rFonts w:hint="eastAsia" w:ascii="Times New Roman" w:hAnsi="Times New Roman" w:eastAsia="宋体" w:cs="Times New Roman"/>
                <w:color w:val="000000"/>
                <w:highlight w:val="none"/>
              </w:rPr>
              <w:t>火灾、爆炸事故专项应急处置</w:t>
            </w:r>
          </w:p>
          <w:p w14:paraId="6F0A055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库房出现冒烟、局部起火时，严禁使用高压水枪直喷炸药、雷管，优先采用灭火毯覆盖、干粉灭火器远距离喷射、消防沙掩埋控火；火势无法控制时，当班人员立即切断库区总电源、触发全域报警，全体人员沿预设路线撤离，严禁返回库区。结合场区三面环山的地形，预先划定多条应急疏散路线，疏散集合点设置在爆炸冲击波、烟气扩散范围之外；明确撤离顺序，储存区人员优先撤离。库区配套环形防渗排水渠，火灾扑救产生的消防废水、地面淋溶水全部汇入排水渠统一收集，禁止废水直接外排；收集后的废水经沉淀处理后，回用于场区洒水降尘，彻底阻断废水下渗、漫流污染土壤及地下水的途径。</w:t>
            </w:r>
          </w:p>
          <w:p w14:paraId="63B287A0">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本项目针对民用爆炸物品火灾、爆炸核心风险，结合现有消防水池、灭火设施、防爆安防、分区防渗、地形条件，从建筑、消防、监控、电气、人员、巡检、应急全链条制定了针对性防范措施，覆盖火源、静电、入侵、泄漏等各类风险点。</w:t>
            </w:r>
          </w:p>
          <w:p w14:paraId="3E527BCA">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在严格落实以上所有风险防控措施、常态化开展安全管理与应急演练的前提下，项目事故发生概率极低；即便发生突发事故，现有屏障、消防、废水收集设施也可有效控制事故影响范围与次生环境污染。综合判定，本项目环境风险可防、可控，从环境风险角度，项目建设可行。</w:t>
            </w:r>
          </w:p>
          <w:p w14:paraId="5EBA8AE4">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rPr>
                <w:rFonts w:hint="eastAsia" w:ascii="Times New Roman" w:hAnsi="Times New Roman" w:eastAsia="宋体" w:cs="Times New Roman"/>
                <w:b/>
                <w:bCs/>
                <w:color w:val="000000"/>
                <w:highlight w:val="none"/>
              </w:rPr>
            </w:pPr>
            <w:r>
              <w:rPr>
                <w:rFonts w:hint="eastAsia" w:ascii="Times New Roman" w:hAnsi="Times New Roman" w:eastAsia="宋体" w:cs="Times New Roman"/>
                <w:b/>
                <w:bCs/>
                <w:color w:val="000000"/>
                <w:highlight w:val="none"/>
              </w:rPr>
              <w:t>4.12.</w:t>
            </w:r>
            <w:r>
              <w:rPr>
                <w:rFonts w:hint="eastAsia" w:cs="Times New Roman"/>
                <w:b/>
                <w:bCs/>
                <w:color w:val="000000"/>
                <w:highlight w:val="none"/>
                <w:lang w:val="en-US" w:eastAsia="zh-CN"/>
              </w:rPr>
              <w:t>2</w:t>
            </w:r>
            <w:r>
              <w:rPr>
                <w:rFonts w:hint="eastAsia" w:ascii="Times New Roman" w:hAnsi="Times New Roman" w:eastAsia="宋体" w:cs="Times New Roman"/>
                <w:b/>
                <w:bCs/>
                <w:color w:val="000000"/>
                <w:highlight w:val="none"/>
              </w:rPr>
              <w:t>突发环境应急预案编制、备案及常态化管理要求</w:t>
            </w:r>
          </w:p>
          <w:p w14:paraId="654BF879">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b w:val="0"/>
                <w:bCs w:val="0"/>
                <w:color w:val="000000"/>
                <w:highlight w:val="none"/>
              </w:rPr>
            </w:pPr>
            <w:r>
              <w:rPr>
                <w:rFonts w:hint="eastAsia" w:cs="Times New Roman"/>
                <w:b w:val="0"/>
                <w:bCs w:val="0"/>
                <w:color w:val="000000"/>
                <w:highlight w:val="none"/>
                <w:lang w:eastAsia="zh-CN"/>
              </w:rPr>
              <w:t>（</w:t>
            </w:r>
            <w:r>
              <w:rPr>
                <w:rFonts w:hint="eastAsia" w:cs="Times New Roman"/>
                <w:b w:val="0"/>
                <w:bCs w:val="0"/>
                <w:color w:val="000000"/>
                <w:highlight w:val="none"/>
                <w:lang w:val="en-US" w:eastAsia="zh-CN"/>
              </w:rPr>
              <w:t>1</w:t>
            </w:r>
            <w:r>
              <w:rPr>
                <w:rFonts w:hint="eastAsia" w:cs="Times New Roman"/>
                <w:b w:val="0"/>
                <w:bCs w:val="0"/>
                <w:color w:val="000000"/>
                <w:highlight w:val="none"/>
                <w:lang w:eastAsia="zh-CN"/>
              </w:rPr>
              <w:t>）</w:t>
            </w:r>
            <w:r>
              <w:rPr>
                <w:rFonts w:hint="eastAsia" w:ascii="Times New Roman" w:hAnsi="Times New Roman" w:eastAsia="宋体" w:cs="Times New Roman"/>
                <w:b w:val="0"/>
                <w:bCs w:val="0"/>
                <w:color w:val="000000"/>
                <w:highlight w:val="none"/>
              </w:rPr>
              <w:t>编制依据</w:t>
            </w:r>
          </w:p>
          <w:p w14:paraId="55FB4A85">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b w:val="0"/>
                <w:bCs w:val="0"/>
                <w:color w:val="000000"/>
                <w:highlight w:val="none"/>
              </w:rPr>
            </w:pPr>
            <w:r>
              <w:rPr>
                <w:rFonts w:hint="eastAsia" w:ascii="Times New Roman" w:hAnsi="Times New Roman" w:eastAsia="宋体" w:cs="Times New Roman"/>
                <w:b w:val="0"/>
                <w:bCs w:val="0"/>
                <w:color w:val="000000"/>
                <w:highlight w:val="none"/>
              </w:rPr>
              <w:t>《突发环境事件应急管理办法》（环保部令34号）、《企业事业单位突发环境事件应急预案备案管理办法（试行）》（环发〔2015〕4号）、《建设项目环境风险评价技术导则》（HJ169-2018）、《民用爆炸物品安全管理条例》。</w:t>
            </w:r>
          </w:p>
          <w:p w14:paraId="4350249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b w:val="0"/>
                <w:bCs w:val="0"/>
                <w:color w:val="000000"/>
                <w:highlight w:val="none"/>
              </w:rPr>
            </w:pPr>
            <w:r>
              <w:rPr>
                <w:rFonts w:hint="eastAsia" w:cs="Times New Roman"/>
                <w:b w:val="0"/>
                <w:bCs w:val="0"/>
                <w:color w:val="000000"/>
                <w:highlight w:val="none"/>
                <w:lang w:eastAsia="zh-CN"/>
              </w:rPr>
              <w:t>（</w:t>
            </w:r>
            <w:r>
              <w:rPr>
                <w:rFonts w:hint="eastAsia" w:cs="Times New Roman"/>
                <w:b w:val="0"/>
                <w:bCs w:val="0"/>
                <w:color w:val="000000"/>
                <w:highlight w:val="none"/>
                <w:lang w:val="en-US" w:eastAsia="zh-CN"/>
              </w:rPr>
              <w:t>2</w:t>
            </w:r>
            <w:r>
              <w:rPr>
                <w:rFonts w:hint="eastAsia" w:cs="Times New Roman"/>
                <w:b w:val="0"/>
                <w:bCs w:val="0"/>
                <w:color w:val="000000"/>
                <w:highlight w:val="none"/>
                <w:lang w:eastAsia="zh-CN"/>
              </w:rPr>
              <w:t>）</w:t>
            </w:r>
            <w:r>
              <w:rPr>
                <w:rFonts w:hint="eastAsia" w:ascii="Times New Roman" w:hAnsi="Times New Roman" w:eastAsia="宋体" w:cs="Times New Roman"/>
                <w:b w:val="0"/>
                <w:bCs w:val="0"/>
                <w:color w:val="000000"/>
                <w:highlight w:val="none"/>
              </w:rPr>
              <w:t>编制主体与内容要求</w:t>
            </w:r>
          </w:p>
          <w:p w14:paraId="1D94CD5C">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b w:val="0"/>
                <w:bCs w:val="0"/>
                <w:color w:val="000000"/>
                <w:highlight w:val="none"/>
              </w:rPr>
            </w:pPr>
            <w:r>
              <w:rPr>
                <w:rFonts w:hint="eastAsia" w:ascii="Times New Roman" w:hAnsi="Times New Roman" w:eastAsia="宋体" w:cs="Times New Roman"/>
                <w:b w:val="0"/>
                <w:bCs w:val="0"/>
                <w:color w:val="000000"/>
                <w:highlight w:val="none"/>
              </w:rPr>
              <w:t>项目投产前，建设单位委托具备环境应急编制资质的第三方机构编制《若羌羌河新材料有限公司新疆若羌县羌河（三区）长石矿新建民用爆炸物品储存库项目突发环境事件应急预案》，完整包含：①环境风险评估报告；②应急资源调查报告；③综合预案；④应急组织架构、人员分工；⑤周边环境敏感点应急疏散方案。</w:t>
            </w:r>
          </w:p>
          <w:p w14:paraId="080E9DC1">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b w:val="0"/>
                <w:bCs w:val="0"/>
                <w:color w:val="000000"/>
                <w:highlight w:val="none"/>
              </w:rPr>
            </w:pPr>
            <w:r>
              <w:rPr>
                <w:rFonts w:hint="eastAsia" w:cs="Times New Roman"/>
                <w:b w:val="0"/>
                <w:bCs w:val="0"/>
                <w:color w:val="000000"/>
                <w:highlight w:val="none"/>
                <w:lang w:eastAsia="zh-CN"/>
              </w:rPr>
              <w:t>（</w:t>
            </w:r>
            <w:r>
              <w:rPr>
                <w:rFonts w:hint="eastAsia" w:cs="Times New Roman"/>
                <w:b w:val="0"/>
                <w:bCs w:val="0"/>
                <w:color w:val="000000"/>
                <w:highlight w:val="none"/>
                <w:lang w:val="en-US" w:eastAsia="zh-CN"/>
              </w:rPr>
              <w:t>3</w:t>
            </w:r>
            <w:r>
              <w:rPr>
                <w:rFonts w:hint="eastAsia" w:cs="Times New Roman"/>
                <w:b w:val="0"/>
                <w:bCs w:val="0"/>
                <w:color w:val="000000"/>
                <w:highlight w:val="none"/>
                <w:lang w:eastAsia="zh-CN"/>
              </w:rPr>
              <w:t>）</w:t>
            </w:r>
            <w:r>
              <w:rPr>
                <w:rFonts w:hint="eastAsia" w:ascii="Times New Roman" w:hAnsi="Times New Roman" w:eastAsia="宋体" w:cs="Times New Roman"/>
                <w:b w:val="0"/>
                <w:bCs w:val="0"/>
                <w:color w:val="000000"/>
                <w:highlight w:val="none"/>
              </w:rPr>
              <w:t>备案流程</w:t>
            </w:r>
          </w:p>
          <w:p w14:paraId="63210728">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b w:val="0"/>
                <w:bCs w:val="0"/>
                <w:color w:val="000000"/>
                <w:highlight w:val="none"/>
              </w:rPr>
            </w:pPr>
            <w:r>
              <w:rPr>
                <w:rFonts w:hint="eastAsia" w:ascii="Times New Roman" w:hAnsi="Times New Roman" w:eastAsia="宋体" w:cs="Times New Roman"/>
                <w:b w:val="0"/>
                <w:bCs w:val="0"/>
                <w:color w:val="000000"/>
                <w:highlight w:val="none"/>
              </w:rPr>
              <w:t>预案经内部评审+外部专家评审、企业法人签署发布后，20个工作日内报送巴音郭楞蒙古自治州生态环境局</w:t>
            </w:r>
            <w:r>
              <w:rPr>
                <w:rFonts w:hint="eastAsia" w:cs="Times New Roman"/>
                <w:b w:val="0"/>
                <w:bCs w:val="0"/>
                <w:color w:val="000000"/>
                <w:highlight w:val="none"/>
                <w:lang w:val="en-US" w:eastAsia="zh-CN"/>
              </w:rPr>
              <w:t>若羌县分局</w:t>
            </w:r>
            <w:r>
              <w:rPr>
                <w:rFonts w:hint="eastAsia" w:ascii="Times New Roman" w:hAnsi="Times New Roman" w:eastAsia="宋体" w:cs="Times New Roman"/>
                <w:b w:val="0"/>
                <w:bCs w:val="0"/>
                <w:color w:val="000000"/>
                <w:highlight w:val="none"/>
              </w:rPr>
              <w:t>备案，提交全套备案材料：备案表、预案全文、风险评估报告、应急资源清单、专家评审意见。</w:t>
            </w:r>
          </w:p>
          <w:p w14:paraId="45EDC805">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b w:val="0"/>
                <w:bCs w:val="0"/>
                <w:color w:val="000000"/>
                <w:highlight w:val="none"/>
              </w:rPr>
            </w:pPr>
            <w:r>
              <w:rPr>
                <w:rFonts w:hint="eastAsia" w:cs="Times New Roman"/>
                <w:b w:val="0"/>
                <w:bCs w:val="0"/>
                <w:color w:val="000000"/>
                <w:highlight w:val="none"/>
                <w:lang w:eastAsia="zh-CN"/>
              </w:rPr>
              <w:t>（</w:t>
            </w:r>
            <w:r>
              <w:rPr>
                <w:rFonts w:hint="eastAsia" w:cs="Times New Roman"/>
                <w:b w:val="0"/>
                <w:bCs w:val="0"/>
                <w:color w:val="000000"/>
                <w:highlight w:val="none"/>
                <w:lang w:val="en-US" w:eastAsia="zh-CN"/>
              </w:rPr>
              <w:t>4</w:t>
            </w:r>
            <w:r>
              <w:rPr>
                <w:rFonts w:hint="eastAsia" w:cs="Times New Roman"/>
                <w:b w:val="0"/>
                <w:bCs w:val="0"/>
                <w:color w:val="000000"/>
                <w:highlight w:val="none"/>
                <w:lang w:eastAsia="zh-CN"/>
              </w:rPr>
              <w:t>）</w:t>
            </w:r>
            <w:r>
              <w:rPr>
                <w:rFonts w:hint="eastAsia" w:ascii="Times New Roman" w:hAnsi="Times New Roman" w:eastAsia="宋体" w:cs="Times New Roman"/>
                <w:b w:val="0"/>
                <w:bCs w:val="0"/>
                <w:color w:val="000000"/>
                <w:highlight w:val="none"/>
              </w:rPr>
              <w:t>常态化管理硬性要求</w:t>
            </w:r>
          </w:p>
          <w:p w14:paraId="3E81C3A7">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b w:val="0"/>
                <w:bCs w:val="0"/>
                <w:color w:val="000000"/>
                <w:highlight w:val="none"/>
              </w:rPr>
            </w:pPr>
            <w:r>
              <w:rPr>
                <w:rFonts w:hint="eastAsia" w:ascii="Times New Roman" w:hAnsi="Times New Roman" w:eastAsia="宋体" w:cs="Times New Roman"/>
                <w:b w:val="0"/>
                <w:bCs w:val="0"/>
                <w:color w:val="000000"/>
                <w:highlight w:val="none"/>
              </w:rPr>
              <w:t>1）应急演练：每年至少组织1次火灾爆炸+消防废水收集综合应急演练，形成演练记录、问题整改台账；</w:t>
            </w:r>
          </w:p>
          <w:p w14:paraId="41E8CDDD">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b w:val="0"/>
                <w:bCs w:val="0"/>
                <w:color w:val="000000"/>
                <w:highlight w:val="none"/>
              </w:rPr>
            </w:pPr>
            <w:r>
              <w:rPr>
                <w:rFonts w:hint="eastAsia" w:ascii="Times New Roman" w:hAnsi="Times New Roman" w:eastAsia="宋体" w:cs="Times New Roman"/>
                <w:b w:val="0"/>
                <w:bCs w:val="0"/>
                <w:color w:val="000000"/>
                <w:highlight w:val="none"/>
              </w:rPr>
              <w:t>2）预案修订：每3年开展一次预案回顾评估；库区储存规模、周边环境发生重大变化时，完成预案修订并重新备案；</w:t>
            </w:r>
          </w:p>
          <w:p w14:paraId="2CBF688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b w:val="0"/>
                <w:bCs w:val="0"/>
                <w:color w:val="000000"/>
                <w:highlight w:val="none"/>
              </w:rPr>
            </w:pPr>
            <w:r>
              <w:rPr>
                <w:rFonts w:hint="eastAsia" w:ascii="Times New Roman" w:hAnsi="Times New Roman" w:eastAsia="宋体" w:cs="Times New Roman"/>
                <w:b w:val="0"/>
                <w:bCs w:val="0"/>
                <w:color w:val="000000"/>
                <w:highlight w:val="none"/>
              </w:rPr>
              <w:t>3）人员培训：全体库管、值班人员每年开展2次环境应急培训，培训内容包含爆炸烟气防控、事故废水导流、防渗设施操作；</w:t>
            </w:r>
          </w:p>
          <w:p w14:paraId="3F2344AC">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b w:val="0"/>
                <w:bCs w:val="0"/>
                <w:color w:val="000000"/>
                <w:highlight w:val="none"/>
              </w:rPr>
            </w:pPr>
            <w:r>
              <w:rPr>
                <w:rFonts w:hint="eastAsia" w:ascii="Times New Roman" w:hAnsi="Times New Roman" w:eastAsia="宋体" w:cs="Times New Roman"/>
                <w:b w:val="0"/>
                <w:bCs w:val="0"/>
                <w:color w:val="000000"/>
                <w:highlight w:val="none"/>
              </w:rPr>
              <w:t>4）应急物资储备：库区配套干粉灭火器、灭火毯、沙土，每月巡检补齐损耗物资；</w:t>
            </w:r>
          </w:p>
          <w:p w14:paraId="4DC70299">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b w:val="0"/>
                <w:bCs w:val="0"/>
                <w:color w:val="000000"/>
                <w:highlight w:val="none"/>
              </w:rPr>
            </w:pPr>
            <w:r>
              <w:rPr>
                <w:rFonts w:hint="eastAsia" w:ascii="Times New Roman" w:hAnsi="Times New Roman" w:eastAsia="宋体" w:cs="Times New Roman"/>
                <w:b w:val="0"/>
                <w:bCs w:val="0"/>
                <w:color w:val="000000"/>
                <w:highlight w:val="none"/>
              </w:rPr>
              <w:t>5）联动机制：预案同步对接若羌县应急管理局、生态环境局、公安民爆管理部门，建立事故上报联动渠道，突发环境事件1小时内上报属地生态环境主管部门。</w:t>
            </w:r>
          </w:p>
          <w:p w14:paraId="2BC963AD">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rPr>
                <w:rFonts w:hint="eastAsia" w:ascii="Times New Roman" w:hAnsi="Times New Roman" w:eastAsia="宋体" w:cs="Times New Roman"/>
                <w:b w:val="0"/>
                <w:bCs w:val="0"/>
                <w:color w:val="000000"/>
                <w:highlight w:val="none"/>
              </w:rPr>
            </w:pPr>
            <w:r>
              <w:rPr>
                <w:rFonts w:hint="eastAsia" w:ascii="Times New Roman" w:hAnsi="Times New Roman" w:eastAsia="宋体" w:cs="Times New Roman"/>
                <w:b/>
                <w:bCs/>
                <w:color w:val="000000"/>
                <w:highlight w:val="none"/>
              </w:rPr>
              <w:t>4.12.3事故应急池（消防废水收集池）容积计算、可行性分析</w:t>
            </w:r>
          </w:p>
          <w:p w14:paraId="1BF59B98">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b w:val="0"/>
                <w:bCs w:val="0"/>
                <w:color w:val="000000"/>
                <w:highlight w:val="none"/>
              </w:rPr>
            </w:pPr>
            <w:r>
              <w:rPr>
                <w:rFonts w:hint="eastAsia" w:ascii="Times New Roman" w:hAnsi="Times New Roman" w:eastAsia="宋体" w:cs="Times New Roman"/>
                <w:b w:val="0"/>
                <w:bCs w:val="0"/>
                <w:color w:val="000000"/>
                <w:highlight w:val="none"/>
              </w:rPr>
              <w:t>（1）计算依据</w:t>
            </w:r>
          </w:p>
          <w:p w14:paraId="0AE811F1">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宋体" w:hAnsi="宋体" w:eastAsia="宋体" w:cs="宋体"/>
                <w:sz w:val="24"/>
                <w:szCs w:val="24"/>
                <w:highlight w:val="none"/>
              </w:rPr>
            </w:pPr>
            <w:r>
              <w:rPr>
                <w:rFonts w:hint="eastAsia" w:ascii="Times New Roman" w:hAnsi="Times New Roman" w:eastAsia="宋体" w:cs="Times New Roman"/>
                <w:b w:val="0"/>
                <w:bCs w:val="0"/>
                <w:color w:val="000000"/>
                <w:highlight w:val="none"/>
              </w:rPr>
              <w:t>《建设项目环境风险评价技术导则》（HJ169-2018）、《消防给水及消火栓系统技术规范》（GB50974-2014）、《建筑设计防火规范》GB50016-2014（2018 版）</w:t>
            </w:r>
            <w:r>
              <w:rPr>
                <w:rFonts w:ascii="宋体" w:hAnsi="宋体" w:eastAsia="宋体" w:cs="宋体"/>
                <w:sz w:val="24"/>
                <w:szCs w:val="24"/>
                <w:highlight w:val="none"/>
              </w:rPr>
              <w:t>事故储存设施总容积公式：</w:t>
            </w:r>
          </w:p>
          <w:p w14:paraId="12FAF966">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宋体" w:hAnsi="宋体" w:eastAsia="宋体" w:cs="宋体"/>
                <w:sz w:val="24"/>
                <w:szCs w:val="24"/>
                <w:highlight w:val="none"/>
                <w:lang w:val="en-US" w:eastAsia="zh-CN"/>
              </w:rPr>
            </w:pPr>
            <w:r>
              <w:rPr>
                <w:rFonts w:hint="default" w:ascii="Times New Roman" w:hAnsi="Times New Roman" w:eastAsia="宋体" w:cs="Times New Roman"/>
                <w:sz w:val="24"/>
                <w:szCs w:val="24"/>
                <w:highlight w:val="none"/>
                <w:lang w:val="en-US" w:eastAsia="zh-CN"/>
              </w:rPr>
              <w:t>V</w:t>
            </w:r>
            <w:r>
              <w:rPr>
                <w:rFonts w:hint="default" w:ascii="Times New Roman" w:hAnsi="Times New Roman" w:eastAsia="宋体" w:cs="Times New Roman"/>
                <w:sz w:val="24"/>
                <w:szCs w:val="24"/>
                <w:highlight w:val="none"/>
                <w:vertAlign w:val="subscript"/>
                <w:lang w:val="en-US" w:eastAsia="zh-CN"/>
              </w:rPr>
              <w:t>总</w:t>
            </w:r>
            <w:r>
              <w:rPr>
                <w:rFonts w:hint="default" w:ascii="Times New Roman" w:hAnsi="Times New Roman" w:eastAsia="宋体" w:cs="Times New Roman"/>
                <w:sz w:val="24"/>
                <w:szCs w:val="24"/>
                <w:highlight w:val="none"/>
                <w:lang w:val="en-US" w:eastAsia="zh-CN"/>
              </w:rPr>
              <w:t>=（V</w:t>
            </w:r>
            <w:r>
              <w:rPr>
                <w:rFonts w:hint="default" w:ascii="Times New Roman" w:hAnsi="Times New Roman" w:eastAsia="宋体" w:cs="Times New Roman"/>
                <w:sz w:val="24"/>
                <w:szCs w:val="24"/>
                <w:highlight w:val="none"/>
                <w:vertAlign w:val="subscript"/>
                <w:lang w:val="en-US" w:eastAsia="zh-CN"/>
              </w:rPr>
              <w:t>1</w:t>
            </w:r>
            <w:r>
              <w:rPr>
                <w:rFonts w:hint="default" w:ascii="Times New Roman" w:hAnsi="Times New Roman" w:eastAsia="宋体" w:cs="Times New Roman"/>
                <w:sz w:val="24"/>
                <w:szCs w:val="24"/>
                <w:highlight w:val="none"/>
                <w:lang w:val="en-US" w:eastAsia="zh-CN"/>
              </w:rPr>
              <w:t>+V</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-V</w:t>
            </w:r>
            <w:r>
              <w:rPr>
                <w:rFonts w:hint="default" w:ascii="Times New Roman" w:hAnsi="Times New Roman" w:eastAsia="宋体" w:cs="Times New Roman"/>
                <w:sz w:val="24"/>
                <w:szCs w:val="24"/>
                <w:highlight w:val="none"/>
                <w:vertAlign w:val="subscript"/>
                <w:lang w:val="en-US" w:eastAsia="zh-CN"/>
              </w:rPr>
              <w:t>3</w:t>
            </w:r>
            <w:r>
              <w:rPr>
                <w:rFonts w:hint="default" w:ascii="Times New Roman" w:hAnsi="Times New Roman" w:eastAsia="宋体" w:cs="Times New Roman"/>
                <w:sz w:val="24"/>
                <w:szCs w:val="24"/>
                <w:highlight w:val="none"/>
                <w:lang w:val="en-US" w:eastAsia="zh-CN"/>
              </w:rPr>
              <w:t>）+V</w:t>
            </w:r>
            <w:r>
              <w:rPr>
                <w:rFonts w:hint="default" w:ascii="Times New Roman" w:hAnsi="Times New Roman" w:eastAsia="宋体" w:cs="Times New Roman"/>
                <w:sz w:val="24"/>
                <w:szCs w:val="24"/>
                <w:highlight w:val="none"/>
                <w:vertAlign w:val="subscript"/>
                <w:lang w:val="en-US" w:eastAsia="zh-CN"/>
              </w:rPr>
              <w:t>4</w:t>
            </w:r>
            <w:r>
              <w:rPr>
                <w:rFonts w:hint="default" w:ascii="Times New Roman" w:hAnsi="Times New Roman" w:eastAsia="宋体" w:cs="Times New Roman"/>
                <w:sz w:val="24"/>
                <w:szCs w:val="24"/>
                <w:highlight w:val="none"/>
                <w:lang w:val="en-US" w:eastAsia="zh-CN"/>
              </w:rPr>
              <w:t>+V</w:t>
            </w:r>
            <w:r>
              <w:rPr>
                <w:rFonts w:hint="default" w:ascii="Times New Roman" w:hAnsi="Times New Roman" w:eastAsia="宋体" w:cs="Times New Roman"/>
                <w:sz w:val="24"/>
                <w:szCs w:val="24"/>
                <w:highlight w:val="none"/>
                <w:vertAlign w:val="subscript"/>
                <w:lang w:val="en-US" w:eastAsia="zh-CN"/>
              </w:rPr>
              <w:t>5</w:t>
            </w:r>
          </w:p>
          <w:p w14:paraId="6F7A618E">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宋体" w:hAnsi="宋体" w:eastAsia="宋体" w:cs="宋体"/>
                <w:sz w:val="24"/>
                <w:szCs w:val="24"/>
                <w:highlight w:val="none"/>
              </w:rPr>
            </w:pPr>
            <w:r>
              <w:rPr>
                <w:rFonts w:hint="eastAsia" w:ascii="宋体" w:hAnsi="宋体" w:eastAsia="宋体" w:cs="宋体"/>
                <w:sz w:val="24"/>
                <w:szCs w:val="24"/>
                <w:highlight w:val="none"/>
              </w:rPr>
              <w:t>参数释义：</w:t>
            </w:r>
          </w:p>
          <w:p w14:paraId="68AAF43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V</w:t>
            </w:r>
            <w:r>
              <w:rPr>
                <w:rFonts w:hint="default" w:ascii="Times New Roman" w:hAnsi="Times New Roman" w:eastAsia="宋体" w:cs="Times New Roman"/>
                <w:sz w:val="24"/>
                <w:szCs w:val="24"/>
                <w:highlight w:val="none"/>
                <w:vertAlign w:val="subscript"/>
                <w:lang w:val="en-US" w:eastAsia="zh-CN"/>
              </w:rPr>
              <w:t>1</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装置泄漏液体最大量（本项目炸药、雷管无液态物料，</w:t>
            </w:r>
            <w:r>
              <w:rPr>
                <w:rFonts w:hint="default" w:ascii="Times New Roman" w:hAnsi="Times New Roman" w:eastAsia="宋体" w:cs="Times New Roman"/>
                <w:color w:val="000000"/>
                <w:sz w:val="29"/>
                <w:szCs w:val="29"/>
                <w:highlight w:val="none"/>
              </w:rPr>
              <w:t>V</w:t>
            </w:r>
            <w:r>
              <w:rPr>
                <w:rFonts w:hint="default" w:ascii="Times New Roman" w:hAnsi="Times New Roman" w:eastAsia="宋体" w:cs="Times New Roman"/>
                <w:color w:val="000000"/>
                <w:sz w:val="29"/>
                <w:szCs w:val="29"/>
                <w:highlight w:val="none"/>
                <w:vertAlign w:val="subscript"/>
              </w:rPr>
              <w:t>1</w:t>
            </w:r>
            <w:r>
              <w:rPr>
                <w:rFonts w:hint="default" w:ascii="Times New Roman" w:hAnsi="Times New Roman" w:eastAsia="宋体" w:cs="Times New Roman"/>
                <w:color w:val="000000"/>
                <w:sz w:val="29"/>
                <w:szCs w:val="29"/>
                <w:highlight w:val="none"/>
              </w:rPr>
              <w:t>=0</w:t>
            </w:r>
            <w:r>
              <w:rPr>
                <w:rFonts w:hint="default" w:ascii="Times New Roman" w:hAnsi="Times New Roman" w:eastAsia="宋体" w:cs="Times New Roman"/>
                <w:sz w:val="24"/>
                <w:szCs w:val="24"/>
                <w:highlight w:val="none"/>
              </w:rPr>
              <w:t>）</w:t>
            </w:r>
          </w:p>
          <w:p w14:paraId="156D36BD">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V</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一次火灾最大消防用水量；</w:t>
            </w:r>
          </w:p>
          <w:p w14:paraId="3EB0F9AC">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V</w:t>
            </w:r>
            <w:r>
              <w:rPr>
                <w:rFonts w:hint="default" w:ascii="Times New Roman" w:hAnsi="Times New Roman" w:eastAsia="宋体" w:cs="Times New Roman"/>
                <w:sz w:val="24"/>
                <w:szCs w:val="24"/>
                <w:highlight w:val="none"/>
                <w:vertAlign w:val="subscript"/>
                <w:lang w:val="en-US" w:eastAsia="zh-CN"/>
              </w:rPr>
              <w:t>3</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可转输物料量（无，</w:t>
            </w:r>
            <w:r>
              <w:rPr>
                <w:rFonts w:hint="default" w:ascii="Times New Roman" w:hAnsi="Times New Roman" w:eastAsia="宋体" w:cs="Times New Roman"/>
                <w:color w:val="000000"/>
                <w:sz w:val="29"/>
                <w:szCs w:val="29"/>
                <w:highlight w:val="none"/>
              </w:rPr>
              <w:t>V</w:t>
            </w:r>
            <w:r>
              <w:rPr>
                <w:rFonts w:hint="default" w:ascii="Times New Roman" w:hAnsi="Times New Roman" w:eastAsia="宋体" w:cs="Times New Roman"/>
                <w:color w:val="000000"/>
                <w:sz w:val="29"/>
                <w:szCs w:val="29"/>
                <w:highlight w:val="none"/>
                <w:vertAlign w:val="subscript"/>
              </w:rPr>
              <w:t>3</w:t>
            </w:r>
            <w:r>
              <w:rPr>
                <w:rFonts w:hint="default" w:ascii="Times New Roman" w:hAnsi="Times New Roman" w:eastAsia="宋体" w:cs="Times New Roman"/>
                <w:color w:val="000000"/>
                <w:sz w:val="29"/>
                <w:szCs w:val="29"/>
                <w:highlight w:val="none"/>
              </w:rPr>
              <w:t>=0</w:t>
            </w:r>
            <w:r>
              <w:rPr>
                <w:rFonts w:hint="default" w:ascii="Times New Roman" w:hAnsi="Times New Roman" w:eastAsia="宋体" w:cs="Times New Roman"/>
                <w:sz w:val="24"/>
                <w:szCs w:val="24"/>
                <w:highlight w:val="none"/>
              </w:rPr>
              <w:t>）；</w:t>
            </w:r>
          </w:p>
          <w:p w14:paraId="2EAE760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V</w:t>
            </w:r>
            <w:r>
              <w:rPr>
                <w:rFonts w:hint="default" w:ascii="Times New Roman" w:hAnsi="Times New Roman" w:eastAsia="宋体" w:cs="Times New Roman"/>
                <w:sz w:val="24"/>
                <w:szCs w:val="24"/>
                <w:highlight w:val="none"/>
                <w:vertAlign w:val="subscript"/>
                <w:lang w:val="en-US" w:eastAsia="zh-CN"/>
              </w:rPr>
              <w:t>4</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日常生产废水量（库区无连续生产废水，</w:t>
            </w:r>
            <w:r>
              <w:rPr>
                <w:rFonts w:hint="default" w:ascii="Times New Roman" w:hAnsi="Times New Roman" w:eastAsia="宋体" w:cs="Times New Roman"/>
                <w:color w:val="000000"/>
                <w:sz w:val="29"/>
                <w:szCs w:val="29"/>
                <w:highlight w:val="none"/>
              </w:rPr>
              <w:t>V</w:t>
            </w:r>
            <w:r>
              <w:rPr>
                <w:rFonts w:hint="default" w:ascii="Times New Roman" w:hAnsi="Times New Roman" w:eastAsia="宋体" w:cs="Times New Roman"/>
                <w:color w:val="000000"/>
                <w:sz w:val="29"/>
                <w:szCs w:val="29"/>
                <w:highlight w:val="none"/>
                <w:vertAlign w:val="subscript"/>
              </w:rPr>
              <w:t>4</w:t>
            </w:r>
            <w:r>
              <w:rPr>
                <w:rFonts w:hint="default" w:ascii="Times New Roman" w:hAnsi="Times New Roman" w:eastAsia="宋体" w:cs="Times New Roman"/>
                <w:color w:val="000000"/>
                <w:sz w:val="29"/>
                <w:szCs w:val="29"/>
                <w:highlight w:val="none"/>
              </w:rPr>
              <w:t>=0</w:t>
            </w:r>
            <w:r>
              <w:rPr>
                <w:rFonts w:hint="default" w:ascii="Times New Roman" w:hAnsi="Times New Roman" w:eastAsia="宋体" w:cs="Times New Roman"/>
                <w:sz w:val="24"/>
                <w:szCs w:val="24"/>
                <w:highlight w:val="none"/>
              </w:rPr>
              <w:t>）；</w:t>
            </w:r>
          </w:p>
          <w:p w14:paraId="2CFC12AD">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z w:val="24"/>
                <w:szCs w:val="24"/>
                <w:highlight w:val="none"/>
                <w:lang w:eastAsia="zh-CN"/>
              </w:rPr>
            </w:pPr>
            <w:r>
              <w:rPr>
                <w:rFonts w:hint="default" w:ascii="Times New Roman" w:hAnsi="Times New Roman" w:eastAsia="宋体" w:cs="Times New Roman"/>
                <w:sz w:val="24"/>
                <w:szCs w:val="24"/>
                <w:highlight w:val="none"/>
                <w:lang w:val="en-US" w:eastAsia="zh-CN"/>
              </w:rPr>
              <w:t>V</w:t>
            </w:r>
            <w:r>
              <w:rPr>
                <w:rFonts w:hint="default" w:ascii="Times New Roman" w:hAnsi="Times New Roman" w:eastAsia="宋体" w:cs="Times New Roman"/>
                <w:sz w:val="24"/>
                <w:szCs w:val="24"/>
                <w:highlight w:val="none"/>
                <w:vertAlign w:val="subscript"/>
                <w:lang w:val="en-US" w:eastAsia="zh-CN"/>
              </w:rPr>
              <w:t>5</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汇水范围内降雨量（库区三面环山、环形防渗渠围挡，雨水可导流场外，不计</w:t>
            </w:r>
            <w:r>
              <w:rPr>
                <w:rFonts w:hint="default" w:ascii="Times New Roman" w:hAnsi="Times New Roman" w:eastAsia="宋体" w:cs="Times New Roman"/>
                <w:color w:val="000000"/>
                <w:sz w:val="29"/>
                <w:szCs w:val="29"/>
                <w:highlight w:val="none"/>
              </w:rPr>
              <w:t>V</w:t>
            </w:r>
            <w:r>
              <w:rPr>
                <w:rFonts w:hint="default" w:ascii="Times New Roman" w:hAnsi="Times New Roman" w:eastAsia="宋体" w:cs="Times New Roman"/>
                <w:color w:val="000000"/>
                <w:sz w:val="29"/>
                <w:szCs w:val="29"/>
                <w:highlight w:val="none"/>
                <w:vertAlign w:val="subscript"/>
              </w:rPr>
              <w:t>5</w:t>
            </w:r>
            <w:r>
              <w:rPr>
                <w:rFonts w:hint="default" w:ascii="Times New Roman" w:hAnsi="Times New Roman" w:eastAsia="宋体" w:cs="Times New Roman"/>
                <w:color w:val="000000"/>
                <w:sz w:val="29"/>
                <w:szCs w:val="29"/>
                <w:highlight w:val="none"/>
              </w:rPr>
              <w:t>=0</w:t>
            </w:r>
            <w:r>
              <w:rPr>
                <w:rFonts w:hint="default" w:ascii="Times New Roman" w:hAnsi="Times New Roman" w:eastAsia="宋体" w:cs="Times New Roman"/>
                <w:sz w:val="24"/>
                <w:szCs w:val="24"/>
                <w:highlight w:val="none"/>
              </w:rPr>
              <w:t>）</w:t>
            </w:r>
          </w:p>
          <w:p w14:paraId="254BF7E9">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（2）消防水量参数取值</w:t>
            </w:r>
          </w:p>
          <w:p w14:paraId="236E852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民爆库房甲类火灾，室内外消火栓合计设计流量</w:t>
            </w:r>
            <w:r>
              <w:rPr>
                <w:rFonts w:hint="default" w:ascii="Times New Roman" w:hAnsi="Times New Roman" w:eastAsia="宋体" w:cs="Times New Roman"/>
                <w:sz w:val="24"/>
                <w:szCs w:val="24"/>
                <w:highlight w:val="none"/>
                <w:lang w:val="en-US" w:eastAsia="zh-CN"/>
              </w:rPr>
              <w:t>Q消=10L/s=36m</w:t>
            </w:r>
            <w:r>
              <w:rPr>
                <w:rFonts w:hint="default" w:ascii="Times New Roman" w:hAnsi="Times New Roman" w:eastAsia="宋体" w:cs="Times New Roman"/>
                <w:sz w:val="24"/>
                <w:szCs w:val="24"/>
                <w:highlight w:val="none"/>
                <w:vertAlign w:val="superscript"/>
                <w:lang w:val="en-US" w:eastAsia="zh-CN"/>
              </w:rPr>
              <w:t>3</w:t>
            </w:r>
            <w:r>
              <w:rPr>
                <w:rFonts w:hint="default" w:ascii="Times New Roman" w:hAnsi="Times New Roman" w:eastAsia="宋体" w:cs="Times New Roman"/>
                <w:sz w:val="24"/>
                <w:szCs w:val="24"/>
                <w:highlight w:val="none"/>
                <w:lang w:val="en-US" w:eastAsia="zh-CN"/>
              </w:rPr>
              <w:t>/h；</w:t>
            </w:r>
          </w:p>
          <w:p w14:paraId="284A3DC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规范要求甲类仓库火灾延续时间</w:t>
            </w:r>
            <w:r>
              <w:rPr>
                <w:rFonts w:hint="default" w:ascii="Times New Roman" w:hAnsi="Times New Roman" w:eastAsia="宋体" w:cs="Times New Roman"/>
                <w:sz w:val="24"/>
                <w:szCs w:val="24"/>
                <w:highlight w:val="none"/>
                <w:lang w:val="en-US" w:eastAsia="zh-CN"/>
              </w:rPr>
              <w:t>t消=2h；</w:t>
            </w:r>
          </w:p>
          <w:p w14:paraId="2DADFF51">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sz w:val="24"/>
                <w:szCs w:val="24"/>
                <w:highlight w:val="none"/>
                <w:lang w:val="en-US"/>
              </w:rPr>
            </w:pPr>
            <w:r>
              <w:rPr>
                <w:rFonts w:hint="default" w:ascii="Times New Roman" w:hAnsi="Times New Roman" w:eastAsia="宋体" w:cs="Times New Roman"/>
                <w:sz w:val="24"/>
                <w:szCs w:val="24"/>
                <w:highlight w:val="none"/>
                <w:lang w:val="en-US" w:eastAsia="zh-CN"/>
              </w:rPr>
              <w:t>V</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=36*2=72m</w:t>
            </w:r>
            <w:r>
              <w:rPr>
                <w:rFonts w:hint="default" w:ascii="Times New Roman" w:hAnsi="Times New Roman" w:eastAsia="宋体" w:cs="Times New Roman"/>
                <w:sz w:val="24"/>
                <w:szCs w:val="24"/>
                <w:highlight w:val="none"/>
                <w:vertAlign w:val="superscript"/>
                <w:lang w:val="en-US" w:eastAsia="zh-CN"/>
              </w:rPr>
              <w:t>3</w:t>
            </w:r>
          </w:p>
          <w:p w14:paraId="0E787A09">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（3）所需最小事故收集容积</w:t>
            </w:r>
          </w:p>
          <w:p w14:paraId="25EBE88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V</w:t>
            </w:r>
            <w:r>
              <w:rPr>
                <w:rFonts w:hint="default" w:ascii="Times New Roman" w:hAnsi="Times New Roman" w:eastAsia="宋体" w:cs="Times New Roman"/>
                <w:sz w:val="24"/>
                <w:szCs w:val="24"/>
                <w:highlight w:val="none"/>
                <w:vertAlign w:val="subscript"/>
                <w:lang w:val="en-US" w:eastAsia="zh-CN"/>
              </w:rPr>
              <w:t>总</w:t>
            </w:r>
            <w:r>
              <w:rPr>
                <w:rFonts w:hint="default" w:ascii="Times New Roman" w:hAnsi="Times New Roman" w:eastAsia="宋体" w:cs="Times New Roman"/>
                <w:sz w:val="24"/>
                <w:szCs w:val="24"/>
                <w:highlight w:val="none"/>
                <w:lang w:val="en-US" w:eastAsia="zh-CN"/>
              </w:rPr>
              <w:t>=（0+72-0）+0+0</w:t>
            </w:r>
          </w:p>
          <w:p w14:paraId="778C23D0">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（4）现有水池校核与可行性分析</w:t>
            </w:r>
          </w:p>
          <w:p w14:paraId="0F351D06">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z w:val="24"/>
                <w:szCs w:val="24"/>
                <w:highlight w:val="none"/>
              </w:rPr>
            </w:pPr>
            <w:r>
              <w:rPr>
                <w:rFonts w:hint="default" w:ascii="Times New Roman" w:hAnsi="Times New Roman" w:eastAsia="宋体" w:cs="Times New Roman"/>
                <w:sz w:val="24"/>
                <w:szCs w:val="24"/>
                <w:highlight w:val="none"/>
              </w:rPr>
              <w:t>本项目配套消防水池总容积187.2m</w:t>
            </w:r>
            <w:r>
              <w:rPr>
                <w:rFonts w:hint="default" w:ascii="Times New Roman" w:hAnsi="Times New Roman" w:eastAsia="宋体" w:cs="Times New Roman"/>
                <w:sz w:val="24"/>
                <w:szCs w:val="24"/>
                <w:highlight w:val="none"/>
                <w:vertAlign w:val="superscript"/>
              </w:rPr>
              <w:t>3</w:t>
            </w:r>
            <w:r>
              <w:rPr>
                <w:rFonts w:hint="default" w:ascii="Times New Roman" w:hAnsi="Times New Roman" w:eastAsia="宋体" w:cs="Times New Roman"/>
                <w:sz w:val="24"/>
                <w:szCs w:val="24"/>
                <w:highlight w:val="none"/>
              </w:rPr>
              <w:t>，远大于事故所需最小收集容积72m³，消防水池可兼作事故废水收集池，无需单独新建应急池</w:t>
            </w:r>
            <w:r>
              <w:rPr>
                <w:rFonts w:hint="eastAsia" w:ascii="Times New Roman" w:hAnsi="Times New Roman" w:eastAsia="宋体" w:cs="Times New Roman"/>
                <w:sz w:val="24"/>
                <w:szCs w:val="24"/>
                <w:highlight w:val="none"/>
                <w:lang w:eastAsia="zh-CN"/>
              </w:rPr>
              <w:t>。事故废水经沉淀、自然稳定后，全部用于库区场内道路、裸露场地洒水降尘，不外排地表、地下水体；若废水污染物浓度偏高，延长沉淀静置周期，分批次少量回用，杜绝集中漫流。</w:t>
            </w:r>
          </w:p>
          <w:p w14:paraId="3D50D2AE">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highlight w:val="none"/>
              </w:rPr>
            </w:pPr>
            <w:r>
              <w:rPr>
                <w:rFonts w:hint="eastAsia" w:ascii="Times New Roman" w:hAnsi="Times New Roman" w:eastAsia="宋体" w:cs="Times New Roman"/>
                <w:b/>
                <w:bCs/>
                <w:color w:val="000000"/>
                <w:highlight w:val="none"/>
              </w:rPr>
              <w:t>4.12.</w:t>
            </w:r>
            <w:r>
              <w:rPr>
                <w:rFonts w:hint="eastAsia" w:ascii="Times New Roman" w:hAnsi="Times New Roman" w:eastAsia="宋体" w:cs="Times New Roman"/>
                <w:b/>
                <w:bCs/>
                <w:color w:val="000000"/>
                <w:highlight w:val="none"/>
                <w:lang w:val="en-US" w:eastAsia="zh-CN"/>
              </w:rPr>
              <w:t>4</w:t>
            </w:r>
            <w:r>
              <w:rPr>
                <w:rFonts w:hint="eastAsia" w:ascii="Times New Roman" w:hAnsi="Times New Roman" w:eastAsia="宋体" w:cs="Times New Roman"/>
                <w:b/>
                <w:bCs/>
                <w:color w:val="000000"/>
                <w:highlight w:val="none"/>
              </w:rPr>
              <w:t>建设项目环境风险简单分析内容表</w:t>
            </w:r>
          </w:p>
          <w:p w14:paraId="60AF2BF5">
            <w:pPr>
              <w:pStyle w:val="73"/>
              <w:keepNext w:val="0"/>
              <w:keepLines w:val="0"/>
              <w:pageBreakBefore w:val="0"/>
              <w:widowControl/>
              <w:kinsoku/>
              <w:wordWrap/>
              <w:overflowPunct/>
              <w:topLinePunct w:val="0"/>
              <w:autoSpaceDE/>
              <w:autoSpaceDN/>
              <w:bidi w:val="0"/>
              <w:adjustRightInd w:val="0"/>
              <w:snapToGrid w:val="0"/>
              <w:spacing w:line="240" w:lineRule="auto"/>
              <w:textAlignment w:val="auto"/>
              <w:rPr>
                <w:highlight w:val="none"/>
              </w:rPr>
            </w:pPr>
            <w:r>
              <w:rPr>
                <w:rFonts w:hint="default" w:ascii="Times New Roman" w:hAnsi="Times New Roman" w:cs="Times New Roman"/>
                <w:sz w:val="21"/>
                <w:szCs w:val="21"/>
                <w:highlight w:val="none"/>
              </w:rPr>
              <w:t>表4.12-</w:t>
            </w:r>
            <w:r>
              <w:rPr>
                <w:rFonts w:hint="eastAsia" w:ascii="Times New Roman" w:hAnsi="Times New Roman" w:eastAsia="宋体" w:cs="Times New Roman"/>
                <w:sz w:val="21"/>
                <w:szCs w:val="21"/>
                <w:highlight w:val="none"/>
                <w:lang w:val="en-US" w:eastAsia="zh-CN"/>
              </w:rPr>
              <w:t>3</w:t>
            </w:r>
            <w:r>
              <w:rPr>
                <w:rFonts w:hint="default" w:ascii="Times New Roman" w:hAnsi="Times New Roman" w:cs="Times New Roman"/>
                <w:sz w:val="21"/>
                <w:szCs w:val="21"/>
                <w:highlight w:val="none"/>
              </w:rPr>
              <w:t xml:space="preserve">   建设项目环境风险简单分析内容表</w:t>
            </w:r>
          </w:p>
          <w:tbl>
            <w:tblPr>
              <w:tblStyle w:val="27"/>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7"/>
              <w:gridCol w:w="6230"/>
            </w:tblGrid>
            <w:tr w14:paraId="3034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0" w:type="dxa"/>
                  <w:tcBorders>
                    <w:top w:val="single" w:color="auto" w:sz="4" w:space="0"/>
                    <w:left w:val="single" w:color="auto" w:sz="4" w:space="0"/>
                    <w:bottom w:val="single" w:color="auto" w:sz="4" w:space="0"/>
                    <w:right w:val="single" w:color="auto" w:sz="4" w:space="0"/>
                  </w:tcBorders>
                  <w:vAlign w:val="center"/>
                </w:tcPr>
                <w:p w14:paraId="3B365289">
                  <w:pPr>
                    <w:pStyle w:val="58"/>
                    <w:rPr>
                      <w:highlight w:val="none"/>
                    </w:rPr>
                  </w:pPr>
                  <w:r>
                    <w:rPr>
                      <w:rFonts w:hint="eastAsia"/>
                      <w:highlight w:val="none"/>
                    </w:rPr>
                    <w:t>建设项目名称</w:t>
                  </w:r>
                </w:p>
              </w:tc>
              <w:tc>
                <w:tcPr>
                  <w:tcW w:w="6548" w:type="dxa"/>
                  <w:tcBorders>
                    <w:top w:val="single" w:color="auto" w:sz="4" w:space="0"/>
                    <w:left w:val="single" w:color="auto" w:sz="4" w:space="0"/>
                    <w:bottom w:val="single" w:color="auto" w:sz="4" w:space="0"/>
                    <w:right w:val="single" w:color="auto" w:sz="4" w:space="0"/>
                  </w:tcBorders>
                  <w:vAlign w:val="center"/>
                </w:tcPr>
                <w:p w14:paraId="2E092744">
                  <w:pPr>
                    <w:pStyle w:val="58"/>
                    <w:ind w:firstLine="0" w:firstLineChars="0"/>
                    <w:rPr>
                      <w:highlight w:val="none"/>
                    </w:rPr>
                  </w:pPr>
                  <w:r>
                    <w:rPr>
                      <w:rFonts w:hint="eastAsia"/>
                      <w:highlight w:val="none"/>
                    </w:rPr>
                    <w:t>若羌羌河新材料有限公司新疆若羌县羌河（三区）长石矿新建民用爆炸物品储存库项目</w:t>
                  </w:r>
                </w:p>
              </w:tc>
            </w:tr>
            <w:tr w14:paraId="476B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0" w:type="dxa"/>
                  <w:tcBorders>
                    <w:top w:val="single" w:color="auto" w:sz="4" w:space="0"/>
                    <w:left w:val="single" w:color="auto" w:sz="4" w:space="0"/>
                    <w:bottom w:val="single" w:color="auto" w:sz="4" w:space="0"/>
                    <w:right w:val="single" w:color="auto" w:sz="4" w:space="0"/>
                  </w:tcBorders>
                  <w:vAlign w:val="center"/>
                </w:tcPr>
                <w:p w14:paraId="59A9F8B3">
                  <w:pPr>
                    <w:pStyle w:val="58"/>
                    <w:rPr>
                      <w:highlight w:val="none"/>
                    </w:rPr>
                  </w:pPr>
                  <w:r>
                    <w:rPr>
                      <w:rFonts w:hint="eastAsia"/>
                      <w:highlight w:val="none"/>
                    </w:rPr>
                    <w:t>建设地点</w:t>
                  </w:r>
                </w:p>
              </w:tc>
              <w:tc>
                <w:tcPr>
                  <w:tcW w:w="6548" w:type="dxa"/>
                  <w:tcBorders>
                    <w:top w:val="single" w:color="auto" w:sz="4" w:space="0"/>
                    <w:left w:val="single" w:color="auto" w:sz="4" w:space="0"/>
                    <w:bottom w:val="single" w:color="auto" w:sz="4" w:space="0"/>
                    <w:right w:val="single" w:color="auto" w:sz="4" w:space="0"/>
                  </w:tcBorders>
                  <w:vAlign w:val="center"/>
                </w:tcPr>
                <w:p w14:paraId="68B6C9E2">
                  <w:pPr>
                    <w:pStyle w:val="58"/>
                    <w:ind w:firstLine="0" w:firstLineChars="0"/>
                    <w:rPr>
                      <w:highlight w:val="none"/>
                    </w:rPr>
                  </w:pPr>
                  <w:r>
                    <w:rPr>
                      <w:rFonts w:hint="eastAsia"/>
                      <w:highlight w:val="none"/>
                    </w:rPr>
                    <w:t>新疆维吾尔自治区巴音郭楞蒙古自治州若羌县以南直线距离85公里处</w:t>
                  </w:r>
                </w:p>
              </w:tc>
            </w:tr>
            <w:tr w14:paraId="3D98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0" w:type="dxa"/>
                  <w:tcBorders>
                    <w:top w:val="single" w:color="auto" w:sz="4" w:space="0"/>
                    <w:left w:val="single" w:color="auto" w:sz="4" w:space="0"/>
                    <w:bottom w:val="single" w:color="auto" w:sz="4" w:space="0"/>
                    <w:right w:val="single" w:color="auto" w:sz="4" w:space="0"/>
                  </w:tcBorders>
                  <w:vAlign w:val="center"/>
                </w:tcPr>
                <w:p w14:paraId="10BCBBDB">
                  <w:pPr>
                    <w:pStyle w:val="58"/>
                    <w:rPr>
                      <w:highlight w:val="none"/>
                    </w:rPr>
                  </w:pPr>
                  <w:r>
                    <w:rPr>
                      <w:rFonts w:hint="eastAsia"/>
                      <w:highlight w:val="none"/>
                    </w:rPr>
                    <w:t>地理坐标</w:t>
                  </w:r>
                </w:p>
              </w:tc>
              <w:tc>
                <w:tcPr>
                  <w:tcW w:w="6548" w:type="dxa"/>
                  <w:tcBorders>
                    <w:top w:val="single" w:color="auto" w:sz="4" w:space="0"/>
                    <w:left w:val="single" w:color="auto" w:sz="4" w:space="0"/>
                    <w:bottom w:val="single" w:color="auto" w:sz="4" w:space="0"/>
                    <w:right w:val="single" w:color="auto" w:sz="4" w:space="0"/>
                  </w:tcBorders>
                  <w:vAlign w:val="center"/>
                </w:tcPr>
                <w:p w14:paraId="3EEDEE13">
                  <w:pPr>
                    <w:spacing w:line="240" w:lineRule="auto"/>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炸药库中心点坐标：</w:t>
                  </w:r>
                  <w:r>
                    <w:rPr>
                      <w:rFonts w:hint="default" w:ascii="Times New Roman" w:hAnsi="Times New Roman" w:cs="Times New Roman"/>
                      <w:color w:val="auto"/>
                      <w:sz w:val="21"/>
                      <w:szCs w:val="21"/>
                      <w:highlight w:val="none"/>
                    </w:rPr>
                    <w:t>东经8</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46.304</w:t>
                  </w:r>
                  <w:r>
                    <w:rPr>
                      <w:rFonts w:hint="default" w:ascii="Times New Roman" w:hAnsi="Times New Roman" w:cs="Times New Roman"/>
                      <w:color w:val="auto"/>
                      <w:sz w:val="21"/>
                      <w:szCs w:val="21"/>
                      <w:highlight w:val="none"/>
                    </w:rPr>
                    <w:t>″，北纬38°</w:t>
                  </w:r>
                  <w:r>
                    <w:rPr>
                      <w:rFonts w:hint="eastAsia" w:cs="Times New Roman"/>
                      <w:color w:val="auto"/>
                      <w:sz w:val="21"/>
                      <w:szCs w:val="21"/>
                      <w:highlight w:val="none"/>
                      <w:lang w:val="en-US" w:eastAsia="zh-CN"/>
                    </w:rPr>
                    <w:t>12</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36.146</w:t>
                  </w:r>
                  <w:r>
                    <w:rPr>
                      <w:rFonts w:hint="default" w:ascii="Times New Roman" w:hAnsi="Times New Roman" w:cs="Times New Roman"/>
                      <w:color w:val="auto"/>
                      <w:sz w:val="21"/>
                      <w:szCs w:val="21"/>
                      <w:highlight w:val="none"/>
                    </w:rPr>
                    <w:t>″</w:t>
                  </w:r>
                </w:p>
                <w:p w14:paraId="1CB4E573">
                  <w:pPr>
                    <w:pStyle w:val="58"/>
                    <w:ind w:firstLine="0" w:firstLineChars="0"/>
                    <w:rPr>
                      <w:highlight w:val="none"/>
                    </w:rPr>
                  </w:pPr>
                  <w:r>
                    <w:rPr>
                      <w:rFonts w:hint="eastAsia" w:cs="Times New Roman"/>
                      <w:color w:val="auto"/>
                      <w:sz w:val="21"/>
                      <w:szCs w:val="21"/>
                      <w:highlight w:val="none"/>
                      <w:lang w:val="en-US" w:eastAsia="zh-CN"/>
                    </w:rPr>
                    <w:t>值班室中心点坐标：</w:t>
                  </w:r>
                  <w:r>
                    <w:rPr>
                      <w:rFonts w:hint="default" w:ascii="Times New Roman" w:hAnsi="Times New Roman" w:cs="Times New Roman"/>
                      <w:color w:val="auto"/>
                      <w:szCs w:val="22"/>
                      <w:highlight w:val="none"/>
                    </w:rPr>
                    <w:t>东经88°3′48.467″，北纬38°12′45.986″</w:t>
                  </w:r>
                </w:p>
              </w:tc>
            </w:tr>
            <w:tr w14:paraId="79C9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0" w:type="dxa"/>
                  <w:tcBorders>
                    <w:top w:val="single" w:color="auto" w:sz="4" w:space="0"/>
                    <w:left w:val="single" w:color="auto" w:sz="4" w:space="0"/>
                    <w:bottom w:val="single" w:color="auto" w:sz="4" w:space="0"/>
                    <w:right w:val="single" w:color="auto" w:sz="4" w:space="0"/>
                  </w:tcBorders>
                  <w:vAlign w:val="center"/>
                </w:tcPr>
                <w:p w14:paraId="26CAC143">
                  <w:pPr>
                    <w:pStyle w:val="58"/>
                    <w:rPr>
                      <w:highlight w:val="none"/>
                    </w:rPr>
                  </w:pPr>
                  <w:r>
                    <w:rPr>
                      <w:rFonts w:hint="eastAsia"/>
                      <w:highlight w:val="none"/>
                    </w:rPr>
                    <w:t>主要危险物质及分布</w:t>
                  </w:r>
                </w:p>
              </w:tc>
              <w:tc>
                <w:tcPr>
                  <w:tcW w:w="6548" w:type="dxa"/>
                  <w:tcBorders>
                    <w:top w:val="single" w:color="auto" w:sz="4" w:space="0"/>
                    <w:left w:val="single" w:color="auto" w:sz="4" w:space="0"/>
                    <w:bottom w:val="single" w:color="auto" w:sz="4" w:space="0"/>
                    <w:right w:val="single" w:color="auto" w:sz="4" w:space="0"/>
                  </w:tcBorders>
                  <w:vAlign w:val="center"/>
                </w:tcPr>
                <w:p w14:paraId="4B64EC46">
                  <w:pPr>
                    <w:pStyle w:val="58"/>
                    <w:ind w:firstLine="0" w:firstLineChars="0"/>
                    <w:rPr>
                      <w:rFonts w:hint="default" w:eastAsia="宋体"/>
                      <w:highlight w:val="none"/>
                      <w:lang w:val="en-US" w:eastAsia="zh-CN"/>
                    </w:rPr>
                  </w:pPr>
                  <w:r>
                    <w:rPr>
                      <w:rFonts w:hint="eastAsia"/>
                      <w:highlight w:val="none"/>
                    </w:rPr>
                    <w:t>炸药库</w:t>
                  </w:r>
                  <w:r>
                    <w:rPr>
                      <w:rFonts w:hint="eastAsia"/>
                      <w:highlight w:val="none"/>
                      <w:lang w:eastAsia="zh-CN"/>
                    </w:rPr>
                    <w:t>、</w:t>
                  </w:r>
                  <w:r>
                    <w:rPr>
                      <w:rFonts w:hint="eastAsia"/>
                      <w:highlight w:val="none"/>
                    </w:rPr>
                    <w:t>雷管库</w:t>
                  </w:r>
                  <w:r>
                    <w:rPr>
                      <w:rFonts w:hint="eastAsia"/>
                      <w:highlight w:val="none"/>
                      <w:lang w:val="en-US" w:eastAsia="zh-CN"/>
                    </w:rPr>
                    <w:t>储存的炸药、</w:t>
                  </w:r>
                  <w:r>
                    <w:rPr>
                      <w:rFonts w:hint="eastAsia"/>
                      <w:highlight w:val="none"/>
                    </w:rPr>
                    <w:t>导爆索</w:t>
                  </w:r>
                  <w:r>
                    <w:rPr>
                      <w:rFonts w:hint="eastAsia"/>
                      <w:highlight w:val="none"/>
                      <w:lang w:eastAsia="zh-CN"/>
                    </w:rPr>
                    <w:t>、</w:t>
                  </w:r>
                  <w:r>
                    <w:rPr>
                      <w:rFonts w:hint="eastAsia"/>
                      <w:highlight w:val="none"/>
                      <w:lang w:val="en-US" w:eastAsia="zh-CN"/>
                    </w:rPr>
                    <w:t>雷管</w:t>
                  </w:r>
                </w:p>
              </w:tc>
            </w:tr>
            <w:tr w14:paraId="24BE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0" w:type="dxa"/>
                  <w:tcBorders>
                    <w:top w:val="single" w:color="auto" w:sz="4" w:space="0"/>
                    <w:left w:val="single" w:color="auto" w:sz="4" w:space="0"/>
                    <w:bottom w:val="single" w:color="auto" w:sz="4" w:space="0"/>
                    <w:right w:val="single" w:color="auto" w:sz="4" w:space="0"/>
                  </w:tcBorders>
                  <w:vAlign w:val="center"/>
                </w:tcPr>
                <w:p w14:paraId="3296087F">
                  <w:pPr>
                    <w:pStyle w:val="58"/>
                    <w:rPr>
                      <w:highlight w:val="none"/>
                    </w:rPr>
                  </w:pPr>
                  <w:r>
                    <w:rPr>
                      <w:rFonts w:hint="eastAsia"/>
                      <w:highlight w:val="none"/>
                    </w:rPr>
                    <w:t>环境影响途径及危害后果（大气、地表水、地下水等）</w:t>
                  </w:r>
                </w:p>
              </w:tc>
              <w:tc>
                <w:tcPr>
                  <w:tcW w:w="6548" w:type="dxa"/>
                  <w:tcBorders>
                    <w:top w:val="single" w:color="auto" w:sz="4" w:space="0"/>
                    <w:left w:val="single" w:color="auto" w:sz="4" w:space="0"/>
                    <w:bottom w:val="single" w:color="auto" w:sz="4" w:space="0"/>
                    <w:right w:val="single" w:color="auto" w:sz="4" w:space="0"/>
                  </w:tcBorders>
                  <w:vAlign w:val="center"/>
                </w:tcPr>
                <w:p w14:paraId="40D0C914">
                  <w:pPr>
                    <w:pStyle w:val="58"/>
                    <w:ind w:firstLine="0" w:firstLineChars="0"/>
                    <w:rPr>
                      <w:highlight w:val="none"/>
                    </w:rPr>
                  </w:pPr>
                  <w:r>
                    <w:rPr>
                      <w:rFonts w:hint="eastAsia"/>
                      <w:highlight w:val="none"/>
                    </w:rPr>
                    <w:t>火灾事故发生后，燃烧产生有毒有害气体对附近人员健康产生影响；发生火灾时需消防水灭火，产生的消防废水可能会进入外界地表水环境，对地表水造成污染，亦或是下渗进入土壤和地下水中，造成土壤和地下水的污染。</w:t>
                  </w:r>
                </w:p>
              </w:tc>
            </w:tr>
            <w:tr w14:paraId="68C2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0" w:type="dxa"/>
                  <w:tcBorders>
                    <w:top w:val="single" w:color="auto" w:sz="4" w:space="0"/>
                    <w:left w:val="single" w:color="auto" w:sz="4" w:space="0"/>
                    <w:bottom w:val="single" w:color="auto" w:sz="4" w:space="0"/>
                    <w:right w:val="single" w:color="auto" w:sz="4" w:space="0"/>
                  </w:tcBorders>
                  <w:vAlign w:val="center"/>
                </w:tcPr>
                <w:p w14:paraId="4719BD7A">
                  <w:pPr>
                    <w:pStyle w:val="58"/>
                    <w:rPr>
                      <w:highlight w:val="none"/>
                    </w:rPr>
                  </w:pPr>
                  <w:r>
                    <w:rPr>
                      <w:rFonts w:hint="eastAsia"/>
                      <w:highlight w:val="none"/>
                    </w:rPr>
                    <w:t>风险防范措施要求</w:t>
                  </w:r>
                </w:p>
              </w:tc>
              <w:tc>
                <w:tcPr>
                  <w:tcW w:w="6548" w:type="dxa"/>
                  <w:tcBorders>
                    <w:top w:val="single" w:color="auto" w:sz="4" w:space="0"/>
                    <w:left w:val="single" w:color="auto" w:sz="4" w:space="0"/>
                    <w:bottom w:val="single" w:color="auto" w:sz="4" w:space="0"/>
                    <w:right w:val="single" w:color="auto" w:sz="4" w:space="0"/>
                  </w:tcBorders>
                  <w:vAlign w:val="center"/>
                </w:tcPr>
                <w:p w14:paraId="4186BB0D">
                  <w:pPr>
                    <w:pStyle w:val="58"/>
                    <w:ind w:firstLine="0" w:firstLineChars="0"/>
                    <w:rPr>
                      <w:highlight w:val="none"/>
                    </w:rPr>
                  </w:pPr>
                  <w:r>
                    <w:rPr>
                      <w:highlight w:val="none"/>
                    </w:rPr>
                    <w:t>救援物资：厂区应配备相应的应急救援器材、消防器材置于明显、取用方便又安全的地方，定专人维护管理，定期检修</w:t>
                  </w:r>
                </w:p>
              </w:tc>
            </w:tr>
            <w:tr w14:paraId="1BA8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0" w:type="dxa"/>
                  <w:tcBorders>
                    <w:top w:val="single" w:color="auto" w:sz="4" w:space="0"/>
                    <w:left w:val="single" w:color="auto" w:sz="4" w:space="0"/>
                    <w:bottom w:val="single" w:color="auto" w:sz="4" w:space="0"/>
                    <w:right w:val="single" w:color="auto" w:sz="4" w:space="0"/>
                  </w:tcBorders>
                  <w:vAlign w:val="center"/>
                </w:tcPr>
                <w:p w14:paraId="101B6693">
                  <w:pPr>
                    <w:pStyle w:val="58"/>
                    <w:rPr>
                      <w:highlight w:val="none"/>
                    </w:rPr>
                  </w:pPr>
                  <w:r>
                    <w:rPr>
                      <w:rFonts w:hint="eastAsia"/>
                      <w:highlight w:val="none"/>
                    </w:rPr>
                    <w:t>填表说明</w:t>
                  </w:r>
                </w:p>
              </w:tc>
              <w:tc>
                <w:tcPr>
                  <w:tcW w:w="6548" w:type="dxa"/>
                  <w:tcBorders>
                    <w:top w:val="single" w:color="auto" w:sz="4" w:space="0"/>
                    <w:left w:val="single" w:color="auto" w:sz="4" w:space="0"/>
                    <w:bottom w:val="single" w:color="auto" w:sz="4" w:space="0"/>
                    <w:right w:val="single" w:color="auto" w:sz="4" w:space="0"/>
                  </w:tcBorders>
                  <w:vAlign w:val="center"/>
                </w:tcPr>
                <w:p w14:paraId="063ADFCF">
                  <w:pPr>
                    <w:pStyle w:val="58"/>
                    <w:rPr>
                      <w:highlight w:val="none"/>
                    </w:rPr>
                  </w:pPr>
                  <w:r>
                    <w:rPr>
                      <w:rFonts w:hint="eastAsia"/>
                      <w:highlight w:val="none"/>
                    </w:rPr>
                    <w:t>/</w:t>
                  </w:r>
                </w:p>
              </w:tc>
            </w:tr>
          </w:tbl>
          <w:p w14:paraId="3553F514">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b/>
                <w:bCs/>
                <w:color w:val="000000"/>
                <w:highlight w:val="none"/>
              </w:rPr>
              <w:t>4.12.</w:t>
            </w:r>
            <w:r>
              <w:rPr>
                <w:rFonts w:hint="eastAsia" w:ascii="Times New Roman" w:hAnsi="Times New Roman" w:eastAsia="宋体" w:cs="Times New Roman"/>
                <w:b/>
                <w:bCs/>
                <w:color w:val="000000"/>
                <w:highlight w:val="none"/>
                <w:lang w:val="en-US" w:eastAsia="zh-CN"/>
              </w:rPr>
              <w:t>5</w:t>
            </w:r>
            <w:r>
              <w:rPr>
                <w:rFonts w:hint="eastAsia" w:ascii="Times New Roman" w:hAnsi="Times New Roman" w:eastAsia="宋体" w:cs="Times New Roman"/>
                <w:b/>
                <w:bCs/>
                <w:color w:val="000000"/>
                <w:highlight w:val="none"/>
              </w:rPr>
              <w:t>环境风险结论</w:t>
            </w:r>
          </w:p>
          <w:p w14:paraId="70EDCE0A">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本项目通过加强管理、采取有效措施，加强对运管员工防范事故风险能力的培训，编制环境风险应急预案等，可进一步降低环境风险发生的</w:t>
            </w:r>
            <w:r>
              <w:rPr>
                <w:rFonts w:hint="eastAsia" w:ascii="Times New Roman" w:hAnsi="Times New Roman" w:eastAsia="宋体" w:cs="Times New Roman"/>
                <w:color w:val="000000"/>
                <w:highlight w:val="none"/>
                <w:lang w:eastAsia="zh-CN"/>
              </w:rPr>
              <w:t>概率</w:t>
            </w:r>
            <w:r>
              <w:rPr>
                <w:rFonts w:hint="eastAsia" w:ascii="Times New Roman" w:hAnsi="Times New Roman" w:eastAsia="宋体" w:cs="Times New Roman"/>
                <w:color w:val="000000"/>
                <w:highlight w:val="none"/>
              </w:rPr>
              <w:t>和造成的影响。</w:t>
            </w:r>
          </w:p>
          <w:p w14:paraId="12D0A41F">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rPr>
              <w:t>综上所述，经采取</w:t>
            </w:r>
            <w:r>
              <w:rPr>
                <w:rFonts w:hint="eastAsia" w:ascii="Times New Roman" w:hAnsi="Times New Roman" w:eastAsia="宋体" w:cs="Times New Roman"/>
                <w:color w:val="000000"/>
                <w:highlight w:val="none"/>
                <w:lang w:eastAsia="zh-CN"/>
              </w:rPr>
              <w:t>本次</w:t>
            </w:r>
            <w:r>
              <w:rPr>
                <w:rFonts w:hint="eastAsia" w:ascii="Times New Roman" w:hAnsi="Times New Roman" w:eastAsia="宋体" w:cs="Times New Roman"/>
                <w:color w:val="000000"/>
                <w:highlight w:val="none"/>
              </w:rPr>
              <w:t>评价提出风险防范措施后，评价认为从环境保护角度而言，本项目的</w:t>
            </w:r>
            <w:r>
              <w:rPr>
                <w:rFonts w:hint="eastAsia" w:ascii="Times New Roman" w:hAnsi="Times New Roman" w:eastAsia="宋体" w:cs="Times New Roman"/>
                <w:color w:val="000000"/>
                <w:highlight w:val="none"/>
                <w:lang w:eastAsia="zh-CN"/>
              </w:rPr>
              <w:t>环境</w:t>
            </w:r>
            <w:r>
              <w:rPr>
                <w:rFonts w:hint="eastAsia" w:ascii="Times New Roman" w:hAnsi="Times New Roman" w:eastAsia="宋体" w:cs="Times New Roman"/>
                <w:color w:val="000000"/>
                <w:highlight w:val="none"/>
              </w:rPr>
              <w:t>风险可防控。</w:t>
            </w:r>
          </w:p>
          <w:p w14:paraId="7DDF0676">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
                <w:color w:val="auto"/>
                <w:sz w:val="24"/>
                <w:szCs w:val="24"/>
                <w:highlight w:val="none"/>
              </w:rPr>
              <w:t>4.</w:t>
            </w:r>
            <w:r>
              <w:rPr>
                <w:rFonts w:hint="eastAsia" w:ascii="Times New Roman" w:hAnsi="Times New Roman" w:eastAsia="宋体" w:cs="Times New Roman"/>
                <w:b/>
                <w:color w:val="auto"/>
                <w:sz w:val="24"/>
                <w:szCs w:val="24"/>
                <w:highlight w:val="none"/>
                <w:lang w:val="en-US" w:eastAsia="zh-CN"/>
              </w:rPr>
              <w:t>13</w:t>
            </w:r>
            <w:r>
              <w:rPr>
                <w:rFonts w:hint="default" w:ascii="Times New Roman" w:hAnsi="Times New Roman" w:eastAsia="宋体" w:cs="Times New Roman"/>
                <w:b/>
                <w:color w:val="auto"/>
                <w:sz w:val="24"/>
                <w:szCs w:val="24"/>
                <w:highlight w:val="none"/>
              </w:rPr>
              <w:t>环保投资</w:t>
            </w:r>
          </w:p>
          <w:p w14:paraId="5F5BFF4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项目总投资</w:t>
            </w:r>
            <w:r>
              <w:rPr>
                <w:rFonts w:hint="eastAsia" w:cs="Times New Roman"/>
                <w:bCs/>
                <w:color w:val="auto"/>
                <w:sz w:val="24"/>
                <w:szCs w:val="24"/>
                <w:highlight w:val="none"/>
                <w:lang w:val="en-US" w:eastAsia="zh-CN"/>
              </w:rPr>
              <w:t>300</w:t>
            </w:r>
            <w:r>
              <w:rPr>
                <w:rFonts w:hint="default" w:ascii="Times New Roman" w:hAnsi="Times New Roman" w:eastAsia="宋体" w:cs="Times New Roman"/>
                <w:bCs/>
                <w:color w:val="auto"/>
                <w:sz w:val="24"/>
                <w:szCs w:val="24"/>
                <w:highlight w:val="none"/>
              </w:rPr>
              <w:t>万元，其中环保投资约</w:t>
            </w:r>
            <w:r>
              <w:rPr>
                <w:rFonts w:hint="eastAsia" w:cs="Times New Roman"/>
                <w:bCs/>
                <w:color w:val="auto"/>
                <w:sz w:val="24"/>
                <w:szCs w:val="24"/>
                <w:highlight w:val="none"/>
                <w:lang w:val="en-US" w:eastAsia="zh-CN"/>
              </w:rPr>
              <w:t>23</w:t>
            </w:r>
            <w:r>
              <w:rPr>
                <w:rFonts w:hint="default" w:ascii="Times New Roman" w:hAnsi="Times New Roman" w:eastAsia="宋体" w:cs="Times New Roman"/>
                <w:bCs/>
                <w:color w:val="auto"/>
                <w:sz w:val="24"/>
                <w:szCs w:val="24"/>
                <w:highlight w:val="none"/>
              </w:rPr>
              <w:t>万元，占总投资的</w:t>
            </w:r>
            <w:r>
              <w:rPr>
                <w:rFonts w:hint="eastAsia" w:cs="Times New Roman"/>
                <w:bCs/>
                <w:color w:val="auto"/>
                <w:sz w:val="24"/>
                <w:szCs w:val="24"/>
                <w:highlight w:val="none"/>
                <w:lang w:val="en-US" w:eastAsia="zh-CN"/>
              </w:rPr>
              <w:t>7.67</w:t>
            </w:r>
            <w:r>
              <w:rPr>
                <w:rFonts w:hint="default" w:ascii="Times New Roman" w:hAnsi="Times New Roman" w:eastAsia="宋体" w:cs="Times New Roman"/>
                <w:bCs/>
                <w:color w:val="auto"/>
                <w:sz w:val="24"/>
                <w:szCs w:val="24"/>
                <w:highlight w:val="none"/>
              </w:rPr>
              <w:t>%，环保投资情况</w:t>
            </w:r>
            <w:r>
              <w:rPr>
                <w:rFonts w:hint="eastAsia" w:cs="Times New Roman"/>
                <w:bCs/>
                <w:color w:val="auto"/>
                <w:sz w:val="24"/>
                <w:szCs w:val="24"/>
                <w:highlight w:val="none"/>
                <w:lang w:eastAsia="zh-CN"/>
              </w:rPr>
              <w:t>见下</w:t>
            </w:r>
            <w:r>
              <w:rPr>
                <w:rFonts w:hint="default" w:ascii="Times New Roman" w:hAnsi="Times New Roman" w:eastAsia="宋体" w:cs="Times New Roman"/>
                <w:bCs/>
                <w:color w:val="auto"/>
                <w:sz w:val="24"/>
                <w:szCs w:val="24"/>
                <w:highlight w:val="none"/>
              </w:rPr>
              <w:t>表4</w:t>
            </w:r>
            <w:r>
              <w:rPr>
                <w:rFonts w:hint="eastAsia" w:cs="Times New Roman"/>
                <w:bCs/>
                <w:color w:val="auto"/>
                <w:sz w:val="24"/>
                <w:szCs w:val="24"/>
                <w:highlight w:val="none"/>
                <w:lang w:val="en-US" w:eastAsia="zh-CN"/>
              </w:rPr>
              <w:t>.13-1</w:t>
            </w:r>
            <w:r>
              <w:rPr>
                <w:rFonts w:hint="default" w:ascii="Times New Roman" w:hAnsi="Times New Roman" w:eastAsia="宋体" w:cs="Times New Roman"/>
                <w:bCs/>
                <w:color w:val="auto"/>
                <w:sz w:val="24"/>
                <w:szCs w:val="24"/>
                <w:highlight w:val="none"/>
              </w:rPr>
              <w:t>。</w:t>
            </w:r>
          </w:p>
          <w:p w14:paraId="2D94AED9">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napToGrid w:val="0"/>
                <w:color w:val="auto"/>
                <w:kern w:val="0"/>
                <w:sz w:val="21"/>
                <w:szCs w:val="21"/>
                <w:highlight w:val="none"/>
                <w:lang w:val="en-US" w:eastAsia="zh-CN" w:bidi="ar-SA"/>
                <w14:ligatures w14:val="none"/>
              </w:rPr>
            </w:pPr>
            <w:r>
              <w:rPr>
                <w:rFonts w:hint="default" w:ascii="Times New Roman" w:hAnsi="Times New Roman" w:eastAsia="宋体" w:cs="Times New Roman"/>
                <w:b/>
                <w:bCs/>
                <w:snapToGrid w:val="0"/>
                <w:color w:val="auto"/>
                <w:kern w:val="0"/>
                <w:sz w:val="21"/>
                <w:szCs w:val="21"/>
                <w:highlight w:val="none"/>
                <w:lang w:val="en-US" w:eastAsia="zh-CN" w:bidi="ar-SA"/>
                <w14:ligatures w14:val="none"/>
              </w:rPr>
              <w:t>表4</w:t>
            </w:r>
            <w:r>
              <w:rPr>
                <w:rFonts w:hint="eastAsia" w:ascii="Times New Roman" w:hAnsi="Times New Roman" w:eastAsia="宋体" w:cs="Times New Roman"/>
                <w:b/>
                <w:bCs/>
                <w:snapToGrid w:val="0"/>
                <w:color w:val="auto"/>
                <w:kern w:val="0"/>
                <w:sz w:val="21"/>
                <w:szCs w:val="21"/>
                <w:highlight w:val="none"/>
                <w:lang w:val="en-US" w:eastAsia="zh-CN" w:bidi="ar-SA"/>
                <w14:ligatures w14:val="none"/>
              </w:rPr>
              <w:t>.13</w:t>
            </w:r>
            <w:r>
              <w:rPr>
                <w:rFonts w:hint="default" w:ascii="Times New Roman" w:hAnsi="Times New Roman" w:eastAsia="宋体" w:cs="Times New Roman"/>
                <w:b/>
                <w:bCs/>
                <w:snapToGrid w:val="0"/>
                <w:color w:val="auto"/>
                <w:kern w:val="0"/>
                <w:sz w:val="21"/>
                <w:szCs w:val="21"/>
                <w:highlight w:val="none"/>
                <w:lang w:val="en-US" w:eastAsia="zh-CN" w:bidi="ar-SA"/>
                <w14:ligatures w14:val="none"/>
              </w:rPr>
              <w:t>-1  环保投资估算表</w:t>
            </w:r>
          </w:p>
          <w:tbl>
            <w:tblPr>
              <w:tblStyle w:val="27"/>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1115"/>
              <w:gridCol w:w="982"/>
              <w:gridCol w:w="1226"/>
              <w:gridCol w:w="3985"/>
              <w:gridCol w:w="1154"/>
            </w:tblGrid>
            <w:tr w14:paraId="31F5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26" w:hRule="atLeast"/>
                <w:tblHeader/>
              </w:trPr>
              <w:tc>
                <w:tcPr>
                  <w:tcW w:w="659" w:type="pct"/>
                  <w:tcBorders>
                    <w:tl2br w:val="nil"/>
                    <w:tr2bl w:val="nil"/>
                  </w:tcBorders>
                  <w:noWrap w:val="0"/>
                  <w:tcMar>
                    <w:top w:w="57" w:type="dxa"/>
                    <w:bottom w:w="57" w:type="dxa"/>
                  </w:tcMar>
                  <w:vAlign w:val="center"/>
                </w:tcPr>
                <w:p w14:paraId="71F9EEB3">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工期</w:t>
                  </w:r>
                </w:p>
              </w:tc>
              <w:tc>
                <w:tcPr>
                  <w:tcW w:w="1304" w:type="pct"/>
                  <w:gridSpan w:val="2"/>
                  <w:tcBorders>
                    <w:tl2br w:val="nil"/>
                    <w:tr2bl w:val="nil"/>
                  </w:tcBorders>
                  <w:noWrap w:val="0"/>
                  <w:tcMar>
                    <w:top w:w="57" w:type="dxa"/>
                    <w:bottom w:w="57" w:type="dxa"/>
                  </w:tcMar>
                  <w:vAlign w:val="center"/>
                </w:tcPr>
                <w:p w14:paraId="69A137E0">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w:t>
                  </w:r>
                </w:p>
              </w:tc>
              <w:tc>
                <w:tcPr>
                  <w:tcW w:w="2352" w:type="pct"/>
                  <w:tcBorders>
                    <w:tl2br w:val="nil"/>
                    <w:tr2bl w:val="nil"/>
                  </w:tcBorders>
                  <w:noWrap w:val="0"/>
                  <w:tcMar>
                    <w:top w:w="57" w:type="dxa"/>
                    <w:bottom w:w="57" w:type="dxa"/>
                  </w:tcMar>
                  <w:vAlign w:val="center"/>
                </w:tcPr>
                <w:p w14:paraId="629250F6">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环保措施</w:t>
                  </w:r>
                </w:p>
              </w:tc>
              <w:tc>
                <w:tcPr>
                  <w:tcW w:w="682" w:type="pct"/>
                  <w:tcBorders>
                    <w:tl2br w:val="nil"/>
                    <w:tr2bl w:val="nil"/>
                  </w:tcBorders>
                  <w:noWrap w:val="0"/>
                  <w:tcMar>
                    <w:top w:w="57" w:type="dxa"/>
                    <w:bottom w:w="57" w:type="dxa"/>
                  </w:tcMar>
                  <w:vAlign w:val="center"/>
                </w:tcPr>
                <w:p w14:paraId="021D458E">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环保费用（万元）</w:t>
                  </w:r>
                </w:p>
              </w:tc>
            </w:tr>
            <w:tr w14:paraId="7D47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321" w:hRule="atLeast"/>
                <w:tblHeader/>
              </w:trPr>
              <w:tc>
                <w:tcPr>
                  <w:tcW w:w="659" w:type="pct"/>
                  <w:vMerge w:val="restart"/>
                  <w:tcBorders>
                    <w:tl2br w:val="nil"/>
                    <w:tr2bl w:val="nil"/>
                  </w:tcBorders>
                  <w:noWrap w:val="0"/>
                  <w:tcMar>
                    <w:top w:w="57" w:type="dxa"/>
                    <w:bottom w:w="57" w:type="dxa"/>
                  </w:tcMar>
                  <w:vAlign w:val="center"/>
                </w:tcPr>
                <w:p w14:paraId="775D1A2A">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施工期</w:t>
                  </w:r>
                </w:p>
              </w:tc>
              <w:tc>
                <w:tcPr>
                  <w:tcW w:w="1304" w:type="pct"/>
                  <w:gridSpan w:val="2"/>
                  <w:tcBorders>
                    <w:tl2br w:val="nil"/>
                    <w:tr2bl w:val="nil"/>
                  </w:tcBorders>
                  <w:noWrap w:val="0"/>
                  <w:tcMar>
                    <w:top w:w="57" w:type="dxa"/>
                    <w:bottom w:w="57" w:type="dxa"/>
                  </w:tcMar>
                  <w:vAlign w:val="center"/>
                </w:tcPr>
                <w:p w14:paraId="1F4147FB">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项目基建</w:t>
                  </w:r>
                </w:p>
              </w:tc>
              <w:tc>
                <w:tcPr>
                  <w:tcW w:w="2352" w:type="pct"/>
                  <w:tcBorders>
                    <w:tl2br w:val="nil"/>
                    <w:tr2bl w:val="nil"/>
                  </w:tcBorders>
                  <w:noWrap w:val="0"/>
                  <w:tcMar>
                    <w:top w:w="57" w:type="dxa"/>
                    <w:bottom w:w="57" w:type="dxa"/>
                  </w:tcMar>
                  <w:vAlign w:val="center"/>
                </w:tcPr>
                <w:p w14:paraId="1908E9C4">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对于道路扬尘，定期洒水降尘，外运控制装卸量、采用洒水加湿后加盖篷布运输</w:t>
                  </w:r>
                </w:p>
              </w:tc>
              <w:tc>
                <w:tcPr>
                  <w:tcW w:w="682" w:type="pct"/>
                  <w:tcBorders>
                    <w:tl2br w:val="nil"/>
                    <w:tr2bl w:val="nil"/>
                  </w:tcBorders>
                  <w:noWrap w:val="0"/>
                  <w:tcMar>
                    <w:top w:w="57" w:type="dxa"/>
                    <w:bottom w:w="57" w:type="dxa"/>
                  </w:tcMar>
                  <w:vAlign w:val="center"/>
                </w:tcPr>
                <w:p w14:paraId="22236B11">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0679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26" w:hRule="atLeast"/>
                <w:tblHeader/>
              </w:trPr>
              <w:tc>
                <w:tcPr>
                  <w:tcW w:w="659" w:type="pct"/>
                  <w:vMerge w:val="continue"/>
                  <w:tcBorders>
                    <w:tl2br w:val="nil"/>
                    <w:tr2bl w:val="nil"/>
                  </w:tcBorders>
                  <w:noWrap w:val="0"/>
                  <w:tcMar>
                    <w:top w:w="57" w:type="dxa"/>
                    <w:bottom w:w="57" w:type="dxa"/>
                  </w:tcMar>
                  <w:vAlign w:val="center"/>
                </w:tcPr>
                <w:p w14:paraId="2BBB0A86">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p>
              </w:tc>
              <w:tc>
                <w:tcPr>
                  <w:tcW w:w="1304" w:type="pct"/>
                  <w:gridSpan w:val="2"/>
                  <w:tcBorders>
                    <w:tl2br w:val="nil"/>
                    <w:tr2bl w:val="nil"/>
                  </w:tcBorders>
                  <w:noWrap w:val="0"/>
                  <w:tcMar>
                    <w:top w:w="57" w:type="dxa"/>
                    <w:bottom w:w="57" w:type="dxa"/>
                  </w:tcMar>
                  <w:vAlign w:val="center"/>
                </w:tcPr>
                <w:p w14:paraId="008010A1">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施工机械废气</w:t>
                  </w:r>
                </w:p>
              </w:tc>
              <w:tc>
                <w:tcPr>
                  <w:tcW w:w="2352" w:type="pct"/>
                  <w:tcBorders>
                    <w:tl2br w:val="nil"/>
                    <w:tr2bl w:val="nil"/>
                  </w:tcBorders>
                  <w:noWrap w:val="0"/>
                  <w:tcMar>
                    <w:top w:w="57" w:type="dxa"/>
                    <w:bottom w:w="57" w:type="dxa"/>
                  </w:tcMar>
                  <w:vAlign w:val="center"/>
                </w:tcPr>
                <w:p w14:paraId="62EEC02E">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采用较好的燃油设备，充分燃烧</w:t>
                  </w:r>
                </w:p>
              </w:tc>
              <w:tc>
                <w:tcPr>
                  <w:tcW w:w="682" w:type="pct"/>
                  <w:tcBorders>
                    <w:tl2br w:val="nil"/>
                    <w:tr2bl w:val="nil"/>
                  </w:tcBorders>
                  <w:noWrap w:val="0"/>
                  <w:tcMar>
                    <w:top w:w="57" w:type="dxa"/>
                    <w:bottom w:w="57" w:type="dxa"/>
                  </w:tcMar>
                  <w:vAlign w:val="center"/>
                </w:tcPr>
                <w:p w14:paraId="23B76EB9">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r>
            <w:tr w14:paraId="7C6A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26" w:hRule="atLeast"/>
                <w:tblHeader/>
              </w:trPr>
              <w:tc>
                <w:tcPr>
                  <w:tcW w:w="659" w:type="pct"/>
                  <w:vMerge w:val="continue"/>
                  <w:tcBorders>
                    <w:tl2br w:val="nil"/>
                    <w:tr2bl w:val="nil"/>
                  </w:tcBorders>
                  <w:noWrap w:val="0"/>
                  <w:tcMar>
                    <w:top w:w="57" w:type="dxa"/>
                    <w:bottom w:w="57" w:type="dxa"/>
                  </w:tcMar>
                  <w:vAlign w:val="center"/>
                </w:tcPr>
                <w:p w14:paraId="3302D183">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p>
              </w:tc>
              <w:tc>
                <w:tcPr>
                  <w:tcW w:w="1304" w:type="pct"/>
                  <w:gridSpan w:val="2"/>
                  <w:tcBorders>
                    <w:tl2br w:val="nil"/>
                    <w:tr2bl w:val="nil"/>
                  </w:tcBorders>
                  <w:noWrap w:val="0"/>
                  <w:tcMar>
                    <w:top w:w="57" w:type="dxa"/>
                    <w:bottom w:w="57" w:type="dxa"/>
                  </w:tcMar>
                  <w:vAlign w:val="center"/>
                </w:tcPr>
                <w:p w14:paraId="408623BE">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生活污水</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食堂废水</w:t>
                  </w:r>
                </w:p>
              </w:tc>
              <w:tc>
                <w:tcPr>
                  <w:tcW w:w="2352" w:type="pct"/>
                  <w:tcBorders>
                    <w:tl2br w:val="nil"/>
                    <w:tr2bl w:val="nil"/>
                  </w:tcBorders>
                  <w:noWrap w:val="0"/>
                  <w:tcMar>
                    <w:top w:w="57" w:type="dxa"/>
                    <w:bottom w:w="57" w:type="dxa"/>
                  </w:tcMar>
                  <w:vAlign w:val="center"/>
                </w:tcPr>
                <w:p w14:paraId="0A5A6F42">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eastAsia"/>
                      <w:color w:val="auto"/>
                      <w:highlight w:val="none"/>
                      <w:lang w:eastAsia="zh-CN"/>
                    </w:rPr>
                    <w:t>项目食堂废水经隔油预处理后与生活污水经地埋式一体化污水处理设施处理达标；春夏秋季用于洒水降尘，冬季储存于水箱，次年回暖后回用</w:t>
                  </w:r>
                </w:p>
              </w:tc>
              <w:tc>
                <w:tcPr>
                  <w:tcW w:w="682" w:type="pct"/>
                  <w:tcBorders>
                    <w:tl2br w:val="nil"/>
                    <w:tr2bl w:val="nil"/>
                  </w:tcBorders>
                  <w:noWrap w:val="0"/>
                  <w:tcMar>
                    <w:top w:w="57" w:type="dxa"/>
                    <w:bottom w:w="57" w:type="dxa"/>
                  </w:tcMar>
                  <w:vAlign w:val="center"/>
                </w:tcPr>
                <w:p w14:paraId="65143507">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r>
            <w:tr w14:paraId="1862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26" w:hRule="atLeast"/>
                <w:tblHeader/>
              </w:trPr>
              <w:tc>
                <w:tcPr>
                  <w:tcW w:w="659" w:type="pct"/>
                  <w:vMerge w:val="continue"/>
                  <w:tcBorders>
                    <w:tl2br w:val="nil"/>
                    <w:tr2bl w:val="nil"/>
                  </w:tcBorders>
                  <w:noWrap w:val="0"/>
                  <w:tcMar>
                    <w:top w:w="57" w:type="dxa"/>
                    <w:bottom w:w="57" w:type="dxa"/>
                  </w:tcMar>
                  <w:vAlign w:val="center"/>
                </w:tcPr>
                <w:p w14:paraId="31F07B29">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p>
              </w:tc>
              <w:tc>
                <w:tcPr>
                  <w:tcW w:w="1304" w:type="pct"/>
                  <w:gridSpan w:val="2"/>
                  <w:tcBorders>
                    <w:tl2br w:val="nil"/>
                    <w:tr2bl w:val="nil"/>
                  </w:tcBorders>
                  <w:noWrap w:val="0"/>
                  <w:tcMar>
                    <w:top w:w="57" w:type="dxa"/>
                    <w:bottom w:w="57" w:type="dxa"/>
                  </w:tcMar>
                  <w:vAlign w:val="center"/>
                </w:tcPr>
                <w:p w14:paraId="124B144E">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施工废水</w:t>
                  </w:r>
                </w:p>
              </w:tc>
              <w:tc>
                <w:tcPr>
                  <w:tcW w:w="2352" w:type="pct"/>
                  <w:tcBorders>
                    <w:tl2br w:val="nil"/>
                    <w:tr2bl w:val="nil"/>
                  </w:tcBorders>
                  <w:noWrap w:val="0"/>
                  <w:tcMar>
                    <w:top w:w="57" w:type="dxa"/>
                    <w:bottom w:w="57" w:type="dxa"/>
                  </w:tcMar>
                  <w:vAlign w:val="center"/>
                </w:tcPr>
                <w:p w14:paraId="69D4B0D7">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设置沉淀池循环使用</w:t>
                  </w:r>
                </w:p>
              </w:tc>
              <w:tc>
                <w:tcPr>
                  <w:tcW w:w="682" w:type="pct"/>
                  <w:tcBorders>
                    <w:tl2br w:val="nil"/>
                    <w:tr2bl w:val="nil"/>
                  </w:tcBorders>
                  <w:noWrap w:val="0"/>
                  <w:tcMar>
                    <w:top w:w="57" w:type="dxa"/>
                    <w:bottom w:w="57" w:type="dxa"/>
                  </w:tcMar>
                  <w:vAlign w:val="center"/>
                </w:tcPr>
                <w:p w14:paraId="76FA5D48">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530C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26" w:hRule="atLeast"/>
                <w:tblHeader/>
              </w:trPr>
              <w:tc>
                <w:tcPr>
                  <w:tcW w:w="659" w:type="pct"/>
                  <w:vMerge w:val="continue"/>
                  <w:tcBorders>
                    <w:tl2br w:val="nil"/>
                    <w:tr2bl w:val="nil"/>
                  </w:tcBorders>
                  <w:noWrap w:val="0"/>
                  <w:tcMar>
                    <w:top w:w="57" w:type="dxa"/>
                    <w:bottom w:w="57" w:type="dxa"/>
                  </w:tcMar>
                  <w:vAlign w:val="center"/>
                </w:tcPr>
                <w:p w14:paraId="1CFA1CD6">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p>
              </w:tc>
              <w:tc>
                <w:tcPr>
                  <w:tcW w:w="1304" w:type="pct"/>
                  <w:gridSpan w:val="2"/>
                  <w:tcBorders>
                    <w:tl2br w:val="nil"/>
                    <w:tr2bl w:val="nil"/>
                  </w:tcBorders>
                  <w:noWrap w:val="0"/>
                  <w:tcMar>
                    <w:top w:w="57" w:type="dxa"/>
                    <w:bottom w:w="57" w:type="dxa"/>
                  </w:tcMar>
                  <w:vAlign w:val="center"/>
                </w:tcPr>
                <w:p w14:paraId="0D082B80">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机械噪声</w:t>
                  </w:r>
                </w:p>
              </w:tc>
              <w:tc>
                <w:tcPr>
                  <w:tcW w:w="2352" w:type="pct"/>
                  <w:tcBorders>
                    <w:tl2br w:val="nil"/>
                    <w:tr2bl w:val="nil"/>
                  </w:tcBorders>
                  <w:noWrap w:val="0"/>
                  <w:tcMar>
                    <w:top w:w="57" w:type="dxa"/>
                    <w:bottom w:w="57" w:type="dxa"/>
                  </w:tcMar>
                  <w:vAlign w:val="center"/>
                </w:tcPr>
                <w:p w14:paraId="694EF258">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对连续接触高噪声源的操作人员，采取相应防护措施</w:t>
                  </w:r>
                </w:p>
              </w:tc>
              <w:tc>
                <w:tcPr>
                  <w:tcW w:w="682" w:type="pct"/>
                  <w:tcBorders>
                    <w:tl2br w:val="nil"/>
                    <w:tr2bl w:val="nil"/>
                  </w:tcBorders>
                  <w:noWrap w:val="0"/>
                  <w:tcMar>
                    <w:top w:w="57" w:type="dxa"/>
                    <w:bottom w:w="57" w:type="dxa"/>
                  </w:tcMar>
                  <w:vAlign w:val="center"/>
                </w:tcPr>
                <w:p w14:paraId="28BD6F97">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1DFA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26" w:hRule="atLeast"/>
                <w:tblHeader/>
              </w:trPr>
              <w:tc>
                <w:tcPr>
                  <w:tcW w:w="659" w:type="pct"/>
                  <w:vMerge w:val="continue"/>
                  <w:tcBorders>
                    <w:tl2br w:val="nil"/>
                    <w:tr2bl w:val="nil"/>
                  </w:tcBorders>
                  <w:noWrap w:val="0"/>
                  <w:tcMar>
                    <w:top w:w="57" w:type="dxa"/>
                    <w:bottom w:w="57" w:type="dxa"/>
                  </w:tcMar>
                  <w:vAlign w:val="center"/>
                </w:tcPr>
                <w:p w14:paraId="36E68254">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p>
              </w:tc>
              <w:tc>
                <w:tcPr>
                  <w:tcW w:w="1304" w:type="pct"/>
                  <w:gridSpan w:val="2"/>
                  <w:tcBorders>
                    <w:tl2br w:val="nil"/>
                    <w:tr2bl w:val="nil"/>
                  </w:tcBorders>
                  <w:noWrap w:val="0"/>
                  <w:tcMar>
                    <w:top w:w="57" w:type="dxa"/>
                    <w:bottom w:w="57" w:type="dxa"/>
                  </w:tcMar>
                  <w:vAlign w:val="center"/>
                </w:tcPr>
                <w:p w14:paraId="68C345C1">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固体废物</w:t>
                  </w:r>
                </w:p>
              </w:tc>
              <w:tc>
                <w:tcPr>
                  <w:tcW w:w="2352" w:type="pct"/>
                  <w:tcBorders>
                    <w:tl2br w:val="nil"/>
                    <w:tr2bl w:val="nil"/>
                  </w:tcBorders>
                  <w:noWrap w:val="0"/>
                  <w:tcMar>
                    <w:top w:w="57" w:type="dxa"/>
                    <w:bottom w:w="57" w:type="dxa"/>
                  </w:tcMar>
                  <w:vAlign w:val="center"/>
                </w:tcPr>
                <w:p w14:paraId="6A32838C">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建筑垃圾</w:t>
                  </w:r>
                  <w:r>
                    <w:rPr>
                      <w:rFonts w:hint="eastAsia" w:cs="Times New Roman"/>
                      <w:color w:val="auto"/>
                      <w:sz w:val="21"/>
                      <w:szCs w:val="21"/>
                      <w:highlight w:val="none"/>
                      <w:lang w:val="en-US" w:eastAsia="zh-CN"/>
                    </w:rPr>
                    <w:t>送至</w:t>
                  </w:r>
                  <w:r>
                    <w:rPr>
                      <w:rFonts w:hint="default" w:ascii="Times New Roman" w:hAnsi="Times New Roman" w:eastAsia="宋体" w:cs="Times New Roman"/>
                      <w:color w:val="auto"/>
                      <w:sz w:val="21"/>
                      <w:szCs w:val="21"/>
                      <w:highlight w:val="none"/>
                      <w:lang w:val="en-US" w:eastAsia="zh-CN"/>
                    </w:rPr>
                    <w:t>住建部门指定的地点</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生活垃圾</w:t>
                  </w:r>
                  <w:r>
                    <w:rPr>
                      <w:rFonts w:hint="default" w:ascii="Times New Roman" w:hAnsi="Times New Roman" w:eastAsia="宋体" w:cs="Times New Roman"/>
                      <w:bCs/>
                      <w:color w:val="auto"/>
                      <w:sz w:val="21"/>
                      <w:szCs w:val="21"/>
                      <w:highlight w:val="none"/>
                      <w:lang w:val="en-US" w:eastAsia="zh-CN"/>
                    </w:rPr>
                    <w:t>用垃圾箱收集后定期交由当地环卫部门处置</w:t>
                  </w:r>
                </w:p>
              </w:tc>
              <w:tc>
                <w:tcPr>
                  <w:tcW w:w="682" w:type="pct"/>
                  <w:tcBorders>
                    <w:tl2br w:val="nil"/>
                    <w:tr2bl w:val="nil"/>
                  </w:tcBorders>
                  <w:noWrap w:val="0"/>
                  <w:tcMar>
                    <w:top w:w="57" w:type="dxa"/>
                    <w:bottom w:w="57" w:type="dxa"/>
                  </w:tcMar>
                  <w:vAlign w:val="center"/>
                </w:tcPr>
                <w:p w14:paraId="056B082B">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w:t>
                  </w:r>
                </w:p>
              </w:tc>
            </w:tr>
            <w:tr w14:paraId="6952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90" w:hRule="atLeast"/>
              </w:trPr>
              <w:tc>
                <w:tcPr>
                  <w:tcW w:w="659" w:type="pct"/>
                  <w:vMerge w:val="restart"/>
                  <w:tcBorders>
                    <w:tl2br w:val="nil"/>
                    <w:tr2bl w:val="nil"/>
                  </w:tcBorders>
                  <w:noWrap w:val="0"/>
                  <w:tcMar>
                    <w:top w:w="57" w:type="dxa"/>
                    <w:bottom w:w="57" w:type="dxa"/>
                  </w:tcMar>
                  <w:vAlign w:val="center"/>
                </w:tcPr>
                <w:p w14:paraId="0FB70646">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运营期</w:t>
                  </w:r>
                </w:p>
              </w:tc>
              <w:tc>
                <w:tcPr>
                  <w:tcW w:w="580" w:type="pct"/>
                  <w:vMerge w:val="restart"/>
                  <w:tcBorders>
                    <w:tl2br w:val="nil"/>
                    <w:tr2bl w:val="nil"/>
                  </w:tcBorders>
                  <w:noWrap w:val="0"/>
                  <w:tcMar>
                    <w:top w:w="57" w:type="dxa"/>
                    <w:bottom w:w="57" w:type="dxa"/>
                  </w:tcMar>
                  <w:vAlign w:val="center"/>
                </w:tcPr>
                <w:p w14:paraId="3BA0E07B">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w:t>
                  </w:r>
                </w:p>
              </w:tc>
              <w:tc>
                <w:tcPr>
                  <w:tcW w:w="724" w:type="pct"/>
                  <w:tcBorders>
                    <w:tl2br w:val="nil"/>
                    <w:tr2bl w:val="nil"/>
                  </w:tcBorders>
                  <w:noWrap w:val="0"/>
                  <w:vAlign w:val="center"/>
                </w:tcPr>
                <w:p w14:paraId="77C0EB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spacing w:val="8"/>
                      <w:sz w:val="20"/>
                      <w:szCs w:val="20"/>
                      <w:highlight w:val="none"/>
                    </w:rPr>
                    <w:t>食堂油烟</w:t>
                  </w:r>
                </w:p>
              </w:tc>
              <w:tc>
                <w:tcPr>
                  <w:tcW w:w="2352" w:type="pct"/>
                  <w:tcBorders>
                    <w:tl2br w:val="nil"/>
                    <w:tr2bl w:val="nil"/>
                  </w:tcBorders>
                  <w:noWrap w:val="0"/>
                  <w:tcMar>
                    <w:top w:w="57" w:type="dxa"/>
                    <w:bottom w:w="57" w:type="dxa"/>
                  </w:tcMar>
                  <w:vAlign w:val="center"/>
                </w:tcPr>
                <w:p w14:paraId="7652EE8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食堂油烟经油烟净化器</w:t>
                  </w:r>
                  <w:r>
                    <w:rPr>
                      <w:rFonts w:hint="eastAsia" w:cs="Times New Roman"/>
                      <w:snapToGrid w:val="0"/>
                      <w:color w:val="auto"/>
                      <w:spacing w:val="0"/>
                      <w:kern w:val="0"/>
                      <w:sz w:val="21"/>
                      <w:szCs w:val="21"/>
                      <w:highlight w:val="none"/>
                      <w:lang w:val="en-US" w:eastAsia="zh-CN" w:bidi="ar-SA"/>
                      <w14:ligatures w14:val="none"/>
                    </w:rPr>
                    <w:t>处理后</w:t>
                  </w: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排放</w:t>
                  </w:r>
                </w:p>
              </w:tc>
              <w:tc>
                <w:tcPr>
                  <w:tcW w:w="682" w:type="pct"/>
                  <w:tcBorders>
                    <w:tl2br w:val="nil"/>
                    <w:tr2bl w:val="nil"/>
                  </w:tcBorders>
                  <w:noWrap w:val="0"/>
                  <w:tcMar>
                    <w:top w:w="57" w:type="dxa"/>
                    <w:bottom w:w="57" w:type="dxa"/>
                  </w:tcMar>
                  <w:vAlign w:val="center"/>
                </w:tcPr>
                <w:p w14:paraId="1255A6F0">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6247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90" w:hRule="atLeast"/>
              </w:trPr>
              <w:tc>
                <w:tcPr>
                  <w:tcW w:w="659" w:type="pct"/>
                  <w:vMerge w:val="continue"/>
                  <w:tcBorders>
                    <w:tl2br w:val="nil"/>
                    <w:tr2bl w:val="nil"/>
                  </w:tcBorders>
                  <w:noWrap w:val="0"/>
                  <w:tcMar>
                    <w:top w:w="57" w:type="dxa"/>
                    <w:bottom w:w="57" w:type="dxa"/>
                  </w:tcMar>
                  <w:vAlign w:val="center"/>
                </w:tcPr>
                <w:p w14:paraId="24ED6155">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p>
              </w:tc>
              <w:tc>
                <w:tcPr>
                  <w:tcW w:w="580" w:type="pct"/>
                  <w:vMerge w:val="continue"/>
                  <w:tcBorders>
                    <w:tl2br w:val="nil"/>
                    <w:tr2bl w:val="nil"/>
                  </w:tcBorders>
                  <w:noWrap w:val="0"/>
                  <w:tcMar>
                    <w:top w:w="57" w:type="dxa"/>
                    <w:bottom w:w="57" w:type="dxa"/>
                  </w:tcMar>
                  <w:vAlign w:val="center"/>
                </w:tcPr>
                <w:p w14:paraId="7CA0C561">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p>
              </w:tc>
              <w:tc>
                <w:tcPr>
                  <w:tcW w:w="724" w:type="pct"/>
                  <w:tcBorders>
                    <w:tl2br w:val="nil"/>
                    <w:tr2bl w:val="nil"/>
                  </w:tcBorders>
                  <w:noWrap w:val="0"/>
                  <w:vAlign w:val="center"/>
                </w:tcPr>
                <w:p w14:paraId="7C1E3A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eastAsia="宋体"/>
                      <w:spacing w:val="8"/>
                      <w:sz w:val="20"/>
                      <w:szCs w:val="20"/>
                      <w:highlight w:val="none"/>
                      <w:lang w:val="en-US" w:eastAsia="zh-CN"/>
                    </w:rPr>
                  </w:pP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运输扬尘及汽车尾气</w:t>
                  </w:r>
                </w:p>
              </w:tc>
              <w:tc>
                <w:tcPr>
                  <w:tcW w:w="2352" w:type="pct"/>
                  <w:tcBorders>
                    <w:tl2br w:val="nil"/>
                    <w:tr2bl w:val="nil"/>
                  </w:tcBorders>
                  <w:noWrap w:val="0"/>
                  <w:tcMar>
                    <w:top w:w="57" w:type="dxa"/>
                    <w:bottom w:w="57" w:type="dxa"/>
                  </w:tcMar>
                  <w:vAlign w:val="center"/>
                </w:tcPr>
                <w:p w14:paraId="7CD0FC8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pP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运输车辆减速慢行，加强对进出车辆的管理，减少进出车辆怠速和频繁启动</w:t>
                  </w:r>
                </w:p>
              </w:tc>
              <w:tc>
                <w:tcPr>
                  <w:tcW w:w="682" w:type="pct"/>
                  <w:tcBorders>
                    <w:tl2br w:val="nil"/>
                    <w:tr2bl w:val="nil"/>
                  </w:tcBorders>
                  <w:noWrap w:val="0"/>
                  <w:tcMar>
                    <w:top w:w="57" w:type="dxa"/>
                    <w:bottom w:w="57" w:type="dxa"/>
                  </w:tcMar>
                  <w:vAlign w:val="center"/>
                </w:tcPr>
                <w:p w14:paraId="01E68B4D">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7DC7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187" w:hRule="atLeast"/>
              </w:trPr>
              <w:tc>
                <w:tcPr>
                  <w:tcW w:w="659" w:type="pct"/>
                  <w:vMerge w:val="continue"/>
                  <w:tcBorders>
                    <w:tl2br w:val="nil"/>
                    <w:tr2bl w:val="nil"/>
                  </w:tcBorders>
                  <w:noWrap w:val="0"/>
                  <w:tcMar>
                    <w:top w:w="57" w:type="dxa"/>
                    <w:bottom w:w="57" w:type="dxa"/>
                  </w:tcMar>
                  <w:vAlign w:val="center"/>
                </w:tcPr>
                <w:p w14:paraId="742376FA">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p>
              </w:tc>
              <w:tc>
                <w:tcPr>
                  <w:tcW w:w="580" w:type="pct"/>
                  <w:tcBorders>
                    <w:tl2br w:val="nil"/>
                    <w:tr2bl w:val="nil"/>
                  </w:tcBorders>
                  <w:noWrap w:val="0"/>
                  <w:tcMar>
                    <w:top w:w="57" w:type="dxa"/>
                    <w:bottom w:w="57" w:type="dxa"/>
                  </w:tcMar>
                  <w:vAlign w:val="center"/>
                </w:tcPr>
                <w:p w14:paraId="6EBEF289">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w:t>
                  </w:r>
                </w:p>
              </w:tc>
              <w:tc>
                <w:tcPr>
                  <w:tcW w:w="724" w:type="pct"/>
                  <w:tcBorders>
                    <w:tl2br w:val="nil"/>
                    <w:tr2bl w:val="nil"/>
                  </w:tcBorders>
                  <w:noWrap w:val="0"/>
                  <w:vAlign w:val="center"/>
                </w:tcPr>
                <w:p w14:paraId="2747A91C">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设备噪声</w:t>
                  </w:r>
                </w:p>
              </w:tc>
              <w:tc>
                <w:tcPr>
                  <w:tcW w:w="2352" w:type="pct"/>
                  <w:tcBorders>
                    <w:tl2br w:val="nil"/>
                    <w:tr2bl w:val="nil"/>
                  </w:tcBorders>
                  <w:noWrap w:val="0"/>
                  <w:tcMar>
                    <w:top w:w="57" w:type="dxa"/>
                    <w:bottom w:w="57" w:type="dxa"/>
                  </w:tcMar>
                  <w:vAlign w:val="center"/>
                </w:tcPr>
                <w:p w14:paraId="00728B9A">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车辆减速慢行，禁止鸣笛</w:t>
                  </w:r>
                </w:p>
              </w:tc>
              <w:tc>
                <w:tcPr>
                  <w:tcW w:w="682" w:type="pct"/>
                  <w:tcBorders>
                    <w:tl2br w:val="nil"/>
                    <w:tr2bl w:val="nil"/>
                  </w:tcBorders>
                  <w:noWrap w:val="0"/>
                  <w:tcMar>
                    <w:top w:w="57" w:type="dxa"/>
                    <w:bottom w:w="57" w:type="dxa"/>
                  </w:tcMar>
                  <w:vAlign w:val="center"/>
                </w:tcPr>
                <w:p w14:paraId="0B809AFD">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0411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187" w:hRule="atLeast"/>
              </w:trPr>
              <w:tc>
                <w:tcPr>
                  <w:tcW w:w="659" w:type="pct"/>
                  <w:vMerge w:val="continue"/>
                  <w:tcBorders>
                    <w:tl2br w:val="nil"/>
                    <w:tr2bl w:val="nil"/>
                  </w:tcBorders>
                  <w:noWrap w:val="0"/>
                  <w:tcMar>
                    <w:top w:w="57" w:type="dxa"/>
                    <w:bottom w:w="57" w:type="dxa"/>
                  </w:tcMar>
                  <w:vAlign w:val="center"/>
                </w:tcPr>
                <w:p w14:paraId="55FDC812">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p>
              </w:tc>
              <w:tc>
                <w:tcPr>
                  <w:tcW w:w="580" w:type="pct"/>
                  <w:tcBorders>
                    <w:tl2br w:val="nil"/>
                    <w:tr2bl w:val="nil"/>
                  </w:tcBorders>
                  <w:noWrap w:val="0"/>
                  <w:tcMar>
                    <w:top w:w="57" w:type="dxa"/>
                    <w:bottom w:w="57" w:type="dxa"/>
                  </w:tcMar>
                  <w:vAlign w:val="center"/>
                </w:tcPr>
                <w:p w14:paraId="6F6CE7A4">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废水</w:t>
                  </w:r>
                </w:p>
              </w:tc>
              <w:tc>
                <w:tcPr>
                  <w:tcW w:w="724" w:type="pct"/>
                  <w:tcBorders>
                    <w:tl2br w:val="nil"/>
                    <w:tr2bl w:val="nil"/>
                  </w:tcBorders>
                  <w:noWrap w:val="0"/>
                  <w:vAlign w:val="center"/>
                </w:tcPr>
                <w:p w14:paraId="46BFBC53">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生活污水、食堂废水</w:t>
                  </w:r>
                </w:p>
              </w:tc>
              <w:tc>
                <w:tcPr>
                  <w:tcW w:w="2352" w:type="pct"/>
                  <w:tcBorders>
                    <w:tl2br w:val="nil"/>
                    <w:tr2bl w:val="nil"/>
                  </w:tcBorders>
                  <w:noWrap w:val="0"/>
                  <w:tcMar>
                    <w:top w:w="57" w:type="dxa"/>
                    <w:bottom w:w="57" w:type="dxa"/>
                  </w:tcMar>
                  <w:vAlign w:val="center"/>
                </w:tcPr>
                <w:p w14:paraId="5C08F019">
                  <w:pPr>
                    <w:spacing w:line="240" w:lineRule="auto"/>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依托施工期的处理设施</w:t>
                  </w:r>
                </w:p>
              </w:tc>
              <w:tc>
                <w:tcPr>
                  <w:tcW w:w="682" w:type="pct"/>
                  <w:tcBorders>
                    <w:tl2br w:val="nil"/>
                    <w:tr2bl w:val="nil"/>
                  </w:tcBorders>
                  <w:noWrap w:val="0"/>
                  <w:tcMar>
                    <w:top w:w="57" w:type="dxa"/>
                    <w:bottom w:w="57" w:type="dxa"/>
                  </w:tcMar>
                  <w:vAlign w:val="center"/>
                </w:tcPr>
                <w:p w14:paraId="674F84DF">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r w14:paraId="4F8E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90" w:hRule="atLeast"/>
              </w:trPr>
              <w:tc>
                <w:tcPr>
                  <w:tcW w:w="659" w:type="pct"/>
                  <w:vMerge w:val="continue"/>
                  <w:tcBorders>
                    <w:tl2br w:val="nil"/>
                    <w:tr2bl w:val="nil"/>
                  </w:tcBorders>
                  <w:noWrap w:val="0"/>
                  <w:tcMar>
                    <w:top w:w="57" w:type="dxa"/>
                    <w:bottom w:w="57" w:type="dxa"/>
                  </w:tcMar>
                  <w:vAlign w:val="center"/>
                </w:tcPr>
                <w:p w14:paraId="56AF1AC4">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p>
              </w:tc>
              <w:tc>
                <w:tcPr>
                  <w:tcW w:w="580" w:type="pct"/>
                  <w:vMerge w:val="restart"/>
                  <w:tcBorders>
                    <w:tl2br w:val="nil"/>
                    <w:tr2bl w:val="nil"/>
                  </w:tcBorders>
                  <w:noWrap w:val="0"/>
                  <w:tcMar>
                    <w:top w:w="57" w:type="dxa"/>
                    <w:bottom w:w="57" w:type="dxa"/>
                  </w:tcMar>
                  <w:vAlign w:val="center"/>
                </w:tcPr>
                <w:p w14:paraId="6DB064BE">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w:t>
                  </w:r>
                </w:p>
                <w:p w14:paraId="495DA032">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废物</w:t>
                  </w:r>
                </w:p>
              </w:tc>
              <w:tc>
                <w:tcPr>
                  <w:tcW w:w="724" w:type="pct"/>
                  <w:tcBorders>
                    <w:tl2br w:val="nil"/>
                    <w:tr2bl w:val="nil"/>
                  </w:tcBorders>
                  <w:shd w:val="clear" w:color="auto" w:fill="auto"/>
                  <w:noWrap w:val="0"/>
                  <w:vAlign w:val="center"/>
                </w:tcPr>
                <w:p w14:paraId="677BFB35">
                  <w:pPr>
                    <w:spacing w:line="240" w:lineRule="auto"/>
                    <w:jc w:val="center"/>
                    <w:rPr>
                      <w:rFonts w:hint="default" w:ascii="Times New Roman" w:hAnsi="Times New Roman" w:eastAsia="宋体" w:cs="Times New Roman"/>
                      <w:snapToGrid/>
                      <w:color w:val="auto"/>
                      <w:kern w:val="2"/>
                      <w:sz w:val="21"/>
                      <w:szCs w:val="22"/>
                      <w:highlight w:val="none"/>
                      <w:lang w:val="en-US" w:eastAsia="zh-CN" w:bidi="ar-SA"/>
                      <w14:ligatures w14:val="standardContextual"/>
                    </w:rPr>
                  </w:pPr>
                  <w:r>
                    <w:rPr>
                      <w:rFonts w:hint="default" w:ascii="Times New Roman" w:hAnsi="Times New Roman" w:eastAsia="宋体" w:cs="Times New Roman"/>
                      <w:color w:val="auto"/>
                      <w:sz w:val="21"/>
                      <w:szCs w:val="21"/>
                      <w:highlight w:val="none"/>
                      <w:lang w:val="en-US" w:eastAsia="zh-CN"/>
                    </w:rPr>
                    <w:t>生活垃圾</w:t>
                  </w:r>
                </w:p>
              </w:tc>
              <w:tc>
                <w:tcPr>
                  <w:tcW w:w="2352" w:type="pct"/>
                  <w:tcBorders>
                    <w:tl2br w:val="nil"/>
                    <w:tr2bl w:val="nil"/>
                  </w:tcBorders>
                  <w:shd w:val="clear" w:color="auto" w:fill="auto"/>
                  <w:noWrap w:val="0"/>
                  <w:tcMar>
                    <w:top w:w="57" w:type="dxa"/>
                    <w:bottom w:w="57" w:type="dxa"/>
                  </w:tcMar>
                  <w:vAlign w:val="center"/>
                </w:tcPr>
                <w:p w14:paraId="4986AEB3">
                  <w:pPr>
                    <w:spacing w:line="240" w:lineRule="auto"/>
                    <w:jc w:val="center"/>
                    <w:rPr>
                      <w:rFonts w:hint="default" w:ascii="Times New Roman" w:hAnsi="Times New Roman" w:eastAsia="宋体" w:cs="Times New Roman"/>
                      <w:snapToGrid/>
                      <w:color w:val="auto"/>
                      <w:kern w:val="2"/>
                      <w:sz w:val="21"/>
                      <w:szCs w:val="22"/>
                      <w:highlight w:val="none"/>
                      <w:lang w:val="en-US" w:eastAsia="zh-CN" w:bidi="ar-SA"/>
                      <w14:ligatures w14:val="standardContextual"/>
                    </w:rPr>
                  </w:pPr>
                  <w:r>
                    <w:rPr>
                      <w:rFonts w:hint="default" w:ascii="Times New Roman" w:hAnsi="Times New Roman" w:eastAsia="宋体" w:cs="Times New Roman"/>
                      <w:color w:val="auto"/>
                      <w:sz w:val="21"/>
                      <w:szCs w:val="21"/>
                      <w:highlight w:val="none"/>
                    </w:rPr>
                    <w:t>集中收集后</w:t>
                  </w:r>
                  <w:r>
                    <w:rPr>
                      <w:rFonts w:hint="eastAsia" w:cs="Times New Roman"/>
                      <w:color w:val="auto"/>
                      <w:sz w:val="21"/>
                      <w:szCs w:val="21"/>
                      <w:highlight w:val="none"/>
                      <w:lang w:val="en-US" w:eastAsia="zh-CN"/>
                    </w:rPr>
                    <w:t>清运至</w:t>
                  </w:r>
                  <w:r>
                    <w:rPr>
                      <w:rFonts w:hint="default" w:ascii="Times New Roman" w:hAnsi="Times New Roman" w:eastAsia="宋体" w:cs="Times New Roman"/>
                      <w:color w:val="auto"/>
                      <w:sz w:val="21"/>
                      <w:szCs w:val="21"/>
                      <w:highlight w:val="none"/>
                    </w:rPr>
                    <w:t>环卫部门</w:t>
                  </w:r>
                  <w:r>
                    <w:rPr>
                      <w:rFonts w:hint="eastAsia" w:cs="Times New Roman"/>
                      <w:color w:val="auto"/>
                      <w:sz w:val="21"/>
                      <w:szCs w:val="21"/>
                      <w:highlight w:val="none"/>
                      <w:lang w:val="en-US" w:eastAsia="zh-CN"/>
                    </w:rPr>
                    <w:t>指定地点</w:t>
                  </w:r>
                </w:p>
              </w:tc>
              <w:tc>
                <w:tcPr>
                  <w:tcW w:w="682" w:type="pct"/>
                  <w:tcBorders>
                    <w:tl2br w:val="nil"/>
                    <w:tr2bl w:val="nil"/>
                  </w:tcBorders>
                  <w:noWrap w:val="0"/>
                  <w:tcMar>
                    <w:top w:w="57" w:type="dxa"/>
                    <w:bottom w:w="57" w:type="dxa"/>
                  </w:tcMar>
                  <w:vAlign w:val="center"/>
                </w:tcPr>
                <w:p w14:paraId="2982A21F">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2AF35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90" w:hRule="atLeast"/>
              </w:trPr>
              <w:tc>
                <w:tcPr>
                  <w:tcW w:w="659" w:type="pct"/>
                  <w:vMerge w:val="continue"/>
                  <w:tcBorders>
                    <w:tl2br w:val="nil"/>
                    <w:tr2bl w:val="nil"/>
                  </w:tcBorders>
                  <w:noWrap w:val="0"/>
                  <w:tcMar>
                    <w:top w:w="57" w:type="dxa"/>
                    <w:bottom w:w="57" w:type="dxa"/>
                  </w:tcMar>
                  <w:vAlign w:val="center"/>
                </w:tcPr>
                <w:p w14:paraId="0A014C21">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p>
              </w:tc>
              <w:tc>
                <w:tcPr>
                  <w:tcW w:w="580" w:type="pct"/>
                  <w:vMerge w:val="continue"/>
                  <w:tcBorders>
                    <w:tl2br w:val="nil"/>
                    <w:tr2bl w:val="nil"/>
                  </w:tcBorders>
                  <w:noWrap w:val="0"/>
                  <w:tcMar>
                    <w:top w:w="57" w:type="dxa"/>
                    <w:bottom w:w="57" w:type="dxa"/>
                  </w:tcMar>
                  <w:vAlign w:val="center"/>
                </w:tcPr>
                <w:p w14:paraId="6F46E30E">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p>
              </w:tc>
              <w:tc>
                <w:tcPr>
                  <w:tcW w:w="724" w:type="pct"/>
                  <w:tcBorders>
                    <w:tl2br w:val="nil"/>
                    <w:tr2bl w:val="nil"/>
                  </w:tcBorders>
                  <w:shd w:val="clear" w:color="auto" w:fill="auto"/>
                  <w:noWrap w:val="0"/>
                  <w:vAlign w:val="center"/>
                </w:tcPr>
                <w:p w14:paraId="678AB524">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sz w:val="21"/>
                      <w:szCs w:val="21"/>
                      <w:highlight w:val="none"/>
                    </w:rPr>
                    <w:t>过期、残次、破损炸药/雷管</w:t>
                  </w:r>
                </w:p>
              </w:tc>
              <w:tc>
                <w:tcPr>
                  <w:tcW w:w="2352" w:type="pct"/>
                  <w:tcBorders>
                    <w:tl2br w:val="nil"/>
                    <w:tr2bl w:val="nil"/>
                  </w:tcBorders>
                  <w:shd w:val="clear" w:color="auto" w:fill="auto"/>
                  <w:noWrap w:val="0"/>
                  <w:tcMar>
                    <w:top w:w="57" w:type="dxa"/>
                    <w:bottom w:w="57" w:type="dxa"/>
                  </w:tcMar>
                  <w:vAlign w:val="center"/>
                </w:tcPr>
                <w:p w14:paraId="74B9B555">
                  <w:pPr>
                    <w:spacing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由民用爆炸物品行业主管部门、所在地县级人民政府公安机关组织监督销毁</w:t>
                  </w:r>
                </w:p>
              </w:tc>
              <w:tc>
                <w:tcPr>
                  <w:tcW w:w="682" w:type="pct"/>
                  <w:tcBorders>
                    <w:tl2br w:val="nil"/>
                    <w:tr2bl w:val="nil"/>
                  </w:tcBorders>
                  <w:noWrap w:val="0"/>
                  <w:tcMar>
                    <w:top w:w="57" w:type="dxa"/>
                    <w:bottom w:w="57" w:type="dxa"/>
                  </w:tcMar>
                  <w:vAlign w:val="center"/>
                </w:tcPr>
                <w:p w14:paraId="03AC4031">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4A0A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154" w:hRule="atLeast"/>
              </w:trPr>
              <w:tc>
                <w:tcPr>
                  <w:tcW w:w="1239" w:type="pct"/>
                  <w:gridSpan w:val="2"/>
                  <w:tcBorders>
                    <w:tl2br w:val="nil"/>
                    <w:tr2bl w:val="nil"/>
                  </w:tcBorders>
                  <w:noWrap w:val="0"/>
                  <w:tcMar>
                    <w:top w:w="57" w:type="dxa"/>
                    <w:bottom w:w="57" w:type="dxa"/>
                  </w:tcMar>
                  <w:vAlign w:val="center"/>
                </w:tcPr>
                <w:p w14:paraId="3FD2CE5F">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环境风险措施</w:t>
                  </w:r>
                </w:p>
              </w:tc>
              <w:tc>
                <w:tcPr>
                  <w:tcW w:w="3077" w:type="pct"/>
                  <w:gridSpan w:val="2"/>
                  <w:tcBorders>
                    <w:tl2br w:val="nil"/>
                    <w:tr2bl w:val="nil"/>
                  </w:tcBorders>
                  <w:noWrap w:val="0"/>
                  <w:vAlign w:val="center"/>
                </w:tcPr>
                <w:p w14:paraId="0D70D238">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布置</w:t>
                  </w:r>
                  <w:r>
                    <w:rPr>
                      <w:rFonts w:hint="default" w:ascii="Times New Roman" w:hAnsi="Times New Roman" w:eastAsia="宋体" w:cs="Times New Roman"/>
                      <w:color w:val="auto"/>
                      <w:sz w:val="21"/>
                      <w:szCs w:val="21"/>
                      <w:highlight w:val="none"/>
                    </w:rPr>
                    <w:t>消防栓、灭火器</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视频监控、一键报警器及其他应急物资</w:t>
                  </w:r>
                </w:p>
              </w:tc>
              <w:tc>
                <w:tcPr>
                  <w:tcW w:w="682" w:type="pct"/>
                  <w:tcBorders>
                    <w:tl2br w:val="nil"/>
                    <w:tr2bl w:val="nil"/>
                  </w:tcBorders>
                  <w:noWrap w:val="0"/>
                  <w:tcMar>
                    <w:top w:w="57" w:type="dxa"/>
                    <w:bottom w:w="57" w:type="dxa"/>
                  </w:tcMar>
                  <w:vAlign w:val="center"/>
                </w:tcPr>
                <w:p w14:paraId="243E5A63">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r>
            <w:tr w14:paraId="4C8C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154" w:hRule="atLeast"/>
              </w:trPr>
              <w:tc>
                <w:tcPr>
                  <w:tcW w:w="1239" w:type="pct"/>
                  <w:gridSpan w:val="2"/>
                  <w:tcBorders>
                    <w:tl2br w:val="nil"/>
                    <w:tr2bl w:val="nil"/>
                  </w:tcBorders>
                  <w:noWrap w:val="0"/>
                  <w:tcMar>
                    <w:top w:w="57" w:type="dxa"/>
                    <w:bottom w:w="57" w:type="dxa"/>
                  </w:tcMar>
                  <w:vAlign w:val="center"/>
                </w:tcPr>
                <w:p w14:paraId="696ACCB1">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生态保护措施</w:t>
                  </w:r>
                </w:p>
              </w:tc>
              <w:tc>
                <w:tcPr>
                  <w:tcW w:w="3077" w:type="pct"/>
                  <w:gridSpan w:val="2"/>
                  <w:tcBorders>
                    <w:tl2br w:val="nil"/>
                    <w:tr2bl w:val="nil"/>
                  </w:tcBorders>
                  <w:noWrap w:val="0"/>
                  <w:vAlign w:val="center"/>
                </w:tcPr>
                <w:p w14:paraId="7939DF7C">
                  <w:pPr>
                    <w:spacing w:line="240" w:lineRule="auto"/>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施工防尘网、场地平整压；防爆土堆、边坡防风固沙；荒漠原生地表防护</w:t>
                  </w:r>
                </w:p>
              </w:tc>
              <w:tc>
                <w:tcPr>
                  <w:tcW w:w="682" w:type="pct"/>
                  <w:tcBorders>
                    <w:tl2br w:val="nil"/>
                    <w:tr2bl w:val="nil"/>
                  </w:tcBorders>
                  <w:noWrap w:val="0"/>
                  <w:tcMar>
                    <w:top w:w="57" w:type="dxa"/>
                    <w:bottom w:w="57" w:type="dxa"/>
                  </w:tcMar>
                  <w:vAlign w:val="center"/>
                </w:tcPr>
                <w:p w14:paraId="025D372B">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2.5</w:t>
                  </w:r>
                </w:p>
              </w:tc>
            </w:tr>
            <w:tr w14:paraId="12E0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154" w:hRule="atLeast"/>
              </w:trPr>
              <w:tc>
                <w:tcPr>
                  <w:tcW w:w="4317" w:type="pct"/>
                  <w:gridSpan w:val="4"/>
                  <w:tcBorders>
                    <w:tl2br w:val="nil"/>
                    <w:tr2bl w:val="nil"/>
                  </w:tcBorders>
                  <w:noWrap w:val="0"/>
                  <w:tcMar>
                    <w:top w:w="57" w:type="dxa"/>
                    <w:bottom w:w="57" w:type="dxa"/>
                  </w:tcMar>
                  <w:vAlign w:val="center"/>
                </w:tcPr>
                <w:p w14:paraId="551DBF51">
                  <w:pPr>
                    <w:spacing w:line="240" w:lineRule="auto"/>
                    <w:jc w:val="center"/>
                    <w:rPr>
                      <w:rFonts w:hint="eastAsia" w:cs="Times New Roman"/>
                      <w:color w:val="auto"/>
                      <w:sz w:val="21"/>
                      <w:szCs w:val="21"/>
                      <w:highlight w:val="none"/>
                      <w:lang w:val="en-US" w:eastAsia="zh-CN"/>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建设项目服务的环境管理与监测费用以及相关科研费用</w:t>
                  </w:r>
                </w:p>
              </w:tc>
              <w:tc>
                <w:tcPr>
                  <w:tcW w:w="682" w:type="pct"/>
                  <w:tcBorders>
                    <w:tl2br w:val="nil"/>
                    <w:tr2bl w:val="nil"/>
                  </w:tcBorders>
                  <w:noWrap w:val="0"/>
                  <w:tcMar>
                    <w:top w:w="57" w:type="dxa"/>
                    <w:bottom w:w="57" w:type="dxa"/>
                  </w:tcMar>
                  <w:vAlign w:val="center"/>
                </w:tcPr>
                <w:p w14:paraId="05697C96">
                  <w:pPr>
                    <w:pStyle w:val="61"/>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r>
            <w:tr w14:paraId="3846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90" w:hRule="atLeast"/>
              </w:trPr>
              <w:tc>
                <w:tcPr>
                  <w:tcW w:w="4317" w:type="pct"/>
                  <w:gridSpan w:val="4"/>
                  <w:tcBorders>
                    <w:tl2br w:val="nil"/>
                    <w:tr2bl w:val="nil"/>
                  </w:tcBorders>
                  <w:noWrap w:val="0"/>
                  <w:vAlign w:val="top"/>
                </w:tcPr>
                <w:p w14:paraId="76255947">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合计</w:t>
                  </w:r>
                </w:p>
              </w:tc>
              <w:tc>
                <w:tcPr>
                  <w:tcW w:w="682" w:type="pct"/>
                  <w:tcBorders>
                    <w:tl2br w:val="nil"/>
                    <w:tr2bl w:val="nil"/>
                  </w:tcBorders>
                  <w:noWrap w:val="0"/>
                  <w:tcMar>
                    <w:top w:w="57" w:type="dxa"/>
                    <w:bottom w:w="57" w:type="dxa"/>
                  </w:tcMar>
                  <w:vAlign w:val="center"/>
                </w:tcPr>
                <w:p w14:paraId="046016DD">
                  <w:pPr>
                    <w:pStyle w:val="61"/>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23</w:t>
                  </w:r>
                </w:p>
              </w:tc>
            </w:tr>
          </w:tbl>
          <w:p w14:paraId="30A194FF">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
                <w:color w:val="auto"/>
                <w:sz w:val="24"/>
                <w:szCs w:val="24"/>
                <w:highlight w:val="none"/>
              </w:rPr>
              <w:t>4.</w:t>
            </w:r>
            <w:r>
              <w:rPr>
                <w:rFonts w:hint="eastAsia" w:ascii="Times New Roman" w:hAnsi="Times New Roman" w:eastAsia="宋体" w:cs="Times New Roman"/>
                <w:b/>
                <w:color w:val="auto"/>
                <w:sz w:val="24"/>
                <w:szCs w:val="24"/>
                <w:highlight w:val="none"/>
                <w:lang w:val="en-US" w:eastAsia="zh-CN"/>
              </w:rPr>
              <w:t>14环境监测保护计划</w:t>
            </w:r>
          </w:p>
          <w:p w14:paraId="12703FF8">
            <w:pPr>
              <w:ind w:firstLine="480"/>
              <w:rPr>
                <w:highlight w:val="none"/>
              </w:rPr>
            </w:pPr>
            <w:r>
              <w:rPr>
                <w:rFonts w:hint="eastAsia"/>
                <w:highlight w:val="none"/>
              </w:rPr>
              <w:t>根据《排污单位自行监测技术指南</w:t>
            </w:r>
            <w:r>
              <w:rPr>
                <w:highlight w:val="none"/>
              </w:rPr>
              <w:t xml:space="preserve"> </w:t>
            </w:r>
            <w:r>
              <w:rPr>
                <w:rFonts w:hint="eastAsia"/>
                <w:highlight w:val="none"/>
              </w:rPr>
              <w:t>总则》（</w:t>
            </w:r>
            <w:r>
              <w:rPr>
                <w:highlight w:val="none"/>
              </w:rPr>
              <w:t>HJ819-2017</w:t>
            </w:r>
            <w:r>
              <w:rPr>
                <w:rFonts w:hint="eastAsia"/>
                <w:highlight w:val="none"/>
              </w:rPr>
              <w:t>）、</w:t>
            </w:r>
            <w:r>
              <w:rPr>
                <w:rFonts w:hint="eastAsia"/>
                <w:color w:val="000000"/>
                <w:highlight w:val="none"/>
              </w:rPr>
              <w:t>《</w:t>
            </w:r>
            <w:r>
              <w:rPr>
                <w:color w:val="000000"/>
                <w:highlight w:val="none"/>
              </w:rPr>
              <w:t>排污许可证申请与核发技术规范</w:t>
            </w:r>
            <w:r>
              <w:rPr>
                <w:rFonts w:hint="eastAsia"/>
                <w:color w:val="000000"/>
                <w:highlight w:val="none"/>
              </w:rPr>
              <w:t xml:space="preserve"> 工业噪声》</w:t>
            </w:r>
            <w:r>
              <w:rPr>
                <w:rFonts w:hint="eastAsia"/>
                <w:color w:val="000000"/>
                <w:highlight w:val="none"/>
                <w:lang w:eastAsia="zh-CN"/>
              </w:rPr>
              <w:t>（</w:t>
            </w:r>
            <w:r>
              <w:rPr>
                <w:rFonts w:hint="eastAsia"/>
                <w:color w:val="000000"/>
                <w:highlight w:val="none"/>
                <w:lang w:val="en-US" w:eastAsia="zh-CN"/>
              </w:rPr>
              <w:t>HJ1301-2023</w:t>
            </w:r>
            <w:r>
              <w:rPr>
                <w:rFonts w:hint="eastAsia"/>
                <w:color w:val="000000"/>
                <w:highlight w:val="none"/>
                <w:lang w:eastAsia="zh-CN"/>
              </w:rPr>
              <w:t>）</w:t>
            </w:r>
            <w:r>
              <w:rPr>
                <w:highlight w:val="none"/>
              </w:rPr>
              <w:t>等文件要求</w:t>
            </w:r>
            <w:r>
              <w:rPr>
                <w:rFonts w:hint="eastAsia"/>
                <w:highlight w:val="none"/>
              </w:rPr>
              <w:t>制定监测计划，具体环境监测计划见</w:t>
            </w:r>
            <w:r>
              <w:rPr>
                <w:highlight w:val="none"/>
              </w:rPr>
              <w:t>表</w:t>
            </w:r>
            <w:r>
              <w:rPr>
                <w:rFonts w:hint="eastAsia"/>
                <w:highlight w:val="none"/>
                <w:lang w:val="en-US" w:eastAsia="zh-CN"/>
              </w:rPr>
              <w:t>4.14-1</w:t>
            </w:r>
            <w:r>
              <w:rPr>
                <w:rFonts w:hint="eastAsia"/>
                <w:highlight w:val="none"/>
              </w:rPr>
              <w:t>。</w:t>
            </w:r>
          </w:p>
          <w:p w14:paraId="047D54DE">
            <w:pPr>
              <w:pStyle w:val="73"/>
              <w:keepNext w:val="0"/>
              <w:keepLines w:val="0"/>
              <w:pageBreakBefore w:val="0"/>
              <w:widowControl/>
              <w:kinsoku/>
              <w:wordWrap/>
              <w:overflowPunct/>
              <w:topLinePunct w:val="0"/>
              <w:autoSpaceDE/>
              <w:autoSpaceDN/>
              <w:bidi w:val="0"/>
              <w:adjustRightInd w:val="0"/>
              <w:snapToGrid w:val="0"/>
              <w:spacing w:line="240" w:lineRule="auto"/>
              <w:textAlignment w:val="auto"/>
              <w:rPr>
                <w:rFonts w:hint="default" w:ascii="Times New Roman" w:hAnsi="Times New Roman" w:eastAsia="Times New Roman" w:cs="Times New Roman"/>
                <w:sz w:val="21"/>
                <w:szCs w:val="21"/>
                <w:highlight w:val="none"/>
              </w:rPr>
            </w:pPr>
            <w:r>
              <w:rPr>
                <w:rFonts w:hint="default" w:ascii="Times New Roman" w:hAnsi="Times New Roman" w:eastAsia="Times New Roman" w:cs="Times New Roman"/>
                <w:sz w:val="21"/>
                <w:szCs w:val="21"/>
                <w:highlight w:val="none"/>
              </w:rPr>
              <w:t>表</w:t>
            </w:r>
            <w:r>
              <w:rPr>
                <w:rFonts w:hint="eastAsia" w:ascii="Times New Roman" w:hAnsi="Times New Roman" w:eastAsia="宋体" w:cs="Times New Roman"/>
                <w:sz w:val="21"/>
                <w:szCs w:val="21"/>
                <w:highlight w:val="none"/>
                <w:lang w:val="en-US" w:eastAsia="zh-CN"/>
              </w:rPr>
              <w:t>4.14-1</w:t>
            </w:r>
            <w:r>
              <w:rPr>
                <w:rFonts w:hint="default" w:ascii="Times New Roman" w:hAnsi="Times New Roman" w:eastAsia="Times New Roman" w:cs="Times New Roman"/>
                <w:sz w:val="21"/>
                <w:szCs w:val="21"/>
                <w:highlight w:val="none"/>
              </w:rPr>
              <w:t xml:space="preserve">  环境</w:t>
            </w:r>
            <w:r>
              <w:rPr>
                <w:rFonts w:hint="eastAsia" w:ascii="Times New Roman" w:hAnsi="Times New Roman" w:eastAsia="Times New Roman" w:cs="Times New Roman"/>
                <w:sz w:val="21"/>
                <w:szCs w:val="21"/>
                <w:highlight w:val="none"/>
              </w:rPr>
              <w:t>监测</w:t>
            </w:r>
            <w:r>
              <w:rPr>
                <w:rFonts w:hint="default" w:ascii="Times New Roman" w:hAnsi="Times New Roman" w:eastAsia="Times New Roman" w:cs="Times New Roman"/>
                <w:sz w:val="21"/>
                <w:szCs w:val="21"/>
                <w:highlight w:val="none"/>
              </w:rPr>
              <w:t>计划</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1559"/>
              <w:gridCol w:w="1352"/>
              <w:gridCol w:w="1175"/>
              <w:gridCol w:w="3633"/>
            </w:tblGrid>
            <w:tr w14:paraId="0376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51" w:type="dxa"/>
                  <w:tcBorders>
                    <w:tl2br w:val="nil"/>
                    <w:tr2bl w:val="nil"/>
                  </w:tcBorders>
                  <w:noWrap w:val="0"/>
                  <w:vAlign w:val="center"/>
                </w:tcPr>
                <w:p w14:paraId="6782FFB0">
                  <w:pPr>
                    <w:pStyle w:val="58"/>
                    <w:rPr>
                      <w:highlight w:val="none"/>
                    </w:rPr>
                  </w:pPr>
                  <w:r>
                    <w:rPr>
                      <w:highlight w:val="none"/>
                    </w:rPr>
                    <w:t>环境因素</w:t>
                  </w:r>
                </w:p>
              </w:tc>
              <w:tc>
                <w:tcPr>
                  <w:tcW w:w="1558" w:type="dxa"/>
                  <w:tcBorders>
                    <w:tl2br w:val="nil"/>
                    <w:tr2bl w:val="nil"/>
                  </w:tcBorders>
                  <w:noWrap w:val="0"/>
                  <w:vAlign w:val="center"/>
                </w:tcPr>
                <w:p w14:paraId="31045E79">
                  <w:pPr>
                    <w:pStyle w:val="58"/>
                    <w:rPr>
                      <w:highlight w:val="none"/>
                    </w:rPr>
                  </w:pPr>
                  <w:r>
                    <w:rPr>
                      <w:highlight w:val="none"/>
                    </w:rPr>
                    <w:t>监测</w:t>
                  </w:r>
                  <w:r>
                    <w:rPr>
                      <w:rFonts w:hint="eastAsia"/>
                      <w:highlight w:val="none"/>
                    </w:rPr>
                    <w:t>项目</w:t>
                  </w:r>
                </w:p>
              </w:tc>
              <w:tc>
                <w:tcPr>
                  <w:tcW w:w="1351" w:type="dxa"/>
                  <w:tcBorders>
                    <w:tl2br w:val="nil"/>
                    <w:tr2bl w:val="nil"/>
                  </w:tcBorders>
                  <w:noWrap w:val="0"/>
                  <w:vAlign w:val="center"/>
                </w:tcPr>
                <w:p w14:paraId="13AD6FA5">
                  <w:pPr>
                    <w:pStyle w:val="58"/>
                    <w:rPr>
                      <w:highlight w:val="none"/>
                    </w:rPr>
                  </w:pPr>
                  <w:r>
                    <w:rPr>
                      <w:highlight w:val="none"/>
                    </w:rPr>
                    <w:t>监测</w:t>
                  </w:r>
                  <w:r>
                    <w:rPr>
                      <w:rFonts w:hint="eastAsia"/>
                      <w:highlight w:val="none"/>
                    </w:rPr>
                    <w:t>点位</w:t>
                  </w:r>
                </w:p>
              </w:tc>
              <w:tc>
                <w:tcPr>
                  <w:tcW w:w="1174" w:type="dxa"/>
                  <w:tcBorders>
                    <w:tl2br w:val="nil"/>
                    <w:tr2bl w:val="nil"/>
                  </w:tcBorders>
                  <w:noWrap w:val="0"/>
                  <w:vAlign w:val="center"/>
                </w:tcPr>
                <w:p w14:paraId="37CD096A">
                  <w:pPr>
                    <w:pStyle w:val="58"/>
                    <w:rPr>
                      <w:highlight w:val="none"/>
                    </w:rPr>
                  </w:pPr>
                  <w:r>
                    <w:rPr>
                      <w:highlight w:val="none"/>
                    </w:rPr>
                    <w:t>监测频率</w:t>
                  </w:r>
                </w:p>
              </w:tc>
              <w:tc>
                <w:tcPr>
                  <w:tcW w:w="3630" w:type="dxa"/>
                  <w:tcBorders>
                    <w:tl2br w:val="nil"/>
                    <w:tr2bl w:val="nil"/>
                  </w:tcBorders>
                  <w:noWrap w:val="0"/>
                  <w:vAlign w:val="center"/>
                </w:tcPr>
                <w:p w14:paraId="3D13DC3E">
                  <w:pPr>
                    <w:pStyle w:val="58"/>
                    <w:rPr>
                      <w:highlight w:val="none"/>
                    </w:rPr>
                  </w:pPr>
                  <w:r>
                    <w:rPr>
                      <w:highlight w:val="none"/>
                    </w:rPr>
                    <w:t>排放标准</w:t>
                  </w:r>
                </w:p>
              </w:tc>
            </w:tr>
            <w:tr w14:paraId="4F77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1" w:type="dxa"/>
                  <w:tcBorders>
                    <w:tl2br w:val="nil"/>
                    <w:tr2bl w:val="nil"/>
                  </w:tcBorders>
                  <w:noWrap w:val="0"/>
                  <w:vAlign w:val="center"/>
                </w:tcPr>
                <w:p w14:paraId="23FC4616">
                  <w:pPr>
                    <w:pStyle w:val="58"/>
                    <w:rPr>
                      <w:rFonts w:hint="eastAsia" w:eastAsia="宋体"/>
                      <w:highlight w:val="none"/>
                      <w:lang w:val="en-US" w:eastAsia="zh-CN"/>
                    </w:rPr>
                  </w:pPr>
                  <w:r>
                    <w:rPr>
                      <w:rFonts w:hint="eastAsia"/>
                      <w:highlight w:val="none"/>
                      <w:lang w:val="en-US" w:eastAsia="zh-CN"/>
                    </w:rPr>
                    <w:t>大气环境</w:t>
                  </w:r>
                </w:p>
              </w:tc>
              <w:tc>
                <w:tcPr>
                  <w:tcW w:w="1558" w:type="dxa"/>
                  <w:tcBorders>
                    <w:tl2br w:val="nil"/>
                    <w:tr2bl w:val="nil"/>
                  </w:tcBorders>
                  <w:noWrap w:val="0"/>
                  <w:vAlign w:val="center"/>
                </w:tcPr>
                <w:p w14:paraId="6AE65D62">
                  <w:pPr>
                    <w:pStyle w:val="58"/>
                    <w:rPr>
                      <w:rFonts w:hint="default" w:eastAsia="宋体"/>
                      <w:highlight w:val="none"/>
                      <w:lang w:val="en-US" w:eastAsia="zh-CN"/>
                    </w:rPr>
                  </w:pPr>
                  <w:r>
                    <w:rPr>
                      <w:rFonts w:hint="eastAsia" w:eastAsia="宋体"/>
                      <w:highlight w:val="none"/>
                      <w:lang w:val="en-US" w:eastAsia="zh-CN"/>
                    </w:rPr>
                    <w:t>颗粒物</w:t>
                  </w:r>
                </w:p>
              </w:tc>
              <w:tc>
                <w:tcPr>
                  <w:tcW w:w="1351" w:type="dxa"/>
                  <w:tcBorders>
                    <w:tl2br w:val="nil"/>
                    <w:tr2bl w:val="nil"/>
                  </w:tcBorders>
                  <w:noWrap w:val="0"/>
                  <w:vAlign w:val="center"/>
                </w:tcPr>
                <w:p w14:paraId="0B465DBA">
                  <w:pPr>
                    <w:pStyle w:val="58"/>
                    <w:rPr>
                      <w:highlight w:val="none"/>
                    </w:rPr>
                  </w:pPr>
                  <w:r>
                    <w:rPr>
                      <w:highlight w:val="none"/>
                    </w:rPr>
                    <w:t>厂界</w:t>
                  </w:r>
                </w:p>
              </w:tc>
              <w:tc>
                <w:tcPr>
                  <w:tcW w:w="1174" w:type="dxa"/>
                  <w:tcBorders>
                    <w:tl2br w:val="nil"/>
                    <w:tr2bl w:val="nil"/>
                  </w:tcBorders>
                  <w:noWrap w:val="0"/>
                  <w:vAlign w:val="center"/>
                </w:tcPr>
                <w:p w14:paraId="5D2F3480">
                  <w:pPr>
                    <w:pStyle w:val="58"/>
                    <w:rPr>
                      <w:highlight w:val="none"/>
                    </w:rPr>
                  </w:pPr>
                  <w:r>
                    <w:rPr>
                      <w:rFonts w:hint="eastAsia"/>
                      <w:highlight w:val="none"/>
                    </w:rPr>
                    <w:t>1次/年</w:t>
                  </w:r>
                </w:p>
              </w:tc>
              <w:tc>
                <w:tcPr>
                  <w:tcW w:w="3630" w:type="dxa"/>
                  <w:tcBorders>
                    <w:tl2br w:val="nil"/>
                    <w:tr2bl w:val="nil"/>
                  </w:tcBorders>
                  <w:noWrap w:val="0"/>
                  <w:vAlign w:val="center"/>
                </w:tcPr>
                <w:p w14:paraId="2BCCEA56">
                  <w:pPr>
                    <w:pStyle w:val="58"/>
                    <w:rPr>
                      <w:highlight w:val="none"/>
                    </w:rPr>
                  </w:pPr>
                  <w:r>
                    <w:rPr>
                      <w:rFonts w:hint="eastAsia"/>
                      <w:highlight w:val="none"/>
                    </w:rPr>
                    <w:t>厂界无组织</w:t>
                  </w:r>
                  <w:r>
                    <w:rPr>
                      <w:rFonts w:hint="eastAsia"/>
                      <w:highlight w:val="none"/>
                      <w:lang w:val="en-US" w:eastAsia="zh-CN"/>
                    </w:rPr>
                    <w:t>颗粒物</w:t>
                  </w:r>
                  <w:r>
                    <w:rPr>
                      <w:rFonts w:hint="eastAsia"/>
                      <w:highlight w:val="none"/>
                    </w:rPr>
                    <w:t>排放执行《大气污染物综合排放标准》</w:t>
                  </w:r>
                  <w:r>
                    <w:rPr>
                      <w:rFonts w:hint="eastAsia"/>
                      <w:highlight w:val="none"/>
                      <w:lang w:eastAsia="zh-CN"/>
                    </w:rPr>
                    <w:t>（</w:t>
                  </w:r>
                  <w:r>
                    <w:rPr>
                      <w:rFonts w:hint="eastAsia"/>
                      <w:highlight w:val="none"/>
                    </w:rPr>
                    <w:t>GB16297-1996</w:t>
                  </w:r>
                  <w:r>
                    <w:rPr>
                      <w:rFonts w:hint="eastAsia"/>
                      <w:highlight w:val="none"/>
                      <w:lang w:eastAsia="zh-CN"/>
                    </w:rPr>
                    <w:t>）</w:t>
                  </w:r>
                  <w:r>
                    <w:rPr>
                      <w:rFonts w:hint="eastAsia"/>
                      <w:highlight w:val="none"/>
                    </w:rPr>
                    <w:t>表2控制要求</w:t>
                  </w:r>
                </w:p>
              </w:tc>
            </w:tr>
            <w:tr w14:paraId="5A22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tl2br w:val="nil"/>
                    <w:tr2bl w:val="nil"/>
                  </w:tcBorders>
                  <w:noWrap w:val="0"/>
                  <w:vAlign w:val="center"/>
                </w:tcPr>
                <w:p w14:paraId="3F42D207">
                  <w:pPr>
                    <w:pStyle w:val="58"/>
                    <w:rPr>
                      <w:highlight w:val="none"/>
                    </w:rPr>
                  </w:pPr>
                  <w:r>
                    <w:rPr>
                      <w:rFonts w:hint="eastAsia"/>
                      <w:highlight w:val="none"/>
                    </w:rPr>
                    <w:t>声环境</w:t>
                  </w:r>
                </w:p>
              </w:tc>
              <w:tc>
                <w:tcPr>
                  <w:tcW w:w="1558" w:type="dxa"/>
                  <w:tcBorders>
                    <w:tl2br w:val="nil"/>
                    <w:tr2bl w:val="nil"/>
                  </w:tcBorders>
                  <w:noWrap w:val="0"/>
                  <w:vAlign w:val="center"/>
                </w:tcPr>
                <w:p w14:paraId="3D469D58">
                  <w:pPr>
                    <w:pStyle w:val="58"/>
                    <w:rPr>
                      <w:highlight w:val="none"/>
                    </w:rPr>
                  </w:pPr>
                  <w:r>
                    <w:rPr>
                      <w:highlight w:val="none"/>
                    </w:rPr>
                    <w:t>等效连续A声级Leq（A）</w:t>
                  </w:r>
                </w:p>
              </w:tc>
              <w:tc>
                <w:tcPr>
                  <w:tcW w:w="1351" w:type="dxa"/>
                  <w:tcBorders>
                    <w:tl2br w:val="nil"/>
                    <w:tr2bl w:val="nil"/>
                  </w:tcBorders>
                  <w:noWrap w:val="0"/>
                  <w:vAlign w:val="center"/>
                </w:tcPr>
                <w:p w14:paraId="475A45A5">
                  <w:pPr>
                    <w:pStyle w:val="58"/>
                    <w:rPr>
                      <w:highlight w:val="none"/>
                    </w:rPr>
                  </w:pPr>
                  <w:r>
                    <w:rPr>
                      <w:highlight w:val="none"/>
                    </w:rPr>
                    <w:t>厂界四周</w:t>
                  </w:r>
                </w:p>
              </w:tc>
              <w:tc>
                <w:tcPr>
                  <w:tcW w:w="1174" w:type="dxa"/>
                  <w:tcBorders>
                    <w:tl2br w:val="nil"/>
                    <w:tr2bl w:val="nil"/>
                  </w:tcBorders>
                  <w:noWrap w:val="0"/>
                  <w:vAlign w:val="center"/>
                </w:tcPr>
                <w:p w14:paraId="1AA1F27D">
                  <w:pPr>
                    <w:pStyle w:val="58"/>
                    <w:rPr>
                      <w:highlight w:val="none"/>
                    </w:rPr>
                  </w:pPr>
                  <w:r>
                    <w:rPr>
                      <w:highlight w:val="none"/>
                    </w:rPr>
                    <w:t>1次/季</w:t>
                  </w:r>
                </w:p>
              </w:tc>
              <w:tc>
                <w:tcPr>
                  <w:tcW w:w="3630" w:type="dxa"/>
                  <w:tcBorders>
                    <w:tl2br w:val="nil"/>
                    <w:tr2bl w:val="nil"/>
                  </w:tcBorders>
                  <w:noWrap w:val="0"/>
                  <w:vAlign w:val="center"/>
                </w:tcPr>
                <w:p w14:paraId="48659F84">
                  <w:pPr>
                    <w:pStyle w:val="58"/>
                    <w:rPr>
                      <w:highlight w:val="none"/>
                    </w:rPr>
                  </w:pPr>
                  <w:r>
                    <w:rPr>
                      <w:highlight w:val="none"/>
                    </w:rPr>
                    <w:t>《工业企业厂界环境噪声排放标准》（GB</w:t>
                  </w:r>
                  <w:r>
                    <w:rPr>
                      <w:rFonts w:hint="eastAsia"/>
                      <w:highlight w:val="none"/>
                    </w:rPr>
                    <w:t xml:space="preserve"> </w:t>
                  </w:r>
                  <w:r>
                    <w:rPr>
                      <w:highlight w:val="none"/>
                    </w:rPr>
                    <w:t>12348</w:t>
                  </w:r>
                  <w:r>
                    <w:rPr>
                      <w:rFonts w:hint="eastAsia"/>
                      <w:highlight w:val="none"/>
                    </w:rPr>
                    <w:t>—</w:t>
                  </w:r>
                  <w:r>
                    <w:rPr>
                      <w:highlight w:val="none"/>
                    </w:rPr>
                    <w:t>2008）中的</w:t>
                  </w:r>
                  <w:r>
                    <w:rPr>
                      <w:rFonts w:hint="eastAsia"/>
                      <w:highlight w:val="none"/>
                      <w:lang w:val="en-US" w:eastAsia="zh-CN"/>
                    </w:rPr>
                    <w:t>2</w:t>
                  </w:r>
                  <w:r>
                    <w:rPr>
                      <w:highlight w:val="none"/>
                    </w:rPr>
                    <w:t>类标准</w:t>
                  </w:r>
                </w:p>
              </w:tc>
            </w:tr>
          </w:tbl>
          <w:p w14:paraId="6819A24C">
            <w:pPr>
              <w:pageBreakBefore w:val="0"/>
              <w:kinsoku/>
              <w:wordWrap/>
              <w:overflowPunct/>
              <w:topLinePunct w:val="0"/>
              <w:bidi w:val="0"/>
              <w:adjustRightInd w:val="0"/>
              <w:snapToGrid w:val="0"/>
              <w:ind w:firstLine="480" w:firstLineChars="200"/>
              <w:rPr>
                <w:rFonts w:hint="default" w:ascii="Times New Roman" w:hAnsi="Times New Roman" w:cs="Times New Roman"/>
                <w:color w:val="auto"/>
                <w:highlight w:val="none"/>
              </w:rPr>
            </w:pPr>
          </w:p>
        </w:tc>
      </w:tr>
    </w:tbl>
    <w:p w14:paraId="60CBAA84">
      <w:pPr>
        <w:jc w:val="center"/>
        <w:outlineLvl w:val="0"/>
        <w:rPr>
          <w:rFonts w:hint="eastAsia" w:ascii="黑体" w:hAnsi="黑体" w:eastAsia="黑体"/>
          <w:color w:val="auto"/>
          <w:sz w:val="30"/>
          <w:szCs w:val="30"/>
          <w:highlight w:val="none"/>
        </w:rPr>
        <w:sectPr>
          <w:footerReference r:id="rId10"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30F6C31A">
      <w:pPr>
        <w:jc w:val="center"/>
        <w:outlineLvl w:val="0"/>
        <w:rPr>
          <w:rFonts w:ascii="黑体" w:hAnsi="黑体" w:eastAsia="黑体"/>
          <w:color w:val="auto"/>
          <w:sz w:val="30"/>
          <w:szCs w:val="30"/>
          <w:highlight w:val="none"/>
        </w:rPr>
      </w:pPr>
      <w:r>
        <w:rPr>
          <w:rFonts w:hint="eastAsia" w:ascii="黑体" w:hAnsi="黑体" w:eastAsia="黑体"/>
          <w:color w:val="auto"/>
          <w:sz w:val="30"/>
          <w:szCs w:val="30"/>
          <w:highlight w:val="none"/>
        </w:rPr>
        <w:t>五、</w:t>
      </w:r>
      <w:bookmarkStart w:id="23" w:name="_Hlk54167917"/>
      <w:r>
        <w:rPr>
          <w:rFonts w:hint="eastAsia" w:ascii="黑体" w:hAnsi="黑体" w:eastAsia="黑体"/>
          <w:color w:val="auto"/>
          <w:sz w:val="30"/>
          <w:szCs w:val="30"/>
          <w:highlight w:val="none"/>
        </w:rPr>
        <w:t>环境保护措施监督检查清单</w:t>
      </w:r>
      <w:bookmarkEnd w:id="23"/>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1741"/>
        <w:gridCol w:w="1266"/>
        <w:gridCol w:w="1968"/>
        <w:gridCol w:w="2651"/>
      </w:tblGrid>
      <w:tr w14:paraId="2AB83B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77" w:type="dxa"/>
            <w:tcBorders>
              <w:tl2br w:val="single" w:color="auto" w:sz="4" w:space="0"/>
            </w:tcBorders>
          </w:tcPr>
          <w:p w14:paraId="780B3CC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内容</w:t>
            </w:r>
          </w:p>
          <w:p w14:paraId="5E7F559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要素</w:t>
            </w:r>
          </w:p>
        </w:tc>
        <w:tc>
          <w:tcPr>
            <w:tcW w:w="1741" w:type="dxa"/>
            <w:vAlign w:val="center"/>
          </w:tcPr>
          <w:p w14:paraId="58E1FF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排放口（编号、</w:t>
            </w:r>
          </w:p>
          <w:p w14:paraId="68B11F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名称）/污染源</w:t>
            </w:r>
          </w:p>
        </w:tc>
        <w:tc>
          <w:tcPr>
            <w:tcW w:w="1266" w:type="dxa"/>
            <w:vAlign w:val="center"/>
          </w:tcPr>
          <w:p w14:paraId="45890D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1968" w:type="dxa"/>
            <w:vAlign w:val="center"/>
          </w:tcPr>
          <w:p w14:paraId="37E8E7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环境保护措施</w:t>
            </w:r>
          </w:p>
        </w:tc>
        <w:tc>
          <w:tcPr>
            <w:tcW w:w="2651" w:type="dxa"/>
            <w:vAlign w:val="center"/>
          </w:tcPr>
          <w:p w14:paraId="1DD6DB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执行标准</w:t>
            </w:r>
          </w:p>
        </w:tc>
      </w:tr>
      <w:tr w14:paraId="3B8CD5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177" w:type="dxa"/>
            <w:vMerge w:val="restart"/>
            <w:vAlign w:val="center"/>
          </w:tcPr>
          <w:p w14:paraId="0F98E7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大气环境</w:t>
            </w:r>
          </w:p>
        </w:tc>
        <w:tc>
          <w:tcPr>
            <w:tcW w:w="1741" w:type="dxa"/>
            <w:shd w:val="clear" w:color="auto" w:fill="auto"/>
            <w:vAlign w:val="center"/>
          </w:tcPr>
          <w:p w14:paraId="14B2CF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color w:val="000000" w:themeColor="text1"/>
                <w:sz w:val="21"/>
                <w:highlight w:val="none"/>
                <w:lang w:val="en-US" w:eastAsia="zh-CN"/>
                <w14:textFill>
                  <w14:solidFill>
                    <w14:schemeClr w14:val="tx1"/>
                  </w14:solidFill>
                </w14:textFill>
              </w:rPr>
              <w:t>食堂</w:t>
            </w:r>
          </w:p>
        </w:tc>
        <w:tc>
          <w:tcPr>
            <w:tcW w:w="1266" w:type="dxa"/>
            <w:shd w:val="clear" w:color="auto" w:fill="auto"/>
            <w:vAlign w:val="center"/>
          </w:tcPr>
          <w:p w14:paraId="3C2BC9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食堂油烟</w:t>
            </w:r>
          </w:p>
        </w:tc>
        <w:tc>
          <w:tcPr>
            <w:tcW w:w="1968" w:type="dxa"/>
            <w:shd w:val="clear" w:color="auto" w:fill="auto"/>
            <w:vAlign w:val="center"/>
          </w:tcPr>
          <w:p w14:paraId="5DCF264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食堂油烟经油烟净化器</w:t>
            </w:r>
            <w:r>
              <w:rPr>
                <w:rFonts w:hint="eastAsia" w:cs="Times New Roman"/>
                <w:snapToGrid w:val="0"/>
                <w:color w:val="auto"/>
                <w:spacing w:val="0"/>
                <w:kern w:val="0"/>
                <w:sz w:val="21"/>
                <w:szCs w:val="21"/>
                <w:highlight w:val="none"/>
                <w:lang w:val="en-US" w:eastAsia="zh-CN" w:bidi="ar-SA"/>
                <w14:ligatures w14:val="none"/>
              </w:rPr>
              <w:t>处理后</w:t>
            </w: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排放</w:t>
            </w:r>
          </w:p>
        </w:tc>
        <w:tc>
          <w:tcPr>
            <w:tcW w:w="2651" w:type="dxa"/>
            <w:vAlign w:val="center"/>
          </w:tcPr>
          <w:p w14:paraId="05799C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bidi="ar-SA"/>
                <w14:ligatures w14:val="none"/>
              </w:rPr>
              <w:t>《饮食业油烟排放标准（试行）》（GB18483-2001）</w:t>
            </w:r>
          </w:p>
        </w:tc>
      </w:tr>
      <w:tr w14:paraId="3FD7B1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177" w:type="dxa"/>
            <w:vMerge w:val="continue"/>
            <w:vAlign w:val="center"/>
          </w:tcPr>
          <w:p w14:paraId="0DC0F4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1741" w:type="dxa"/>
            <w:shd w:val="clear" w:color="auto" w:fill="auto"/>
            <w:vAlign w:val="center"/>
          </w:tcPr>
          <w:p w14:paraId="2CD7B4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厂界</w:t>
            </w:r>
          </w:p>
        </w:tc>
        <w:tc>
          <w:tcPr>
            <w:tcW w:w="1266" w:type="dxa"/>
            <w:shd w:val="clear" w:color="auto" w:fill="auto"/>
            <w:vAlign w:val="center"/>
          </w:tcPr>
          <w:p w14:paraId="3A45CED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运输扬尘及汽车尾气</w:t>
            </w:r>
          </w:p>
        </w:tc>
        <w:tc>
          <w:tcPr>
            <w:tcW w:w="1968" w:type="dxa"/>
            <w:shd w:val="clear" w:color="auto" w:fill="auto"/>
            <w:vAlign w:val="center"/>
          </w:tcPr>
          <w:p w14:paraId="6488F8C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spacing w:val="0"/>
                <w:kern w:val="0"/>
                <w:sz w:val="21"/>
                <w:szCs w:val="21"/>
                <w:highlight w:val="none"/>
                <w:lang w:val="en-US" w:eastAsia="zh-CN" w:bidi="ar-SA"/>
                <w14:ligatures w14:val="none"/>
              </w:rPr>
              <w:t>运输车辆减速慢行，加强对进出车辆的管理，减少进出车辆怠速和频繁启动。</w:t>
            </w:r>
          </w:p>
        </w:tc>
        <w:tc>
          <w:tcPr>
            <w:tcW w:w="2651" w:type="dxa"/>
            <w:vAlign w:val="center"/>
          </w:tcPr>
          <w:p w14:paraId="5D294F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rPr>
              <w:t>《大气污染物综合排放标准》（GB16297-1996）</w:t>
            </w:r>
          </w:p>
        </w:tc>
      </w:tr>
      <w:tr w14:paraId="238E4E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77" w:type="dxa"/>
            <w:vAlign w:val="center"/>
          </w:tcPr>
          <w:p w14:paraId="5B3C07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地表水环境</w:t>
            </w:r>
          </w:p>
        </w:tc>
        <w:tc>
          <w:tcPr>
            <w:tcW w:w="1741" w:type="dxa"/>
            <w:vAlign w:val="center"/>
          </w:tcPr>
          <w:p w14:paraId="32321D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厂区</w:t>
            </w:r>
          </w:p>
        </w:tc>
        <w:tc>
          <w:tcPr>
            <w:tcW w:w="1266" w:type="dxa"/>
            <w:vAlign w:val="center"/>
          </w:tcPr>
          <w:p w14:paraId="1ED796B9">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生活污水、食堂废水</w:t>
            </w:r>
          </w:p>
        </w:tc>
        <w:tc>
          <w:tcPr>
            <w:tcW w:w="1968" w:type="dxa"/>
            <w:vAlign w:val="center"/>
          </w:tcPr>
          <w:p w14:paraId="774FB0AE">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项目食堂废水经隔油预处理后与生活污水经地埋式一体化污水处理设施处理达标；春夏秋季用于洒水降尘，冬季储存于水箱，次年回暖后回用</w:t>
            </w:r>
          </w:p>
        </w:tc>
        <w:tc>
          <w:tcPr>
            <w:tcW w:w="2651" w:type="dxa"/>
            <w:vAlign w:val="center"/>
          </w:tcPr>
          <w:p w14:paraId="71DA35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《城市污水再生利用 城市杂用水水质》（GB/T 18920-2020）</w:t>
            </w:r>
          </w:p>
        </w:tc>
      </w:tr>
      <w:tr w14:paraId="0E11CA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77" w:type="dxa"/>
            <w:vAlign w:val="center"/>
          </w:tcPr>
          <w:p w14:paraId="7CA6B0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声环境</w:t>
            </w:r>
          </w:p>
        </w:tc>
        <w:tc>
          <w:tcPr>
            <w:tcW w:w="1741" w:type="dxa"/>
            <w:vAlign w:val="center"/>
          </w:tcPr>
          <w:p w14:paraId="2243C9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车辆运输</w:t>
            </w:r>
          </w:p>
        </w:tc>
        <w:tc>
          <w:tcPr>
            <w:tcW w:w="1266" w:type="dxa"/>
            <w:vAlign w:val="center"/>
          </w:tcPr>
          <w:p w14:paraId="2E9EC2B0">
            <w:pPr>
              <w:spacing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车辆</w:t>
            </w:r>
            <w:r>
              <w:rPr>
                <w:rFonts w:hint="default" w:ascii="Times New Roman" w:hAnsi="Times New Roman" w:eastAsia="宋体" w:cs="Times New Roman"/>
                <w:color w:val="auto"/>
                <w:sz w:val="21"/>
                <w:szCs w:val="21"/>
                <w:highlight w:val="none"/>
                <w:lang w:val="en-US" w:eastAsia="zh-CN"/>
              </w:rPr>
              <w:t>噪声</w:t>
            </w:r>
          </w:p>
        </w:tc>
        <w:tc>
          <w:tcPr>
            <w:tcW w:w="1968" w:type="dxa"/>
            <w:vAlign w:val="center"/>
          </w:tcPr>
          <w:p w14:paraId="182334F9">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车辆减速慢行，禁止鸣笛</w:t>
            </w:r>
          </w:p>
        </w:tc>
        <w:tc>
          <w:tcPr>
            <w:tcW w:w="2651" w:type="dxa"/>
            <w:vAlign w:val="center"/>
          </w:tcPr>
          <w:p w14:paraId="38C19D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《工业企业厂界环境噪声排放标准》（GB12348-2008）中</w:t>
            </w:r>
            <w:r>
              <w:rPr>
                <w:rFonts w:hint="eastAsia"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类标准</w:t>
            </w:r>
          </w:p>
        </w:tc>
      </w:tr>
      <w:tr w14:paraId="7987A2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77" w:type="dxa"/>
            <w:vAlign w:val="center"/>
          </w:tcPr>
          <w:p w14:paraId="6553AD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电磁辐射</w:t>
            </w:r>
          </w:p>
        </w:tc>
        <w:tc>
          <w:tcPr>
            <w:tcW w:w="1741" w:type="dxa"/>
            <w:vAlign w:val="center"/>
          </w:tcPr>
          <w:p w14:paraId="6AAF98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266" w:type="dxa"/>
            <w:vAlign w:val="center"/>
          </w:tcPr>
          <w:p w14:paraId="5B6654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968" w:type="dxa"/>
            <w:vAlign w:val="center"/>
          </w:tcPr>
          <w:p w14:paraId="2A1D73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2651" w:type="dxa"/>
            <w:vAlign w:val="center"/>
          </w:tcPr>
          <w:p w14:paraId="550C1A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312675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77" w:type="dxa"/>
            <w:vMerge w:val="restart"/>
            <w:vAlign w:val="center"/>
          </w:tcPr>
          <w:p w14:paraId="479149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固体废物</w:t>
            </w:r>
          </w:p>
        </w:tc>
        <w:tc>
          <w:tcPr>
            <w:tcW w:w="1741" w:type="dxa"/>
            <w:shd w:val="clear" w:color="auto" w:fill="auto"/>
            <w:vAlign w:val="center"/>
          </w:tcPr>
          <w:p w14:paraId="6F8A1ED1">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ascii="Times New Roman" w:hAnsi="Times New Roman" w:eastAsia="宋体" w:cs="Times New Roman"/>
                <w:color w:val="auto"/>
                <w:sz w:val="21"/>
                <w:highlight w:val="none"/>
                <w:lang w:val="en-US" w:eastAsia="zh-CN"/>
              </w:rPr>
              <w:t>办公生活区</w:t>
            </w:r>
          </w:p>
        </w:tc>
        <w:tc>
          <w:tcPr>
            <w:tcW w:w="1266" w:type="dxa"/>
            <w:shd w:val="clear" w:color="auto" w:fill="auto"/>
            <w:vAlign w:val="center"/>
          </w:tcPr>
          <w:p w14:paraId="348AED6C">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ascii="Times New Roman" w:hAnsi="Times New Roman" w:eastAsia="宋体" w:cs="Times New Roman"/>
                <w:color w:val="auto"/>
                <w:sz w:val="21"/>
                <w:highlight w:val="none"/>
                <w:lang w:val="en-US" w:eastAsia="zh-CN"/>
              </w:rPr>
              <w:t>生活垃圾</w:t>
            </w:r>
          </w:p>
        </w:tc>
        <w:tc>
          <w:tcPr>
            <w:tcW w:w="1968" w:type="dxa"/>
            <w:shd w:val="clear" w:color="auto" w:fill="auto"/>
            <w:vAlign w:val="center"/>
          </w:tcPr>
          <w:p w14:paraId="10E471E8">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snapToGrid w:val="0"/>
                <w:color w:val="auto"/>
                <w:kern w:val="0"/>
                <w:sz w:val="21"/>
                <w:szCs w:val="21"/>
                <w:highlight w:val="none"/>
                <w:lang w:val="en-US" w:eastAsia="zh-CN" w:bidi="ar-SA"/>
                <w14:ligatures w14:val="none"/>
              </w:rPr>
              <w:t>集中收集后清运至环卫部门指定地点</w:t>
            </w:r>
          </w:p>
        </w:tc>
        <w:tc>
          <w:tcPr>
            <w:tcW w:w="2651" w:type="dxa"/>
            <w:shd w:val="clear" w:color="auto" w:fill="auto"/>
            <w:vAlign w:val="center"/>
          </w:tcPr>
          <w:p w14:paraId="0A8B8C1E">
            <w:pPr>
              <w:spacing w:line="240" w:lineRule="auto"/>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rPr>
              <w:t>《生活垃圾填埋场污染控制标准》（GB16889-2</w:t>
            </w:r>
            <w:r>
              <w:rPr>
                <w:rFonts w:hint="eastAsia" w:cs="Times New Roman"/>
                <w:color w:val="auto"/>
                <w:sz w:val="21"/>
                <w:szCs w:val="21"/>
                <w:highlight w:val="none"/>
                <w:lang w:val="en-US" w:eastAsia="zh-CN"/>
              </w:rPr>
              <w:t>024</w:t>
            </w:r>
            <w:r>
              <w:rPr>
                <w:rFonts w:hint="default" w:ascii="Times New Roman" w:hAnsi="Times New Roman" w:eastAsia="宋体" w:cs="Times New Roman"/>
                <w:color w:val="auto"/>
                <w:sz w:val="21"/>
                <w:szCs w:val="21"/>
                <w:highlight w:val="none"/>
              </w:rPr>
              <w:t>）</w:t>
            </w:r>
          </w:p>
        </w:tc>
      </w:tr>
      <w:tr w14:paraId="0CE55D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77" w:type="dxa"/>
            <w:vMerge w:val="continue"/>
            <w:vAlign w:val="center"/>
          </w:tcPr>
          <w:p w14:paraId="2DD25C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1741" w:type="dxa"/>
            <w:shd w:val="clear" w:color="auto" w:fill="auto"/>
            <w:vAlign w:val="center"/>
          </w:tcPr>
          <w:p w14:paraId="78D92295">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炸药库、雷管库</w:t>
            </w:r>
          </w:p>
        </w:tc>
        <w:tc>
          <w:tcPr>
            <w:tcW w:w="1266" w:type="dxa"/>
            <w:shd w:val="clear" w:color="auto" w:fill="auto"/>
            <w:vAlign w:val="center"/>
          </w:tcPr>
          <w:p w14:paraId="4AB2F149">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eastAsia"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过期、残次、破损炸药/雷管</w:t>
            </w:r>
          </w:p>
        </w:tc>
        <w:tc>
          <w:tcPr>
            <w:tcW w:w="1968" w:type="dxa"/>
            <w:shd w:val="clear" w:color="auto" w:fill="auto"/>
            <w:vAlign w:val="center"/>
          </w:tcPr>
          <w:p w14:paraId="4C61FC16">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ascii="Times New Roman" w:hAnsi="Times New Roman" w:eastAsia="宋体" w:cs="Times New Roman"/>
                <w:color w:val="auto"/>
                <w:sz w:val="21"/>
                <w:szCs w:val="21"/>
                <w:highlight w:val="none"/>
                <w:lang w:val="en-US" w:eastAsia="zh-CN"/>
              </w:rPr>
              <w:t>由民用爆炸物品行业主管部门、所在地县级人民政府公安机关组织监督销毁</w:t>
            </w:r>
          </w:p>
        </w:tc>
        <w:tc>
          <w:tcPr>
            <w:tcW w:w="2651" w:type="dxa"/>
            <w:shd w:val="clear" w:color="auto" w:fill="auto"/>
            <w:vAlign w:val="center"/>
          </w:tcPr>
          <w:p w14:paraId="0129DF55">
            <w:pPr>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783AD6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77" w:type="dxa"/>
            <w:vAlign w:val="center"/>
          </w:tcPr>
          <w:p w14:paraId="464E6A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土壤及地下水</w:t>
            </w:r>
          </w:p>
          <w:p w14:paraId="2B2F82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污染防治措施</w:t>
            </w:r>
          </w:p>
        </w:tc>
        <w:tc>
          <w:tcPr>
            <w:tcW w:w="7626" w:type="dxa"/>
            <w:gridSpan w:val="4"/>
            <w:vAlign w:val="center"/>
          </w:tcPr>
          <w:p w14:paraId="57B844C2">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分区防渗：</w:t>
            </w:r>
          </w:p>
          <w:p w14:paraId="6328EA8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炸药库、雷管库、消防水池</w:t>
            </w:r>
            <w:r>
              <w:rPr>
                <w:rFonts w:hint="default" w:ascii="Times New Roman" w:hAnsi="Times New Roman" w:eastAsia="宋体" w:cs="Times New Roman"/>
                <w:color w:val="auto"/>
                <w:sz w:val="21"/>
                <w:szCs w:val="21"/>
                <w:highlight w:val="none"/>
              </w:rPr>
              <w:t>为一般防渗区，人工防渗层：水泥混凝土硬化地面，厚度20cm，等效黏土防渗层Mb≥1.5m渗透系数K≤1×10</w:t>
            </w:r>
            <w:r>
              <w:rPr>
                <w:rFonts w:hint="default" w:ascii="Times New Roman" w:hAnsi="Times New Roman" w:eastAsia="宋体" w:cs="Times New Roman"/>
                <w:color w:val="auto"/>
                <w:sz w:val="21"/>
                <w:szCs w:val="21"/>
                <w:highlight w:val="none"/>
                <w:vertAlign w:val="superscript"/>
              </w:rPr>
              <w:t>-</w:t>
            </w:r>
            <w:r>
              <w:rPr>
                <w:rFonts w:hint="eastAsia" w:cs="Times New Roman"/>
                <w:color w:val="auto"/>
                <w:sz w:val="21"/>
                <w:szCs w:val="21"/>
                <w:highlight w:val="none"/>
                <w:vertAlign w:val="superscript"/>
                <w:lang w:val="en-US" w:eastAsia="zh-CN"/>
              </w:rPr>
              <w:t>7</w:t>
            </w:r>
            <w:r>
              <w:rPr>
                <w:rFonts w:hint="default" w:ascii="Times New Roman" w:hAnsi="Times New Roman" w:eastAsia="宋体" w:cs="Times New Roman"/>
                <w:color w:val="auto"/>
                <w:sz w:val="21"/>
                <w:szCs w:val="21"/>
                <w:highlight w:val="none"/>
              </w:rPr>
              <w:t>cm/s；</w:t>
            </w:r>
            <w:r>
              <w:rPr>
                <w:rFonts w:hint="eastAsia" w:cs="Times New Roman"/>
                <w:color w:val="auto"/>
                <w:sz w:val="21"/>
                <w:szCs w:val="21"/>
                <w:highlight w:val="none"/>
                <w:lang w:val="en-US" w:eastAsia="zh-CN"/>
              </w:rPr>
              <w:t>值班室</w:t>
            </w:r>
            <w:r>
              <w:rPr>
                <w:rFonts w:hint="default" w:ascii="Times New Roman" w:hAnsi="Times New Roman" w:eastAsia="宋体" w:cs="Times New Roman"/>
                <w:color w:val="auto"/>
                <w:sz w:val="21"/>
                <w:szCs w:val="21"/>
                <w:highlight w:val="none"/>
              </w:rPr>
              <w:t>为简单防渗区，采用混凝土硬化。</w:t>
            </w:r>
          </w:p>
        </w:tc>
      </w:tr>
      <w:tr w14:paraId="3E0C8A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77" w:type="dxa"/>
            <w:vAlign w:val="center"/>
          </w:tcPr>
          <w:p w14:paraId="3BB424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生态保护措施</w:t>
            </w:r>
          </w:p>
        </w:tc>
        <w:tc>
          <w:tcPr>
            <w:tcW w:w="7626" w:type="dxa"/>
            <w:gridSpan w:val="4"/>
            <w:vAlign w:val="center"/>
          </w:tcPr>
          <w:p w14:paraId="4A9391A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w:t>
            </w:r>
            <w:r>
              <w:rPr>
                <w:rFonts w:hint="eastAsia" w:cs="Times New Roman"/>
                <w:color w:val="auto"/>
                <w:sz w:val="21"/>
                <w:szCs w:val="21"/>
                <w:highlight w:val="none"/>
                <w:lang w:val="en-US" w:eastAsia="zh-CN"/>
              </w:rPr>
              <w:t>位于新疆维吾尔自治区巴音郭楞蒙古自治州若羌县以南直线距离85公里处</w:t>
            </w:r>
            <w:r>
              <w:rPr>
                <w:rFonts w:hint="default" w:ascii="Times New Roman" w:hAnsi="Times New Roman" w:eastAsia="宋体" w:cs="Times New Roman"/>
                <w:color w:val="auto"/>
                <w:sz w:val="21"/>
                <w:szCs w:val="21"/>
                <w:highlight w:val="none"/>
              </w:rPr>
              <w:t>。在项目建设范围内及周边均无珍稀的动植物。建设单</w:t>
            </w:r>
            <w:r>
              <w:rPr>
                <w:rFonts w:hint="eastAsia" w:cs="Times New Roman"/>
                <w:color w:val="auto"/>
                <w:sz w:val="21"/>
                <w:szCs w:val="21"/>
                <w:highlight w:val="none"/>
                <w:lang w:eastAsia="zh-CN"/>
              </w:rPr>
              <w:t>位要</w:t>
            </w:r>
            <w:r>
              <w:rPr>
                <w:rFonts w:hint="default" w:ascii="Times New Roman" w:hAnsi="Times New Roman" w:eastAsia="宋体" w:cs="Times New Roman"/>
                <w:color w:val="auto"/>
                <w:sz w:val="21"/>
                <w:szCs w:val="21"/>
                <w:highlight w:val="none"/>
              </w:rPr>
              <w:t>加强管理和监督，施工期生态保护措施</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1.严格划定施工边界，所有作业、机械行驶、物料堆放均限定在项目用地范围内，严禁超范围开挖、碾压周边地表，保护荒漠原生地表结皮与耐旱植被，最大限度减少地表扰动。2.施工开挖产生的临时土方、弃渣集中堆存，全程采用防尘网全覆盖，并设置简易防风围挡，抵御大风引发风力侵蚀、土地沙化；大风天气暂停土方开挖、地表平整等扰动作业。3.优化施工排水，依托场区规划环形排水渠布设临时导水设施，疏导短时坡面汇水，防止地表径流冲刷造成水力型水土流失。4.施工机械、运输车辆仅在规划通道内行驶，禁止碾压场外土体与植被；施工结束后立即清理建筑垃圾、施工废料，对所有扰动地表进行平整、压实，消除松散土体。5.场区无珍稀动植物，施工期间禁止随意铲除、破坏场地内原有荒漠植被。</w:t>
            </w:r>
          </w:p>
          <w:p w14:paraId="411F32A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运营期生态保护措施</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1.建立月度生态巡查制度，重点巡查库区周边、防爆土堆、围墙外侧、排水渠沿线，及时修复风蚀造成的土体松动、小型塌陷，维持场地地形稳定。2.对场内裸露地面、运输通道定期洒水固沙，抑制区域风力侵蚀与局部沙化现象；严禁在场区及周边取土、挖沙、破坏地表。3.全场区垃圾做到日产日清，不随意丢弃、堆积废弃物，避免垃圾长期堆放破坏局部地表环境。4.定期维护场内人行、车行通道及排水设施，保障设施完好，防止路面破损、排水不畅间接引发生态破坏。5.落实场区封闭式管理，外来人员、车辆按指定路线通行，减少人为活动对周边荒漠生态的干扰。项目在营运期间不会对周边的生态环境造成明显的不利影响</w:t>
            </w:r>
            <w:r>
              <w:rPr>
                <w:rFonts w:hint="eastAsia" w:cs="Times New Roman"/>
                <w:color w:val="auto"/>
                <w:sz w:val="21"/>
                <w:szCs w:val="21"/>
                <w:highlight w:val="none"/>
                <w:lang w:eastAsia="zh-CN"/>
              </w:rPr>
              <w:t>。</w:t>
            </w:r>
          </w:p>
        </w:tc>
      </w:tr>
      <w:tr w14:paraId="77FCDD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77" w:type="dxa"/>
            <w:vAlign w:val="center"/>
          </w:tcPr>
          <w:p w14:paraId="41E8A3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环境风险</w:t>
            </w:r>
          </w:p>
          <w:p w14:paraId="504C44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防范措施</w:t>
            </w:r>
          </w:p>
        </w:tc>
        <w:tc>
          <w:tcPr>
            <w:tcW w:w="7626" w:type="dxa"/>
            <w:gridSpan w:val="4"/>
            <w:vAlign w:val="center"/>
          </w:tcPr>
          <w:p w14:paraId="680B25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对工作人员进行应急培训，组织应急演练，确保事故发生后影响降至最小。落实本报告提出的各项环境风险防范措施，加强安全生产管理，明确岗位责任制，增强环境风险意识，加强环境管理。</w:t>
            </w:r>
          </w:p>
        </w:tc>
      </w:tr>
      <w:tr w14:paraId="4DADB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177" w:type="dxa"/>
            <w:vAlign w:val="center"/>
          </w:tcPr>
          <w:p w14:paraId="0B4831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其他环境</w:t>
            </w:r>
          </w:p>
          <w:p w14:paraId="117713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管理要求</w:t>
            </w:r>
          </w:p>
        </w:tc>
        <w:tc>
          <w:tcPr>
            <w:tcW w:w="7626" w:type="dxa"/>
            <w:gridSpan w:val="4"/>
            <w:vAlign w:val="center"/>
          </w:tcPr>
          <w:p w14:paraId="7F7C53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eastAsia="zh-CN"/>
              </w:rPr>
              <w:t>1.</w:t>
            </w:r>
            <w:r>
              <w:rPr>
                <w:rFonts w:hint="default" w:ascii="Times New Roman" w:hAnsi="Times New Roman" w:eastAsia="宋体" w:cs="Times New Roman"/>
                <w:color w:val="auto"/>
                <w:sz w:val="21"/>
                <w:szCs w:val="21"/>
                <w:highlight w:val="none"/>
              </w:rPr>
              <w:t>项目建设必须严格执行环保设施与主体工程同时设计、同时施工、同时投产使用的“三同时”制度，工程竣工后按规定程序组织竣工环保验收，验收合格后主体工程方可投入正式运行。</w:t>
            </w:r>
          </w:p>
        </w:tc>
      </w:tr>
    </w:tbl>
    <w:p w14:paraId="087519BD">
      <w:pPr>
        <w:jc w:val="center"/>
        <w:outlineLvl w:val="0"/>
        <w:rPr>
          <w:rFonts w:ascii="黑体" w:hAnsi="黑体" w:eastAsia="黑体"/>
          <w:color w:val="auto"/>
          <w:sz w:val="30"/>
          <w:szCs w:val="30"/>
          <w:highlight w:val="none"/>
        </w:rPr>
      </w:pPr>
      <w:r>
        <w:rPr>
          <w:color w:val="auto"/>
          <w:highlight w:val="none"/>
        </w:rPr>
        <w:br w:type="page"/>
      </w:r>
      <w:r>
        <w:rPr>
          <w:rFonts w:hint="eastAsia" w:ascii="黑体" w:hAnsi="黑体" w:eastAsia="黑体"/>
          <w:color w:val="auto"/>
          <w:sz w:val="30"/>
          <w:szCs w:val="30"/>
          <w:highlight w:val="none"/>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4C6333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5D73C49B">
            <w:pPr>
              <w:spacing w:line="360" w:lineRule="auto"/>
              <w:ind w:firstLine="480" w:firstLineChars="200"/>
              <w:rPr>
                <w:rFonts w:hint="default" w:ascii="Times New Roman" w:hAnsi="Times New Roman" w:cs="Times New Roman"/>
                <w:color w:val="auto"/>
                <w:highlight w:val="none"/>
              </w:rPr>
            </w:pPr>
            <w:r>
              <w:rPr>
                <w:rFonts w:hint="eastAsia" w:ascii="宋体" w:hAnsi="宋体" w:eastAsia="宋体" w:cs="宋体"/>
                <w:color w:val="auto"/>
                <w:highlight w:val="none"/>
              </w:rPr>
              <w:t>项目建设符合国家产业政策，选址较为合理。项目符合当地经济结构的调整要求，在促进地区经济方面具有一定的作用。严格执行国家环保政策和各项规章管理制度，并切实落实本</w:t>
            </w:r>
            <w:r>
              <w:rPr>
                <w:rFonts w:hint="eastAsia" w:ascii="宋体" w:hAnsi="宋体" w:cs="宋体"/>
                <w:color w:val="auto"/>
                <w:highlight w:val="none"/>
                <w:lang w:eastAsia="zh-CN"/>
              </w:rPr>
              <w:t>报告</w:t>
            </w:r>
            <w:r>
              <w:rPr>
                <w:rFonts w:hint="eastAsia" w:ascii="宋体" w:hAnsi="宋体" w:eastAsia="宋体" w:cs="宋体"/>
                <w:color w:val="auto"/>
                <w:highlight w:val="none"/>
              </w:rPr>
              <w:t>中提出的各项环保措施</w:t>
            </w:r>
            <w:r>
              <w:rPr>
                <w:rFonts w:hint="eastAsia" w:ascii="宋体" w:hAnsi="宋体" w:cs="宋体"/>
                <w:color w:val="auto"/>
                <w:highlight w:val="none"/>
                <w:lang w:eastAsia="zh-CN"/>
              </w:rPr>
              <w:t>，在</w:t>
            </w:r>
            <w:r>
              <w:rPr>
                <w:rFonts w:hint="eastAsia" w:ascii="宋体" w:hAnsi="宋体" w:eastAsia="宋体" w:cs="宋体"/>
                <w:color w:val="auto"/>
                <w:highlight w:val="none"/>
              </w:rPr>
              <w:t>保证环保设施正常运转的条件下，从环境保护的角度分析，本项目的</w:t>
            </w:r>
            <w:r>
              <w:rPr>
                <w:rFonts w:hint="eastAsia"/>
                <w:highlight w:val="none"/>
                <w:lang w:val="en-US" w:eastAsia="zh-CN"/>
              </w:rPr>
              <w:t>环境影响可行</w:t>
            </w:r>
            <w:r>
              <w:rPr>
                <w:rFonts w:hint="eastAsia" w:ascii="宋体" w:hAnsi="宋体" w:eastAsia="宋体" w:cs="宋体"/>
                <w:color w:val="auto"/>
                <w:highlight w:val="none"/>
              </w:rPr>
              <w:t>。</w:t>
            </w:r>
          </w:p>
        </w:tc>
      </w:tr>
    </w:tbl>
    <w:p w14:paraId="093B3ED5">
      <w:pPr>
        <w:rPr>
          <w:rFonts w:ascii="宋体"/>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182F4A98">
      <w:pPr>
        <w:jc w:val="center"/>
        <w:outlineLvl w:val="0"/>
        <w:rPr>
          <w:rFonts w:ascii="方正小标宋_GBK" w:hAnsi="黑体" w:eastAsia="方正小标宋_GBK"/>
          <w:color w:val="auto"/>
          <w:sz w:val="38"/>
          <w:szCs w:val="38"/>
          <w:highlight w:val="none"/>
        </w:rPr>
      </w:pPr>
      <w:r>
        <w:rPr>
          <w:rFonts w:hint="eastAsia" w:ascii="方正小标宋_GBK" w:hAnsi="黑体" w:eastAsia="方正小标宋_GBK"/>
          <w:color w:val="auto"/>
          <w:sz w:val="38"/>
          <w:szCs w:val="38"/>
          <w:highlight w:val="none"/>
        </w:rPr>
        <w:t>建设项目污染物排放量汇总表</w:t>
      </w:r>
    </w:p>
    <w:tbl>
      <w:tblPr>
        <w:tblStyle w:val="27"/>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1852"/>
        <w:gridCol w:w="1515"/>
        <w:gridCol w:w="1545"/>
        <w:gridCol w:w="1725"/>
        <w:gridCol w:w="1605"/>
        <w:gridCol w:w="1267"/>
        <w:gridCol w:w="1527"/>
        <w:gridCol w:w="1615"/>
      </w:tblGrid>
      <w:tr w14:paraId="4AB8F5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137" w:type="dxa"/>
            <w:tcBorders>
              <w:tl2br w:val="single" w:color="auto" w:sz="4" w:space="0"/>
            </w:tcBorders>
            <w:tcMar>
              <w:left w:w="28" w:type="dxa"/>
              <w:right w:w="28" w:type="dxa"/>
            </w:tcMar>
            <w:vAlign w:val="center"/>
          </w:tcPr>
          <w:p w14:paraId="71179E6F">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right"/>
              <w:rPr>
                <w:rFonts w:hint="default" w:ascii="Times New Roman" w:hAnsi="Times New Roman" w:eastAsia="宋体" w:cs="Times New Roman"/>
                <w:color w:val="auto"/>
                <w:spacing w:val="-6"/>
                <w:kern w:val="21"/>
                <w:sz w:val="21"/>
                <w:szCs w:val="21"/>
                <w:highlight w:val="none"/>
              </w:rPr>
            </w:pPr>
            <w:r>
              <w:rPr>
                <w:rFonts w:hint="default" w:ascii="Times New Roman" w:hAnsi="Times New Roman" w:eastAsia="宋体" w:cs="Times New Roman"/>
                <w:color w:val="auto"/>
                <w:spacing w:val="-6"/>
                <w:kern w:val="21"/>
                <w:sz w:val="21"/>
                <w:szCs w:val="21"/>
                <w:highlight w:val="none"/>
              </w:rPr>
              <w:t>项目</w:t>
            </w:r>
          </w:p>
          <w:p w14:paraId="21717327">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left"/>
              <w:rPr>
                <w:rFonts w:hint="default" w:ascii="Times New Roman" w:hAnsi="Times New Roman" w:eastAsia="宋体" w:cs="Times New Roman"/>
                <w:color w:val="auto"/>
                <w:spacing w:val="-6"/>
                <w:kern w:val="21"/>
                <w:sz w:val="21"/>
                <w:szCs w:val="21"/>
                <w:highlight w:val="none"/>
              </w:rPr>
            </w:pPr>
            <w:r>
              <w:rPr>
                <w:rFonts w:hint="default" w:ascii="Times New Roman" w:hAnsi="Times New Roman" w:eastAsia="宋体" w:cs="Times New Roman"/>
                <w:color w:val="auto"/>
                <w:spacing w:val="-6"/>
                <w:kern w:val="21"/>
                <w:sz w:val="21"/>
                <w:szCs w:val="21"/>
                <w:highlight w:val="none"/>
              </w:rPr>
              <w:t>分类</w:t>
            </w:r>
          </w:p>
        </w:tc>
        <w:tc>
          <w:tcPr>
            <w:tcW w:w="1852" w:type="dxa"/>
            <w:tcMar>
              <w:left w:w="28" w:type="dxa"/>
              <w:right w:w="28" w:type="dxa"/>
            </w:tcMar>
            <w:vAlign w:val="center"/>
          </w:tcPr>
          <w:p w14:paraId="2034692E">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污染物名称</w:t>
            </w:r>
          </w:p>
        </w:tc>
        <w:tc>
          <w:tcPr>
            <w:tcW w:w="1515" w:type="dxa"/>
            <w:tcMar>
              <w:left w:w="28" w:type="dxa"/>
              <w:right w:w="28" w:type="dxa"/>
            </w:tcMar>
            <w:vAlign w:val="center"/>
          </w:tcPr>
          <w:p w14:paraId="5D502514">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现有工程排放量（固体废物产生量）</w:t>
            </w:r>
            <w:r>
              <w:rPr>
                <w:rFonts w:hint="default" w:ascii="Times New Roman" w:hAnsi="Times New Roman" w:eastAsia="宋体" w:cs="Times New Roman"/>
                <w:color w:val="auto"/>
                <w:kern w:val="21"/>
                <w:sz w:val="21"/>
                <w:szCs w:val="21"/>
                <w:highlight w:val="none"/>
                <w:lang w:val="en-US" w:eastAsia="zh-CN"/>
              </w:rPr>
              <w:fldChar w:fldCharType="begin"/>
            </w:r>
            <w:r>
              <w:rPr>
                <w:rFonts w:hint="default" w:ascii="Times New Roman" w:hAnsi="Times New Roman" w:eastAsia="宋体" w:cs="Times New Roman"/>
                <w:color w:val="auto"/>
                <w:kern w:val="21"/>
                <w:sz w:val="21"/>
                <w:szCs w:val="21"/>
                <w:highlight w:val="none"/>
                <w:lang w:val="en-US" w:eastAsia="zh-CN"/>
              </w:rPr>
              <w:instrText xml:space="preserve"> = 1 \* GB3 \* MERGEFORMAT </w:instrText>
            </w:r>
            <w:r>
              <w:rPr>
                <w:rFonts w:hint="default" w:ascii="Times New Roman" w:hAnsi="Times New Roman" w:eastAsia="宋体" w:cs="Times New Roman"/>
                <w:color w:val="auto"/>
                <w:kern w:val="21"/>
                <w:sz w:val="21"/>
                <w:szCs w:val="21"/>
                <w:highlight w:val="none"/>
                <w:lang w:val="en-US" w:eastAsia="zh-CN"/>
              </w:rPr>
              <w:fldChar w:fldCharType="separate"/>
            </w:r>
            <w:r>
              <w:rPr>
                <w:rFonts w:hint="default" w:ascii="Times New Roman" w:hAnsi="Times New Roman" w:eastAsia="宋体" w:cs="Times New Roman"/>
                <w:color w:val="auto"/>
                <w:kern w:val="21"/>
                <w:sz w:val="21"/>
                <w:szCs w:val="21"/>
                <w:highlight w:val="none"/>
                <w:lang w:val="en-US" w:eastAsia="zh-CN"/>
              </w:rPr>
              <w:t>①</w:t>
            </w:r>
            <w:r>
              <w:rPr>
                <w:rFonts w:hint="default" w:ascii="Times New Roman" w:hAnsi="Times New Roman" w:eastAsia="宋体" w:cs="Times New Roman"/>
                <w:color w:val="auto"/>
                <w:kern w:val="21"/>
                <w:sz w:val="21"/>
                <w:szCs w:val="21"/>
                <w:highlight w:val="none"/>
                <w:lang w:val="en-US" w:eastAsia="zh-CN"/>
              </w:rPr>
              <w:fldChar w:fldCharType="end"/>
            </w:r>
          </w:p>
        </w:tc>
        <w:tc>
          <w:tcPr>
            <w:tcW w:w="1545" w:type="dxa"/>
            <w:tcMar>
              <w:left w:w="28" w:type="dxa"/>
              <w:right w:w="28" w:type="dxa"/>
            </w:tcMar>
            <w:vAlign w:val="center"/>
          </w:tcPr>
          <w:p w14:paraId="0585E60F">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现有工程</w:t>
            </w:r>
          </w:p>
          <w:p w14:paraId="2319D5B1">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许可排放量</w:t>
            </w:r>
            <w:r>
              <w:rPr>
                <w:rFonts w:hint="default" w:ascii="Times New Roman" w:hAnsi="Times New Roman" w:eastAsia="宋体" w:cs="Times New Roman"/>
                <w:color w:val="auto"/>
                <w:kern w:val="21"/>
                <w:sz w:val="21"/>
                <w:szCs w:val="21"/>
                <w:highlight w:val="none"/>
                <w:lang w:val="en-US" w:eastAsia="zh-CN"/>
              </w:rPr>
              <w:fldChar w:fldCharType="begin"/>
            </w:r>
            <w:r>
              <w:rPr>
                <w:rFonts w:hint="default" w:ascii="Times New Roman" w:hAnsi="Times New Roman" w:eastAsia="宋体" w:cs="Times New Roman"/>
                <w:color w:val="auto"/>
                <w:kern w:val="21"/>
                <w:sz w:val="21"/>
                <w:szCs w:val="21"/>
                <w:highlight w:val="none"/>
                <w:lang w:val="en-US" w:eastAsia="zh-CN"/>
              </w:rPr>
              <w:instrText xml:space="preserve"> = 2 \* GB3 \* MERGEFORMAT </w:instrText>
            </w:r>
            <w:r>
              <w:rPr>
                <w:rFonts w:hint="default" w:ascii="Times New Roman" w:hAnsi="Times New Roman" w:eastAsia="宋体" w:cs="Times New Roman"/>
                <w:color w:val="auto"/>
                <w:kern w:val="21"/>
                <w:sz w:val="21"/>
                <w:szCs w:val="21"/>
                <w:highlight w:val="none"/>
                <w:lang w:val="en-US" w:eastAsia="zh-CN"/>
              </w:rPr>
              <w:fldChar w:fldCharType="separate"/>
            </w:r>
            <w:r>
              <w:rPr>
                <w:rFonts w:hint="default" w:ascii="Times New Roman" w:hAnsi="Times New Roman" w:eastAsia="宋体" w:cs="Times New Roman"/>
                <w:color w:val="auto"/>
                <w:kern w:val="21"/>
                <w:sz w:val="21"/>
                <w:szCs w:val="21"/>
                <w:highlight w:val="none"/>
                <w:lang w:val="en-US" w:eastAsia="zh-CN"/>
              </w:rPr>
              <w:t>②</w:t>
            </w:r>
            <w:r>
              <w:rPr>
                <w:rFonts w:hint="default" w:ascii="Times New Roman" w:hAnsi="Times New Roman" w:eastAsia="宋体" w:cs="Times New Roman"/>
                <w:color w:val="auto"/>
                <w:kern w:val="21"/>
                <w:sz w:val="21"/>
                <w:szCs w:val="21"/>
                <w:highlight w:val="none"/>
                <w:lang w:val="en-US" w:eastAsia="zh-CN"/>
              </w:rPr>
              <w:fldChar w:fldCharType="end"/>
            </w:r>
          </w:p>
        </w:tc>
        <w:tc>
          <w:tcPr>
            <w:tcW w:w="1725" w:type="dxa"/>
            <w:tcMar>
              <w:left w:w="28" w:type="dxa"/>
              <w:right w:w="28" w:type="dxa"/>
            </w:tcMar>
            <w:vAlign w:val="center"/>
          </w:tcPr>
          <w:p w14:paraId="2B7EEA02">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在建工程排放量（固体废物产生量）</w:t>
            </w:r>
            <w:r>
              <w:rPr>
                <w:rFonts w:hint="default" w:ascii="Times New Roman" w:hAnsi="Times New Roman" w:eastAsia="宋体" w:cs="Times New Roman"/>
                <w:color w:val="auto"/>
                <w:kern w:val="21"/>
                <w:sz w:val="21"/>
                <w:szCs w:val="21"/>
                <w:highlight w:val="none"/>
                <w:lang w:val="en-US" w:eastAsia="zh-CN"/>
              </w:rPr>
              <w:fldChar w:fldCharType="begin"/>
            </w:r>
            <w:r>
              <w:rPr>
                <w:rFonts w:hint="default" w:ascii="Times New Roman" w:hAnsi="Times New Roman" w:eastAsia="宋体" w:cs="Times New Roman"/>
                <w:color w:val="auto"/>
                <w:kern w:val="21"/>
                <w:sz w:val="21"/>
                <w:szCs w:val="21"/>
                <w:highlight w:val="none"/>
                <w:lang w:val="en-US" w:eastAsia="zh-CN"/>
              </w:rPr>
              <w:instrText xml:space="preserve"> = 3 \* GB3 \* MERGEFORMAT </w:instrText>
            </w:r>
            <w:r>
              <w:rPr>
                <w:rFonts w:hint="default" w:ascii="Times New Roman" w:hAnsi="Times New Roman" w:eastAsia="宋体" w:cs="Times New Roman"/>
                <w:color w:val="auto"/>
                <w:kern w:val="21"/>
                <w:sz w:val="21"/>
                <w:szCs w:val="21"/>
                <w:highlight w:val="none"/>
                <w:lang w:val="en-US" w:eastAsia="zh-CN"/>
              </w:rPr>
              <w:fldChar w:fldCharType="separate"/>
            </w:r>
            <w:r>
              <w:rPr>
                <w:rFonts w:hint="default" w:ascii="Times New Roman" w:hAnsi="Times New Roman" w:eastAsia="宋体" w:cs="Times New Roman"/>
                <w:color w:val="auto"/>
                <w:kern w:val="21"/>
                <w:sz w:val="21"/>
                <w:szCs w:val="21"/>
                <w:highlight w:val="none"/>
                <w:lang w:val="en-US" w:eastAsia="zh-CN"/>
              </w:rPr>
              <w:t>③</w:t>
            </w:r>
            <w:r>
              <w:rPr>
                <w:rFonts w:hint="default" w:ascii="Times New Roman" w:hAnsi="Times New Roman" w:eastAsia="宋体" w:cs="Times New Roman"/>
                <w:color w:val="auto"/>
                <w:kern w:val="21"/>
                <w:sz w:val="21"/>
                <w:szCs w:val="21"/>
                <w:highlight w:val="none"/>
                <w:lang w:val="en-US" w:eastAsia="zh-CN"/>
              </w:rPr>
              <w:fldChar w:fldCharType="end"/>
            </w:r>
          </w:p>
        </w:tc>
        <w:tc>
          <w:tcPr>
            <w:tcW w:w="1605" w:type="dxa"/>
            <w:tcMar>
              <w:left w:w="28" w:type="dxa"/>
              <w:right w:w="28" w:type="dxa"/>
            </w:tcMar>
            <w:vAlign w:val="center"/>
          </w:tcPr>
          <w:p w14:paraId="01ACB7D0">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本项目排放量（固体废物产生量）</w:t>
            </w:r>
            <w:r>
              <w:rPr>
                <w:rFonts w:hint="default" w:ascii="Times New Roman" w:hAnsi="Times New Roman" w:eastAsia="宋体" w:cs="Times New Roman"/>
                <w:color w:val="auto"/>
                <w:kern w:val="21"/>
                <w:sz w:val="21"/>
                <w:szCs w:val="21"/>
                <w:highlight w:val="none"/>
                <w:lang w:val="en-US" w:eastAsia="zh-CN"/>
              </w:rPr>
              <w:fldChar w:fldCharType="begin"/>
            </w:r>
            <w:r>
              <w:rPr>
                <w:rFonts w:hint="default" w:ascii="Times New Roman" w:hAnsi="Times New Roman" w:eastAsia="宋体" w:cs="Times New Roman"/>
                <w:color w:val="auto"/>
                <w:kern w:val="21"/>
                <w:sz w:val="21"/>
                <w:szCs w:val="21"/>
                <w:highlight w:val="none"/>
                <w:lang w:val="en-US" w:eastAsia="zh-CN"/>
              </w:rPr>
              <w:instrText xml:space="preserve"> = 4 \* GB3 \* MERGEFORMAT </w:instrText>
            </w:r>
            <w:r>
              <w:rPr>
                <w:rFonts w:hint="default" w:ascii="Times New Roman" w:hAnsi="Times New Roman" w:eastAsia="宋体" w:cs="Times New Roman"/>
                <w:color w:val="auto"/>
                <w:kern w:val="21"/>
                <w:sz w:val="21"/>
                <w:szCs w:val="21"/>
                <w:highlight w:val="none"/>
                <w:lang w:val="en-US" w:eastAsia="zh-CN"/>
              </w:rPr>
              <w:fldChar w:fldCharType="separate"/>
            </w:r>
            <w:r>
              <w:rPr>
                <w:rFonts w:hint="default" w:ascii="Times New Roman" w:hAnsi="Times New Roman" w:eastAsia="宋体" w:cs="Times New Roman"/>
                <w:color w:val="auto"/>
                <w:kern w:val="21"/>
                <w:sz w:val="21"/>
                <w:szCs w:val="21"/>
                <w:highlight w:val="none"/>
                <w:lang w:val="en-US" w:eastAsia="zh-CN"/>
              </w:rPr>
              <w:t>④</w:t>
            </w:r>
            <w:r>
              <w:rPr>
                <w:rFonts w:hint="default" w:ascii="Times New Roman" w:hAnsi="Times New Roman" w:eastAsia="宋体" w:cs="Times New Roman"/>
                <w:color w:val="auto"/>
                <w:kern w:val="21"/>
                <w:sz w:val="21"/>
                <w:szCs w:val="21"/>
                <w:highlight w:val="none"/>
                <w:lang w:val="en-US" w:eastAsia="zh-CN"/>
              </w:rPr>
              <w:fldChar w:fldCharType="end"/>
            </w:r>
          </w:p>
        </w:tc>
        <w:tc>
          <w:tcPr>
            <w:tcW w:w="1267" w:type="dxa"/>
            <w:tcMar>
              <w:left w:w="28" w:type="dxa"/>
              <w:right w:w="28" w:type="dxa"/>
            </w:tcMar>
            <w:vAlign w:val="center"/>
          </w:tcPr>
          <w:p w14:paraId="2E52F889">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以新带老削减量（新建项目不填）</w:t>
            </w:r>
            <w:r>
              <w:rPr>
                <w:rFonts w:hint="default" w:ascii="Times New Roman" w:hAnsi="Times New Roman" w:eastAsia="宋体" w:cs="Times New Roman"/>
                <w:color w:val="auto"/>
                <w:kern w:val="21"/>
                <w:sz w:val="21"/>
                <w:szCs w:val="21"/>
                <w:highlight w:val="none"/>
                <w:lang w:val="en-US" w:eastAsia="zh-CN"/>
              </w:rPr>
              <w:fldChar w:fldCharType="begin"/>
            </w:r>
            <w:r>
              <w:rPr>
                <w:rFonts w:hint="default" w:ascii="Times New Roman" w:hAnsi="Times New Roman" w:eastAsia="宋体" w:cs="Times New Roman"/>
                <w:color w:val="auto"/>
                <w:kern w:val="21"/>
                <w:sz w:val="21"/>
                <w:szCs w:val="21"/>
                <w:highlight w:val="none"/>
                <w:lang w:val="en-US" w:eastAsia="zh-CN"/>
              </w:rPr>
              <w:instrText xml:space="preserve"> = 5 \* GB3 \* MERGEFORMAT </w:instrText>
            </w:r>
            <w:r>
              <w:rPr>
                <w:rFonts w:hint="default" w:ascii="Times New Roman" w:hAnsi="Times New Roman" w:eastAsia="宋体" w:cs="Times New Roman"/>
                <w:color w:val="auto"/>
                <w:kern w:val="21"/>
                <w:sz w:val="21"/>
                <w:szCs w:val="21"/>
                <w:highlight w:val="none"/>
                <w:lang w:val="en-US" w:eastAsia="zh-CN"/>
              </w:rPr>
              <w:fldChar w:fldCharType="separate"/>
            </w:r>
            <w:r>
              <w:rPr>
                <w:rFonts w:hint="default" w:ascii="Times New Roman" w:hAnsi="Times New Roman" w:eastAsia="宋体" w:cs="Times New Roman"/>
                <w:color w:val="auto"/>
                <w:kern w:val="21"/>
                <w:sz w:val="21"/>
                <w:szCs w:val="21"/>
                <w:highlight w:val="none"/>
                <w:lang w:val="en-US" w:eastAsia="zh-CN"/>
              </w:rPr>
              <w:t>⑤</w:t>
            </w:r>
            <w:r>
              <w:rPr>
                <w:rFonts w:hint="default" w:ascii="Times New Roman" w:hAnsi="Times New Roman" w:eastAsia="宋体" w:cs="Times New Roman"/>
                <w:color w:val="auto"/>
                <w:kern w:val="21"/>
                <w:sz w:val="21"/>
                <w:szCs w:val="21"/>
                <w:highlight w:val="none"/>
                <w:lang w:val="en-US" w:eastAsia="zh-CN"/>
              </w:rPr>
              <w:fldChar w:fldCharType="end"/>
            </w:r>
          </w:p>
        </w:tc>
        <w:tc>
          <w:tcPr>
            <w:tcW w:w="1527" w:type="dxa"/>
            <w:tcMar>
              <w:left w:w="28" w:type="dxa"/>
              <w:right w:w="28" w:type="dxa"/>
            </w:tcMar>
            <w:vAlign w:val="center"/>
          </w:tcPr>
          <w:p w14:paraId="2BA98E6E">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本项目建成后</w:t>
            </w:r>
          </w:p>
          <w:p w14:paraId="44F8BA37">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全厂排放量（固体废物产生量）</w:t>
            </w:r>
            <w:r>
              <w:rPr>
                <w:rFonts w:hint="default" w:ascii="Times New Roman" w:hAnsi="Times New Roman" w:eastAsia="宋体" w:cs="Times New Roman"/>
                <w:color w:val="auto"/>
                <w:kern w:val="21"/>
                <w:sz w:val="21"/>
                <w:szCs w:val="21"/>
                <w:highlight w:val="none"/>
                <w:lang w:val="en-US" w:eastAsia="zh-CN"/>
              </w:rPr>
              <w:fldChar w:fldCharType="begin"/>
            </w:r>
            <w:r>
              <w:rPr>
                <w:rFonts w:hint="default" w:ascii="Times New Roman" w:hAnsi="Times New Roman" w:eastAsia="宋体" w:cs="Times New Roman"/>
                <w:color w:val="auto"/>
                <w:kern w:val="21"/>
                <w:sz w:val="21"/>
                <w:szCs w:val="21"/>
                <w:highlight w:val="none"/>
                <w:lang w:val="en-US" w:eastAsia="zh-CN"/>
              </w:rPr>
              <w:instrText xml:space="preserve"> = 6 \* GB3 \* MERGEFORMAT </w:instrText>
            </w:r>
            <w:r>
              <w:rPr>
                <w:rFonts w:hint="default" w:ascii="Times New Roman" w:hAnsi="Times New Roman" w:eastAsia="宋体" w:cs="Times New Roman"/>
                <w:color w:val="auto"/>
                <w:kern w:val="21"/>
                <w:sz w:val="21"/>
                <w:szCs w:val="21"/>
                <w:highlight w:val="none"/>
                <w:lang w:val="en-US" w:eastAsia="zh-CN"/>
              </w:rPr>
              <w:fldChar w:fldCharType="separate"/>
            </w:r>
            <w:r>
              <w:rPr>
                <w:rFonts w:hint="default" w:ascii="Times New Roman" w:hAnsi="Times New Roman" w:eastAsia="宋体" w:cs="Times New Roman"/>
                <w:color w:val="auto"/>
                <w:kern w:val="21"/>
                <w:sz w:val="21"/>
                <w:szCs w:val="21"/>
                <w:highlight w:val="none"/>
                <w:lang w:val="en-US" w:eastAsia="zh-CN"/>
              </w:rPr>
              <w:t>⑥</w:t>
            </w:r>
            <w:r>
              <w:rPr>
                <w:rFonts w:hint="default" w:ascii="Times New Roman" w:hAnsi="Times New Roman" w:eastAsia="宋体" w:cs="Times New Roman"/>
                <w:color w:val="auto"/>
                <w:kern w:val="21"/>
                <w:sz w:val="21"/>
                <w:szCs w:val="21"/>
                <w:highlight w:val="none"/>
                <w:lang w:val="en-US" w:eastAsia="zh-CN"/>
              </w:rPr>
              <w:fldChar w:fldCharType="end"/>
            </w:r>
          </w:p>
        </w:tc>
        <w:tc>
          <w:tcPr>
            <w:tcW w:w="1615" w:type="dxa"/>
            <w:tcMar>
              <w:left w:w="28" w:type="dxa"/>
              <w:right w:w="28" w:type="dxa"/>
            </w:tcMar>
            <w:vAlign w:val="center"/>
          </w:tcPr>
          <w:p w14:paraId="4009D3CE">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变化量</w:t>
            </w:r>
          </w:p>
          <w:p w14:paraId="6559ABAD">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fldChar w:fldCharType="begin"/>
            </w:r>
            <w:r>
              <w:rPr>
                <w:rFonts w:hint="default" w:ascii="Times New Roman" w:hAnsi="Times New Roman" w:eastAsia="宋体" w:cs="Times New Roman"/>
                <w:color w:val="auto"/>
                <w:kern w:val="21"/>
                <w:sz w:val="21"/>
                <w:szCs w:val="21"/>
                <w:highlight w:val="none"/>
                <w:lang w:val="en-US" w:eastAsia="zh-CN"/>
              </w:rPr>
              <w:instrText xml:space="preserve"> = 7 \* GB3 \* MERGEFORMAT </w:instrText>
            </w:r>
            <w:r>
              <w:rPr>
                <w:rFonts w:hint="default" w:ascii="Times New Roman" w:hAnsi="Times New Roman" w:eastAsia="宋体" w:cs="Times New Roman"/>
                <w:color w:val="auto"/>
                <w:kern w:val="21"/>
                <w:sz w:val="21"/>
                <w:szCs w:val="21"/>
                <w:highlight w:val="none"/>
                <w:lang w:val="en-US" w:eastAsia="zh-CN"/>
              </w:rPr>
              <w:fldChar w:fldCharType="separate"/>
            </w:r>
            <w:r>
              <w:rPr>
                <w:rFonts w:hint="default" w:ascii="Times New Roman" w:hAnsi="Times New Roman" w:eastAsia="宋体" w:cs="Times New Roman"/>
                <w:color w:val="auto"/>
                <w:kern w:val="21"/>
                <w:sz w:val="21"/>
                <w:szCs w:val="21"/>
                <w:highlight w:val="none"/>
                <w:lang w:val="en-US" w:eastAsia="zh-CN"/>
              </w:rPr>
              <w:t>⑦</w:t>
            </w:r>
            <w:r>
              <w:rPr>
                <w:rFonts w:hint="default" w:ascii="Times New Roman" w:hAnsi="Times New Roman" w:eastAsia="宋体" w:cs="Times New Roman"/>
                <w:color w:val="auto"/>
                <w:kern w:val="21"/>
                <w:sz w:val="21"/>
                <w:szCs w:val="21"/>
                <w:highlight w:val="none"/>
                <w:lang w:val="en-US" w:eastAsia="zh-CN"/>
              </w:rPr>
              <w:fldChar w:fldCharType="end"/>
            </w:r>
          </w:p>
        </w:tc>
      </w:tr>
      <w:tr w14:paraId="296E44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37" w:type="dxa"/>
            <w:vAlign w:val="center"/>
          </w:tcPr>
          <w:p w14:paraId="0EA9EB34">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废气</w:t>
            </w:r>
          </w:p>
        </w:tc>
        <w:tc>
          <w:tcPr>
            <w:tcW w:w="1852" w:type="dxa"/>
            <w:vAlign w:val="center"/>
          </w:tcPr>
          <w:p w14:paraId="72D3E12E">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1"/>
                <w:sz w:val="21"/>
                <w:szCs w:val="21"/>
                <w:highlight w:val="none"/>
                <w:lang w:val="en-US" w:eastAsia="zh-CN"/>
              </w:rPr>
            </w:pPr>
            <w:r>
              <w:rPr>
                <w:rFonts w:hint="eastAsia" w:cs="Times New Roman"/>
                <w:color w:val="auto"/>
                <w:sz w:val="21"/>
                <w:szCs w:val="21"/>
                <w:highlight w:val="none"/>
                <w:lang w:val="en-US" w:eastAsia="zh-CN"/>
              </w:rPr>
              <w:t>颗粒物</w:t>
            </w:r>
          </w:p>
        </w:tc>
        <w:tc>
          <w:tcPr>
            <w:tcW w:w="1515" w:type="dxa"/>
            <w:vAlign w:val="center"/>
          </w:tcPr>
          <w:p w14:paraId="1900348A">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0</w:t>
            </w:r>
          </w:p>
        </w:tc>
        <w:tc>
          <w:tcPr>
            <w:tcW w:w="1545" w:type="dxa"/>
            <w:vAlign w:val="center"/>
          </w:tcPr>
          <w:p w14:paraId="6C40D71C">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0</w:t>
            </w:r>
          </w:p>
        </w:tc>
        <w:tc>
          <w:tcPr>
            <w:tcW w:w="1725" w:type="dxa"/>
            <w:vAlign w:val="center"/>
          </w:tcPr>
          <w:p w14:paraId="044F7224">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0</w:t>
            </w:r>
          </w:p>
        </w:tc>
        <w:tc>
          <w:tcPr>
            <w:tcW w:w="1605" w:type="dxa"/>
            <w:shd w:val="clear" w:color="auto" w:fill="auto"/>
            <w:vAlign w:val="center"/>
          </w:tcPr>
          <w:p w14:paraId="19B5F16E">
            <w:pPr>
              <w:keepNext w:val="0"/>
              <w:keepLines w:val="0"/>
              <w:pageBreakBefore w:val="0"/>
              <w:kinsoku/>
              <w:wordWrap/>
              <w:overflowPunct/>
              <w:topLinePunct w:val="0"/>
              <w:autoSpaceDE/>
              <w:autoSpaceDN/>
              <w:bidi w:val="0"/>
              <w:adjustRightInd w:val="0"/>
              <w:snapToGrid w:val="0"/>
              <w:spacing w:line="240" w:lineRule="auto"/>
              <w:jc w:val="center"/>
              <w:rPr>
                <w:rFonts w:hint="default" w:ascii="宋体" w:hAnsi="宋体" w:eastAsia="宋体" w:cs="宋体"/>
                <w:i w:val="0"/>
                <w:iCs w:val="0"/>
                <w:snapToGrid w:val="0"/>
                <w:color w:val="auto"/>
                <w:kern w:val="0"/>
                <w:sz w:val="22"/>
                <w:szCs w:val="22"/>
                <w:highlight w:val="none"/>
                <w:u w:val="none"/>
                <w:lang w:val="en-US" w:eastAsia="zh-CN" w:bidi="ar-SA"/>
                <w14:ligatures w14:val="none"/>
              </w:rPr>
            </w:pPr>
            <w:r>
              <w:rPr>
                <w:rFonts w:hint="eastAsia" w:cs="Times New Roman"/>
                <w:snapToGrid w:val="0"/>
                <w:color w:val="auto"/>
                <w:kern w:val="0"/>
                <w:sz w:val="21"/>
                <w:szCs w:val="21"/>
                <w:highlight w:val="none"/>
                <w:lang w:val="en-US" w:eastAsia="zh-CN" w:bidi="ar-SA"/>
                <w14:ligatures w14:val="none"/>
              </w:rPr>
              <w:t>/</w:t>
            </w:r>
          </w:p>
        </w:tc>
        <w:tc>
          <w:tcPr>
            <w:tcW w:w="1267" w:type="dxa"/>
            <w:vAlign w:val="center"/>
          </w:tcPr>
          <w:p w14:paraId="2EA97F69">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w:t>
            </w:r>
          </w:p>
        </w:tc>
        <w:tc>
          <w:tcPr>
            <w:tcW w:w="1527" w:type="dxa"/>
            <w:vAlign w:val="center"/>
          </w:tcPr>
          <w:p w14:paraId="26CB2406">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1"/>
                <w:sz w:val="21"/>
                <w:szCs w:val="21"/>
                <w:highlight w:val="none"/>
              </w:rPr>
            </w:pPr>
            <w:r>
              <w:rPr>
                <w:rFonts w:hint="eastAsia" w:cs="Times New Roman"/>
                <w:snapToGrid w:val="0"/>
                <w:color w:val="auto"/>
                <w:kern w:val="0"/>
                <w:sz w:val="21"/>
                <w:szCs w:val="21"/>
                <w:highlight w:val="none"/>
                <w:lang w:val="en-US" w:eastAsia="zh-CN" w:bidi="ar-SA"/>
                <w14:ligatures w14:val="none"/>
              </w:rPr>
              <w:t>/</w:t>
            </w:r>
          </w:p>
        </w:tc>
        <w:tc>
          <w:tcPr>
            <w:tcW w:w="1615" w:type="dxa"/>
            <w:vAlign w:val="center"/>
          </w:tcPr>
          <w:p w14:paraId="08F448CA">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1"/>
                <w:sz w:val="21"/>
                <w:szCs w:val="21"/>
                <w:highlight w:val="none"/>
              </w:rPr>
            </w:pPr>
            <w:r>
              <w:rPr>
                <w:rFonts w:hint="eastAsia" w:cs="Times New Roman"/>
                <w:snapToGrid w:val="0"/>
                <w:color w:val="auto"/>
                <w:kern w:val="0"/>
                <w:sz w:val="21"/>
                <w:szCs w:val="21"/>
                <w:highlight w:val="none"/>
                <w:lang w:val="en-US" w:eastAsia="zh-CN" w:bidi="ar-SA"/>
                <w14:ligatures w14:val="none"/>
              </w:rPr>
              <w:t>/</w:t>
            </w:r>
          </w:p>
        </w:tc>
      </w:tr>
      <w:tr w14:paraId="605CF4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37" w:type="dxa"/>
            <w:vMerge w:val="restart"/>
            <w:vAlign w:val="center"/>
          </w:tcPr>
          <w:p w14:paraId="56C5FDEE">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废水</w:t>
            </w:r>
          </w:p>
        </w:tc>
        <w:tc>
          <w:tcPr>
            <w:tcW w:w="1852" w:type="dxa"/>
            <w:vAlign w:val="center"/>
          </w:tcPr>
          <w:p w14:paraId="521361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center"/>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sz w:val="21"/>
                <w:szCs w:val="21"/>
                <w:highlight w:val="none"/>
              </w:rPr>
              <w:t>COD</w:t>
            </w:r>
          </w:p>
        </w:tc>
        <w:tc>
          <w:tcPr>
            <w:tcW w:w="1515" w:type="dxa"/>
            <w:vAlign w:val="center"/>
          </w:tcPr>
          <w:p w14:paraId="646A925B">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0</w:t>
            </w:r>
          </w:p>
        </w:tc>
        <w:tc>
          <w:tcPr>
            <w:tcW w:w="1545" w:type="dxa"/>
            <w:vAlign w:val="center"/>
          </w:tcPr>
          <w:p w14:paraId="6340D9F0">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0</w:t>
            </w:r>
          </w:p>
        </w:tc>
        <w:tc>
          <w:tcPr>
            <w:tcW w:w="1725" w:type="dxa"/>
            <w:vAlign w:val="center"/>
          </w:tcPr>
          <w:p w14:paraId="26D4BBDF">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0</w:t>
            </w:r>
          </w:p>
        </w:tc>
        <w:tc>
          <w:tcPr>
            <w:tcW w:w="1605" w:type="dxa"/>
            <w:vAlign w:val="center"/>
          </w:tcPr>
          <w:p w14:paraId="5B332392">
            <w:pPr>
              <w:pageBreakBefore w:val="0"/>
              <w:widowControl/>
              <w:kinsoku/>
              <w:wordWrap/>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b w:val="0"/>
                <w:bCs w:val="0"/>
                <w:color w:val="auto"/>
                <w:sz w:val="21"/>
                <w:szCs w:val="21"/>
                <w:highlight w:val="none"/>
                <w:lang w:val="en-US" w:eastAsia="zh-CN"/>
              </w:rPr>
              <w:t>0.0093</w:t>
            </w:r>
            <w:r>
              <w:rPr>
                <w:rFonts w:hint="default" w:ascii="Times New Roman" w:hAnsi="Times New Roman" w:eastAsia="宋体" w:cs="Times New Roman"/>
                <w:color w:val="auto"/>
                <w:sz w:val="21"/>
                <w:szCs w:val="21"/>
                <w:highlight w:val="none"/>
                <w:lang w:val="en-US" w:eastAsia="zh-CN"/>
              </w:rPr>
              <w:t>t/a</w:t>
            </w:r>
          </w:p>
        </w:tc>
        <w:tc>
          <w:tcPr>
            <w:tcW w:w="1267" w:type="dxa"/>
            <w:vAlign w:val="center"/>
          </w:tcPr>
          <w:p w14:paraId="01701CA4">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w:t>
            </w:r>
          </w:p>
        </w:tc>
        <w:tc>
          <w:tcPr>
            <w:tcW w:w="1527" w:type="dxa"/>
            <w:vAlign w:val="center"/>
          </w:tcPr>
          <w:p w14:paraId="04B9FA13">
            <w:pPr>
              <w:pageBreakBefore w:val="0"/>
              <w:widowControl/>
              <w:kinsoku/>
              <w:wordWrap/>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b w:val="0"/>
                <w:bCs w:val="0"/>
                <w:color w:val="auto"/>
                <w:sz w:val="21"/>
                <w:szCs w:val="21"/>
                <w:highlight w:val="none"/>
                <w:lang w:val="en-US" w:eastAsia="zh-CN"/>
              </w:rPr>
              <w:t>0.0093</w:t>
            </w:r>
            <w:r>
              <w:rPr>
                <w:rFonts w:hint="default" w:ascii="Times New Roman" w:hAnsi="Times New Roman" w:eastAsia="宋体" w:cs="Times New Roman"/>
                <w:color w:val="auto"/>
                <w:sz w:val="21"/>
                <w:szCs w:val="21"/>
                <w:highlight w:val="none"/>
                <w:lang w:val="en-US" w:eastAsia="zh-CN"/>
              </w:rPr>
              <w:t>t/a</w:t>
            </w:r>
          </w:p>
        </w:tc>
        <w:tc>
          <w:tcPr>
            <w:tcW w:w="1615" w:type="dxa"/>
            <w:vAlign w:val="center"/>
          </w:tcPr>
          <w:p w14:paraId="5F33E7F8">
            <w:pPr>
              <w:pageBreakBefore w:val="0"/>
              <w:widowControl/>
              <w:kinsoku/>
              <w:wordWrap/>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b w:val="0"/>
                <w:bCs w:val="0"/>
                <w:color w:val="auto"/>
                <w:sz w:val="21"/>
                <w:szCs w:val="21"/>
                <w:highlight w:val="none"/>
                <w:lang w:val="en-US" w:eastAsia="zh-CN"/>
              </w:rPr>
              <w:t>+0.0093</w:t>
            </w:r>
            <w:r>
              <w:rPr>
                <w:rFonts w:hint="default" w:ascii="Times New Roman" w:hAnsi="Times New Roman" w:eastAsia="宋体" w:cs="Times New Roman"/>
                <w:color w:val="auto"/>
                <w:sz w:val="21"/>
                <w:szCs w:val="21"/>
                <w:highlight w:val="none"/>
                <w:lang w:val="en-US" w:eastAsia="zh-CN"/>
              </w:rPr>
              <w:t>t/a</w:t>
            </w:r>
          </w:p>
        </w:tc>
      </w:tr>
      <w:tr w14:paraId="27A7A1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37" w:type="dxa"/>
            <w:vMerge w:val="continue"/>
            <w:vAlign w:val="center"/>
          </w:tcPr>
          <w:p w14:paraId="181F9B01">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p>
        </w:tc>
        <w:tc>
          <w:tcPr>
            <w:tcW w:w="1852" w:type="dxa"/>
            <w:vAlign w:val="center"/>
          </w:tcPr>
          <w:p w14:paraId="4AE438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center"/>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sz w:val="21"/>
                <w:szCs w:val="21"/>
                <w:highlight w:val="none"/>
              </w:rPr>
              <w:t>BOD</w:t>
            </w:r>
            <w:r>
              <w:rPr>
                <w:rFonts w:hint="default" w:ascii="Times New Roman" w:hAnsi="Times New Roman" w:eastAsia="宋体" w:cs="Times New Roman"/>
                <w:color w:val="auto"/>
                <w:sz w:val="21"/>
                <w:szCs w:val="21"/>
                <w:highlight w:val="none"/>
                <w:vertAlign w:val="subscript"/>
              </w:rPr>
              <w:t>5</w:t>
            </w:r>
          </w:p>
        </w:tc>
        <w:tc>
          <w:tcPr>
            <w:tcW w:w="1515" w:type="dxa"/>
            <w:vAlign w:val="center"/>
          </w:tcPr>
          <w:p w14:paraId="4E289A5B">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0</w:t>
            </w:r>
          </w:p>
        </w:tc>
        <w:tc>
          <w:tcPr>
            <w:tcW w:w="1545" w:type="dxa"/>
            <w:vAlign w:val="center"/>
          </w:tcPr>
          <w:p w14:paraId="14F50EEC">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0</w:t>
            </w:r>
          </w:p>
        </w:tc>
        <w:tc>
          <w:tcPr>
            <w:tcW w:w="1725" w:type="dxa"/>
            <w:vAlign w:val="center"/>
          </w:tcPr>
          <w:p w14:paraId="2E899495">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0</w:t>
            </w:r>
          </w:p>
        </w:tc>
        <w:tc>
          <w:tcPr>
            <w:tcW w:w="1605" w:type="dxa"/>
            <w:vAlign w:val="center"/>
          </w:tcPr>
          <w:p w14:paraId="73B2C6A0">
            <w:pPr>
              <w:pageBreakBefore w:val="0"/>
              <w:widowControl/>
              <w:kinsoku/>
              <w:wordWrap/>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0.0105</w:t>
            </w:r>
            <w:r>
              <w:rPr>
                <w:rFonts w:hint="default" w:ascii="Times New Roman" w:hAnsi="Times New Roman" w:eastAsia="宋体" w:cs="Times New Roman"/>
                <w:color w:val="auto"/>
                <w:sz w:val="21"/>
                <w:szCs w:val="21"/>
                <w:highlight w:val="none"/>
                <w:lang w:val="en-US" w:eastAsia="zh-CN"/>
              </w:rPr>
              <w:t>t/a</w:t>
            </w:r>
          </w:p>
        </w:tc>
        <w:tc>
          <w:tcPr>
            <w:tcW w:w="1267" w:type="dxa"/>
            <w:vAlign w:val="center"/>
          </w:tcPr>
          <w:p w14:paraId="42F91BEB">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w:t>
            </w:r>
          </w:p>
        </w:tc>
        <w:tc>
          <w:tcPr>
            <w:tcW w:w="1527" w:type="dxa"/>
            <w:vAlign w:val="center"/>
          </w:tcPr>
          <w:p w14:paraId="113BE2A3">
            <w:pPr>
              <w:pageBreakBefore w:val="0"/>
              <w:widowControl/>
              <w:kinsoku/>
              <w:wordWrap/>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0.0105</w:t>
            </w:r>
            <w:r>
              <w:rPr>
                <w:rFonts w:hint="default" w:ascii="Times New Roman" w:hAnsi="Times New Roman" w:eastAsia="宋体" w:cs="Times New Roman"/>
                <w:color w:val="auto"/>
                <w:sz w:val="21"/>
                <w:szCs w:val="21"/>
                <w:highlight w:val="none"/>
                <w:lang w:val="en-US" w:eastAsia="zh-CN"/>
              </w:rPr>
              <w:t>t/a</w:t>
            </w:r>
          </w:p>
        </w:tc>
        <w:tc>
          <w:tcPr>
            <w:tcW w:w="1615" w:type="dxa"/>
            <w:vAlign w:val="center"/>
          </w:tcPr>
          <w:p w14:paraId="08C0AF91">
            <w:pPr>
              <w:pageBreakBefore w:val="0"/>
              <w:widowControl/>
              <w:kinsoku/>
              <w:wordWrap/>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+0.0105</w:t>
            </w:r>
            <w:r>
              <w:rPr>
                <w:rFonts w:hint="default" w:ascii="Times New Roman" w:hAnsi="Times New Roman" w:eastAsia="宋体" w:cs="Times New Roman"/>
                <w:color w:val="auto"/>
                <w:sz w:val="21"/>
                <w:szCs w:val="21"/>
                <w:highlight w:val="none"/>
                <w:lang w:val="en-US" w:eastAsia="zh-CN"/>
              </w:rPr>
              <w:t>t/a</w:t>
            </w:r>
          </w:p>
        </w:tc>
      </w:tr>
      <w:tr w14:paraId="1CFEA2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37" w:type="dxa"/>
            <w:vMerge w:val="continue"/>
            <w:vAlign w:val="center"/>
          </w:tcPr>
          <w:p w14:paraId="057C5DE0">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p>
        </w:tc>
        <w:tc>
          <w:tcPr>
            <w:tcW w:w="1852" w:type="dxa"/>
            <w:vAlign w:val="center"/>
          </w:tcPr>
          <w:p w14:paraId="149330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center"/>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sz w:val="21"/>
                <w:szCs w:val="21"/>
                <w:highlight w:val="none"/>
              </w:rPr>
              <w:t>SS</w:t>
            </w:r>
          </w:p>
        </w:tc>
        <w:tc>
          <w:tcPr>
            <w:tcW w:w="1515" w:type="dxa"/>
            <w:vAlign w:val="center"/>
          </w:tcPr>
          <w:p w14:paraId="0836F093">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0</w:t>
            </w:r>
          </w:p>
        </w:tc>
        <w:tc>
          <w:tcPr>
            <w:tcW w:w="1545" w:type="dxa"/>
            <w:vAlign w:val="center"/>
          </w:tcPr>
          <w:p w14:paraId="4284AA84">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0</w:t>
            </w:r>
          </w:p>
        </w:tc>
        <w:tc>
          <w:tcPr>
            <w:tcW w:w="1725" w:type="dxa"/>
            <w:vAlign w:val="center"/>
          </w:tcPr>
          <w:p w14:paraId="63E8BD80">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0</w:t>
            </w:r>
          </w:p>
        </w:tc>
        <w:tc>
          <w:tcPr>
            <w:tcW w:w="1605" w:type="dxa"/>
            <w:vAlign w:val="center"/>
          </w:tcPr>
          <w:p w14:paraId="5AB545C4">
            <w:pPr>
              <w:pageBreakBefore w:val="0"/>
              <w:widowControl/>
              <w:kinsoku/>
              <w:wordWrap/>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0.0058</w:t>
            </w:r>
            <w:r>
              <w:rPr>
                <w:rFonts w:hint="default" w:ascii="Times New Roman" w:hAnsi="Times New Roman" w:eastAsia="宋体" w:cs="Times New Roman"/>
                <w:color w:val="auto"/>
                <w:sz w:val="21"/>
                <w:szCs w:val="21"/>
                <w:highlight w:val="none"/>
                <w:lang w:val="en-US" w:eastAsia="zh-CN"/>
              </w:rPr>
              <w:t>t/a</w:t>
            </w:r>
          </w:p>
        </w:tc>
        <w:tc>
          <w:tcPr>
            <w:tcW w:w="1267" w:type="dxa"/>
            <w:vAlign w:val="center"/>
          </w:tcPr>
          <w:p w14:paraId="4ECE43BB">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w:t>
            </w:r>
          </w:p>
        </w:tc>
        <w:tc>
          <w:tcPr>
            <w:tcW w:w="1527" w:type="dxa"/>
            <w:vAlign w:val="center"/>
          </w:tcPr>
          <w:p w14:paraId="3A924BD8">
            <w:pPr>
              <w:pageBreakBefore w:val="0"/>
              <w:widowControl/>
              <w:kinsoku/>
              <w:wordWrap/>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0.0058</w:t>
            </w:r>
            <w:r>
              <w:rPr>
                <w:rFonts w:hint="default" w:ascii="Times New Roman" w:hAnsi="Times New Roman" w:eastAsia="宋体" w:cs="Times New Roman"/>
                <w:color w:val="auto"/>
                <w:sz w:val="21"/>
                <w:szCs w:val="21"/>
                <w:highlight w:val="none"/>
                <w:lang w:val="en-US" w:eastAsia="zh-CN"/>
              </w:rPr>
              <w:t>t/a</w:t>
            </w:r>
          </w:p>
        </w:tc>
        <w:tc>
          <w:tcPr>
            <w:tcW w:w="1615" w:type="dxa"/>
            <w:vAlign w:val="center"/>
          </w:tcPr>
          <w:p w14:paraId="761C76E0">
            <w:pPr>
              <w:pageBreakBefore w:val="0"/>
              <w:widowControl/>
              <w:kinsoku/>
              <w:wordWrap/>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+0.0058</w:t>
            </w:r>
            <w:r>
              <w:rPr>
                <w:rFonts w:hint="default" w:ascii="Times New Roman" w:hAnsi="Times New Roman" w:eastAsia="宋体" w:cs="Times New Roman"/>
                <w:color w:val="auto"/>
                <w:sz w:val="21"/>
                <w:szCs w:val="21"/>
                <w:highlight w:val="none"/>
                <w:lang w:val="en-US" w:eastAsia="zh-CN"/>
              </w:rPr>
              <w:t>t/a</w:t>
            </w:r>
          </w:p>
        </w:tc>
      </w:tr>
      <w:tr w14:paraId="1D68D8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37" w:type="dxa"/>
            <w:vMerge w:val="continue"/>
            <w:vAlign w:val="center"/>
          </w:tcPr>
          <w:p w14:paraId="72CF8253">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lang w:val="en-US" w:eastAsia="zh-CN"/>
              </w:rPr>
            </w:pPr>
          </w:p>
        </w:tc>
        <w:tc>
          <w:tcPr>
            <w:tcW w:w="1852" w:type="dxa"/>
            <w:vAlign w:val="center"/>
          </w:tcPr>
          <w:p w14:paraId="0ACEC9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center"/>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sz w:val="21"/>
                <w:szCs w:val="21"/>
                <w:highlight w:val="none"/>
              </w:rPr>
              <w:t>NH</w:t>
            </w:r>
            <w:r>
              <w:rPr>
                <w:rFonts w:hint="default" w:ascii="Times New Roman" w:hAnsi="Times New Roman" w:eastAsia="宋体" w:cs="Times New Roman"/>
                <w:color w:val="auto"/>
                <w:sz w:val="21"/>
                <w:szCs w:val="21"/>
                <w:highlight w:val="none"/>
                <w:vertAlign w:val="subscript"/>
              </w:rPr>
              <w:t>3</w:t>
            </w:r>
            <w:r>
              <w:rPr>
                <w:rFonts w:hint="default" w:ascii="Times New Roman" w:hAnsi="Times New Roman" w:eastAsia="宋体" w:cs="Times New Roman"/>
                <w:color w:val="auto"/>
                <w:sz w:val="21"/>
                <w:szCs w:val="21"/>
                <w:highlight w:val="none"/>
              </w:rPr>
              <w:t>-N</w:t>
            </w:r>
          </w:p>
        </w:tc>
        <w:tc>
          <w:tcPr>
            <w:tcW w:w="1515" w:type="dxa"/>
            <w:vAlign w:val="center"/>
          </w:tcPr>
          <w:p w14:paraId="656117C2">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0</w:t>
            </w:r>
          </w:p>
        </w:tc>
        <w:tc>
          <w:tcPr>
            <w:tcW w:w="1545" w:type="dxa"/>
            <w:vAlign w:val="center"/>
          </w:tcPr>
          <w:p w14:paraId="04593E56">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0</w:t>
            </w:r>
          </w:p>
        </w:tc>
        <w:tc>
          <w:tcPr>
            <w:tcW w:w="1725" w:type="dxa"/>
            <w:vAlign w:val="center"/>
          </w:tcPr>
          <w:p w14:paraId="04CCE91A">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0</w:t>
            </w:r>
          </w:p>
        </w:tc>
        <w:tc>
          <w:tcPr>
            <w:tcW w:w="1605" w:type="dxa"/>
            <w:vAlign w:val="center"/>
          </w:tcPr>
          <w:p w14:paraId="2297C65F">
            <w:pPr>
              <w:pageBreakBefore w:val="0"/>
              <w:widowControl/>
              <w:kinsoku/>
              <w:wordWrap/>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0.00175</w:t>
            </w:r>
            <w:r>
              <w:rPr>
                <w:rFonts w:hint="default" w:ascii="Times New Roman" w:hAnsi="Times New Roman" w:eastAsia="宋体" w:cs="Times New Roman"/>
                <w:color w:val="auto"/>
                <w:sz w:val="21"/>
                <w:szCs w:val="21"/>
                <w:highlight w:val="none"/>
                <w:lang w:val="en-US" w:eastAsia="zh-CN"/>
              </w:rPr>
              <w:t>t/a</w:t>
            </w:r>
          </w:p>
        </w:tc>
        <w:tc>
          <w:tcPr>
            <w:tcW w:w="1267" w:type="dxa"/>
            <w:vAlign w:val="center"/>
          </w:tcPr>
          <w:p w14:paraId="6297D407">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eastAsia"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w:t>
            </w:r>
          </w:p>
        </w:tc>
        <w:tc>
          <w:tcPr>
            <w:tcW w:w="1527" w:type="dxa"/>
            <w:vAlign w:val="center"/>
          </w:tcPr>
          <w:p w14:paraId="3BCD4C9C">
            <w:pPr>
              <w:pageBreakBefore w:val="0"/>
              <w:widowControl/>
              <w:kinsoku/>
              <w:wordWrap/>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0.00175</w:t>
            </w:r>
            <w:r>
              <w:rPr>
                <w:rFonts w:hint="default" w:ascii="Times New Roman" w:hAnsi="Times New Roman" w:eastAsia="宋体" w:cs="Times New Roman"/>
                <w:color w:val="auto"/>
                <w:sz w:val="21"/>
                <w:szCs w:val="21"/>
                <w:highlight w:val="none"/>
                <w:lang w:val="en-US" w:eastAsia="zh-CN"/>
              </w:rPr>
              <w:t>t/a</w:t>
            </w:r>
          </w:p>
        </w:tc>
        <w:tc>
          <w:tcPr>
            <w:tcW w:w="1615" w:type="dxa"/>
            <w:vAlign w:val="center"/>
          </w:tcPr>
          <w:p w14:paraId="6E1C2021">
            <w:pPr>
              <w:pageBreakBefore w:val="0"/>
              <w:widowControl/>
              <w:kinsoku/>
              <w:wordWrap/>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+0.00175</w:t>
            </w:r>
            <w:r>
              <w:rPr>
                <w:rFonts w:hint="default" w:ascii="Times New Roman" w:hAnsi="Times New Roman" w:eastAsia="宋体" w:cs="Times New Roman"/>
                <w:color w:val="auto"/>
                <w:sz w:val="21"/>
                <w:szCs w:val="21"/>
                <w:highlight w:val="none"/>
                <w:lang w:val="en-US" w:eastAsia="zh-CN"/>
              </w:rPr>
              <w:t>t/a</w:t>
            </w:r>
          </w:p>
        </w:tc>
      </w:tr>
      <w:tr w14:paraId="3A8AFA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37" w:type="dxa"/>
            <w:vMerge w:val="restart"/>
            <w:vAlign w:val="center"/>
          </w:tcPr>
          <w:p w14:paraId="36E9B6A0">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固体废物</w:t>
            </w:r>
          </w:p>
        </w:tc>
        <w:tc>
          <w:tcPr>
            <w:tcW w:w="1852" w:type="dxa"/>
            <w:shd w:val="clear" w:color="auto" w:fill="auto"/>
            <w:vAlign w:val="center"/>
          </w:tcPr>
          <w:p w14:paraId="33D9F20D">
            <w:pPr>
              <w:spacing w:line="240" w:lineRule="auto"/>
              <w:jc w:val="center"/>
              <w:rPr>
                <w:rFonts w:hint="default" w:ascii="Times New Roman" w:hAnsi="Times New Roman" w:eastAsia="宋体" w:cs="Times New Roman"/>
                <w:snapToGrid w:val="0"/>
                <w:color w:val="auto"/>
                <w:kern w:val="21"/>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val="en-US" w:eastAsia="zh-CN"/>
              </w:rPr>
              <w:t>生活垃圾</w:t>
            </w:r>
          </w:p>
        </w:tc>
        <w:tc>
          <w:tcPr>
            <w:tcW w:w="1515" w:type="dxa"/>
            <w:shd w:val="clear" w:color="auto" w:fill="auto"/>
            <w:vAlign w:val="center"/>
          </w:tcPr>
          <w:p w14:paraId="42AA79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val="en-US" w:eastAsia="zh-CN"/>
              </w:rPr>
              <w:t>0</w:t>
            </w:r>
          </w:p>
        </w:tc>
        <w:tc>
          <w:tcPr>
            <w:tcW w:w="1545" w:type="dxa"/>
            <w:shd w:val="clear" w:color="auto" w:fill="auto"/>
            <w:vAlign w:val="center"/>
          </w:tcPr>
          <w:p w14:paraId="0EBC2E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val="en-US" w:eastAsia="zh-CN"/>
              </w:rPr>
              <w:t>0</w:t>
            </w:r>
          </w:p>
        </w:tc>
        <w:tc>
          <w:tcPr>
            <w:tcW w:w="1725" w:type="dxa"/>
            <w:shd w:val="clear" w:color="auto" w:fill="auto"/>
            <w:vAlign w:val="center"/>
          </w:tcPr>
          <w:p w14:paraId="277E10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val="en-US" w:eastAsia="zh-CN"/>
              </w:rPr>
              <w:t>0</w:t>
            </w:r>
          </w:p>
        </w:tc>
        <w:tc>
          <w:tcPr>
            <w:tcW w:w="1605" w:type="dxa"/>
            <w:shd w:val="clear" w:color="auto" w:fill="auto"/>
            <w:vAlign w:val="center"/>
          </w:tcPr>
          <w:p w14:paraId="0FC80C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bCs/>
                <w:color w:val="auto"/>
                <w:sz w:val="21"/>
                <w:szCs w:val="21"/>
                <w:highlight w:val="none"/>
                <w:lang w:val="en-US" w:eastAsia="zh-CN"/>
              </w:rPr>
              <w:t>1.825</w:t>
            </w:r>
            <w:r>
              <w:rPr>
                <w:rFonts w:hint="default" w:ascii="Times New Roman" w:hAnsi="Times New Roman" w:eastAsia="宋体" w:cs="Times New Roman"/>
                <w:color w:val="auto"/>
                <w:sz w:val="21"/>
                <w:szCs w:val="21"/>
                <w:highlight w:val="none"/>
                <w:lang w:val="en-US" w:eastAsia="zh-CN"/>
              </w:rPr>
              <w:t>t/a</w:t>
            </w:r>
          </w:p>
        </w:tc>
        <w:tc>
          <w:tcPr>
            <w:tcW w:w="1267" w:type="dxa"/>
            <w:shd w:val="clear" w:color="auto" w:fill="auto"/>
            <w:vAlign w:val="center"/>
          </w:tcPr>
          <w:p w14:paraId="7EC65A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default" w:ascii="Times New Roman" w:hAnsi="Times New Roman" w:eastAsia="宋体" w:cs="Times New Roman"/>
                <w:color w:val="auto"/>
                <w:sz w:val="21"/>
                <w:szCs w:val="21"/>
                <w:highlight w:val="none"/>
                <w:lang w:val="en-US" w:eastAsia="zh-CN"/>
              </w:rPr>
              <w:t>/</w:t>
            </w:r>
          </w:p>
        </w:tc>
        <w:tc>
          <w:tcPr>
            <w:tcW w:w="1527" w:type="dxa"/>
            <w:shd w:val="clear" w:color="auto" w:fill="auto"/>
            <w:vAlign w:val="center"/>
          </w:tcPr>
          <w:p w14:paraId="42EBD7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bCs/>
                <w:color w:val="auto"/>
                <w:sz w:val="21"/>
                <w:szCs w:val="21"/>
                <w:highlight w:val="none"/>
                <w:lang w:val="en-US" w:eastAsia="zh-CN"/>
              </w:rPr>
              <w:t>1.825</w:t>
            </w:r>
            <w:r>
              <w:rPr>
                <w:rFonts w:hint="default" w:ascii="Times New Roman" w:hAnsi="Times New Roman" w:eastAsia="宋体" w:cs="Times New Roman"/>
                <w:color w:val="auto"/>
                <w:sz w:val="21"/>
                <w:szCs w:val="21"/>
                <w:highlight w:val="none"/>
                <w:lang w:val="en-US" w:eastAsia="zh-CN"/>
              </w:rPr>
              <w:t>t/a</w:t>
            </w:r>
          </w:p>
        </w:tc>
        <w:tc>
          <w:tcPr>
            <w:tcW w:w="1615" w:type="dxa"/>
            <w:shd w:val="clear" w:color="auto" w:fill="auto"/>
            <w:vAlign w:val="center"/>
          </w:tcPr>
          <w:p w14:paraId="307012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snapToGrid w:val="0"/>
                <w:color w:val="auto"/>
                <w:kern w:val="0"/>
                <w:sz w:val="21"/>
                <w:szCs w:val="21"/>
                <w:highlight w:val="none"/>
                <w:lang w:val="en-US" w:eastAsia="zh-CN" w:bidi="ar-SA"/>
                <w14:ligatures w14:val="none"/>
              </w:rPr>
            </w:pPr>
            <w:r>
              <w:rPr>
                <w:rFonts w:hint="eastAsia" w:cs="Times New Roman"/>
                <w:color w:val="auto"/>
                <w:sz w:val="21"/>
                <w:szCs w:val="21"/>
                <w:highlight w:val="none"/>
                <w:lang w:val="en-US" w:eastAsia="zh-CN"/>
              </w:rPr>
              <w:t>+</w:t>
            </w:r>
            <w:r>
              <w:rPr>
                <w:rFonts w:hint="eastAsia" w:cs="Times New Roman"/>
                <w:bCs/>
                <w:color w:val="auto"/>
                <w:sz w:val="21"/>
                <w:szCs w:val="21"/>
                <w:highlight w:val="none"/>
                <w:lang w:val="en-US" w:eastAsia="zh-CN"/>
              </w:rPr>
              <w:t>1.825</w:t>
            </w:r>
            <w:r>
              <w:rPr>
                <w:rFonts w:hint="default" w:ascii="Times New Roman" w:hAnsi="Times New Roman" w:eastAsia="宋体" w:cs="Times New Roman"/>
                <w:color w:val="auto"/>
                <w:sz w:val="21"/>
                <w:szCs w:val="21"/>
                <w:highlight w:val="none"/>
                <w:lang w:val="en-US" w:eastAsia="zh-CN"/>
              </w:rPr>
              <w:t>t/a</w:t>
            </w:r>
          </w:p>
        </w:tc>
      </w:tr>
      <w:tr w14:paraId="320DB9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37" w:type="dxa"/>
            <w:vMerge w:val="continue"/>
            <w:vAlign w:val="center"/>
          </w:tcPr>
          <w:p w14:paraId="4A9C5D58">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rPr>
                <w:rFonts w:hint="default" w:ascii="Times New Roman" w:hAnsi="Times New Roman" w:eastAsia="宋体" w:cs="Times New Roman"/>
                <w:color w:val="auto"/>
                <w:kern w:val="21"/>
                <w:sz w:val="21"/>
                <w:szCs w:val="21"/>
                <w:highlight w:val="none"/>
              </w:rPr>
            </w:pPr>
          </w:p>
        </w:tc>
        <w:tc>
          <w:tcPr>
            <w:tcW w:w="1852" w:type="dxa"/>
            <w:shd w:val="clear" w:color="auto" w:fill="auto"/>
            <w:vAlign w:val="center"/>
          </w:tcPr>
          <w:p w14:paraId="28FE2609">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过期、残次、破损炸药/雷管</w:t>
            </w:r>
          </w:p>
        </w:tc>
        <w:tc>
          <w:tcPr>
            <w:tcW w:w="1515" w:type="dxa"/>
            <w:shd w:val="clear" w:color="auto" w:fill="auto"/>
            <w:vAlign w:val="center"/>
          </w:tcPr>
          <w:p w14:paraId="40B8FA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1545" w:type="dxa"/>
            <w:shd w:val="clear" w:color="auto" w:fill="auto"/>
            <w:vAlign w:val="center"/>
          </w:tcPr>
          <w:p w14:paraId="21B19E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1725" w:type="dxa"/>
            <w:shd w:val="clear" w:color="auto" w:fill="auto"/>
            <w:vAlign w:val="center"/>
          </w:tcPr>
          <w:p w14:paraId="0F5BE9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1605" w:type="dxa"/>
            <w:shd w:val="clear" w:color="auto" w:fill="auto"/>
            <w:vAlign w:val="center"/>
          </w:tcPr>
          <w:p w14:paraId="3DBA9A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0.3</w:t>
            </w:r>
            <w:r>
              <w:rPr>
                <w:rFonts w:hint="default" w:ascii="Times New Roman" w:hAnsi="Times New Roman" w:eastAsia="宋体" w:cs="Times New Roman"/>
                <w:color w:val="auto"/>
                <w:sz w:val="21"/>
                <w:szCs w:val="21"/>
                <w:highlight w:val="none"/>
                <w:lang w:val="en-US" w:eastAsia="zh-CN"/>
              </w:rPr>
              <w:t>t/a</w:t>
            </w:r>
          </w:p>
        </w:tc>
        <w:tc>
          <w:tcPr>
            <w:tcW w:w="1267" w:type="dxa"/>
            <w:shd w:val="clear" w:color="auto" w:fill="auto"/>
            <w:vAlign w:val="center"/>
          </w:tcPr>
          <w:p w14:paraId="517AC1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1527" w:type="dxa"/>
            <w:shd w:val="clear" w:color="auto" w:fill="auto"/>
            <w:vAlign w:val="center"/>
          </w:tcPr>
          <w:p w14:paraId="6A30F0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0.3</w:t>
            </w:r>
            <w:r>
              <w:rPr>
                <w:rFonts w:hint="default" w:ascii="Times New Roman" w:hAnsi="Times New Roman" w:eastAsia="宋体" w:cs="Times New Roman"/>
                <w:color w:val="auto"/>
                <w:sz w:val="21"/>
                <w:szCs w:val="21"/>
                <w:highlight w:val="none"/>
                <w:lang w:val="en-US" w:eastAsia="zh-CN"/>
              </w:rPr>
              <w:t>t/a</w:t>
            </w:r>
          </w:p>
        </w:tc>
        <w:tc>
          <w:tcPr>
            <w:tcW w:w="1615" w:type="dxa"/>
            <w:shd w:val="clear" w:color="auto" w:fill="auto"/>
            <w:vAlign w:val="center"/>
          </w:tcPr>
          <w:p w14:paraId="7CE8BD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eastAsia" w:cs="Times New Roman"/>
                <w:color w:val="auto"/>
                <w:sz w:val="21"/>
                <w:szCs w:val="21"/>
                <w:highlight w:val="none"/>
                <w:lang w:val="en-US" w:eastAsia="zh-CN"/>
              </w:rPr>
            </w:pPr>
            <w:r>
              <w:rPr>
                <w:rFonts w:hint="eastAsia" w:cs="Times New Roman"/>
                <w:bCs/>
                <w:color w:val="auto"/>
                <w:sz w:val="21"/>
                <w:szCs w:val="21"/>
                <w:highlight w:val="none"/>
                <w:lang w:val="en-US" w:eastAsia="zh-CN"/>
              </w:rPr>
              <w:t>+0.3</w:t>
            </w:r>
            <w:r>
              <w:rPr>
                <w:rFonts w:hint="default" w:ascii="Times New Roman" w:hAnsi="Times New Roman" w:eastAsia="宋体" w:cs="Times New Roman"/>
                <w:color w:val="auto"/>
                <w:sz w:val="21"/>
                <w:szCs w:val="21"/>
                <w:highlight w:val="none"/>
                <w:lang w:val="en-US" w:eastAsia="zh-CN"/>
              </w:rPr>
              <w:t>t/a</w:t>
            </w:r>
          </w:p>
        </w:tc>
      </w:tr>
    </w:tbl>
    <w:p w14:paraId="7714CFCE">
      <w:pPr>
        <w:pStyle w:val="40"/>
        <w:spacing w:beforeLines="0" w:afterLines="0"/>
        <w:jc w:val="left"/>
        <w:rPr>
          <w:rFonts w:hint="eastAsia" w:eastAsia="黑体"/>
          <w:color w:val="auto"/>
          <w:highlight w:val="none"/>
        </w:rPr>
      </w:pPr>
      <w:r>
        <w:rPr>
          <w:rFonts w:hAnsi="宋体"/>
          <w:color w:val="auto"/>
          <w:kern w:val="21"/>
          <w:szCs w:val="21"/>
          <w:highlight w:val="none"/>
        </w:rPr>
        <w:t>注：</w:t>
      </w:r>
      <w:r>
        <w:rPr>
          <w:rFonts w:hAnsi="宋体"/>
          <w:color w:val="auto"/>
          <w:spacing w:val="-16"/>
          <w:kern w:val="21"/>
          <w:szCs w:val="21"/>
          <w:highlight w:val="none"/>
        </w:rPr>
        <w:fldChar w:fldCharType="begin"/>
      </w:r>
      <w:r>
        <w:rPr>
          <w:rFonts w:hAnsi="宋体"/>
          <w:color w:val="auto"/>
          <w:spacing w:val="-16"/>
          <w:kern w:val="21"/>
          <w:szCs w:val="21"/>
          <w:highlight w:val="none"/>
        </w:rPr>
        <w:instrText xml:space="preserve"> = 6 \* GB3 \* MERGEFORMAT </w:instrText>
      </w:r>
      <w:r>
        <w:rPr>
          <w:rFonts w:hAnsi="宋体"/>
          <w:color w:val="auto"/>
          <w:spacing w:val="-16"/>
          <w:kern w:val="21"/>
          <w:szCs w:val="21"/>
          <w:highlight w:val="none"/>
        </w:rPr>
        <w:fldChar w:fldCharType="separate"/>
      </w:r>
      <w:r>
        <w:rPr>
          <w:rFonts w:hint="eastAsia" w:hAnsi="宋体"/>
          <w:color w:val="auto"/>
          <w:szCs w:val="21"/>
          <w:highlight w:val="none"/>
        </w:rPr>
        <w:t>⑥</w:t>
      </w:r>
      <w:r>
        <w:rPr>
          <w:rFonts w:hAnsi="宋体"/>
          <w:color w:val="auto"/>
          <w:spacing w:val="-16"/>
          <w:kern w:val="21"/>
          <w:szCs w:val="21"/>
          <w:highlight w:val="none"/>
        </w:rPr>
        <w:fldChar w:fldCharType="end"/>
      </w:r>
      <w:r>
        <w:rPr>
          <w:rFonts w:hAnsi="宋体"/>
          <w:color w:val="auto"/>
          <w:spacing w:val="-16"/>
          <w:kern w:val="21"/>
          <w:szCs w:val="21"/>
          <w:highlight w:val="none"/>
        </w:rPr>
        <w:t>=</w:t>
      </w:r>
      <w:r>
        <w:rPr>
          <w:rFonts w:hAnsi="宋体"/>
          <w:color w:val="auto"/>
          <w:spacing w:val="-6"/>
          <w:kern w:val="21"/>
          <w:szCs w:val="21"/>
          <w:highlight w:val="none"/>
        </w:rPr>
        <w:fldChar w:fldCharType="begin"/>
      </w:r>
      <w:r>
        <w:rPr>
          <w:rFonts w:hAnsi="宋体"/>
          <w:color w:val="auto"/>
          <w:spacing w:val="-6"/>
          <w:kern w:val="21"/>
          <w:szCs w:val="21"/>
          <w:highlight w:val="none"/>
        </w:rPr>
        <w:instrText xml:space="preserve"> = 1 \* GB3 \* MERGEFORMAT </w:instrText>
      </w:r>
      <w:r>
        <w:rPr>
          <w:rFonts w:hAnsi="宋体"/>
          <w:color w:val="auto"/>
          <w:spacing w:val="-6"/>
          <w:kern w:val="21"/>
          <w:szCs w:val="21"/>
          <w:highlight w:val="none"/>
        </w:rPr>
        <w:fldChar w:fldCharType="separate"/>
      </w:r>
      <w:r>
        <w:rPr>
          <w:rFonts w:hint="eastAsia" w:hAnsi="宋体"/>
          <w:color w:val="auto"/>
          <w:szCs w:val="21"/>
          <w:highlight w:val="none"/>
        </w:rPr>
        <w:t>①</w:t>
      </w:r>
      <w:r>
        <w:rPr>
          <w:rFonts w:hAnsi="宋体"/>
          <w:color w:val="auto"/>
          <w:spacing w:val="-6"/>
          <w:kern w:val="21"/>
          <w:szCs w:val="21"/>
          <w:highlight w:val="none"/>
        </w:rPr>
        <w:fldChar w:fldCharType="end"/>
      </w:r>
      <w:r>
        <w:rPr>
          <w:rFonts w:hAnsi="宋体"/>
          <w:color w:val="auto"/>
          <w:spacing w:val="-6"/>
          <w:kern w:val="21"/>
          <w:szCs w:val="21"/>
          <w:highlight w:val="none"/>
        </w:rPr>
        <w:t>+</w:t>
      </w:r>
      <w:r>
        <w:rPr>
          <w:rFonts w:hAnsi="宋体"/>
          <w:color w:val="auto"/>
          <w:spacing w:val="-6"/>
          <w:kern w:val="21"/>
          <w:szCs w:val="21"/>
          <w:highlight w:val="none"/>
        </w:rPr>
        <w:fldChar w:fldCharType="begin"/>
      </w:r>
      <w:r>
        <w:rPr>
          <w:rFonts w:hAnsi="宋体"/>
          <w:color w:val="auto"/>
          <w:spacing w:val="-6"/>
          <w:kern w:val="21"/>
          <w:szCs w:val="21"/>
          <w:highlight w:val="none"/>
        </w:rPr>
        <w:instrText xml:space="preserve"> = 3 \* GB3 \* MERGEFORMAT </w:instrText>
      </w:r>
      <w:r>
        <w:rPr>
          <w:rFonts w:hAnsi="宋体"/>
          <w:color w:val="auto"/>
          <w:spacing w:val="-6"/>
          <w:kern w:val="21"/>
          <w:szCs w:val="21"/>
          <w:highlight w:val="none"/>
        </w:rPr>
        <w:fldChar w:fldCharType="separate"/>
      </w:r>
      <w:r>
        <w:rPr>
          <w:rFonts w:hint="eastAsia" w:hAnsi="宋体"/>
          <w:color w:val="auto"/>
          <w:szCs w:val="21"/>
          <w:highlight w:val="none"/>
        </w:rPr>
        <w:t>③</w:t>
      </w:r>
      <w:r>
        <w:rPr>
          <w:rFonts w:hAnsi="宋体"/>
          <w:color w:val="auto"/>
          <w:spacing w:val="-6"/>
          <w:kern w:val="21"/>
          <w:szCs w:val="21"/>
          <w:highlight w:val="none"/>
        </w:rPr>
        <w:fldChar w:fldCharType="end"/>
      </w:r>
      <w:r>
        <w:rPr>
          <w:rFonts w:hAnsi="宋体"/>
          <w:color w:val="auto"/>
          <w:spacing w:val="-6"/>
          <w:kern w:val="21"/>
          <w:szCs w:val="21"/>
          <w:highlight w:val="none"/>
        </w:rPr>
        <w:t>+</w:t>
      </w:r>
      <w:r>
        <w:rPr>
          <w:rFonts w:hAnsi="宋体"/>
          <w:color w:val="auto"/>
          <w:spacing w:val="-6"/>
          <w:kern w:val="21"/>
          <w:szCs w:val="21"/>
          <w:highlight w:val="none"/>
        </w:rPr>
        <w:fldChar w:fldCharType="begin"/>
      </w:r>
      <w:r>
        <w:rPr>
          <w:rFonts w:hAnsi="宋体"/>
          <w:color w:val="auto"/>
          <w:spacing w:val="-6"/>
          <w:kern w:val="21"/>
          <w:szCs w:val="21"/>
          <w:highlight w:val="none"/>
        </w:rPr>
        <w:instrText xml:space="preserve"> = 4 \* GB3 \* MERGEFORMAT </w:instrText>
      </w:r>
      <w:r>
        <w:rPr>
          <w:rFonts w:hAnsi="宋体"/>
          <w:color w:val="auto"/>
          <w:spacing w:val="-6"/>
          <w:kern w:val="21"/>
          <w:szCs w:val="21"/>
          <w:highlight w:val="none"/>
        </w:rPr>
        <w:fldChar w:fldCharType="separate"/>
      </w:r>
      <w:r>
        <w:rPr>
          <w:rFonts w:hint="eastAsia" w:hAnsi="宋体"/>
          <w:color w:val="auto"/>
          <w:szCs w:val="21"/>
          <w:highlight w:val="none"/>
        </w:rPr>
        <w:t>④</w:t>
      </w:r>
      <w:r>
        <w:rPr>
          <w:rFonts w:hAnsi="宋体"/>
          <w:color w:val="auto"/>
          <w:spacing w:val="-6"/>
          <w:kern w:val="21"/>
          <w:szCs w:val="21"/>
          <w:highlight w:val="none"/>
        </w:rPr>
        <w:fldChar w:fldCharType="end"/>
      </w:r>
      <w:r>
        <w:rPr>
          <w:rFonts w:hAnsi="宋体"/>
          <w:color w:val="auto"/>
          <w:spacing w:val="-6"/>
          <w:kern w:val="21"/>
          <w:szCs w:val="21"/>
          <w:highlight w:val="none"/>
        </w:rPr>
        <w:t>-</w:t>
      </w:r>
      <w:r>
        <w:rPr>
          <w:rFonts w:hAnsi="宋体"/>
          <w:color w:val="auto"/>
          <w:spacing w:val="-16"/>
          <w:kern w:val="21"/>
          <w:szCs w:val="21"/>
          <w:highlight w:val="none"/>
        </w:rPr>
        <w:fldChar w:fldCharType="begin"/>
      </w:r>
      <w:r>
        <w:rPr>
          <w:rFonts w:hAnsi="宋体"/>
          <w:color w:val="auto"/>
          <w:spacing w:val="-16"/>
          <w:kern w:val="21"/>
          <w:szCs w:val="21"/>
          <w:highlight w:val="none"/>
        </w:rPr>
        <w:instrText xml:space="preserve"> = 5 \* GB3 \* MERGEFORMAT </w:instrText>
      </w:r>
      <w:r>
        <w:rPr>
          <w:rFonts w:hAnsi="宋体"/>
          <w:color w:val="auto"/>
          <w:spacing w:val="-16"/>
          <w:kern w:val="21"/>
          <w:szCs w:val="21"/>
          <w:highlight w:val="none"/>
        </w:rPr>
        <w:fldChar w:fldCharType="separate"/>
      </w:r>
      <w:r>
        <w:rPr>
          <w:rFonts w:hint="eastAsia" w:hAnsi="宋体"/>
          <w:color w:val="auto"/>
          <w:szCs w:val="21"/>
          <w:highlight w:val="none"/>
        </w:rPr>
        <w:t>⑤</w:t>
      </w:r>
      <w:r>
        <w:rPr>
          <w:rFonts w:hAnsi="宋体"/>
          <w:color w:val="auto"/>
          <w:spacing w:val="-16"/>
          <w:kern w:val="21"/>
          <w:szCs w:val="21"/>
          <w:highlight w:val="none"/>
        </w:rPr>
        <w:fldChar w:fldCharType="end"/>
      </w:r>
      <w:r>
        <w:rPr>
          <w:rFonts w:hAnsi="宋体"/>
          <w:color w:val="auto"/>
          <w:spacing w:val="-16"/>
          <w:kern w:val="21"/>
          <w:szCs w:val="21"/>
          <w:highlight w:val="none"/>
        </w:rPr>
        <w:t>；</w:t>
      </w:r>
      <w:r>
        <w:rPr>
          <w:rFonts w:hAnsi="宋体"/>
          <w:color w:val="auto"/>
          <w:spacing w:val="-6"/>
          <w:kern w:val="21"/>
          <w:szCs w:val="21"/>
          <w:highlight w:val="none"/>
        </w:rPr>
        <w:fldChar w:fldCharType="begin"/>
      </w:r>
      <w:r>
        <w:rPr>
          <w:rFonts w:hAnsi="宋体"/>
          <w:color w:val="auto"/>
          <w:spacing w:val="-6"/>
          <w:kern w:val="21"/>
          <w:szCs w:val="21"/>
          <w:highlight w:val="none"/>
        </w:rPr>
        <w:instrText xml:space="preserve"> = 7 \* GB3 \* MERGEFORMAT </w:instrText>
      </w:r>
      <w:r>
        <w:rPr>
          <w:rFonts w:hAnsi="宋体"/>
          <w:color w:val="auto"/>
          <w:spacing w:val="-6"/>
          <w:kern w:val="21"/>
          <w:szCs w:val="21"/>
          <w:highlight w:val="none"/>
        </w:rPr>
        <w:fldChar w:fldCharType="separate"/>
      </w:r>
      <w:r>
        <w:rPr>
          <w:rFonts w:hint="eastAsia" w:hAnsi="宋体"/>
          <w:color w:val="auto"/>
          <w:szCs w:val="21"/>
          <w:highlight w:val="none"/>
        </w:rPr>
        <w:t>⑦</w:t>
      </w:r>
      <w:r>
        <w:rPr>
          <w:rFonts w:hAnsi="宋体"/>
          <w:color w:val="auto"/>
          <w:spacing w:val="-6"/>
          <w:kern w:val="21"/>
          <w:szCs w:val="21"/>
          <w:highlight w:val="none"/>
        </w:rPr>
        <w:fldChar w:fldCharType="end"/>
      </w:r>
      <w:r>
        <w:rPr>
          <w:rFonts w:hAnsi="宋体"/>
          <w:color w:val="auto"/>
          <w:spacing w:val="-6"/>
          <w:kern w:val="21"/>
          <w:szCs w:val="21"/>
          <w:highlight w:val="none"/>
        </w:rPr>
        <w:t>=</w:t>
      </w:r>
      <w:r>
        <w:rPr>
          <w:rFonts w:hAnsi="宋体"/>
          <w:color w:val="auto"/>
          <w:spacing w:val="-16"/>
          <w:kern w:val="21"/>
          <w:szCs w:val="21"/>
          <w:highlight w:val="none"/>
        </w:rPr>
        <w:fldChar w:fldCharType="begin"/>
      </w:r>
      <w:r>
        <w:rPr>
          <w:rFonts w:hAnsi="宋体"/>
          <w:color w:val="auto"/>
          <w:spacing w:val="-16"/>
          <w:kern w:val="21"/>
          <w:szCs w:val="21"/>
          <w:highlight w:val="none"/>
        </w:rPr>
        <w:instrText xml:space="preserve"> = 6 \* GB3 \* MERGEFORMAT </w:instrText>
      </w:r>
      <w:r>
        <w:rPr>
          <w:rFonts w:hAnsi="宋体"/>
          <w:color w:val="auto"/>
          <w:spacing w:val="-16"/>
          <w:kern w:val="21"/>
          <w:szCs w:val="21"/>
          <w:highlight w:val="none"/>
        </w:rPr>
        <w:fldChar w:fldCharType="separate"/>
      </w:r>
      <w:r>
        <w:rPr>
          <w:rFonts w:hint="eastAsia" w:hAnsi="宋体"/>
          <w:color w:val="auto"/>
          <w:szCs w:val="21"/>
          <w:highlight w:val="none"/>
        </w:rPr>
        <w:t>⑥</w:t>
      </w:r>
      <w:r>
        <w:rPr>
          <w:rFonts w:hAnsi="宋体"/>
          <w:color w:val="auto"/>
          <w:spacing w:val="-16"/>
          <w:kern w:val="21"/>
          <w:szCs w:val="21"/>
          <w:highlight w:val="none"/>
        </w:rPr>
        <w:fldChar w:fldCharType="end"/>
      </w:r>
      <w:r>
        <w:rPr>
          <w:rFonts w:hAnsi="宋体"/>
          <w:color w:val="auto"/>
          <w:spacing w:val="-16"/>
          <w:kern w:val="21"/>
          <w:szCs w:val="21"/>
          <w:highlight w:val="none"/>
        </w:rPr>
        <w:t>-</w:t>
      </w:r>
      <w:r>
        <w:rPr>
          <w:rFonts w:hAnsi="宋体"/>
          <w:color w:val="auto"/>
          <w:spacing w:val="-6"/>
          <w:kern w:val="21"/>
          <w:szCs w:val="21"/>
          <w:highlight w:val="none"/>
        </w:rPr>
        <w:fldChar w:fldCharType="begin"/>
      </w:r>
      <w:r>
        <w:rPr>
          <w:rFonts w:hAnsi="宋体"/>
          <w:color w:val="auto"/>
          <w:spacing w:val="-6"/>
          <w:kern w:val="21"/>
          <w:szCs w:val="21"/>
          <w:highlight w:val="none"/>
        </w:rPr>
        <w:instrText xml:space="preserve"> = 1 \* GB3 \* MERGEFORMAT </w:instrText>
      </w:r>
      <w:r>
        <w:rPr>
          <w:rFonts w:hAnsi="宋体"/>
          <w:color w:val="auto"/>
          <w:spacing w:val="-6"/>
          <w:kern w:val="21"/>
          <w:szCs w:val="21"/>
          <w:highlight w:val="none"/>
        </w:rPr>
        <w:fldChar w:fldCharType="separate"/>
      </w:r>
      <w:r>
        <w:rPr>
          <w:rFonts w:hint="eastAsia" w:hAnsi="宋体"/>
          <w:color w:val="auto"/>
          <w:szCs w:val="21"/>
          <w:highlight w:val="none"/>
        </w:rPr>
        <w:t>①</w:t>
      </w:r>
      <w:r>
        <w:rPr>
          <w:rFonts w:hAnsi="宋体"/>
          <w:color w:val="auto"/>
          <w:spacing w:val="-6"/>
          <w:kern w:val="21"/>
          <w:szCs w:val="21"/>
          <w:highlight w:val="none"/>
        </w:rPr>
        <w:fldChar w:fldCharType="end"/>
      </w: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7FFAEFF" w:usb1="F9DFFFFF" w:usb2="0000007F" w:usb3="00000000" w:csb0="203F01FF" w:csb1="DFFF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KSOF51D5AD36">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70D37">
    <w:pPr>
      <w:tabs>
        <w:tab w:val="center" w:pos="4153"/>
        <w:tab w:val="right" w:pos="8306"/>
      </w:tabs>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55281">
    <w:pPr>
      <w:framePr w:wrap="around" w:vAnchor="text" w:hAnchor="margin" w:xAlign="center" w:y="1"/>
      <w:tabs>
        <w:tab w:val="center" w:pos="4153"/>
        <w:tab w:val="right" w:pos="8306"/>
      </w:tabs>
    </w:pPr>
    <w:r>
      <w:fldChar w:fldCharType="begin"/>
    </w:r>
    <w:r>
      <w:instrText xml:space="preserve">PAGE  </w:instrText>
    </w:r>
    <w:r>
      <w:fldChar w:fldCharType="end"/>
    </w:r>
  </w:p>
  <w:p w14:paraId="137D7ED9">
    <w:pPr>
      <w:tabs>
        <w:tab w:val="center" w:pos="4153"/>
        <w:tab w:val="right" w:pos="8306"/>
      </w:tabs>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43714">
    <w:pPr>
      <w:tabs>
        <w:tab w:val="center" w:pos="4153"/>
        <w:tab w:val="right" w:pos="8306"/>
      </w:tabs>
      <w:jc w:val="center"/>
    </w:pPr>
    <w:r>
      <w:fldChar w:fldCharType="begin"/>
    </w:r>
    <w:r>
      <w:instrText xml:space="preserve">PAGE   \* MERGEFORMAT</w:instrText>
    </w:r>
    <w:r>
      <w:fldChar w:fldCharType="separate"/>
    </w:r>
    <w:r>
      <w:rPr>
        <w:lang w:val="zh-CN"/>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C91DC">
    <w:pPr>
      <w:tabs>
        <w:tab w:val="center" w:pos="4153"/>
        <w:tab w:val="right" w:pos="8306"/>
      </w:tabs>
      <w:jc w:val="center"/>
    </w:pPr>
    <w:r>
      <w:fldChar w:fldCharType="begin"/>
    </w:r>
    <w:r>
      <w:instrText xml:space="preserve">PAGE   \* MERGEFORMAT</w:instrText>
    </w:r>
    <w:r>
      <w:fldChar w:fldCharType="separate"/>
    </w:r>
    <w:r>
      <w:rPr>
        <w:lang w:val="zh-CN"/>
      </w:rP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DC24B">
    <w:pPr>
      <w:tabs>
        <w:tab w:val="center" w:pos="4153"/>
        <w:tab w:val="right" w:pos="8306"/>
      </w:tabs>
      <w:jc w:val="center"/>
    </w:pPr>
    <w:r>
      <w:fldChar w:fldCharType="begin"/>
    </w:r>
    <w:r>
      <w:instrText xml:space="preserve">PAGE   \* MERGEFORMAT</w:instrText>
    </w:r>
    <w:r>
      <w:fldChar w:fldCharType="separate"/>
    </w:r>
    <w:r>
      <w:rPr>
        <w:lang w:val="zh-CN"/>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37993">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C494AA"/>
    <w:multiLevelType w:val="singleLevel"/>
    <w:tmpl w:val="0FC494AA"/>
    <w:lvl w:ilvl="0" w:tentative="0">
      <w:start w:val="1"/>
      <w:numFmt w:val="bullet"/>
      <w:pStyle w:val="17"/>
      <w:lvlText w:val=""/>
      <w:lvlJc w:val="left"/>
      <w:pPr>
        <w:tabs>
          <w:tab w:val="left" w:pos="2040"/>
        </w:tabs>
        <w:ind w:left="2040" w:hanging="360"/>
      </w:pPr>
      <w:rPr>
        <w:rFonts w:hint="default" w:ascii="Wingdings" w:hAnsi="Wingdings"/>
      </w:rPr>
    </w:lvl>
  </w:abstractNum>
  <w:abstractNum w:abstractNumId="1">
    <w:nsid w:val="1184C1C7"/>
    <w:multiLevelType w:val="singleLevel"/>
    <w:tmpl w:val="1184C1C7"/>
    <w:lvl w:ilvl="0" w:tentative="0">
      <w:start w:val="1"/>
      <w:numFmt w:val="bullet"/>
      <w:pStyle w:val="12"/>
      <w:lvlText w:val=""/>
      <w:lvlJc w:val="left"/>
      <w:pPr>
        <w:tabs>
          <w:tab w:val="left" w:pos="780"/>
        </w:tabs>
        <w:ind w:left="780" w:hanging="360"/>
      </w:pPr>
      <w:rPr>
        <w:rFonts w:hint="default" w:ascii="Wingdings" w:hAnsi="Wingdings"/>
      </w:rPr>
    </w:lvl>
  </w:abstractNum>
  <w:abstractNum w:abstractNumId="2">
    <w:nsid w:val="4D9B69FD"/>
    <w:multiLevelType w:val="multilevel"/>
    <w:tmpl w:val="4D9B69FD"/>
    <w:lvl w:ilvl="0" w:tentative="0">
      <w:start w:val="1"/>
      <w:numFmt w:val="decimal"/>
      <w:lvlText w:val="%1"/>
      <w:lvlJc w:val="left"/>
      <w:pPr>
        <w:tabs>
          <w:tab w:val="left" w:pos="432"/>
        </w:tabs>
        <w:ind w:left="432" w:hanging="432"/>
      </w:pPr>
      <w:rPr>
        <w:rFonts w:hint="eastAsia"/>
      </w:rPr>
    </w:lvl>
    <w:lvl w:ilvl="1" w:tentative="0">
      <w:start w:val="1"/>
      <w:numFmt w:val="decimal"/>
      <w:pStyle w:val="7"/>
      <w:lvlText w:val="%1.%2"/>
      <w:lvlJc w:val="left"/>
      <w:pPr>
        <w:tabs>
          <w:tab w:val="left" w:pos="576"/>
        </w:tabs>
        <w:ind w:left="576" w:hanging="576"/>
      </w:pPr>
      <w:rPr>
        <w:rFonts w:hint="eastAsia"/>
      </w:rPr>
    </w:lvl>
    <w:lvl w:ilvl="2" w:tentative="0">
      <w:start w:val="1"/>
      <w:numFmt w:val="decimal"/>
      <w:lvlText w:val="1.1.%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艾菲姂">
    <w15:presenceInfo w15:providerId="WPS Office" w15:userId="1382272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890F2C"/>
    <w:rsid w:val="000B0568"/>
    <w:rsid w:val="000C1690"/>
    <w:rsid w:val="001A7C69"/>
    <w:rsid w:val="001C0E60"/>
    <w:rsid w:val="00371C72"/>
    <w:rsid w:val="0041551E"/>
    <w:rsid w:val="004D714B"/>
    <w:rsid w:val="004F1E3F"/>
    <w:rsid w:val="00500950"/>
    <w:rsid w:val="005515F2"/>
    <w:rsid w:val="005F0D0D"/>
    <w:rsid w:val="00681D0D"/>
    <w:rsid w:val="00813B32"/>
    <w:rsid w:val="00890F2C"/>
    <w:rsid w:val="008930D5"/>
    <w:rsid w:val="00C76BA4"/>
    <w:rsid w:val="00E05FE3"/>
    <w:rsid w:val="00ED2F5C"/>
    <w:rsid w:val="01A249C3"/>
    <w:rsid w:val="01B464A4"/>
    <w:rsid w:val="020C0B8A"/>
    <w:rsid w:val="027D02FE"/>
    <w:rsid w:val="02C172A4"/>
    <w:rsid w:val="02CC16DA"/>
    <w:rsid w:val="02FC34C3"/>
    <w:rsid w:val="03073477"/>
    <w:rsid w:val="035B1C63"/>
    <w:rsid w:val="04B1359A"/>
    <w:rsid w:val="04B86163"/>
    <w:rsid w:val="04E55251"/>
    <w:rsid w:val="052E6856"/>
    <w:rsid w:val="05313CA5"/>
    <w:rsid w:val="054840E4"/>
    <w:rsid w:val="056050F8"/>
    <w:rsid w:val="0582764B"/>
    <w:rsid w:val="059B1E55"/>
    <w:rsid w:val="05B12C95"/>
    <w:rsid w:val="061A5470"/>
    <w:rsid w:val="06293DA5"/>
    <w:rsid w:val="068345D3"/>
    <w:rsid w:val="06952D48"/>
    <w:rsid w:val="069E3D60"/>
    <w:rsid w:val="06AC0B73"/>
    <w:rsid w:val="06B70EF6"/>
    <w:rsid w:val="06CD24E2"/>
    <w:rsid w:val="06EF540F"/>
    <w:rsid w:val="070B70A3"/>
    <w:rsid w:val="07430E9A"/>
    <w:rsid w:val="075014F5"/>
    <w:rsid w:val="079D055C"/>
    <w:rsid w:val="079F62E2"/>
    <w:rsid w:val="07A843F9"/>
    <w:rsid w:val="07B13B57"/>
    <w:rsid w:val="07F65A68"/>
    <w:rsid w:val="086F533E"/>
    <w:rsid w:val="087827F5"/>
    <w:rsid w:val="08852948"/>
    <w:rsid w:val="08C01BD2"/>
    <w:rsid w:val="091D75E3"/>
    <w:rsid w:val="095011A8"/>
    <w:rsid w:val="09770387"/>
    <w:rsid w:val="09797E6E"/>
    <w:rsid w:val="09CE251B"/>
    <w:rsid w:val="0A287A2F"/>
    <w:rsid w:val="0A9C11A5"/>
    <w:rsid w:val="0AAA5A54"/>
    <w:rsid w:val="0ABF65E6"/>
    <w:rsid w:val="0B210216"/>
    <w:rsid w:val="0B2B77D7"/>
    <w:rsid w:val="0B6251C3"/>
    <w:rsid w:val="0B860EB1"/>
    <w:rsid w:val="0BE8202C"/>
    <w:rsid w:val="0C021824"/>
    <w:rsid w:val="0CA769A4"/>
    <w:rsid w:val="0CD62A3A"/>
    <w:rsid w:val="0CFE36D8"/>
    <w:rsid w:val="0D1E6BC9"/>
    <w:rsid w:val="0D572FAD"/>
    <w:rsid w:val="0D760E3E"/>
    <w:rsid w:val="0E94690E"/>
    <w:rsid w:val="0EAE7543"/>
    <w:rsid w:val="0EAF35B4"/>
    <w:rsid w:val="0EBB531E"/>
    <w:rsid w:val="0F003C56"/>
    <w:rsid w:val="0F417078"/>
    <w:rsid w:val="0F557518"/>
    <w:rsid w:val="0F6B6D3C"/>
    <w:rsid w:val="0F9A02A6"/>
    <w:rsid w:val="108A1509"/>
    <w:rsid w:val="11610223"/>
    <w:rsid w:val="11A879CB"/>
    <w:rsid w:val="11E1462E"/>
    <w:rsid w:val="1236792D"/>
    <w:rsid w:val="125A3098"/>
    <w:rsid w:val="127855B5"/>
    <w:rsid w:val="129014CA"/>
    <w:rsid w:val="12A30660"/>
    <w:rsid w:val="12A762DD"/>
    <w:rsid w:val="1338330D"/>
    <w:rsid w:val="13DC6560"/>
    <w:rsid w:val="141334FE"/>
    <w:rsid w:val="142D33D5"/>
    <w:rsid w:val="14432035"/>
    <w:rsid w:val="14893B61"/>
    <w:rsid w:val="14AB6B9F"/>
    <w:rsid w:val="14FC66CB"/>
    <w:rsid w:val="152754B3"/>
    <w:rsid w:val="153542FD"/>
    <w:rsid w:val="153B0D49"/>
    <w:rsid w:val="15A23712"/>
    <w:rsid w:val="15AF63D8"/>
    <w:rsid w:val="15B715AE"/>
    <w:rsid w:val="15C75962"/>
    <w:rsid w:val="15F53744"/>
    <w:rsid w:val="1626576B"/>
    <w:rsid w:val="16354792"/>
    <w:rsid w:val="167D744E"/>
    <w:rsid w:val="168B1A65"/>
    <w:rsid w:val="169B0C09"/>
    <w:rsid w:val="16A6101D"/>
    <w:rsid w:val="16ED307D"/>
    <w:rsid w:val="173C1341"/>
    <w:rsid w:val="175B4D0D"/>
    <w:rsid w:val="17E7580F"/>
    <w:rsid w:val="18474AFD"/>
    <w:rsid w:val="18603903"/>
    <w:rsid w:val="18673679"/>
    <w:rsid w:val="189F3F4F"/>
    <w:rsid w:val="18C234D2"/>
    <w:rsid w:val="18E134FB"/>
    <w:rsid w:val="18FC2770"/>
    <w:rsid w:val="190366AF"/>
    <w:rsid w:val="19067AD5"/>
    <w:rsid w:val="199C51C6"/>
    <w:rsid w:val="19C62AAD"/>
    <w:rsid w:val="19E34404"/>
    <w:rsid w:val="19EC2827"/>
    <w:rsid w:val="1A105797"/>
    <w:rsid w:val="1A393593"/>
    <w:rsid w:val="1A3D43DF"/>
    <w:rsid w:val="1A71487B"/>
    <w:rsid w:val="1AC1231B"/>
    <w:rsid w:val="1AE756D3"/>
    <w:rsid w:val="1AEB16B7"/>
    <w:rsid w:val="1AF6675C"/>
    <w:rsid w:val="1B496153"/>
    <w:rsid w:val="1B5A162A"/>
    <w:rsid w:val="1B8017B8"/>
    <w:rsid w:val="1BC2050B"/>
    <w:rsid w:val="1BF956CF"/>
    <w:rsid w:val="1C033E16"/>
    <w:rsid w:val="1C1465F2"/>
    <w:rsid w:val="1CC2706C"/>
    <w:rsid w:val="1CF60975"/>
    <w:rsid w:val="1D1264FC"/>
    <w:rsid w:val="1D5B2A4B"/>
    <w:rsid w:val="1DD76EC5"/>
    <w:rsid w:val="1E6F2058"/>
    <w:rsid w:val="1F6B551B"/>
    <w:rsid w:val="1FA3738A"/>
    <w:rsid w:val="1FF1792A"/>
    <w:rsid w:val="200B698E"/>
    <w:rsid w:val="20541126"/>
    <w:rsid w:val="2175668D"/>
    <w:rsid w:val="21BB0E96"/>
    <w:rsid w:val="22387D8C"/>
    <w:rsid w:val="22511521"/>
    <w:rsid w:val="22513B6F"/>
    <w:rsid w:val="227B0841"/>
    <w:rsid w:val="22A05227"/>
    <w:rsid w:val="22C5161A"/>
    <w:rsid w:val="22E42126"/>
    <w:rsid w:val="2316763D"/>
    <w:rsid w:val="23235DFC"/>
    <w:rsid w:val="235C73C7"/>
    <w:rsid w:val="236B6EE6"/>
    <w:rsid w:val="237518C0"/>
    <w:rsid w:val="23F54E4F"/>
    <w:rsid w:val="24037122"/>
    <w:rsid w:val="24350297"/>
    <w:rsid w:val="24461335"/>
    <w:rsid w:val="251458E0"/>
    <w:rsid w:val="25225E03"/>
    <w:rsid w:val="25F435D2"/>
    <w:rsid w:val="263F48D6"/>
    <w:rsid w:val="26600825"/>
    <w:rsid w:val="26623FE6"/>
    <w:rsid w:val="26715CFB"/>
    <w:rsid w:val="27265784"/>
    <w:rsid w:val="272C44C5"/>
    <w:rsid w:val="274E255F"/>
    <w:rsid w:val="27661AFD"/>
    <w:rsid w:val="2769772F"/>
    <w:rsid w:val="27995C12"/>
    <w:rsid w:val="28091DFC"/>
    <w:rsid w:val="28385A80"/>
    <w:rsid w:val="28697739"/>
    <w:rsid w:val="289E0F14"/>
    <w:rsid w:val="28B1694E"/>
    <w:rsid w:val="28C04968"/>
    <w:rsid w:val="28E71A18"/>
    <w:rsid w:val="28F116AC"/>
    <w:rsid w:val="291931CA"/>
    <w:rsid w:val="293224EE"/>
    <w:rsid w:val="293F79EC"/>
    <w:rsid w:val="294837F2"/>
    <w:rsid w:val="294D6952"/>
    <w:rsid w:val="295D7219"/>
    <w:rsid w:val="29B37AEF"/>
    <w:rsid w:val="29B703CA"/>
    <w:rsid w:val="29E452C9"/>
    <w:rsid w:val="2A1B323C"/>
    <w:rsid w:val="2A7C19A5"/>
    <w:rsid w:val="2A9E145A"/>
    <w:rsid w:val="2AA62396"/>
    <w:rsid w:val="2AB747F4"/>
    <w:rsid w:val="2B5C1C33"/>
    <w:rsid w:val="2B7C65CA"/>
    <w:rsid w:val="2B7E52A9"/>
    <w:rsid w:val="2BDB7C6F"/>
    <w:rsid w:val="2C5C1ACB"/>
    <w:rsid w:val="2C791270"/>
    <w:rsid w:val="2C7A7EFA"/>
    <w:rsid w:val="2C817C2E"/>
    <w:rsid w:val="2CA85EFF"/>
    <w:rsid w:val="2D035A86"/>
    <w:rsid w:val="2D133415"/>
    <w:rsid w:val="2D357AAA"/>
    <w:rsid w:val="2D524C40"/>
    <w:rsid w:val="2D7B158E"/>
    <w:rsid w:val="2DAD55A6"/>
    <w:rsid w:val="2DFF3243"/>
    <w:rsid w:val="2E3D052D"/>
    <w:rsid w:val="2E913A09"/>
    <w:rsid w:val="2EA3213B"/>
    <w:rsid w:val="2EA520B5"/>
    <w:rsid w:val="2EF738BB"/>
    <w:rsid w:val="2EFD761D"/>
    <w:rsid w:val="2F2F2702"/>
    <w:rsid w:val="2F3C5BA7"/>
    <w:rsid w:val="2F684345"/>
    <w:rsid w:val="2F6C75E3"/>
    <w:rsid w:val="2FAC44C0"/>
    <w:rsid w:val="301B50AB"/>
    <w:rsid w:val="30326999"/>
    <w:rsid w:val="305F62AA"/>
    <w:rsid w:val="309641D1"/>
    <w:rsid w:val="30AE6631"/>
    <w:rsid w:val="30BD4AC6"/>
    <w:rsid w:val="30C04A87"/>
    <w:rsid w:val="30C4138B"/>
    <w:rsid w:val="315C42DF"/>
    <w:rsid w:val="316E02A1"/>
    <w:rsid w:val="31F97FD7"/>
    <w:rsid w:val="32134E86"/>
    <w:rsid w:val="32562628"/>
    <w:rsid w:val="328533C1"/>
    <w:rsid w:val="3287755E"/>
    <w:rsid w:val="329F2533"/>
    <w:rsid w:val="32C7709C"/>
    <w:rsid w:val="32DA75DE"/>
    <w:rsid w:val="32ED6E25"/>
    <w:rsid w:val="3303057F"/>
    <w:rsid w:val="33106133"/>
    <w:rsid w:val="33132824"/>
    <w:rsid w:val="332D7CE1"/>
    <w:rsid w:val="33305F41"/>
    <w:rsid w:val="336042FC"/>
    <w:rsid w:val="33957634"/>
    <w:rsid w:val="33AB3863"/>
    <w:rsid w:val="33EF3397"/>
    <w:rsid w:val="33F16631"/>
    <w:rsid w:val="33F71BCC"/>
    <w:rsid w:val="342C23B5"/>
    <w:rsid w:val="343C7FF9"/>
    <w:rsid w:val="34A128E0"/>
    <w:rsid w:val="34CF784C"/>
    <w:rsid w:val="35A46254"/>
    <w:rsid w:val="35E143D0"/>
    <w:rsid w:val="35E9424C"/>
    <w:rsid w:val="35FA531F"/>
    <w:rsid w:val="36F273D4"/>
    <w:rsid w:val="370A1360"/>
    <w:rsid w:val="37734130"/>
    <w:rsid w:val="37925BDC"/>
    <w:rsid w:val="38312021"/>
    <w:rsid w:val="38792C96"/>
    <w:rsid w:val="387D5FC2"/>
    <w:rsid w:val="389025D9"/>
    <w:rsid w:val="392A565E"/>
    <w:rsid w:val="3962502E"/>
    <w:rsid w:val="399860D0"/>
    <w:rsid w:val="399C5950"/>
    <w:rsid w:val="39F9314B"/>
    <w:rsid w:val="3A5F3440"/>
    <w:rsid w:val="3AA12E7A"/>
    <w:rsid w:val="3AD75F7E"/>
    <w:rsid w:val="3AD91136"/>
    <w:rsid w:val="3B067D27"/>
    <w:rsid w:val="3B0752BB"/>
    <w:rsid w:val="3B533320"/>
    <w:rsid w:val="3BA40E16"/>
    <w:rsid w:val="3BA72DA7"/>
    <w:rsid w:val="3BF30917"/>
    <w:rsid w:val="3C67540A"/>
    <w:rsid w:val="3CD53CA6"/>
    <w:rsid w:val="3D0C417F"/>
    <w:rsid w:val="3DCA0BE3"/>
    <w:rsid w:val="3DD5193E"/>
    <w:rsid w:val="3DDF6D54"/>
    <w:rsid w:val="3DF60124"/>
    <w:rsid w:val="3E0F30CE"/>
    <w:rsid w:val="3E3F72C8"/>
    <w:rsid w:val="3F12422F"/>
    <w:rsid w:val="3F2F4DE1"/>
    <w:rsid w:val="3F9026F1"/>
    <w:rsid w:val="3FFA3C81"/>
    <w:rsid w:val="402E32EA"/>
    <w:rsid w:val="40563895"/>
    <w:rsid w:val="40592ECB"/>
    <w:rsid w:val="406E0B68"/>
    <w:rsid w:val="40926292"/>
    <w:rsid w:val="409E3FCC"/>
    <w:rsid w:val="40AA0BC3"/>
    <w:rsid w:val="40BB37FF"/>
    <w:rsid w:val="40D91F8A"/>
    <w:rsid w:val="40F417D7"/>
    <w:rsid w:val="41296327"/>
    <w:rsid w:val="41347008"/>
    <w:rsid w:val="417413FC"/>
    <w:rsid w:val="41B74DEC"/>
    <w:rsid w:val="41BE1D71"/>
    <w:rsid w:val="41ED5368"/>
    <w:rsid w:val="42195B60"/>
    <w:rsid w:val="423050F8"/>
    <w:rsid w:val="42A81FDA"/>
    <w:rsid w:val="437454B8"/>
    <w:rsid w:val="43B91524"/>
    <w:rsid w:val="43BA107A"/>
    <w:rsid w:val="441E5B35"/>
    <w:rsid w:val="44710F13"/>
    <w:rsid w:val="452F29DA"/>
    <w:rsid w:val="4546335C"/>
    <w:rsid w:val="45912351"/>
    <w:rsid w:val="45B44292"/>
    <w:rsid w:val="45BC6DF9"/>
    <w:rsid w:val="45DC4A98"/>
    <w:rsid w:val="461116EF"/>
    <w:rsid w:val="46152F37"/>
    <w:rsid w:val="463D62C9"/>
    <w:rsid w:val="465E1311"/>
    <w:rsid w:val="46CC1F51"/>
    <w:rsid w:val="46D13242"/>
    <w:rsid w:val="475B07F9"/>
    <w:rsid w:val="47963848"/>
    <w:rsid w:val="47A93D24"/>
    <w:rsid w:val="47AE4623"/>
    <w:rsid w:val="47FD0B4D"/>
    <w:rsid w:val="480D7C89"/>
    <w:rsid w:val="481E1E96"/>
    <w:rsid w:val="48262E36"/>
    <w:rsid w:val="485F4779"/>
    <w:rsid w:val="49247038"/>
    <w:rsid w:val="49594EB0"/>
    <w:rsid w:val="49A65B34"/>
    <w:rsid w:val="49A9147D"/>
    <w:rsid w:val="49D4639E"/>
    <w:rsid w:val="4A413D90"/>
    <w:rsid w:val="4A5406D9"/>
    <w:rsid w:val="4A935209"/>
    <w:rsid w:val="4A9F6969"/>
    <w:rsid w:val="4B191E41"/>
    <w:rsid w:val="4B3A5796"/>
    <w:rsid w:val="4B536EDA"/>
    <w:rsid w:val="4BB17E82"/>
    <w:rsid w:val="4BC3086E"/>
    <w:rsid w:val="4C4B0D80"/>
    <w:rsid w:val="4C980912"/>
    <w:rsid w:val="4CA517A6"/>
    <w:rsid w:val="4CAF130F"/>
    <w:rsid w:val="4E105DDD"/>
    <w:rsid w:val="4E37780E"/>
    <w:rsid w:val="4E3D6F1E"/>
    <w:rsid w:val="4E7747B9"/>
    <w:rsid w:val="4E810A89"/>
    <w:rsid w:val="4E9552F4"/>
    <w:rsid w:val="4E9B1B4B"/>
    <w:rsid w:val="4EA900B9"/>
    <w:rsid w:val="4EF253F0"/>
    <w:rsid w:val="4F2A1121"/>
    <w:rsid w:val="4F6F7005"/>
    <w:rsid w:val="4F8A6DFE"/>
    <w:rsid w:val="4F9814C7"/>
    <w:rsid w:val="4FD74E04"/>
    <w:rsid w:val="504A18C7"/>
    <w:rsid w:val="50B83543"/>
    <w:rsid w:val="50D119E3"/>
    <w:rsid w:val="50D11CD4"/>
    <w:rsid w:val="518275B8"/>
    <w:rsid w:val="519466CA"/>
    <w:rsid w:val="51C9028F"/>
    <w:rsid w:val="523117E8"/>
    <w:rsid w:val="523F3331"/>
    <w:rsid w:val="526238F8"/>
    <w:rsid w:val="526C6358"/>
    <w:rsid w:val="528454A3"/>
    <w:rsid w:val="529754ED"/>
    <w:rsid w:val="52A17693"/>
    <w:rsid w:val="531851EC"/>
    <w:rsid w:val="53B129B5"/>
    <w:rsid w:val="53EA29C7"/>
    <w:rsid w:val="542B06BE"/>
    <w:rsid w:val="54362463"/>
    <w:rsid w:val="54375778"/>
    <w:rsid w:val="547A0454"/>
    <w:rsid w:val="54FE0C14"/>
    <w:rsid w:val="55137BA0"/>
    <w:rsid w:val="5538022B"/>
    <w:rsid w:val="55743852"/>
    <w:rsid w:val="559B039E"/>
    <w:rsid w:val="55CF657E"/>
    <w:rsid w:val="56133501"/>
    <w:rsid w:val="56320613"/>
    <w:rsid w:val="56B779CA"/>
    <w:rsid w:val="571C50DC"/>
    <w:rsid w:val="57520808"/>
    <w:rsid w:val="57AB29F1"/>
    <w:rsid w:val="57AE3ADC"/>
    <w:rsid w:val="584274DB"/>
    <w:rsid w:val="58472D43"/>
    <w:rsid w:val="586D2F30"/>
    <w:rsid w:val="58DD3F37"/>
    <w:rsid w:val="59060650"/>
    <w:rsid w:val="5A1C2636"/>
    <w:rsid w:val="5A276988"/>
    <w:rsid w:val="5AA75D1B"/>
    <w:rsid w:val="5AEC7879"/>
    <w:rsid w:val="5BB426DC"/>
    <w:rsid w:val="5BB57FC4"/>
    <w:rsid w:val="5BB82731"/>
    <w:rsid w:val="5C47587E"/>
    <w:rsid w:val="5C6739B4"/>
    <w:rsid w:val="5CA8382E"/>
    <w:rsid w:val="5CE1197E"/>
    <w:rsid w:val="5CFE4BFC"/>
    <w:rsid w:val="5D13264E"/>
    <w:rsid w:val="5DEA7F80"/>
    <w:rsid w:val="5E1F3BF3"/>
    <w:rsid w:val="5E52281E"/>
    <w:rsid w:val="5E5D506F"/>
    <w:rsid w:val="5F603FDD"/>
    <w:rsid w:val="5F893C41"/>
    <w:rsid w:val="5FC66C44"/>
    <w:rsid w:val="5FD96977"/>
    <w:rsid w:val="600C444D"/>
    <w:rsid w:val="6013374F"/>
    <w:rsid w:val="60185C0A"/>
    <w:rsid w:val="60634492"/>
    <w:rsid w:val="60802A87"/>
    <w:rsid w:val="60D37DB0"/>
    <w:rsid w:val="61120392"/>
    <w:rsid w:val="61595B0C"/>
    <w:rsid w:val="615C02E0"/>
    <w:rsid w:val="615E35D8"/>
    <w:rsid w:val="61734267"/>
    <w:rsid w:val="61D2404F"/>
    <w:rsid w:val="621418F0"/>
    <w:rsid w:val="621A73FB"/>
    <w:rsid w:val="629F1FD3"/>
    <w:rsid w:val="62C76F5B"/>
    <w:rsid w:val="6372517F"/>
    <w:rsid w:val="639945C7"/>
    <w:rsid w:val="639B6212"/>
    <w:rsid w:val="63B616A1"/>
    <w:rsid w:val="64163354"/>
    <w:rsid w:val="64656A2B"/>
    <w:rsid w:val="64904662"/>
    <w:rsid w:val="64A26330"/>
    <w:rsid w:val="65096D76"/>
    <w:rsid w:val="655B1BDC"/>
    <w:rsid w:val="65873414"/>
    <w:rsid w:val="65A84C00"/>
    <w:rsid w:val="65C37EAD"/>
    <w:rsid w:val="65C634AC"/>
    <w:rsid w:val="65FD206B"/>
    <w:rsid w:val="66B26720"/>
    <w:rsid w:val="66C65E32"/>
    <w:rsid w:val="672002AE"/>
    <w:rsid w:val="6744501E"/>
    <w:rsid w:val="674E2805"/>
    <w:rsid w:val="678C1E42"/>
    <w:rsid w:val="67AF2133"/>
    <w:rsid w:val="67B92F61"/>
    <w:rsid w:val="67BA495C"/>
    <w:rsid w:val="67E13C19"/>
    <w:rsid w:val="684667AA"/>
    <w:rsid w:val="685B384D"/>
    <w:rsid w:val="6884144A"/>
    <w:rsid w:val="68A45F72"/>
    <w:rsid w:val="68C90189"/>
    <w:rsid w:val="69585C6E"/>
    <w:rsid w:val="699D4E62"/>
    <w:rsid w:val="69B82B6A"/>
    <w:rsid w:val="6A477E92"/>
    <w:rsid w:val="6A691F91"/>
    <w:rsid w:val="6AAF6C52"/>
    <w:rsid w:val="6B0E0304"/>
    <w:rsid w:val="6B2B4ED3"/>
    <w:rsid w:val="6B633325"/>
    <w:rsid w:val="6B7B5A09"/>
    <w:rsid w:val="6B9F6960"/>
    <w:rsid w:val="6C1A459F"/>
    <w:rsid w:val="6C904861"/>
    <w:rsid w:val="6C95479C"/>
    <w:rsid w:val="6C9D0333"/>
    <w:rsid w:val="6D09091E"/>
    <w:rsid w:val="6D291FC5"/>
    <w:rsid w:val="6D527AA1"/>
    <w:rsid w:val="6DB70FA5"/>
    <w:rsid w:val="6E0252EB"/>
    <w:rsid w:val="6E147D02"/>
    <w:rsid w:val="6E1E2CAF"/>
    <w:rsid w:val="6E2B6D1A"/>
    <w:rsid w:val="6E38332C"/>
    <w:rsid w:val="6E5D69C5"/>
    <w:rsid w:val="6E8478BE"/>
    <w:rsid w:val="6E941B32"/>
    <w:rsid w:val="6EDD258C"/>
    <w:rsid w:val="6EE47A30"/>
    <w:rsid w:val="6F365B35"/>
    <w:rsid w:val="6F810491"/>
    <w:rsid w:val="6F9B77A5"/>
    <w:rsid w:val="6FCC05BF"/>
    <w:rsid w:val="6FCC795E"/>
    <w:rsid w:val="6FD84D27"/>
    <w:rsid w:val="709D5112"/>
    <w:rsid w:val="70EB2F0E"/>
    <w:rsid w:val="711014F5"/>
    <w:rsid w:val="714A1E31"/>
    <w:rsid w:val="71585537"/>
    <w:rsid w:val="71B5124F"/>
    <w:rsid w:val="71C46F0B"/>
    <w:rsid w:val="71E371E1"/>
    <w:rsid w:val="71FC3878"/>
    <w:rsid w:val="72014911"/>
    <w:rsid w:val="7214383E"/>
    <w:rsid w:val="72921D50"/>
    <w:rsid w:val="72982558"/>
    <w:rsid w:val="72C2512D"/>
    <w:rsid w:val="72CE3606"/>
    <w:rsid w:val="735444CE"/>
    <w:rsid w:val="73BE1CB4"/>
    <w:rsid w:val="746C52BA"/>
    <w:rsid w:val="75050C71"/>
    <w:rsid w:val="751C55A7"/>
    <w:rsid w:val="752206F5"/>
    <w:rsid w:val="75F677E5"/>
    <w:rsid w:val="761C3752"/>
    <w:rsid w:val="761E4C8C"/>
    <w:rsid w:val="76614CFF"/>
    <w:rsid w:val="769D02A6"/>
    <w:rsid w:val="76AE7E1F"/>
    <w:rsid w:val="76C27D0D"/>
    <w:rsid w:val="770C0FE8"/>
    <w:rsid w:val="77525D78"/>
    <w:rsid w:val="77831FC1"/>
    <w:rsid w:val="778726D0"/>
    <w:rsid w:val="77E14132"/>
    <w:rsid w:val="78000CFB"/>
    <w:rsid w:val="788A6608"/>
    <w:rsid w:val="78951498"/>
    <w:rsid w:val="78981BAF"/>
    <w:rsid w:val="78C95383"/>
    <w:rsid w:val="78E27592"/>
    <w:rsid w:val="791A5BDE"/>
    <w:rsid w:val="795D5ACB"/>
    <w:rsid w:val="79632A20"/>
    <w:rsid w:val="79CD46A2"/>
    <w:rsid w:val="79F9799B"/>
    <w:rsid w:val="7A0F627B"/>
    <w:rsid w:val="7A1A0173"/>
    <w:rsid w:val="7A1D0296"/>
    <w:rsid w:val="7A223D2E"/>
    <w:rsid w:val="7AEE32E3"/>
    <w:rsid w:val="7B2A7C2F"/>
    <w:rsid w:val="7B81775A"/>
    <w:rsid w:val="7BDB5FFA"/>
    <w:rsid w:val="7BF66C8B"/>
    <w:rsid w:val="7C484810"/>
    <w:rsid w:val="7C5143D4"/>
    <w:rsid w:val="7C8C7E8B"/>
    <w:rsid w:val="7D284642"/>
    <w:rsid w:val="7D7A7757"/>
    <w:rsid w:val="7D8879DB"/>
    <w:rsid w:val="7D956A54"/>
    <w:rsid w:val="7E0E529B"/>
    <w:rsid w:val="7E83110C"/>
    <w:rsid w:val="7EAA134C"/>
    <w:rsid w:val="7ECC6C2A"/>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iPriority="0" w:semiHidden="0"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qFormat="1" w:unhideWhenUsed="0" w:uiPriority="0" w:semiHidden="0"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pPr>
    <w:rPr>
      <w:rFonts w:ascii="Times New Roman" w:hAnsi="Times New Roman" w:eastAsia="宋体" w:cs="Times New Roman"/>
      <w:snapToGrid w:val="0"/>
      <w:kern w:val="0"/>
      <w:sz w:val="24"/>
      <w:szCs w:val="24"/>
      <w:lang w:val="en-US" w:eastAsia="zh-CN" w:bidi="ar-SA"/>
      <w14:ligatures w14:val="none"/>
    </w:rPr>
  </w:style>
  <w:style w:type="paragraph" w:styleId="2">
    <w:name w:val="heading 1"/>
    <w:basedOn w:val="1"/>
    <w:next w:val="1"/>
    <w:link w:val="50"/>
    <w:qFormat/>
    <w:uiPriority w:val="99"/>
    <w:pPr>
      <w:keepNext/>
      <w:overflowPunct w:val="0"/>
      <w:ind w:firstLine="720" w:firstLineChars="200"/>
      <w:outlineLvl w:val="0"/>
    </w:pPr>
    <w:rPr>
      <w:b/>
      <w:bCs/>
      <w:color w:val="000000"/>
      <w:kern w:val="44"/>
      <w:szCs w:val="30"/>
    </w:rPr>
  </w:style>
  <w:style w:type="paragraph" w:styleId="3">
    <w:name w:val="heading 2"/>
    <w:basedOn w:val="1"/>
    <w:next w:val="1"/>
    <w:link w:val="51"/>
    <w:qFormat/>
    <w:uiPriority w:val="0"/>
    <w:pPr>
      <w:keepNext/>
      <w:keepLines/>
      <w:ind w:firstLine="720" w:firstLineChars="200"/>
      <w:outlineLvl w:val="1"/>
    </w:pPr>
    <w:rPr>
      <w:b/>
      <w:bCs/>
      <w:szCs w:val="32"/>
    </w:rPr>
  </w:style>
  <w:style w:type="paragraph" w:styleId="4">
    <w:name w:val="heading 3"/>
    <w:basedOn w:val="1"/>
    <w:next w:val="1"/>
    <w:link w:val="47"/>
    <w:qFormat/>
    <w:uiPriority w:val="0"/>
    <w:pPr>
      <w:keepNext/>
      <w:keepLines/>
      <w:spacing w:before="260" w:after="260" w:line="416" w:lineRule="auto"/>
      <w:outlineLvl w:val="2"/>
    </w:pPr>
    <w:rPr>
      <w:b/>
      <w:bCs/>
      <w:sz w:val="32"/>
      <w:szCs w:val="32"/>
    </w:rPr>
  </w:style>
  <w:style w:type="paragraph" w:styleId="5">
    <w:name w:val="heading 4"/>
    <w:basedOn w:val="1"/>
    <w:next w:val="1"/>
    <w:link w:val="52"/>
    <w:qFormat/>
    <w:uiPriority w:val="0"/>
    <w:pPr>
      <w:keepNext/>
      <w:keepLines/>
      <w:spacing w:before="280" w:after="290" w:line="376" w:lineRule="auto"/>
      <w:outlineLvl w:val="3"/>
    </w:pPr>
    <w:rPr>
      <w:rFonts w:ascii="Cambria" w:hAnsi="Cambria" w:cs="黑体"/>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0" w:firstLineChars="200"/>
    </w:pPr>
  </w:style>
  <w:style w:type="paragraph" w:customStyle="1" w:styleId="7">
    <w:name w:val="样式 标题 2 + 三号1"/>
    <w:basedOn w:val="3"/>
    <w:next w:val="1"/>
    <w:qFormat/>
    <w:uiPriority w:val="99"/>
    <w:pPr>
      <w:keepLines w:val="0"/>
      <w:numPr>
        <w:ilvl w:val="1"/>
        <w:numId w:val="1"/>
      </w:numPr>
      <w:tabs>
        <w:tab w:val="left" w:pos="718"/>
        <w:tab w:val="clear" w:pos="576"/>
      </w:tabs>
      <w:spacing w:line="480" w:lineRule="auto"/>
      <w:ind w:left="718"/>
      <w:jc w:val="left"/>
    </w:pPr>
    <w:rPr>
      <w:rFonts w:ascii="宋体" w:hAnsi="宋体"/>
      <w:kern w:val="0"/>
      <w:sz w:val="32"/>
    </w:rPr>
  </w:style>
  <w:style w:type="paragraph" w:styleId="8">
    <w:name w:val="annotation text"/>
    <w:basedOn w:val="1"/>
    <w:semiHidden/>
    <w:unhideWhenUsed/>
    <w:qFormat/>
    <w:uiPriority w:val="99"/>
    <w:pPr>
      <w:jc w:val="left"/>
    </w:pPr>
  </w:style>
  <w:style w:type="paragraph" w:styleId="9">
    <w:name w:val="Body Text"/>
    <w:basedOn w:val="1"/>
    <w:link w:val="53"/>
    <w:unhideWhenUsed/>
    <w:qFormat/>
    <w:uiPriority w:val="0"/>
    <w:pPr>
      <w:spacing w:after="120"/>
    </w:pPr>
  </w:style>
  <w:style w:type="paragraph" w:styleId="10">
    <w:name w:val="Body Text Indent"/>
    <w:basedOn w:val="1"/>
    <w:next w:val="5"/>
    <w:qFormat/>
    <w:uiPriority w:val="0"/>
    <w:pPr>
      <w:ind w:firstLine="540" w:firstLineChars="225"/>
    </w:pPr>
    <w:rPr>
      <w:rFonts w:ascii="Times New Roman"/>
      <w:szCs w:val="24"/>
    </w:rPr>
  </w:style>
  <w:style w:type="paragraph" w:styleId="11">
    <w:name w:val="List 2"/>
    <w:basedOn w:val="1"/>
    <w:unhideWhenUsed/>
    <w:qFormat/>
    <w:uiPriority w:val="0"/>
    <w:pPr>
      <w:spacing w:line="360" w:lineRule="auto"/>
      <w:ind w:left="100" w:leftChars="200" w:hanging="200" w:hangingChars="200"/>
      <w:contextualSpacing/>
    </w:pPr>
    <w:rPr>
      <w:rFonts w:ascii="Times New Roman" w:hAnsi="Times New Roman" w:eastAsia="仿宋" w:cs="Times New Roman"/>
      <w:sz w:val="28"/>
      <w:szCs w:val="30"/>
    </w:rPr>
  </w:style>
  <w:style w:type="paragraph" w:styleId="12">
    <w:name w:val="List Bullet 2"/>
    <w:basedOn w:val="1"/>
    <w:next w:val="13"/>
    <w:semiHidden/>
    <w:unhideWhenUsed/>
    <w:qFormat/>
    <w:uiPriority w:val="99"/>
    <w:pPr>
      <w:numPr>
        <w:ilvl w:val="0"/>
        <w:numId w:val="2"/>
      </w:numPr>
    </w:pPr>
  </w:style>
  <w:style w:type="paragraph" w:customStyle="1" w:styleId="13">
    <w:name w:val="xl70"/>
    <w:basedOn w:val="1"/>
    <w:next w:val="14"/>
    <w:qFormat/>
    <w:uiPriority w:val="0"/>
    <w:pPr>
      <w:widowControl/>
      <w:tabs>
        <w:tab w:val="left" w:pos="480"/>
      </w:tabs>
      <w:spacing w:before="280" w:after="280"/>
    </w:pPr>
    <w:rPr>
      <w:rFonts w:ascii="宋体"/>
    </w:rPr>
  </w:style>
  <w:style w:type="paragraph" w:customStyle="1" w:styleId="14">
    <w:name w:val="正文缩进1"/>
    <w:basedOn w:val="6"/>
    <w:next w:val="15"/>
    <w:qFormat/>
    <w:uiPriority w:val="0"/>
    <w:pPr>
      <w:tabs>
        <w:tab w:val="left" w:pos="480"/>
      </w:tabs>
      <w:ind w:firstLine="420"/>
    </w:pPr>
    <w:rPr>
      <w:szCs w:val="20"/>
    </w:rPr>
  </w:style>
  <w:style w:type="paragraph" w:customStyle="1" w:styleId="15">
    <w:name w:val="td1"/>
    <w:basedOn w:val="1"/>
    <w:next w:val="1"/>
    <w:qFormat/>
    <w:uiPriority w:val="0"/>
    <w:pPr>
      <w:widowControl/>
      <w:tabs>
        <w:tab w:val="left" w:pos="480"/>
      </w:tabs>
      <w:spacing w:before="280" w:after="280" w:line="300" w:lineRule="atLeast"/>
      <w:ind w:firstLine="200"/>
    </w:pPr>
    <w:rPr>
      <w:color w:val="000000"/>
      <w:sz w:val="18"/>
    </w:rPr>
  </w:style>
  <w:style w:type="paragraph" w:styleId="16">
    <w:name w:val="Plain Text"/>
    <w:basedOn w:val="1"/>
    <w:next w:val="1"/>
    <w:qFormat/>
    <w:uiPriority w:val="0"/>
    <w:pPr>
      <w:jc w:val="center"/>
    </w:pPr>
    <w:rPr>
      <w:rFonts w:ascii="宋体" w:hAnsi="Courier New"/>
      <w:sz w:val="24"/>
    </w:rPr>
  </w:style>
  <w:style w:type="paragraph" w:styleId="17">
    <w:name w:val="List Bullet 5"/>
    <w:basedOn w:val="1"/>
    <w:qFormat/>
    <w:uiPriority w:val="0"/>
    <w:pPr>
      <w:numPr>
        <w:ilvl w:val="0"/>
        <w:numId w:val="3"/>
      </w:numPr>
    </w:pPr>
  </w:style>
  <w:style w:type="paragraph" w:styleId="18">
    <w:name w:val="footer"/>
    <w:basedOn w:val="1"/>
    <w:link w:val="49"/>
    <w:unhideWhenUsed/>
    <w:qFormat/>
    <w:uiPriority w:val="99"/>
    <w:pPr>
      <w:tabs>
        <w:tab w:val="center" w:pos="4153"/>
        <w:tab w:val="right" w:pos="8306"/>
      </w:tabs>
    </w:pPr>
    <w:rPr>
      <w:sz w:val="18"/>
      <w:szCs w:val="18"/>
    </w:rPr>
  </w:style>
  <w:style w:type="paragraph" w:styleId="19">
    <w:name w:val="header"/>
    <w:basedOn w:val="1"/>
    <w:link w:val="48"/>
    <w:unhideWhenUsed/>
    <w:qFormat/>
    <w:uiPriority w:val="0"/>
    <w:pPr>
      <w:tabs>
        <w:tab w:val="center" w:pos="4153"/>
        <w:tab w:val="right" w:pos="8306"/>
      </w:tabs>
      <w:jc w:val="center"/>
    </w:pPr>
    <w:rPr>
      <w:sz w:val="18"/>
      <w:szCs w:val="18"/>
    </w:rPr>
  </w:style>
  <w:style w:type="paragraph" w:styleId="20">
    <w:name w:val="toc 1"/>
    <w:basedOn w:val="1"/>
    <w:next w:val="1"/>
    <w:qFormat/>
    <w:uiPriority w:val="39"/>
    <w:pPr>
      <w:tabs>
        <w:tab w:val="right" w:leader="dot" w:pos="8312"/>
      </w:tabs>
    </w:pPr>
    <w:rPr>
      <w:rFonts w:ascii="Times New Roman" w:hAnsi="Times New Roman" w:eastAsia="宋体" w:cs="Times New Roman"/>
      <w:b/>
      <w:sz w:val="28"/>
    </w:rPr>
  </w:style>
  <w:style w:type="paragraph" w:styleId="21">
    <w:name w:val="List"/>
    <w:basedOn w:val="1"/>
    <w:qFormat/>
    <w:uiPriority w:val="0"/>
    <w:pPr>
      <w:ind w:left="200" w:hanging="200" w:hangingChars="200"/>
    </w:pPr>
    <w:rPr>
      <w:rFonts w:ascii="Times New Roman" w:hAnsi="Times New Roman" w:eastAsia="宋体" w:cs="Times New Roman"/>
      <w:szCs w:val="24"/>
    </w:rPr>
  </w:style>
  <w:style w:type="paragraph" w:styleId="2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3">
    <w:name w:val="Normal (Web)"/>
    <w:basedOn w:val="1"/>
    <w:qFormat/>
    <w:uiPriority w:val="0"/>
    <w:pPr>
      <w:widowControl/>
      <w:spacing w:before="100" w:beforeAutospacing="1" w:after="100" w:afterAutospacing="1"/>
      <w:jc w:val="left"/>
    </w:pPr>
    <w:rPr>
      <w:rFonts w:ascii="宋体" w:hAnsi="宋体"/>
      <w:kern w:val="0"/>
      <w:sz w:val="24"/>
    </w:rPr>
  </w:style>
  <w:style w:type="paragraph" w:styleId="24">
    <w:name w:val="Title"/>
    <w:basedOn w:val="1"/>
    <w:next w:val="1"/>
    <w:link w:val="45"/>
    <w:qFormat/>
    <w:uiPriority w:val="10"/>
    <w:pPr>
      <w:spacing w:before="240" w:after="120"/>
      <w:ind w:firstLine="200" w:firstLineChars="200"/>
      <w:jc w:val="center"/>
      <w:textAlignment w:val="center"/>
      <w:outlineLvl w:val="2"/>
    </w:pPr>
    <w:rPr>
      <w:b/>
      <w:bCs/>
      <w:szCs w:val="32"/>
    </w:rPr>
  </w:style>
  <w:style w:type="paragraph" w:styleId="25">
    <w:name w:val="Body Text First Indent"/>
    <w:basedOn w:val="9"/>
    <w:next w:val="1"/>
    <w:link w:val="54"/>
    <w:qFormat/>
    <w:uiPriority w:val="0"/>
    <w:pPr>
      <w:widowControl/>
      <w:spacing w:before="60" w:line="240" w:lineRule="auto"/>
      <w:ind w:right="113" w:firstLine="420"/>
    </w:pPr>
    <w:rPr>
      <w:sz w:val="21"/>
      <w:szCs w:val="20"/>
    </w:rPr>
  </w:style>
  <w:style w:type="paragraph" w:styleId="26">
    <w:name w:val="Body Text First Indent 2"/>
    <w:basedOn w:val="10"/>
    <w:next w:val="1"/>
    <w:qFormat/>
    <w:uiPriority w:val="0"/>
    <w:pPr>
      <w:ind w:firstLine="420" w:firstLineChars="200"/>
    </w:pPr>
    <w:rPr>
      <w:rFonts w:eastAsia="仿宋_GB2312"/>
      <w:snapToGrid w:val="0"/>
      <w:color w:val="000000"/>
      <w:sz w:val="28"/>
      <w:szCs w:val="32"/>
    </w:rPr>
  </w:style>
  <w:style w:type="table" w:styleId="28">
    <w:name w:val="Table Grid"/>
    <w:basedOn w:val="27"/>
    <w:qFormat/>
    <w:uiPriority w:val="0"/>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22"/>
    <w:rPr>
      <w:b/>
    </w:rPr>
  </w:style>
  <w:style w:type="character" w:styleId="31">
    <w:name w:val="Hyperlink"/>
    <w:basedOn w:val="29"/>
    <w:semiHidden/>
    <w:unhideWhenUsed/>
    <w:qFormat/>
    <w:uiPriority w:val="99"/>
    <w:rPr>
      <w:color w:val="0000FF"/>
      <w:u w:val="single"/>
    </w:rPr>
  </w:style>
  <w:style w:type="paragraph" w:customStyle="1" w:styleId="32">
    <w:name w:val="Default"/>
    <w:basedOn w:val="33"/>
    <w:next w:val="1"/>
    <w:qFormat/>
    <w:uiPriority w:val="0"/>
    <w:pPr>
      <w:autoSpaceDE w:val="0"/>
      <w:autoSpaceDN w:val="0"/>
    </w:pPr>
    <w:rPr>
      <w:rFonts w:hAnsi="Calibri" w:cs="宋体"/>
      <w:color w:val="000000"/>
      <w:sz w:val="24"/>
      <w:szCs w:val="24"/>
    </w:rPr>
  </w:style>
  <w:style w:type="paragraph" w:customStyle="1" w:styleId="33">
    <w:name w:val="1 表头"/>
    <w:basedOn w:val="1"/>
    <w:qFormat/>
    <w:uiPriority w:val="0"/>
    <w:pPr>
      <w:spacing w:line="240" w:lineRule="auto"/>
      <w:ind w:firstLine="0" w:firstLineChars="0"/>
      <w:jc w:val="center"/>
    </w:pPr>
    <w:rPr>
      <w:b/>
      <w:color w:val="000000"/>
      <w:sz w:val="21"/>
      <w:szCs w:val="21"/>
    </w:rPr>
  </w:style>
  <w:style w:type="paragraph" w:customStyle="1" w:styleId="34">
    <w:name w:val="表格内"/>
    <w:qFormat/>
    <w:uiPriority w:val="0"/>
    <w:pPr>
      <w:widowControl w:val="0"/>
      <w:adjustRightInd w:val="0"/>
      <w:snapToGrid w:val="0"/>
      <w:spacing w:line="360" w:lineRule="exact"/>
      <w:ind w:firstLine="420" w:firstLineChars="200"/>
      <w:jc w:val="center"/>
    </w:pPr>
    <w:rPr>
      <w:rFonts w:ascii="Times New Roman" w:hAnsi="Times New Roman" w:eastAsia="宋体" w:cs="Times New Roman"/>
      <w:snapToGrid w:val="0"/>
      <w:sz w:val="24"/>
      <w:szCs w:val="21"/>
      <w:lang w:val="en-US" w:eastAsia="zh-CN" w:bidi="ar-SA"/>
    </w:rPr>
  </w:style>
  <w:style w:type="paragraph" w:customStyle="1" w:styleId="35">
    <w:name w:val="Table Text"/>
    <w:basedOn w:val="1"/>
    <w:semiHidden/>
    <w:qFormat/>
    <w:uiPriority w:val="0"/>
    <w:rPr>
      <w:rFonts w:ascii="宋体" w:hAnsi="宋体" w:eastAsia="宋体" w:cs="宋体"/>
      <w:sz w:val="24"/>
      <w:szCs w:val="24"/>
      <w:lang w:val="en-US" w:eastAsia="en-US" w:bidi="ar-SA"/>
    </w:rPr>
  </w:style>
  <w:style w:type="paragraph" w:customStyle="1" w:styleId="36">
    <w:name w:val="表头"/>
    <w:basedOn w:val="21"/>
    <w:next w:val="1"/>
    <w:qFormat/>
    <w:uiPriority w:val="0"/>
    <w:pPr>
      <w:autoSpaceDE w:val="0"/>
      <w:autoSpaceDN w:val="0"/>
      <w:adjustRightInd w:val="0"/>
      <w:spacing w:line="500" w:lineRule="exact"/>
      <w:jc w:val="center"/>
      <w:textAlignment w:val="baseline"/>
    </w:pPr>
    <w:rPr>
      <w:rFonts w:ascii="Times New Roman" w:hAnsi="Times New Roman" w:eastAsia="宋体"/>
      <w:b/>
      <w:kern w:val="0"/>
      <w:sz w:val="24"/>
    </w:rPr>
  </w:style>
  <w:style w:type="paragraph" w:customStyle="1" w:styleId="37">
    <w:name w:val="正文格式"/>
    <w:basedOn w:val="25"/>
    <w:next w:val="38"/>
    <w:qFormat/>
    <w:uiPriority w:val="0"/>
    <w:pPr>
      <w:spacing w:line="360" w:lineRule="auto"/>
      <w:ind w:firstLine="560"/>
    </w:pPr>
    <w:rPr>
      <w:color w:val="000000"/>
      <w:lang w:val="zh-CN"/>
    </w:rPr>
  </w:style>
  <w:style w:type="paragraph" w:customStyle="1" w:styleId="38">
    <w:name w:val="_Style 5"/>
    <w:basedOn w:val="1"/>
    <w:qFormat/>
    <w:uiPriority w:val="0"/>
    <w:pPr>
      <w:ind w:firstLine="420"/>
    </w:pPr>
    <w:rPr>
      <w:rFonts w:ascii="Calibri" w:hAnsi="Calibri"/>
      <w:szCs w:val="22"/>
    </w:rPr>
  </w:style>
  <w:style w:type="paragraph" w:customStyle="1" w:styleId="39">
    <w:name w:val="li_正文"/>
    <w:basedOn w:val="1"/>
    <w:qFormat/>
    <w:uiPriority w:val="0"/>
    <w:pPr>
      <w:ind w:firstLine="200" w:firstLineChars="200"/>
      <w:jc w:val="left"/>
    </w:pPr>
    <w:rPr>
      <w:rFonts w:ascii="Calibri" w:hAnsi="Calibri"/>
      <w:sz w:val="28"/>
      <w:szCs w:val="28"/>
    </w:rPr>
  </w:style>
  <w:style w:type="paragraph" w:customStyle="1" w:styleId="40">
    <w:name w:val="表格"/>
    <w:basedOn w:val="6"/>
    <w:next w:val="1"/>
    <w:link w:val="41"/>
    <w:qFormat/>
    <w:uiPriority w:val="0"/>
    <w:pPr>
      <w:spacing w:beforeLines="10" w:afterLines="10" w:line="259" w:lineRule="auto"/>
      <w:jc w:val="center"/>
    </w:pPr>
    <w:rPr>
      <w:rFonts w:ascii="宋体" w:hAnsiTheme="minorHAnsi" w:eastAsiaTheme="minorEastAsia" w:cstheme="minorBidi"/>
      <w:snapToGrid/>
      <w:kern w:val="2"/>
      <w:sz w:val="21"/>
      <w:szCs w:val="22"/>
      <w14:ligatures w14:val="standardContextual"/>
    </w:rPr>
  </w:style>
  <w:style w:type="character" w:customStyle="1" w:styleId="41">
    <w:name w:val="表格 Char"/>
    <w:link w:val="40"/>
    <w:qFormat/>
    <w:locked/>
    <w:uiPriority w:val="0"/>
    <w:rPr>
      <w:rFonts w:ascii="宋体"/>
    </w:rPr>
  </w:style>
  <w:style w:type="paragraph" w:customStyle="1" w:styleId="42">
    <w:name w:val="无间隔1"/>
    <w:qFormat/>
    <w:uiPriority w:val="99"/>
    <w:pPr>
      <w:widowControl w:val="0"/>
    </w:pPr>
    <w:rPr>
      <w:rFonts w:ascii="Times New Roman" w:hAnsi="Times New Roman" w:eastAsia="仿宋_GB2312" w:cs="Times New Roman"/>
      <w:kern w:val="2"/>
      <w:sz w:val="28"/>
      <w:szCs w:val="21"/>
      <w:lang w:val="en-US" w:eastAsia="zh-CN" w:bidi="ar-SA"/>
    </w:rPr>
  </w:style>
  <w:style w:type="paragraph" w:customStyle="1" w:styleId="43">
    <w:name w:val="A-表格文字"/>
    <w:basedOn w:val="1"/>
    <w:next w:val="1"/>
    <w:qFormat/>
    <w:uiPriority w:val="0"/>
    <w:pPr>
      <w:autoSpaceDE w:val="0"/>
      <w:autoSpaceDN w:val="0"/>
      <w:adjustRightInd w:val="0"/>
      <w:jc w:val="center"/>
      <w:textAlignment w:val="center"/>
    </w:pPr>
    <w:rPr>
      <w:rFonts w:ascii="Times New Roman" w:hAnsi="Times New Roman"/>
      <w:kern w:val="0"/>
      <w:szCs w:val="21"/>
    </w:rPr>
  </w:style>
  <w:style w:type="paragraph" w:customStyle="1" w:styleId="44">
    <w:name w:val="表题"/>
    <w:basedOn w:val="1"/>
    <w:next w:val="1"/>
    <w:qFormat/>
    <w:uiPriority w:val="0"/>
    <w:pPr>
      <w:spacing w:before="50" w:beforeLines="50"/>
      <w:jc w:val="center"/>
      <w:textAlignment w:val="center"/>
    </w:pPr>
    <w:rPr>
      <w:b/>
      <w:szCs w:val="22"/>
    </w:rPr>
  </w:style>
  <w:style w:type="character" w:customStyle="1" w:styleId="45">
    <w:name w:val="标题 字符"/>
    <w:basedOn w:val="29"/>
    <w:link w:val="24"/>
    <w:qFormat/>
    <w:uiPriority w:val="10"/>
    <w:rPr>
      <w:rFonts w:ascii="Times New Roman" w:hAnsi="Times New Roman" w:eastAsia="宋体" w:cs="Times New Roman"/>
      <w:b/>
      <w:bCs/>
      <w:snapToGrid w:val="0"/>
      <w:kern w:val="0"/>
      <w:sz w:val="24"/>
      <w:szCs w:val="32"/>
      <w14:ligatures w14:val="none"/>
    </w:rPr>
  </w:style>
  <w:style w:type="paragraph" w:customStyle="1" w:styleId="46">
    <w:name w:val="正文1"/>
    <w:basedOn w:val="1"/>
    <w:next w:val="1"/>
    <w:qFormat/>
    <w:uiPriority w:val="0"/>
    <w:pPr>
      <w:adjustRightInd w:val="0"/>
      <w:snapToGrid w:val="0"/>
      <w:spacing w:line="500" w:lineRule="atLeast"/>
      <w:ind w:firstLine="567"/>
    </w:pPr>
    <w:rPr>
      <w:sz w:val="28"/>
    </w:rPr>
  </w:style>
  <w:style w:type="character" w:customStyle="1" w:styleId="47">
    <w:name w:val="标题 3 字符"/>
    <w:basedOn w:val="29"/>
    <w:link w:val="4"/>
    <w:qFormat/>
    <w:uiPriority w:val="0"/>
    <w:rPr>
      <w:rFonts w:ascii="Times New Roman" w:hAnsi="Times New Roman" w:eastAsia="宋体" w:cs="Times New Roman"/>
      <w:b/>
      <w:bCs/>
      <w:snapToGrid w:val="0"/>
      <w:kern w:val="0"/>
      <w:sz w:val="32"/>
      <w:szCs w:val="32"/>
      <w14:ligatures w14:val="none"/>
    </w:rPr>
  </w:style>
  <w:style w:type="character" w:customStyle="1" w:styleId="48">
    <w:name w:val="页眉 字符"/>
    <w:basedOn w:val="29"/>
    <w:link w:val="19"/>
    <w:qFormat/>
    <w:uiPriority w:val="0"/>
    <w:rPr>
      <w:sz w:val="18"/>
      <w:szCs w:val="18"/>
    </w:rPr>
  </w:style>
  <w:style w:type="character" w:customStyle="1" w:styleId="49">
    <w:name w:val="页脚 字符"/>
    <w:basedOn w:val="29"/>
    <w:link w:val="18"/>
    <w:qFormat/>
    <w:uiPriority w:val="99"/>
    <w:rPr>
      <w:sz w:val="18"/>
      <w:szCs w:val="18"/>
    </w:rPr>
  </w:style>
  <w:style w:type="character" w:customStyle="1" w:styleId="50">
    <w:name w:val="标题 1 字符"/>
    <w:basedOn w:val="29"/>
    <w:link w:val="2"/>
    <w:qFormat/>
    <w:uiPriority w:val="99"/>
    <w:rPr>
      <w:rFonts w:ascii="Times New Roman" w:hAnsi="Times New Roman" w:eastAsia="宋体" w:cs="Times New Roman"/>
      <w:b/>
      <w:bCs/>
      <w:snapToGrid w:val="0"/>
      <w:color w:val="000000"/>
      <w:kern w:val="44"/>
      <w:sz w:val="24"/>
      <w:szCs w:val="30"/>
      <w14:ligatures w14:val="none"/>
    </w:rPr>
  </w:style>
  <w:style w:type="character" w:customStyle="1" w:styleId="51">
    <w:name w:val="标题 2 字符"/>
    <w:basedOn w:val="29"/>
    <w:link w:val="3"/>
    <w:qFormat/>
    <w:uiPriority w:val="0"/>
    <w:rPr>
      <w:rFonts w:ascii="Times New Roman" w:hAnsi="Times New Roman" w:eastAsia="宋体" w:cs="Times New Roman"/>
      <w:b/>
      <w:bCs/>
      <w:snapToGrid w:val="0"/>
      <w:kern w:val="0"/>
      <w:sz w:val="24"/>
      <w:szCs w:val="32"/>
      <w14:ligatures w14:val="none"/>
    </w:rPr>
  </w:style>
  <w:style w:type="character" w:customStyle="1" w:styleId="52">
    <w:name w:val="标题 4 字符"/>
    <w:basedOn w:val="29"/>
    <w:link w:val="5"/>
    <w:qFormat/>
    <w:uiPriority w:val="0"/>
    <w:rPr>
      <w:rFonts w:ascii="Cambria" w:hAnsi="Cambria" w:eastAsia="宋体" w:cs="黑体"/>
      <w:b/>
      <w:bCs/>
      <w:snapToGrid w:val="0"/>
      <w:kern w:val="0"/>
      <w:sz w:val="28"/>
      <w:szCs w:val="28"/>
      <w14:ligatures w14:val="none"/>
    </w:rPr>
  </w:style>
  <w:style w:type="character" w:customStyle="1" w:styleId="53">
    <w:name w:val="正文文本 字符"/>
    <w:basedOn w:val="29"/>
    <w:link w:val="9"/>
    <w:qFormat/>
    <w:uiPriority w:val="0"/>
    <w:rPr>
      <w:rFonts w:ascii="Times New Roman" w:hAnsi="Times New Roman" w:eastAsia="宋体" w:cs="Times New Roman"/>
      <w:snapToGrid w:val="0"/>
      <w:kern w:val="0"/>
      <w:sz w:val="24"/>
      <w:szCs w:val="24"/>
      <w14:ligatures w14:val="none"/>
    </w:rPr>
  </w:style>
  <w:style w:type="character" w:customStyle="1" w:styleId="54">
    <w:name w:val="正文文本首行缩进 字符"/>
    <w:basedOn w:val="53"/>
    <w:link w:val="25"/>
    <w:qFormat/>
    <w:uiPriority w:val="0"/>
    <w:rPr>
      <w:rFonts w:ascii="Times New Roman" w:hAnsi="Times New Roman" w:eastAsia="宋体" w:cs="Times New Roman"/>
      <w:snapToGrid w:val="0"/>
      <w:kern w:val="0"/>
      <w:sz w:val="24"/>
      <w:szCs w:val="20"/>
      <w14:ligatures w14:val="none"/>
    </w:rPr>
  </w:style>
  <w:style w:type="paragraph" w:styleId="55">
    <w:name w:val="List Paragraph"/>
    <w:basedOn w:val="1"/>
    <w:qFormat/>
    <w:uiPriority w:val="34"/>
    <w:pPr>
      <w:ind w:firstLine="420" w:firstLineChars="200"/>
    </w:pPr>
  </w:style>
  <w:style w:type="paragraph" w:customStyle="1" w:styleId="56">
    <w:name w:val="Huskyero"/>
    <w:qFormat/>
    <w:uiPriority w:val="0"/>
    <w:pPr>
      <w:spacing w:line="360" w:lineRule="auto"/>
      <w:ind w:firstLine="200" w:firstLineChars="200"/>
    </w:pPr>
    <w:rPr>
      <w:rFonts w:ascii="Calibri" w:hAnsi="Calibri" w:eastAsia="宋体" w:cs="Times New Roman"/>
      <w:iCs/>
      <w:kern w:val="2"/>
      <w:sz w:val="24"/>
      <w:szCs w:val="24"/>
      <w:lang w:val="en-US" w:eastAsia="zh-CN" w:bidi="ar-SA"/>
    </w:rPr>
  </w:style>
  <w:style w:type="paragraph" w:customStyle="1" w:styleId="57">
    <w:name w:val="纯文本1"/>
    <w:basedOn w:val="1"/>
    <w:next w:val="16"/>
    <w:qFormat/>
    <w:uiPriority w:val="0"/>
    <w:pPr>
      <w:adjustRightInd w:val="0"/>
    </w:pPr>
    <w:rPr>
      <w:rFonts w:ascii="宋体" w:hAnsi="Courier New"/>
      <w:szCs w:val="20"/>
    </w:rPr>
  </w:style>
  <w:style w:type="paragraph" w:customStyle="1" w:styleId="58">
    <w:name w:val="表中文字"/>
    <w:basedOn w:val="1"/>
    <w:autoRedefine/>
    <w:qFormat/>
    <w:uiPriority w:val="0"/>
    <w:pPr>
      <w:autoSpaceDE w:val="0"/>
      <w:autoSpaceDN w:val="0"/>
      <w:spacing w:line="240" w:lineRule="auto"/>
      <w:ind w:firstLine="0" w:firstLineChars="0"/>
      <w:jc w:val="center"/>
      <w:textAlignment w:val="bottom"/>
    </w:pPr>
    <w:rPr>
      <w:bCs/>
      <w:color w:val="000000"/>
      <w:sz w:val="21"/>
      <w:szCs w:val="21"/>
    </w:rPr>
  </w:style>
  <w:style w:type="paragraph" w:customStyle="1" w:styleId="59">
    <w:name w:val="0正文"/>
    <w:basedOn w:val="23"/>
    <w:qFormat/>
    <w:uiPriority w:val="0"/>
    <w:pPr>
      <w:adjustRightInd w:val="0"/>
      <w:snapToGrid w:val="0"/>
      <w:spacing w:before="0" w:beforeAutospacing="0" w:after="0" w:afterAutospacing="0" w:line="500" w:lineRule="exact"/>
      <w:ind w:firstLine="200" w:firstLineChars="200"/>
      <w:jc w:val="both"/>
    </w:pPr>
    <w:rPr>
      <w:rFonts w:ascii="Times New Roman" w:hAnsi="Times New Roman" w:eastAsia="宋体" w:cs="Times New Roman"/>
      <w:kern w:val="2"/>
    </w:rPr>
  </w:style>
  <w:style w:type="table" w:customStyle="1" w:styleId="60">
    <w:name w:val="Table Normal"/>
    <w:unhideWhenUsed/>
    <w:qFormat/>
    <w:uiPriority w:val="0"/>
    <w:tblPr>
      <w:tblCellMar>
        <w:top w:w="0" w:type="dxa"/>
        <w:left w:w="0" w:type="dxa"/>
        <w:bottom w:w="0" w:type="dxa"/>
        <w:right w:w="0" w:type="dxa"/>
      </w:tblCellMar>
    </w:tblPr>
  </w:style>
  <w:style w:type="paragraph" w:styleId="61">
    <w:name w:val="No Spacing"/>
    <w:basedOn w:val="21"/>
    <w:next w:val="1"/>
    <w:qFormat/>
    <w:uiPriority w:val="1"/>
    <w:pPr>
      <w:spacing w:line="240" w:lineRule="auto"/>
      <w:ind w:left="0" w:firstLine="0" w:firstLineChars="0"/>
      <w:jc w:val="center"/>
      <w:textAlignment w:val="center"/>
    </w:pPr>
    <w:rPr>
      <w:sz w:val="21"/>
      <w:szCs w:val="22"/>
    </w:rPr>
  </w:style>
  <w:style w:type="paragraph" w:customStyle="1" w:styleId="62">
    <w:name w:val="表格文字"/>
    <w:basedOn w:val="25"/>
    <w:next w:val="1"/>
    <w:qFormat/>
    <w:uiPriority w:val="0"/>
    <w:pPr>
      <w:widowControl w:val="0"/>
      <w:adjustRightInd w:val="0"/>
      <w:spacing w:line="240" w:lineRule="auto"/>
      <w:ind w:firstLine="0" w:firstLineChars="0"/>
      <w:jc w:val="center"/>
      <w:textAlignment w:val="baseline"/>
    </w:pPr>
    <w:rPr>
      <w:rFonts w:ascii="Times New Roman" w:hAnsi="Times New Roman" w:eastAsia="宋体" w:cs="Times New Roman"/>
      <w:szCs w:val="20"/>
    </w:rPr>
  </w:style>
  <w:style w:type="character" w:customStyle="1" w:styleId="63">
    <w:name w:val="font11"/>
    <w:basedOn w:val="29"/>
    <w:qFormat/>
    <w:uiPriority w:val="0"/>
    <w:rPr>
      <w:rFonts w:hint="eastAsia" w:ascii="宋体" w:hAnsi="宋体" w:eastAsia="宋体" w:cs="宋体"/>
      <w:color w:val="000000"/>
      <w:sz w:val="21"/>
      <w:szCs w:val="21"/>
      <w:u w:val="none"/>
    </w:rPr>
  </w:style>
  <w:style w:type="character" w:customStyle="1" w:styleId="64">
    <w:name w:val="font21"/>
    <w:basedOn w:val="29"/>
    <w:qFormat/>
    <w:uiPriority w:val="0"/>
    <w:rPr>
      <w:rFonts w:hint="default" w:ascii="Times New Roman" w:hAnsi="Times New Roman" w:cs="Times New Roman"/>
      <w:color w:val="000000"/>
      <w:sz w:val="21"/>
      <w:szCs w:val="21"/>
      <w:u w:val="none"/>
    </w:rPr>
  </w:style>
  <w:style w:type="paragraph" w:customStyle="1" w:styleId="65">
    <w:name w:val="g报告正文"/>
    <w:qFormat/>
    <w:uiPriority w:val="0"/>
    <w:pPr>
      <w:widowControl w:val="0"/>
      <w:wordWrap/>
      <w:topLinePunct/>
      <w:bidi w:val="0"/>
      <w:adjustRightInd w:val="0"/>
      <w:snapToGrid w:val="0"/>
      <w:spacing w:line="500" w:lineRule="exact"/>
      <w:ind w:firstLine="1040" w:firstLineChars="200"/>
      <w:jc w:val="both"/>
    </w:pPr>
    <w:rPr>
      <w:rFonts w:ascii="Times New Roman" w:hAnsi="Times New Roman" w:eastAsia="宋体" w:cs="Times New Roman"/>
      <w:kern w:val="24"/>
      <w:sz w:val="24"/>
      <w:szCs w:val="24"/>
      <w:lang w:val="en-US" w:eastAsia="zh-CN"/>
    </w:rPr>
  </w:style>
  <w:style w:type="paragraph" w:customStyle="1" w:styleId="66">
    <w:name w:val="g表头"/>
    <w:next w:val="65"/>
    <w:qFormat/>
    <w:uiPriority w:val="0"/>
    <w:pPr>
      <w:topLinePunct/>
      <w:adjustRightInd w:val="0"/>
      <w:snapToGrid w:val="0"/>
      <w:spacing w:line="400" w:lineRule="exact"/>
      <w:jc w:val="center"/>
    </w:pPr>
    <w:rPr>
      <w:rFonts w:ascii="Times New Roman" w:hAnsi="Times New Roman" w:eastAsia="宋体" w:cs="宋体"/>
      <w:b/>
      <w:bCs/>
      <w:kern w:val="21"/>
      <w:sz w:val="21"/>
      <w:szCs w:val="21"/>
    </w:rPr>
  </w:style>
  <w:style w:type="paragraph" w:customStyle="1" w:styleId="67">
    <w:name w:val="g表内居中"/>
    <w:qFormat/>
    <w:uiPriority w:val="99"/>
    <w:pPr>
      <w:widowControl w:val="0"/>
      <w:adjustRightInd w:val="0"/>
      <w:snapToGrid w:val="0"/>
      <w:spacing w:line="240" w:lineRule="auto"/>
      <w:jc w:val="center"/>
      <w:textAlignment w:val="baseline"/>
    </w:pPr>
    <w:rPr>
      <w:rFonts w:ascii="Times New Roman" w:hAnsi="Times New Roman" w:eastAsia="宋体" w:cs="Times New Roman"/>
      <w:kern w:val="21"/>
      <w:sz w:val="21"/>
      <w:szCs w:val="21"/>
    </w:rPr>
  </w:style>
  <w:style w:type="paragraph" w:customStyle="1" w:styleId="68">
    <w:name w:val="表格 32"/>
    <w:basedOn w:val="36"/>
    <w:qFormat/>
    <w:uiPriority w:val="0"/>
    <w:pPr>
      <w:jc w:val="center"/>
    </w:pPr>
    <w:rPr>
      <w:rFonts w:eastAsia="宋体"/>
      <w:szCs w:val="21"/>
    </w:rPr>
  </w:style>
  <w:style w:type="paragraph" w:customStyle="1" w:styleId="69">
    <w:name w:val="样式 首行缩进:  2 字符1"/>
    <w:basedOn w:val="1"/>
    <w:qFormat/>
    <w:uiPriority w:val="0"/>
    <w:pPr>
      <w:adjustRightInd w:val="0"/>
      <w:snapToGrid w:val="0"/>
      <w:spacing w:line="360" w:lineRule="auto"/>
      <w:ind w:firstLine="480"/>
    </w:pPr>
    <w:rPr>
      <w:rFonts w:cs="宋体"/>
    </w:rPr>
  </w:style>
  <w:style w:type="paragraph" w:customStyle="1" w:styleId="70">
    <w:name w:val="表名称"/>
    <w:basedOn w:val="1"/>
    <w:autoRedefine/>
    <w:qFormat/>
    <w:uiPriority w:val="0"/>
    <w:pPr>
      <w:adjustRightInd w:val="0"/>
      <w:jc w:val="center"/>
    </w:pPr>
    <w:rPr>
      <w:rFonts w:hint="eastAsia" w:ascii="宋体" w:hAnsi="宋体"/>
      <w:b/>
      <w:bCs/>
      <w:kern w:val="0"/>
      <w:szCs w:val="21"/>
    </w:rPr>
  </w:style>
  <w:style w:type="paragraph" w:customStyle="1" w:styleId="71">
    <w:name w:val="表格居中"/>
    <w:basedOn w:val="1"/>
    <w:autoRedefine/>
    <w:qFormat/>
    <w:uiPriority w:val="0"/>
    <w:pPr>
      <w:jc w:val="center"/>
    </w:pPr>
    <w:rPr>
      <w:rFonts w:hint="eastAsia" w:ascii="宋体" w:hAnsi="宋体" w:cs="宋体"/>
      <w:spacing w:val="-6"/>
      <w:szCs w:val="21"/>
    </w:rPr>
  </w:style>
  <w:style w:type="paragraph" w:customStyle="1" w:styleId="72">
    <w:name w:val="表格内容"/>
    <w:basedOn w:val="6"/>
    <w:next w:val="1"/>
    <w:qFormat/>
    <w:uiPriority w:val="0"/>
    <w:pPr>
      <w:spacing w:line="240" w:lineRule="auto"/>
      <w:ind w:left="-9" w:leftChars="-9" w:firstLine="0" w:firstLineChars="0"/>
      <w:jc w:val="center"/>
    </w:pPr>
    <w:rPr>
      <w:sz w:val="21"/>
      <w:szCs w:val="20"/>
    </w:rPr>
  </w:style>
  <w:style w:type="paragraph" w:customStyle="1" w:styleId="73">
    <w:name w:val="图表名称"/>
    <w:next w:val="1"/>
    <w:qFormat/>
    <w:uiPriority w:val="0"/>
    <w:pPr>
      <w:adjustRightInd w:val="0"/>
      <w:snapToGrid w:val="0"/>
      <w:spacing w:line="360" w:lineRule="auto"/>
      <w:jc w:val="center"/>
    </w:pPr>
    <w:rPr>
      <w:rFonts w:ascii="宋体" w:hAnsi="宋体" w:eastAsia="Times New Roman" w:cs="Times New Roman"/>
      <w:b/>
      <w:bCs/>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emf"/><Relationship Id="rId15" Type="http://schemas.openxmlformats.org/officeDocument/2006/relationships/oleObject" Target="embeddings/oleObject2.bin"/><Relationship Id="rId14" Type="http://schemas.openxmlformats.org/officeDocument/2006/relationships/image" Target="media/image2.png"/><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35"/>
  </customShpExts>
</s:customData>
</file>

<file path=customXml/item2.xml><?xml version="1.0" encoding="utf-8"?>
<contractReview xmlns="http://schemas.wps.cn/vas-ai-hub/contract-review">
  <reviewItems>
    <reviewItem>
      <errorID>0fe58f9e-da74-49af-8fb5-4d340234fbb2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331414B9</paraID>
      <start>22</start>
      <end>23</end>
      <status>ignored</status>
      <modifiedWord/>
      <trackRevisions>false</trackRevisions>
    </reviewItem>
    <reviewItem>
      <errorID>e461ceb9-f08c-4f99-8a14-1d303be6b165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786582E2</paraID>
      <start>20</start>
      <end>21</end>
      <status>ignored</status>
      <modifiedWord/>
      <trackRevisions>false</trackRevisions>
    </reviewItem>
    <reviewItem>
      <errorID>decd9404-9874-48bb-950d-91b52c24d6ac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51CC067C</paraID>
      <start>27</start>
      <end>28</end>
      <status>ignored</status>
      <modifiedWord/>
      <trackRevisions>false</trackRevisions>
    </reviewItem>
    <reviewItem>
      <errorID>c29aee6e-7e43-41a9-ae86-9c4b9028ea92</errorID>
      <errorWord>城区开发边界</errorWord>
      <group>L1_Political</group>
      <groupName>政治性问题</groupName>
      <ability>L2_Keyword</ability>
      <abilityName>固定表述</abilityName>
      <candidateList>
        <item>城镇开发边界</item>
      </candidateList>
      <explain>词汇“城镇开发边界”在特定场景下为固定表述形式，请确认此处的“城区开发边界”是否存在不当。</explain>
      <paraID>28F672A0</paraID>
      <start>15</start>
      <end>21</end>
      <status>ignored</status>
      <modifiedWord/>
      <trackRevisions>false</trackRevisions>
    </reviewItem>
    <reviewItem>
      <errorID>750e77ea-7429-45fe-b0f5-004813a2fd53</errorID>
      <errorWord>城区开发边界</errorWord>
      <group>L1_Political</group>
      <groupName>政治性问题</groupName>
      <ability>L2_Keyword</ability>
      <abilityName>固定表述</abilityName>
      <candidateList>
        <item>城镇开发边界</item>
      </candidateList>
      <explain>词汇“城镇开发边界”在特定场景下为固定表述形式，请确认此处的“城区开发边界”是否存在不当。</explain>
      <paraID>4E6437DD</paraID>
      <start>40</start>
      <end>46</end>
      <status>ignored</status>
      <modifiedWord/>
      <trackRevisions>false</trackRevisions>
    </reviewItem>
    <reviewItem>
      <errorID>5f3701ad-3b29-420d-830f-f538c90e1e84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45541404</paraID>
      <start>2</start>
      <end>3</end>
      <status>ignored</status>
      <modifiedWord/>
      <trackRevisions>false</trackRevisions>
    </reviewItem>
    <reviewItem>
      <errorID>e070e17c-3166-48e7-9024-ffc7093f33de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45541404</paraID>
      <start>8</start>
      <end>9</end>
      <status>ignored</status>
      <modifiedWord/>
      <trackRevisions>false</trackRevisions>
    </reviewItem>
    <reviewItem>
      <errorID>d8fa2882-987a-4cf2-a024-032808dc3097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29D7284F</paraID>
      <start>77</start>
      <end>78</end>
      <status>ignored</status>
      <modifiedWord/>
      <trackRevisions>false</trackRevisions>
    </reviewItem>
    <reviewItem>
      <errorID>f856680f-56cd-4718-a9db-246eb3875f9b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2538995C</paraID>
      <start>24</start>
      <end>25</end>
      <status>ignored</status>
      <modifiedWord/>
      <trackRevisions>false</trackRevisions>
    </reviewItem>
    <reviewItem>
      <errorID>1ff86fd1-4ead-4bb6-810d-a152dd6052cf</errorID>
      <errorWord>&lt;</errorWord>
      <group>L1_Format</group>
      <groupName>格式问题</groupName>
      <ability>L2_HalfPunc_CN</ability>
      <abilityName>全半角问题</abilityName>
      <candidateList>
        <item>〈</item>
      </candidateList>
      <explain>文本全半角错误。</explain>
      <paraID> 4D5D54A</paraID>
      <start>30</start>
      <end>31</end>
      <status>ignored</status>
      <modifiedWord/>
      <trackRevisions>false</trackRevisions>
    </reviewItem>
    <reviewItem>
      <errorID>fc53b6a8-318f-42fe-9e6b-93d64a440d8a</errorID>
      <errorWord>古</errorWord>
      <group>L1_Word</group>
      <groupName>字词问题</groupName>
      <ability>L2_Typo</ability>
      <abilityName>字词错误</abilityName>
      <candidateList>
        <item>古族</item>
      </candidateList>
      <explain/>
      <paraID>5E5620C3</paraID>
      <start>9</start>
      <end>10</end>
      <status>ignored</status>
      <modifiedWord/>
      <trackRevisions>false</trackRevisions>
    </reviewItem>
    <reviewItem>
      <errorID>5b6ce99f-96e7-4511-b444-945c8d9396d2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39E53FDC</paraID>
      <start>46</start>
      <end>47</end>
      <status>ignored</status>
      <modifiedWord/>
      <trackRevisions>false</trackRevisions>
    </reviewItem>
    <reviewItem>
      <errorID>0709673f-0822-48cd-9ea6-9558df6c4a72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79734589</paraID>
      <start>46</start>
      <end>47</end>
      <status>ignored</status>
      <modifiedWord/>
      <trackRevisions>false</trackRevisions>
    </reviewItem>
    <reviewItem>
      <errorID>f4a5f485-bc8d-4242-8073-90fb271f1639</errorID>
      <errorWord>(</errorWord>
      <group>L1_Format</group>
      <groupName>格式问题</groupName>
      <ability>L2_HalfPunc_CN</ability>
      <abilityName>全半角问题</abilityName>
      <candidateList>
        <item>（</item>
      </candidateList>
      <explain>文本全半角错误。</explain>
      <paraID>3934AA09</paraID>
      <start>103</start>
      <end>104</end>
      <status>ignored</status>
      <modifiedWord/>
      <trackRevisions>false</trackRevisions>
    </reviewItem>
    <reviewItem>
      <errorID>b430ac5d-d163-4d8e-a823-29623ddb2dac</errorID>
      <errorWord>)</errorWord>
      <group>L1_Format</group>
      <groupName>格式问题</groupName>
      <ability>L2_HalfPunc_CN</ability>
      <abilityName>全半角问题</abilityName>
      <candidateList>
        <item>）</item>
      </candidateList>
      <explain>文本全半角错误。</explain>
      <paraID>3934AA09</paraID>
      <start>109</start>
      <end>110</end>
      <status>ignored</status>
      <modifiedWord/>
      <trackRevisions>false</trackRevisions>
    </reviewItem>
    <reviewItem>
      <errorID>9d2a99ef-416b-4bdd-bc32-410724e3562b</errorID>
      <errorWord>隐形壁垒</errorWord>
      <group>L1_Word</group>
      <groupName>字词问题</groupName>
      <ability>L2_Typo</ability>
      <abilityName>字词错误</abilityName>
      <candidateList>
        <item>隐性壁垒</item>
      </candidateList>
      <explain/>
      <paraID>22BBED9F</paraID>
      <start>95</start>
      <end>99</end>
      <status>ignored</status>
      <modifiedWord/>
      <trackRevisions>false</trackRevisions>
    </reviewItem>
    <reviewItem>
      <errorID>3e5d9871-ba11-467a-8377-461d25960960</errorID>
      <errorWord>“亲”“清”新型政商关系</errorWord>
      <group>L1_Word</group>
      <groupName>字词问题</groupName>
      <ability>L2_Typo</ability>
      <abilityName>字词错误</abilityName>
      <candidateList>
        <item>亲清政商关系</item>
      </candidateList>
      <explain/>
      <paraID>22BBED9F</paraID>
      <start>309</start>
      <end>321</end>
      <status>ignored</status>
      <modifiedWord/>
      <trackRevisions>false</trackRevisions>
    </reviewItem>
    <reviewItem>
      <errorID>79e8dc5e-00c3-4a68-86f0-d0f1af810b26</errorID>
      <errorWord>&lt;</errorWord>
      <group>L1_Format</group>
      <groupName>格式问题</groupName>
      <ability>L2_HalfPunc_CN</ability>
      <abilityName>全半角问题</abilityName>
      <candidateList>
        <item>〈</item>
      </candidateList>
      <explain>文本全半角错误。</explain>
      <paraID>5E7A0987</paraID>
      <start>5</start>
      <end>6</end>
      <status>ignored</status>
      <modifiedWord/>
      <trackRevisions>false</trackRevisions>
    </reviewItem>
    <reviewItem>
      <errorID>42e7923f-5322-40dd-b180-6747fb1f2b6d</errorID>
      <errorWord>&gt;的通知》</errorWord>
      <group>L1_Punc</group>
      <groupName>标点问题</groupName>
      <ability>L2_Punc_CN</ability>
      <abilityName>标点符号问题</abilityName>
      <candidateList>
        <item>〉的通知》</item>
      </candidateList>
      <explain/>
      <paraID>5E7A0987</paraID>
      <start>26</start>
      <end>31</end>
      <status>ignored</status>
      <modifiedWord/>
      <trackRevisions>false</trackRevisions>
    </reviewItem>
    <reviewItem>
      <errorID>4b80df9e-7276-47db-a475-7c87f2c6b1b6</errorID>
      <errorWord>)</errorWord>
      <group>L1_Format</group>
      <groupName>格式问题</groupName>
      <ability>L2_HalfPunc_CN</ability>
      <abilityName>全半角问题</abilityName>
      <candidateList>
        <item>）</item>
      </candidateList>
      <explain>文本全半角错误。</explain>
      <paraID> 98FA0BC</paraID>
      <start>19</start>
      <end>20</end>
      <status>ignored</status>
      <modifiedWord/>
      <trackRevisions>false</trackRevisions>
    </reviewItem>
    <reviewItem>
      <errorID>277fa625-7e9a-43a0-a81d-cbcdb2e6728f</errorID>
      <errorWord>75%~85%</errorWord>
      <group>L1_Knowledge</group>
      <groupName>知识性问题</groupName>
      <ability>L2_Knowledge</ability>
      <abilityName>其他知识</abilityName>
      <candidateList>
        <item>75%～85%</item>
      </candidateList>
      <explain>1. “75%~85%”中的单位“%”仅出现在后一个数字上，容易引起歧义；根据《现代汉语标点符号数字用法规范手册》，数字表示范围两边需要使用统一的格式。2. 根据标点国标 4.13 中的规则，数字、时间或地域连接符应使用（视觉上更长的）“—”或“～”。</explain>
      <paraID>2C1C7AD9</paraID>
      <start>9</start>
      <end>16</end>
      <status>ignored</status>
      <modifiedWord/>
      <trackRevisions>false</trackRevisions>
    </reviewItem>
    <reviewItem>
      <errorID>e453a0a6-53e8-435e-9b4e-baa789a43894</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7F1AD414</paraID>
      <start>9</start>
      <end>16</end>
      <status>ignored</status>
      <modifiedWord/>
      <trackRevisions>false</trackRevisions>
    </reviewItem>
    <reviewItem>
      <errorID>eb07a7db-d10d-457f-b65c-c50c400220b7</errorID>
      <errorWord>2%~5%</errorWord>
      <group>L1_Knowledge</group>
      <groupName>知识性问题</groupName>
      <ability>L2_Knowledge</ability>
      <abilityName>其他知识</abilityName>
      <candidateList>
        <item>2%～5%</item>
      </candidateList>
      <explain>1. “2%~5%”中的单位“%”仅出现在后一个数字上，容易引起歧义；根据《现代汉语标点符号数字用法规范手册》，数字表示范围两边需要使用统一的格式。2. 根据标点国标 4.13 中的规则，数字、时间或地域连接符应使用（视觉上更长的）“—”或“～”。</explain>
      <paraID>2968D82C</paraID>
      <start>6</start>
      <end>11</end>
      <status>ignored</status>
      <modifiedWord/>
      <trackRevisions>false</trackRevisions>
    </reviewItem>
    <reviewItem>
      <errorID>8339986f-9962-410e-b09a-519633e8ffec</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C28A238</paraID>
      <start>57</start>
      <end>60</end>
      <status>unmodified</status>
      <modifiedWord/>
      <trackRevisions>false</trackRevisions>
    </reviewItem>
    <reviewItem>
      <errorID>47d97944-bd00-48f1-aefe-8cac9d5b81d3</errorID>
      <errorWord>粉少</errorWord>
      <group>L1_Word</group>
      <groupName>字词问题</groupName>
      <ability>L2_Typo</ability>
      <abilityName>字词错误</abilityName>
      <candidateList>
        <item>粉尘</item>
      </candidateList>
      <explain>存在字形相近字词的误用。</explain>
      <paraID> FCCF18F</paraID>
      <start>12</start>
      <end>14</end>
      <status>modified</status>
      <modifiedWord>粉尘</modifiedWord>
      <trackRevisions>false</trackRevisions>
    </reviewItem>
    <reviewItem>
      <errorID>bfb9850c-7e42-4d78-a917-f75e00fce709</errorID>
      <errorWord>新疆自治区级</errorWord>
      <group>L1_Political</group>
      <groupName>政治性问题</groupName>
      <ability>L2_Unpolitical</ability>
      <abilityName>政治敏感错误</abilityName>
      <candidateList>
        <item>新疆维吾尔自治区级</item>
      </candidateList>
      <explain/>
      <paraID>18CF1E08</paraID>
      <start>3</start>
      <end>9</end>
      <status>ignored</status>
      <modifiedWord/>
      <trackRevisions>false</trackRevisions>
    </reviewItem>
    <reviewItem>
      <errorID>92820a83-37f1-476b-ad43-456a51d74523</errorID>
      <errorWord>)</errorWord>
      <group>L1_Format</group>
      <groupName>格式问题</groupName>
      <ability>L2_HalfPunc_CN</ability>
      <abilityName>全半角问题</abilityName>
      <candidateList>
        <item>）</item>
      </candidateList>
      <explain>文本全半角错误。</explain>
      <paraID>21389F04</paraID>
      <start>49</start>
      <end>50</end>
      <status>ignored</status>
      <modifiedWord/>
      <trackRevisions>false</trackRevisions>
    </reviewItem>
    <reviewItem>
      <errorID>213a1e0e-b81a-4d81-a273-2886132de16e</errorID>
      <errorWord>)</errorWord>
      <group>L1_Format</group>
      <groupName>格式问题</groupName>
      <ability>L2_HalfPunc_CN</ability>
      <abilityName>全半角问题</abilityName>
      <candidateList>
        <item>）</item>
      </candidateList>
      <explain>文本全半角错误。</explain>
      <paraID>21389F04</paraID>
      <start>60</start>
      <end>61</end>
      <status>ignored</status>
      <modifiedWord/>
      <trackRevisions>false</trackRevisions>
    </reviewItem>
    <reviewItem>
      <errorID>33be131c-af01-4ac8-a52a-b6b68960b2b9</errorID>
      <errorWord>)</errorWord>
      <group>L1_Format</group>
      <groupName>格式问题</groupName>
      <ability>L2_HalfPunc_CN</ability>
      <abilityName>全半角问题</abilityName>
      <candidateList>
        <item>）</item>
      </candidateList>
      <explain>文本全半角错误。</explain>
      <paraID>1536E4E2</paraID>
      <start>53</start>
      <end>54</end>
      <status>ignored</status>
      <modifiedWord/>
      <trackRevisions>false</trackRevisions>
    </reviewItem>
    <reviewItem>
      <errorID>fed124cb-d73e-4645-a8ef-2ae03dcbd1dc</errorID>
      <errorWord>)</errorWord>
      <group>L1_Format</group>
      <groupName>格式问题</groupName>
      <ability>L2_HalfPunc_CN</ability>
      <abilityName>全半角问题</abilityName>
      <candidateList>
        <item>）</item>
      </candidateList>
      <explain>文本全半角错误。</explain>
      <paraID>1536E4E2</paraID>
      <start>64</start>
      <end>65</end>
      <status>ignored</status>
      <modifiedWord/>
      <trackRevisions>false</trackRevisions>
    </reviewItem>
    <reviewItem>
      <errorID>2e0b2bf3-aaa2-4a00-8dbf-198b368c58ad</errorID>
      <errorWord>)</errorWord>
      <group>L1_Format</group>
      <groupName>格式问题</groupName>
      <ability>L2_HalfPunc_CN</ability>
      <abilityName>全半角问题</abilityName>
      <candidateList>
        <item>）</item>
      </candidateList>
      <explain>文本全半角错误。</explain>
      <paraID>48ED694A</paraID>
      <start>50</start>
      <end>51</end>
      <status>ignored</status>
      <modifiedWord/>
      <trackRevisions>false</trackRevisions>
    </reviewItem>
    <reviewItem>
      <errorID>8f0cff2d-2e1c-4772-a7d5-70072065262c</errorID>
      <errorWord>)</errorWord>
      <group>L1_Format</group>
      <groupName>格式问题</groupName>
      <ability>L2_HalfPunc_CN</ability>
      <abilityName>全半角问题</abilityName>
      <candidateList>
        <item>）</item>
      </candidateList>
      <explain>文本全半角错误。</explain>
      <paraID>48ED694A</paraID>
      <start>60</start>
      <end>61</end>
      <status>ignored</status>
      <modifiedWord/>
      <trackRevisions>false</trackRevisions>
    </reviewItem>
    <reviewItem>
      <errorID>db022bb0-d8e3-44bf-8799-eb09a29b5b63</errorID>
      <errorWord>(</errorWord>
      <group>L1_Format</group>
      <groupName>格式问题</groupName>
      <ability>L2_HalfPunc_CN</ability>
      <abilityName>全半角问题</abilityName>
      <candidateList>
        <item>（</item>
      </candidateList>
      <explain>文本全半角错误。</explain>
      <paraID>78C8F60A</paraID>
      <start>3</start>
      <end>4</end>
      <status>ignored</status>
      <modifiedWord/>
      <trackRevisions>false</trackRevisions>
    </reviewItem>
    <reviewItem>
      <errorID>126568b4-6f1f-437a-9d86-677f3d08e157</errorID>
      <errorWord>)</errorWord>
      <group>L1_Format</group>
      <groupName>格式问题</groupName>
      <ability>L2_HalfPunc_CN</ability>
      <abilityName>全半角问题</abilityName>
      <candidateList>
        <item>）</item>
      </candidateList>
      <explain>文本全半角错误。</explain>
      <paraID>78C8F60A</paraID>
      <start>7</start>
      <end>8</end>
      <status>ignored</status>
      <modifiedWord/>
      <trackRevisions>false</trackRevisions>
    </reviewItem>
    <reviewItem>
      <errorID>c496fd50-6a84-4b04-a224-9a83bfe04ac5</errorID>
      <errorWord>(</errorWord>
      <group>L1_Format</group>
      <groupName>格式问题</groupName>
      <ability>L2_HalfPunc_CN</ability>
      <abilityName>全半角问题</abilityName>
      <candidateList>
        <item>（</item>
      </candidateList>
      <explain>文本全半角错误。</explain>
      <paraID> DE8C264</paraID>
      <start>6</start>
      <end>7</end>
      <status>ignored</status>
      <modifiedWord/>
      <trackRevisions>false</trackRevisions>
    </reviewItem>
    <reviewItem>
      <errorID>4d0f1238-afaf-4ed6-8348-d980ebc5c941</errorID>
      <errorWord>)</errorWord>
      <group>L1_Format</group>
      <groupName>格式问题</groupName>
      <ability>L2_HalfPunc_CN</ability>
      <abilityName>全半角问题</abilityName>
      <candidateList>
        <item>）</item>
      </candidateList>
      <explain>文本全半角错误。</explain>
      <paraID> DE8C264</paraID>
      <start>10</start>
      <end>11</end>
      <status>ignored</status>
      <modifiedWord/>
      <trackRevisions>false</trackRevisions>
    </reviewItem>
    <reviewItem>
      <errorID>f617cbb6-c725-421e-892d-6ce09f10a8aa</errorID>
      <errorWord>-</errorWord>
      <group>L1_Format</group>
      <groupName>格式问题</groupName>
      <ability>L2_HalfPunc_CN</ability>
      <abilityName>全半角问题</abilityName>
      <candidateList>
        <item>－</item>
      </candidateList>
      <explain>文本全半角错误。</explain>
      <paraID>3ABCE781</paraID>
      <start>59</start>
      <end>60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6a7160-fc64-4e1f-916f-5c79ecc0c7e4}">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17103</Words>
  <Characters>18360</Characters>
  <Lines>329</Lines>
  <Paragraphs>92</Paragraphs>
  <TotalTime>4</TotalTime>
  <ScaleCrop>false</ScaleCrop>
  <LinksUpToDate>false</LinksUpToDate>
  <CharactersWithSpaces>18457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2023-05-13T02:57:00Z</dcterms:created>
  <dc:creator>437654827@qq.com</dc:creator>
  <cp:lastModifiedBy>Lucky girl</cp:lastModifiedBy>
  <cp:lastPrinted>2025-05-28T09:57:00Z</cp:lastPrinted>
  <dcterms:modified xsi:type="dcterms:W3CDTF">2026-08-18T01:48:12Z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627710A3D9E6459395F34F7E0693D8B1_13</vt:lpwstr>
  </property>
  <property fmtid="{D5CDD505-2E9C-101B-9397-08002B2CF9AE}" pid="4" name="KSOTemplateDocerSaveRecord">
    <vt:lpwstr>eyJoZGlkIjoiYWZjMjU2YmQzNWQzM2MzNTRlZDkyMjIwMjJiOTQ0ZWIiLCJ1c2VySWQiOiI2MDYzMjUzNDYifQ==</vt:lpwstr>
  </property>
</Properties>
</file>