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21A6E7">
      <w:pPr>
        <w:rPr>
          <w:rFonts w:hint="eastAsia" w:ascii="仿宋_GB2312" w:hAnsi="仿宋_GB2312" w:eastAsia="仿宋_GB2312" w:cs="仿宋_GB2312"/>
          <w:sz w:val="36"/>
          <w:szCs w:val="36"/>
          <w:lang w:eastAsia="zh-CN"/>
        </w:rPr>
      </w:pPr>
    </w:p>
    <w:p w14:paraId="7D398F8C">
      <w:pPr>
        <w:rPr>
          <w:rFonts w:ascii="仿宋_GB2312" w:hAnsi="仿宋_GB2312" w:eastAsia="仿宋_GB2312" w:cs="仿宋_GB2312"/>
          <w:sz w:val="36"/>
          <w:szCs w:val="36"/>
        </w:rPr>
      </w:pPr>
    </w:p>
    <w:p w14:paraId="1301A48A">
      <w:pPr>
        <w:rPr>
          <w:rFonts w:ascii="仿宋_GB2312" w:hAnsi="仿宋_GB2312" w:eastAsia="仿宋_GB2312" w:cs="仿宋_GB2312"/>
          <w:sz w:val="36"/>
          <w:szCs w:val="36"/>
        </w:rPr>
      </w:pPr>
    </w:p>
    <w:p w14:paraId="43416EF3">
      <w:pPr>
        <w:rPr>
          <w:rFonts w:ascii="仿宋_GB2312" w:hAnsi="仿宋_GB2312" w:eastAsia="仿宋_GB2312" w:cs="仿宋_GB2312"/>
          <w:sz w:val="36"/>
          <w:szCs w:val="36"/>
        </w:rPr>
      </w:pPr>
    </w:p>
    <w:p w14:paraId="70E028C9">
      <w:pPr>
        <w:rPr>
          <w:rFonts w:hint="eastAsia" w:ascii="仿宋_GB2312" w:hAnsi="仿宋_GB2312" w:eastAsia="仿宋_GB2312" w:cs="仿宋_GB2312"/>
          <w:sz w:val="36"/>
          <w:szCs w:val="36"/>
        </w:rPr>
      </w:pPr>
    </w:p>
    <w:p w14:paraId="6BE59F49">
      <w:pPr>
        <w:adjustRightInd w:val="0"/>
        <w:snapToGrid w:val="0"/>
        <w:jc w:val="center"/>
        <w:outlineLvl w:val="0"/>
        <w:rPr>
          <w:rFonts w:hint="eastAsia" w:ascii="方正小标宋_GBK" w:eastAsia="方正小标宋_GBK"/>
          <w:bCs/>
          <w:sz w:val="72"/>
          <w:szCs w:val="72"/>
        </w:rPr>
      </w:pPr>
      <w:r>
        <w:rPr>
          <w:rFonts w:hint="eastAsia" w:ascii="方正小标宋_GBK" w:eastAsia="方正小标宋_GBK"/>
          <w:bCs/>
          <w:sz w:val="72"/>
          <w:szCs w:val="72"/>
        </w:rPr>
        <w:t>建设项目环境影响报告表</w:t>
      </w:r>
    </w:p>
    <w:p w14:paraId="6B0D7974">
      <w:pPr>
        <w:adjustRightInd w:val="0"/>
        <w:snapToGrid w:val="0"/>
        <w:spacing w:before="192" w:beforeLines="80"/>
        <w:jc w:val="center"/>
        <w:rPr>
          <w:rFonts w:hint="eastAsia" w:ascii="楷体_GB2312" w:eastAsia="楷体_GB2312"/>
          <w:bCs/>
          <w:sz w:val="48"/>
          <w:szCs w:val="48"/>
        </w:rPr>
      </w:pPr>
      <w:r>
        <w:rPr>
          <w:rFonts w:hint="eastAsia" w:ascii="楷体_GB2312" w:eastAsia="楷体_GB2312"/>
          <w:bCs/>
          <w:sz w:val="48"/>
          <w:szCs w:val="48"/>
        </w:rPr>
        <w:t>（污染影响类）</w:t>
      </w:r>
    </w:p>
    <w:p w14:paraId="603757AD">
      <w:pPr>
        <w:adjustRightInd w:val="0"/>
        <w:snapToGrid w:val="0"/>
        <w:spacing w:line="288" w:lineRule="auto"/>
        <w:jc w:val="center"/>
        <w:outlineLvl w:val="0"/>
        <w:rPr>
          <w:rFonts w:ascii="华文仿宋" w:hAnsi="华文仿宋" w:eastAsia="华文仿宋" w:cs="华文仿宋"/>
          <w:color w:val="000000"/>
          <w:kern w:val="44"/>
          <w:sz w:val="44"/>
          <w:szCs w:val="44"/>
        </w:rPr>
      </w:pPr>
    </w:p>
    <w:p w14:paraId="3F9BEEFA">
      <w:pPr>
        <w:jc w:val="center"/>
        <w:rPr>
          <w:rFonts w:eastAsia="仿宋"/>
          <w:sz w:val="52"/>
          <w:szCs w:val="52"/>
        </w:rPr>
      </w:pPr>
    </w:p>
    <w:p w14:paraId="00F9A8F4">
      <w:pPr>
        <w:ind w:firstLine="1040"/>
        <w:rPr>
          <w:rFonts w:hint="eastAsia" w:eastAsia="仿宋"/>
          <w:sz w:val="44"/>
          <w:szCs w:val="44"/>
          <w:lang w:eastAsia="zh-CN"/>
        </w:rPr>
      </w:pPr>
    </w:p>
    <w:p w14:paraId="2900B655">
      <w:pPr>
        <w:ind w:firstLine="1040"/>
        <w:rPr>
          <w:rFonts w:eastAsia="仿宋"/>
          <w:sz w:val="44"/>
          <w:szCs w:val="44"/>
        </w:rPr>
      </w:pPr>
    </w:p>
    <w:p w14:paraId="7C85DB1B">
      <w:pPr>
        <w:rPr>
          <w:rFonts w:eastAsia="仿宋"/>
          <w:sz w:val="44"/>
          <w:szCs w:val="44"/>
        </w:rPr>
      </w:pPr>
    </w:p>
    <w:p w14:paraId="36118464">
      <w:pPr>
        <w:adjustRightInd w:val="0"/>
        <w:snapToGrid w:val="0"/>
        <w:spacing w:line="288" w:lineRule="auto"/>
        <w:ind w:firstLine="1040"/>
        <w:jc w:val="center"/>
        <w:rPr>
          <w:rFonts w:hint="default" w:ascii="仿宋_GB2312" w:eastAsia="仿宋_GB2312"/>
          <w:sz w:val="36"/>
          <w:szCs w:val="36"/>
          <w:u w:val="single"/>
          <w:lang w:val="en-US"/>
        </w:rPr>
      </w:pPr>
      <w:r>
        <w:rPr>
          <w:rFonts w:hint="eastAsia" w:ascii="仿宋_GB2312" w:eastAsia="仿宋_GB2312"/>
          <w:sz w:val="36"/>
          <w:szCs w:val="36"/>
        </w:rPr>
        <w:t xml:space="preserve">项目名称： </w:t>
      </w:r>
      <w:r>
        <w:rPr>
          <w:rFonts w:hint="eastAsia" w:ascii="仿宋_GB2312" w:eastAsia="仿宋_GB2312"/>
          <w:sz w:val="36"/>
          <w:szCs w:val="36"/>
          <w:u w:val="single"/>
        </w:rPr>
        <w:t xml:space="preserve"> </w:t>
      </w:r>
      <w:r>
        <w:rPr>
          <w:rFonts w:hint="eastAsia" w:ascii="仿宋_GB2312" w:eastAsia="仿宋_GB2312"/>
          <w:sz w:val="36"/>
          <w:szCs w:val="36"/>
          <w:u w:val="single"/>
          <w:lang w:val="en-US" w:eastAsia="zh-CN"/>
        </w:rPr>
        <w:t xml:space="preserve">库尔勒国创煤炭有限公司煤炭存储、集运项目   </w:t>
      </w:r>
    </w:p>
    <w:p w14:paraId="3B3215CC">
      <w:pPr>
        <w:adjustRightInd w:val="0"/>
        <w:snapToGrid w:val="0"/>
        <w:spacing w:line="288" w:lineRule="auto"/>
        <w:ind w:firstLine="1040"/>
        <w:rPr>
          <w:rFonts w:hint="default" w:ascii="仿宋_GB2312" w:eastAsia="仿宋_GB2312"/>
          <w:sz w:val="36"/>
          <w:szCs w:val="36"/>
          <w:u w:val="single"/>
          <w:lang w:val="en-US"/>
        </w:rPr>
      </w:pPr>
      <w:r>
        <w:rPr>
          <w:rFonts w:hint="eastAsia" w:ascii="仿宋_GB2312" w:eastAsia="仿宋_GB2312"/>
          <w:sz w:val="36"/>
          <w:szCs w:val="36"/>
        </w:rPr>
        <w:t>建设单位（盖章）：</w:t>
      </w:r>
      <w:r>
        <w:rPr>
          <w:rFonts w:hint="eastAsia" w:ascii="仿宋_GB2312" w:eastAsia="仿宋_GB2312"/>
          <w:sz w:val="36"/>
          <w:szCs w:val="36"/>
          <w:u w:val="single"/>
          <w:lang w:val="en-US" w:eastAsia="zh-CN"/>
        </w:rPr>
        <w:t xml:space="preserve"> </w:t>
      </w:r>
      <w:r>
        <w:rPr>
          <w:rFonts w:hint="eastAsia" w:ascii="仿宋_GB2312" w:eastAsia="仿宋_GB2312"/>
          <w:sz w:val="32"/>
          <w:szCs w:val="32"/>
          <w:u w:val="single"/>
          <w:lang w:val="en-US" w:eastAsia="zh-CN"/>
        </w:rPr>
        <w:t xml:space="preserve">库尔勒国创煤炭有限公司 </w:t>
      </w:r>
    </w:p>
    <w:p w14:paraId="79393701">
      <w:pPr>
        <w:adjustRightInd w:val="0"/>
        <w:snapToGrid w:val="0"/>
        <w:spacing w:line="288" w:lineRule="auto"/>
        <w:ind w:firstLine="1040"/>
        <w:rPr>
          <w:rFonts w:hint="eastAsia" w:ascii="仿宋_GB2312" w:eastAsia="仿宋_GB2312"/>
          <w:sz w:val="36"/>
          <w:szCs w:val="36"/>
          <w:u w:val="single"/>
        </w:rPr>
      </w:pPr>
      <w:r>
        <w:rPr>
          <w:rFonts w:hint="eastAsia" w:ascii="仿宋_GB2312" w:eastAsia="仿宋_GB2312"/>
          <w:sz w:val="36"/>
          <w:szCs w:val="36"/>
        </w:rPr>
        <w:t>编制日期：</w:t>
      </w:r>
      <w:r>
        <w:rPr>
          <w:rFonts w:hint="eastAsia" w:ascii="仿宋_GB2312" w:eastAsia="仿宋_GB2312"/>
          <w:sz w:val="36"/>
          <w:szCs w:val="36"/>
          <w:u w:val="single"/>
        </w:rPr>
        <w:t xml:space="preserve"> </w:t>
      </w:r>
      <w:r>
        <w:rPr>
          <w:rFonts w:ascii="仿宋_GB2312" w:eastAsia="仿宋_GB2312"/>
          <w:sz w:val="36"/>
          <w:szCs w:val="36"/>
          <w:u w:val="single"/>
        </w:rPr>
        <w:t xml:space="preserve">    </w:t>
      </w:r>
      <w:r>
        <w:rPr>
          <w:rFonts w:hint="eastAsia" w:ascii="仿宋_GB2312" w:eastAsia="仿宋_GB2312"/>
          <w:sz w:val="36"/>
          <w:szCs w:val="36"/>
          <w:u w:val="single"/>
          <w:lang w:val="en-US" w:eastAsia="zh-CN"/>
        </w:rPr>
        <w:t xml:space="preserve"> </w:t>
      </w:r>
      <w:r>
        <w:rPr>
          <w:rFonts w:ascii="仿宋_GB2312" w:eastAsia="仿宋_GB2312"/>
          <w:sz w:val="36"/>
          <w:szCs w:val="36"/>
          <w:u w:val="single"/>
        </w:rPr>
        <w:t xml:space="preserve"> </w:t>
      </w:r>
      <w:r>
        <w:rPr>
          <w:rFonts w:hint="eastAsia" w:ascii="仿宋_GB2312" w:eastAsia="仿宋_GB2312"/>
          <w:sz w:val="36"/>
          <w:szCs w:val="36"/>
          <w:u w:val="single"/>
          <w:lang w:val="en-US" w:eastAsia="zh-CN"/>
        </w:rPr>
        <w:t>2026年7月</w:t>
      </w:r>
      <w:r>
        <w:rPr>
          <w:rFonts w:ascii="仿宋_GB2312" w:eastAsia="仿宋_GB2312"/>
          <w:sz w:val="36"/>
          <w:szCs w:val="36"/>
          <w:u w:val="single"/>
        </w:rPr>
        <w:t xml:space="preserve">              </w:t>
      </w:r>
      <w:r>
        <w:rPr>
          <w:rFonts w:hint="eastAsia" w:ascii="仿宋_GB2312" w:eastAsia="仿宋_GB2312"/>
          <w:sz w:val="36"/>
          <w:szCs w:val="36"/>
          <w:u w:val="single"/>
        </w:rPr>
        <w:t xml:space="preserve"> </w:t>
      </w:r>
    </w:p>
    <w:p w14:paraId="726E8A73">
      <w:pPr>
        <w:adjustRightInd w:val="0"/>
        <w:snapToGrid w:val="0"/>
        <w:spacing w:line="288" w:lineRule="auto"/>
        <w:ind w:firstLine="1040"/>
        <w:rPr>
          <w:rFonts w:ascii="仿宋_GB2312" w:eastAsia="仿宋_GB2312"/>
          <w:sz w:val="36"/>
          <w:szCs w:val="36"/>
          <w:u w:val="single"/>
        </w:rPr>
      </w:pPr>
      <w:bookmarkStart w:id="0" w:name="_Hlk57884087"/>
    </w:p>
    <w:p w14:paraId="3E7FF05C">
      <w:pPr>
        <w:adjustRightInd w:val="0"/>
        <w:snapToGrid w:val="0"/>
        <w:spacing w:line="288" w:lineRule="auto"/>
        <w:ind w:firstLine="1040"/>
        <w:rPr>
          <w:rFonts w:ascii="仿宋_GB2312" w:eastAsia="仿宋_GB2312"/>
          <w:sz w:val="36"/>
          <w:szCs w:val="36"/>
        </w:rPr>
      </w:pPr>
    </w:p>
    <w:p w14:paraId="297ABFB7">
      <w:pPr>
        <w:adjustRightInd w:val="0"/>
        <w:snapToGrid w:val="0"/>
        <w:spacing w:line="288" w:lineRule="auto"/>
        <w:ind w:firstLine="1040"/>
        <w:rPr>
          <w:rFonts w:ascii="仿宋_GB2312" w:eastAsia="仿宋_GB2312"/>
          <w:sz w:val="36"/>
          <w:szCs w:val="36"/>
        </w:rPr>
      </w:pPr>
    </w:p>
    <w:p w14:paraId="563FA029">
      <w:pPr>
        <w:adjustRightInd w:val="0"/>
        <w:snapToGrid w:val="0"/>
        <w:spacing w:line="288" w:lineRule="auto"/>
        <w:ind w:firstLine="1040"/>
        <w:rPr>
          <w:rFonts w:hint="eastAsia" w:ascii="仿宋_GB2312" w:eastAsia="仿宋_GB2312"/>
          <w:sz w:val="36"/>
          <w:szCs w:val="36"/>
        </w:rPr>
      </w:pPr>
    </w:p>
    <w:p w14:paraId="33B90663">
      <w:pPr>
        <w:adjustRightInd w:val="0"/>
        <w:snapToGrid w:val="0"/>
        <w:spacing w:line="288" w:lineRule="auto"/>
        <w:ind w:firstLine="1040"/>
        <w:rPr>
          <w:rFonts w:hint="eastAsia" w:ascii="仿宋_GB2312" w:eastAsia="仿宋_GB2312"/>
          <w:sz w:val="36"/>
          <w:szCs w:val="36"/>
        </w:rPr>
      </w:pPr>
    </w:p>
    <w:bookmarkEnd w:id="0"/>
    <w:p w14:paraId="3B85070B">
      <w:pPr>
        <w:adjustRightInd w:val="0"/>
        <w:snapToGrid w:val="0"/>
        <w:spacing w:line="288" w:lineRule="auto"/>
        <w:jc w:val="center"/>
        <w:rPr>
          <w:rFonts w:hint="eastAsia" w:ascii="楷体_GB2312" w:eastAsia="楷体_GB2312"/>
          <w:sz w:val="36"/>
          <w:szCs w:val="36"/>
        </w:rPr>
      </w:pPr>
      <w:r>
        <w:rPr>
          <w:rFonts w:hint="eastAsia" w:ascii="楷体_GB2312" w:eastAsia="楷体_GB2312"/>
          <w:sz w:val="36"/>
          <w:szCs w:val="36"/>
        </w:rPr>
        <w:t>中华人民共和国生态环境部制</w:t>
      </w:r>
    </w:p>
    <w:p w14:paraId="4C02F7E6">
      <w:pPr>
        <w:adjustRightInd w:val="0"/>
        <w:snapToGrid w:val="0"/>
        <w:spacing w:line="288" w:lineRule="auto"/>
        <w:ind w:firstLine="1040"/>
        <w:rPr>
          <w:rFonts w:ascii="仿宋_GB2312" w:eastAsia="仿宋_GB2312"/>
          <w:sz w:val="36"/>
          <w:szCs w:val="36"/>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p>
    <w:p w14:paraId="33787FA9">
      <w:pPr>
        <w:pStyle w:val="21"/>
        <w:jc w:val="center"/>
        <w:outlineLvl w:val="0"/>
        <w:rPr>
          <w:rFonts w:hint="eastAsia" w:ascii="黑体" w:hAnsi="黑体" w:eastAsia="黑体"/>
          <w:snapToGrid w:val="0"/>
          <w:sz w:val="30"/>
          <w:szCs w:val="30"/>
        </w:rPr>
      </w:pPr>
      <w:r>
        <w:rPr>
          <w:rFonts w:hint="eastAsia" w:ascii="黑体" w:hAnsi="黑体" w:eastAsia="黑体"/>
          <w:snapToGrid w:val="0"/>
          <w:sz w:val="30"/>
          <w:szCs w:val="30"/>
        </w:rPr>
        <w:t>一、建设项目基本情况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382"/>
        <w:gridCol w:w="1637"/>
        <w:gridCol w:w="2212"/>
        <w:gridCol w:w="2639"/>
      </w:tblGrid>
      <w:tr w14:paraId="5A73C3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tcBorders>
              <w:tl2br w:val="nil"/>
              <w:tr2bl w:val="nil"/>
            </w:tcBorders>
            <w:noWrap w:val="0"/>
            <w:tcMar>
              <w:top w:w="16" w:type="dxa"/>
              <w:left w:w="16" w:type="dxa"/>
              <w:right w:w="16" w:type="dxa"/>
            </w:tcMar>
            <w:vAlign w:val="center"/>
          </w:tcPr>
          <w:p w14:paraId="53128E68">
            <w:pPr>
              <w:adjustRightInd w:val="0"/>
              <w:snapToGrid w:val="0"/>
              <w:jc w:val="center"/>
              <w:rPr>
                <w:rFonts w:ascii="宋体" w:hAnsi="宋体" w:cs="宋体"/>
                <w:szCs w:val="21"/>
              </w:rPr>
            </w:pPr>
            <w:r>
              <w:rPr>
                <w:rFonts w:hint="eastAsia" w:ascii="宋体" w:hAnsi="宋体" w:cs="宋体"/>
                <w:szCs w:val="21"/>
              </w:rPr>
              <w:t>建设项目名称</w:t>
            </w:r>
          </w:p>
        </w:tc>
        <w:tc>
          <w:tcPr>
            <w:tcW w:w="6488" w:type="dxa"/>
            <w:gridSpan w:val="3"/>
            <w:tcBorders>
              <w:tl2br w:val="nil"/>
              <w:tr2bl w:val="nil"/>
            </w:tcBorders>
            <w:noWrap w:val="0"/>
            <w:vAlign w:val="center"/>
          </w:tcPr>
          <w:p w14:paraId="2A23E466">
            <w:pPr>
              <w:adjustRightInd w:val="0"/>
              <w:snapToGrid w:val="0"/>
              <w:jc w:val="center"/>
              <w:rPr>
                <w:rFonts w:ascii="宋体" w:hAnsi="宋体" w:cs="宋体"/>
                <w:szCs w:val="21"/>
              </w:rPr>
            </w:pPr>
            <w:r>
              <w:rPr>
                <w:rFonts w:hint="eastAsia" w:ascii="宋体" w:hAnsi="宋体" w:cs="宋体"/>
                <w:szCs w:val="21"/>
                <w:lang w:val="en-US" w:eastAsia="zh-CN"/>
              </w:rPr>
              <w:t>库尔勒国创煤炭有限公司煤炭存储、集运项目</w:t>
            </w:r>
          </w:p>
        </w:tc>
      </w:tr>
      <w:tr w14:paraId="4BBA71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tcBorders>
              <w:tl2br w:val="nil"/>
              <w:tr2bl w:val="nil"/>
            </w:tcBorders>
            <w:noWrap w:val="0"/>
            <w:tcMar>
              <w:top w:w="16" w:type="dxa"/>
              <w:left w:w="16" w:type="dxa"/>
              <w:right w:w="16" w:type="dxa"/>
            </w:tcMar>
            <w:vAlign w:val="center"/>
          </w:tcPr>
          <w:p w14:paraId="172E8B05">
            <w:pPr>
              <w:adjustRightInd w:val="0"/>
              <w:snapToGrid w:val="0"/>
              <w:jc w:val="center"/>
              <w:rPr>
                <w:rFonts w:ascii="宋体" w:hAnsi="宋体" w:cs="宋体"/>
                <w:szCs w:val="21"/>
              </w:rPr>
            </w:pPr>
            <w:r>
              <w:rPr>
                <w:rFonts w:hint="eastAsia" w:ascii="宋体" w:hAnsi="宋体" w:cs="宋体"/>
                <w:szCs w:val="21"/>
              </w:rPr>
              <w:t>项目代码</w:t>
            </w:r>
          </w:p>
        </w:tc>
        <w:tc>
          <w:tcPr>
            <w:tcW w:w="6488" w:type="dxa"/>
            <w:gridSpan w:val="3"/>
            <w:tcBorders>
              <w:tl2br w:val="nil"/>
              <w:tr2bl w:val="nil"/>
            </w:tcBorders>
            <w:noWrap w:val="0"/>
            <w:vAlign w:val="center"/>
          </w:tcPr>
          <w:p w14:paraId="3B01C4A6">
            <w:pPr>
              <w:adjustRightInd w:val="0"/>
              <w:snapToGrid w:val="0"/>
              <w:jc w:val="center"/>
              <w:rPr>
                <w:rFonts w:ascii="宋体" w:hAnsi="宋体" w:cs="宋体"/>
                <w:szCs w:val="21"/>
              </w:rPr>
            </w:pPr>
            <w:r>
              <w:rPr>
                <w:rFonts w:hint="eastAsia" w:ascii="宋体" w:hAnsi="宋体" w:eastAsia="宋体" w:cs="宋体"/>
                <w:szCs w:val="21"/>
              </w:rPr>
              <w:t>2607-652801-04-03-162427</w:t>
            </w:r>
          </w:p>
        </w:tc>
      </w:tr>
      <w:tr w14:paraId="25B5C3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tcBorders>
              <w:tl2br w:val="nil"/>
              <w:tr2bl w:val="nil"/>
            </w:tcBorders>
            <w:noWrap w:val="0"/>
            <w:tcMar>
              <w:top w:w="16" w:type="dxa"/>
              <w:left w:w="16" w:type="dxa"/>
              <w:right w:w="16" w:type="dxa"/>
            </w:tcMar>
            <w:vAlign w:val="center"/>
          </w:tcPr>
          <w:p w14:paraId="60378E1B">
            <w:pPr>
              <w:adjustRightInd w:val="0"/>
              <w:snapToGrid w:val="0"/>
              <w:jc w:val="center"/>
              <w:rPr>
                <w:rFonts w:hint="eastAsia" w:ascii="宋体" w:hAnsi="宋体" w:cs="宋体"/>
                <w:szCs w:val="21"/>
              </w:rPr>
            </w:pPr>
            <w:r>
              <w:rPr>
                <w:rFonts w:hint="eastAsia" w:ascii="宋体" w:hAnsi="宋体" w:cs="宋体"/>
                <w:szCs w:val="21"/>
              </w:rPr>
              <w:t>建设单位联系人</w:t>
            </w:r>
          </w:p>
        </w:tc>
        <w:tc>
          <w:tcPr>
            <w:tcW w:w="1637" w:type="dxa"/>
            <w:tcBorders>
              <w:tl2br w:val="nil"/>
              <w:tr2bl w:val="nil"/>
            </w:tcBorders>
            <w:noWrap w:val="0"/>
            <w:vAlign w:val="center"/>
          </w:tcPr>
          <w:p w14:paraId="7E756B31">
            <w:pPr>
              <w:adjustRightInd w:val="0"/>
              <w:snapToGrid w:val="0"/>
              <w:jc w:val="center"/>
              <w:rPr>
                <w:rFonts w:hint="eastAsia" w:ascii="宋体" w:hAnsi="宋体" w:eastAsia="宋体" w:cs="宋体"/>
                <w:szCs w:val="21"/>
                <w:lang w:val="en-US" w:eastAsia="zh-CN"/>
              </w:rPr>
            </w:pPr>
          </w:p>
        </w:tc>
        <w:tc>
          <w:tcPr>
            <w:tcW w:w="2212" w:type="dxa"/>
            <w:tcBorders>
              <w:tl2br w:val="nil"/>
              <w:tr2bl w:val="nil"/>
            </w:tcBorders>
            <w:noWrap w:val="0"/>
            <w:vAlign w:val="center"/>
          </w:tcPr>
          <w:p w14:paraId="3AC574BB">
            <w:pPr>
              <w:adjustRightInd w:val="0"/>
              <w:snapToGrid w:val="0"/>
              <w:jc w:val="center"/>
              <w:rPr>
                <w:rFonts w:hint="eastAsia" w:ascii="宋体" w:hAnsi="宋体" w:eastAsia="宋体" w:cs="宋体"/>
                <w:szCs w:val="21"/>
              </w:rPr>
            </w:pPr>
            <w:r>
              <w:rPr>
                <w:rFonts w:hint="eastAsia" w:ascii="宋体" w:hAnsi="宋体" w:eastAsia="宋体" w:cs="宋体"/>
                <w:szCs w:val="21"/>
              </w:rPr>
              <w:t>联系方式</w:t>
            </w:r>
          </w:p>
        </w:tc>
        <w:tc>
          <w:tcPr>
            <w:tcW w:w="2639" w:type="dxa"/>
            <w:tcBorders>
              <w:tl2br w:val="nil"/>
              <w:tr2bl w:val="nil"/>
            </w:tcBorders>
            <w:noWrap w:val="0"/>
            <w:vAlign w:val="center"/>
          </w:tcPr>
          <w:p w14:paraId="0D841CBE">
            <w:pPr>
              <w:adjustRightInd w:val="0"/>
              <w:snapToGrid w:val="0"/>
              <w:jc w:val="center"/>
              <w:rPr>
                <w:rFonts w:hint="default" w:ascii="宋体" w:hAnsi="宋体" w:eastAsia="宋体" w:cs="宋体"/>
                <w:szCs w:val="21"/>
                <w:lang w:val="en-US" w:eastAsia="zh-CN"/>
              </w:rPr>
            </w:pPr>
          </w:p>
        </w:tc>
      </w:tr>
      <w:tr w14:paraId="37A47F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tcBorders>
              <w:tl2br w:val="nil"/>
              <w:tr2bl w:val="nil"/>
            </w:tcBorders>
            <w:noWrap w:val="0"/>
            <w:tcMar>
              <w:top w:w="16" w:type="dxa"/>
              <w:left w:w="16" w:type="dxa"/>
              <w:right w:w="16" w:type="dxa"/>
            </w:tcMar>
            <w:vAlign w:val="center"/>
          </w:tcPr>
          <w:p w14:paraId="34C32809">
            <w:pPr>
              <w:adjustRightInd w:val="0"/>
              <w:snapToGrid w:val="0"/>
              <w:jc w:val="center"/>
              <w:rPr>
                <w:rFonts w:hint="eastAsia" w:ascii="宋体" w:hAnsi="宋体" w:eastAsia="宋体" w:cs="宋体"/>
                <w:szCs w:val="21"/>
              </w:rPr>
            </w:pPr>
            <w:r>
              <w:rPr>
                <w:rFonts w:hint="eastAsia" w:ascii="宋体" w:hAnsi="宋体" w:eastAsia="宋体" w:cs="宋体"/>
                <w:szCs w:val="21"/>
              </w:rPr>
              <w:t>建设地点</w:t>
            </w:r>
          </w:p>
        </w:tc>
        <w:tc>
          <w:tcPr>
            <w:tcW w:w="6488" w:type="dxa"/>
            <w:gridSpan w:val="3"/>
            <w:tcBorders>
              <w:tl2br w:val="nil"/>
              <w:tr2bl w:val="nil"/>
            </w:tcBorders>
            <w:noWrap w:val="0"/>
            <w:vAlign w:val="center"/>
          </w:tcPr>
          <w:p w14:paraId="01153FB2">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lang w:eastAsia="zh-CN"/>
              </w:rPr>
              <w:t>新疆巴州库尔勒市</w:t>
            </w:r>
            <w:r>
              <w:rPr>
                <w:rFonts w:hint="eastAsia" w:ascii="宋体" w:hAnsi="宋体" w:cs="宋体"/>
                <w:szCs w:val="21"/>
                <w:lang w:eastAsia="zh-CN"/>
              </w:rPr>
              <w:t>塔什店镇特变电工西侧</w:t>
            </w:r>
          </w:p>
        </w:tc>
      </w:tr>
      <w:tr w14:paraId="012D76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tcBorders>
              <w:tl2br w:val="nil"/>
              <w:tr2bl w:val="nil"/>
            </w:tcBorders>
            <w:noWrap w:val="0"/>
            <w:tcMar>
              <w:top w:w="16" w:type="dxa"/>
              <w:left w:w="16" w:type="dxa"/>
              <w:right w:w="16" w:type="dxa"/>
            </w:tcMar>
            <w:vAlign w:val="center"/>
          </w:tcPr>
          <w:p w14:paraId="7D77E8FA">
            <w:pPr>
              <w:adjustRightInd w:val="0"/>
              <w:snapToGrid w:val="0"/>
              <w:jc w:val="center"/>
              <w:rPr>
                <w:rFonts w:ascii="宋体" w:hAnsi="宋体" w:cs="宋体"/>
                <w:szCs w:val="21"/>
              </w:rPr>
            </w:pPr>
            <w:r>
              <w:rPr>
                <w:rFonts w:hint="eastAsia" w:ascii="宋体" w:hAnsi="宋体" w:cs="宋体"/>
                <w:szCs w:val="21"/>
              </w:rPr>
              <w:t>地理坐标</w:t>
            </w:r>
          </w:p>
        </w:tc>
        <w:tc>
          <w:tcPr>
            <w:tcW w:w="6488" w:type="dxa"/>
            <w:gridSpan w:val="3"/>
            <w:tcBorders>
              <w:tl2br w:val="nil"/>
              <w:tr2bl w:val="nil"/>
            </w:tcBorders>
            <w:noWrap w:val="0"/>
            <w:vAlign w:val="center"/>
          </w:tcPr>
          <w:p w14:paraId="71A745D0">
            <w:pPr>
              <w:jc w:val="center"/>
              <w:rPr>
                <w:rFonts w:hint="eastAsia" w:ascii="宋体" w:hAnsi="宋体" w:cs="宋体"/>
                <w:szCs w:val="21"/>
              </w:rPr>
            </w:pPr>
          </w:p>
        </w:tc>
      </w:tr>
      <w:tr w14:paraId="767A2F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382" w:type="dxa"/>
            <w:tcBorders>
              <w:tl2br w:val="nil"/>
              <w:tr2bl w:val="nil"/>
            </w:tcBorders>
            <w:noWrap w:val="0"/>
            <w:tcMar>
              <w:top w:w="16" w:type="dxa"/>
              <w:left w:w="16" w:type="dxa"/>
              <w:right w:w="16" w:type="dxa"/>
            </w:tcMar>
            <w:vAlign w:val="center"/>
          </w:tcPr>
          <w:p w14:paraId="556C8353">
            <w:pPr>
              <w:adjustRightInd w:val="0"/>
              <w:snapToGrid w:val="0"/>
              <w:jc w:val="center"/>
              <w:rPr>
                <w:rFonts w:hint="eastAsia" w:ascii="宋体" w:hAnsi="宋体" w:cs="宋体"/>
                <w:szCs w:val="21"/>
              </w:rPr>
            </w:pPr>
            <w:r>
              <w:rPr>
                <w:rFonts w:hint="eastAsia" w:ascii="宋体" w:hAnsi="宋体" w:cs="宋体"/>
                <w:szCs w:val="21"/>
              </w:rPr>
              <w:t>国民经济</w:t>
            </w:r>
          </w:p>
          <w:p w14:paraId="4D8159B1">
            <w:pPr>
              <w:adjustRightInd w:val="0"/>
              <w:snapToGrid w:val="0"/>
              <w:jc w:val="center"/>
              <w:rPr>
                <w:rFonts w:ascii="宋体" w:hAnsi="宋体" w:cs="宋体"/>
                <w:szCs w:val="21"/>
              </w:rPr>
            </w:pPr>
            <w:r>
              <w:rPr>
                <w:rFonts w:hint="eastAsia" w:ascii="宋体" w:hAnsi="宋体" w:cs="宋体"/>
                <w:szCs w:val="21"/>
              </w:rPr>
              <w:t>行业类别</w:t>
            </w:r>
          </w:p>
        </w:tc>
        <w:tc>
          <w:tcPr>
            <w:tcW w:w="1637" w:type="dxa"/>
            <w:tcBorders>
              <w:tl2br w:val="nil"/>
              <w:tr2bl w:val="nil"/>
            </w:tcBorders>
            <w:noWrap w:val="0"/>
            <w:vAlign w:val="center"/>
          </w:tcPr>
          <w:p w14:paraId="74D66EAD">
            <w:pPr>
              <w:adjustRightInd w:val="0"/>
              <w:snapToGrid w:val="0"/>
              <w:jc w:val="center"/>
              <w:rPr>
                <w:rFonts w:ascii="宋体" w:hAnsi="宋体" w:cs="宋体"/>
                <w:szCs w:val="21"/>
              </w:rPr>
            </w:pPr>
            <w:r>
              <w:rPr>
                <w:rFonts w:ascii="Times New Roman" w:hAnsi="Times New Roman" w:eastAsia="Times New Roman" w:cs="Times New Roman"/>
                <w:spacing w:val="-2"/>
              </w:rPr>
              <w:t>G5990</w:t>
            </w:r>
            <w:r>
              <w:rPr>
                <w:spacing w:val="-2"/>
              </w:rPr>
              <w:t>其他仓</w:t>
            </w:r>
            <w:r>
              <w:t>储</w:t>
            </w:r>
          </w:p>
        </w:tc>
        <w:tc>
          <w:tcPr>
            <w:tcW w:w="2212" w:type="dxa"/>
            <w:tcBorders>
              <w:tl2br w:val="nil"/>
              <w:tr2bl w:val="nil"/>
            </w:tcBorders>
            <w:noWrap w:val="0"/>
            <w:vAlign w:val="center"/>
          </w:tcPr>
          <w:p w14:paraId="769A7FDC">
            <w:pPr>
              <w:adjustRightInd w:val="0"/>
              <w:snapToGrid w:val="0"/>
              <w:jc w:val="center"/>
              <w:rPr>
                <w:rFonts w:ascii="Times New Roman" w:hAnsi="Times New Roman" w:eastAsia="Times New Roman" w:cs="Times New Roman"/>
                <w:spacing w:val="-2"/>
              </w:rPr>
            </w:pPr>
            <w:bookmarkStart w:id="1" w:name="_Hlk49843745"/>
            <w:r>
              <w:rPr>
                <w:rFonts w:hint="eastAsia" w:ascii="Times New Roman" w:hAnsi="Times New Roman" w:eastAsia="Times New Roman" w:cs="Times New Roman"/>
                <w:spacing w:val="-2"/>
              </w:rPr>
              <w:t>建设项目</w:t>
            </w:r>
          </w:p>
          <w:p w14:paraId="7F6C42DB">
            <w:pPr>
              <w:adjustRightInd w:val="0"/>
              <w:snapToGrid w:val="0"/>
              <w:jc w:val="center"/>
              <w:rPr>
                <w:rFonts w:ascii="Times New Roman" w:hAnsi="Times New Roman" w:eastAsia="Times New Roman" w:cs="Times New Roman"/>
                <w:spacing w:val="-2"/>
              </w:rPr>
            </w:pPr>
            <w:r>
              <w:rPr>
                <w:rFonts w:hint="eastAsia" w:ascii="Times New Roman" w:hAnsi="Times New Roman" w:eastAsia="Times New Roman" w:cs="Times New Roman"/>
                <w:spacing w:val="-2"/>
              </w:rPr>
              <w:t>行业类别</w:t>
            </w:r>
            <w:bookmarkEnd w:id="1"/>
          </w:p>
        </w:tc>
        <w:tc>
          <w:tcPr>
            <w:tcW w:w="2639" w:type="dxa"/>
            <w:tcBorders>
              <w:tl2br w:val="nil"/>
              <w:tr2bl w:val="nil"/>
            </w:tcBorders>
            <w:noWrap w:val="0"/>
            <w:vAlign w:val="center"/>
          </w:tcPr>
          <w:p w14:paraId="29100B7C">
            <w:pPr>
              <w:adjustRightInd w:val="0"/>
              <w:snapToGrid w:val="0"/>
              <w:jc w:val="center"/>
              <w:rPr>
                <w:rFonts w:hint="default" w:ascii="Times New Roman" w:hAnsi="Times New Roman" w:eastAsia="Times New Roman" w:cs="Times New Roman"/>
                <w:spacing w:val="-2"/>
                <w:lang w:val="en-US" w:eastAsia="zh-CN"/>
              </w:rPr>
            </w:pPr>
            <w:r>
              <w:rPr>
                <w:rFonts w:hint="eastAsia" w:ascii="Times New Roman" w:hAnsi="Times New Roman" w:eastAsia="Times New Roman" w:cs="Times New Roman"/>
                <w:spacing w:val="-2"/>
                <w:lang w:val="en-US" w:eastAsia="zh-CN"/>
              </w:rPr>
              <w:t>四</w:t>
            </w:r>
            <w:r>
              <w:rPr>
                <w:rFonts w:hint="default" w:ascii="Times New Roman" w:hAnsi="Times New Roman" w:eastAsia="Times New Roman" w:cs="Times New Roman"/>
                <w:spacing w:val="-2"/>
              </w:rPr>
              <w:t>、</w:t>
            </w:r>
            <w:r>
              <w:rPr>
                <w:rFonts w:ascii="Times New Roman" w:hAnsi="Times New Roman" w:eastAsia="Times New Roman" w:cs="Times New Roman"/>
                <w:spacing w:val="-2"/>
                <w:lang w:val="en-US" w:eastAsia="zh-CN"/>
              </w:rPr>
              <w:t>煤炭开采和洗选业06</w:t>
            </w:r>
            <w:r>
              <w:rPr>
                <w:rFonts w:hint="eastAsia" w:ascii="Times New Roman" w:hAnsi="Times New Roman" w:eastAsia="Times New Roman" w:cs="Times New Roman"/>
                <w:spacing w:val="-2"/>
                <w:lang w:val="en-US" w:eastAsia="zh-CN"/>
              </w:rPr>
              <w:t>-6煤炭储存、集运</w:t>
            </w:r>
          </w:p>
        </w:tc>
      </w:tr>
      <w:tr w14:paraId="2C6483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382" w:type="dxa"/>
            <w:tcBorders>
              <w:tl2br w:val="nil"/>
              <w:tr2bl w:val="nil"/>
            </w:tcBorders>
            <w:noWrap w:val="0"/>
            <w:tcMar>
              <w:top w:w="16" w:type="dxa"/>
              <w:left w:w="16" w:type="dxa"/>
              <w:right w:w="16" w:type="dxa"/>
            </w:tcMar>
            <w:vAlign w:val="center"/>
          </w:tcPr>
          <w:p w14:paraId="13280B6A">
            <w:pPr>
              <w:adjustRightInd w:val="0"/>
              <w:snapToGrid w:val="0"/>
              <w:jc w:val="center"/>
              <w:rPr>
                <w:rFonts w:ascii="宋体" w:hAnsi="宋体" w:cs="宋体"/>
                <w:szCs w:val="21"/>
              </w:rPr>
            </w:pPr>
            <w:r>
              <w:rPr>
                <w:rFonts w:hint="eastAsia" w:ascii="宋体" w:hAnsi="宋体" w:cs="宋体"/>
                <w:szCs w:val="21"/>
              </w:rPr>
              <w:t>建设性质</w:t>
            </w:r>
          </w:p>
        </w:tc>
        <w:tc>
          <w:tcPr>
            <w:tcW w:w="1637" w:type="dxa"/>
            <w:tcBorders>
              <w:tl2br w:val="nil"/>
              <w:tr2bl w:val="nil"/>
            </w:tcBorders>
            <w:noWrap w:val="0"/>
            <w:vAlign w:val="center"/>
          </w:tcPr>
          <w:p w14:paraId="45785AF3">
            <w:pPr>
              <w:jc w:val="left"/>
              <w:rPr>
                <w:rFonts w:ascii="宋体" w:hAnsi="宋体" w:cs="宋体"/>
                <w:szCs w:val="21"/>
              </w:rPr>
            </w:pPr>
            <w:r>
              <w:rPr>
                <w:rFonts w:hint="eastAsia" w:ascii="宋体" w:hAnsi="宋体" w:cs="宋体"/>
                <w:szCs w:val="21"/>
                <w:lang w:eastAsia="zh-CN"/>
              </w:rPr>
              <w:t>☑</w:t>
            </w:r>
            <w:r>
              <w:rPr>
                <w:rFonts w:hint="eastAsia" w:ascii="宋体" w:hAnsi="宋体" w:cs="宋体"/>
                <w:szCs w:val="21"/>
              </w:rPr>
              <w:t>新建（迁建）</w:t>
            </w:r>
          </w:p>
          <w:p w14:paraId="0B1BA895">
            <w:pPr>
              <w:jc w:val="left"/>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改建</w:t>
            </w:r>
          </w:p>
          <w:p w14:paraId="420709F3">
            <w:pPr>
              <w:jc w:val="left"/>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扩建</w:t>
            </w:r>
          </w:p>
          <w:p w14:paraId="3F863327">
            <w:pPr>
              <w:jc w:val="left"/>
              <w:rPr>
                <w:rFonts w:ascii="宋体" w:hAnsi="宋体" w:cs="宋体"/>
                <w:szCs w:val="21"/>
              </w:rPr>
            </w:pPr>
            <w:r>
              <w:rPr>
                <w:rFonts w:hint="eastAsia" w:ascii="宋体" w:hAnsi="宋体" w:cs="宋体"/>
                <w:szCs w:val="21"/>
                <w:lang w:eastAsia="zh-CN"/>
              </w:rPr>
              <w:t>□</w:t>
            </w:r>
            <w:r>
              <w:rPr>
                <w:rFonts w:hint="eastAsia" w:ascii="宋体" w:hAnsi="宋体" w:cs="宋体"/>
                <w:szCs w:val="21"/>
              </w:rPr>
              <w:t>技术改造</w:t>
            </w:r>
          </w:p>
        </w:tc>
        <w:tc>
          <w:tcPr>
            <w:tcW w:w="2212" w:type="dxa"/>
            <w:tcBorders>
              <w:tl2br w:val="nil"/>
              <w:tr2bl w:val="nil"/>
            </w:tcBorders>
            <w:noWrap w:val="0"/>
            <w:vAlign w:val="center"/>
          </w:tcPr>
          <w:p w14:paraId="677F6A14">
            <w:pPr>
              <w:adjustRightInd w:val="0"/>
              <w:snapToGrid w:val="0"/>
              <w:jc w:val="center"/>
              <w:rPr>
                <w:rFonts w:hint="eastAsia" w:ascii="宋体" w:hAnsi="宋体" w:cs="宋体"/>
                <w:szCs w:val="21"/>
              </w:rPr>
            </w:pPr>
            <w:r>
              <w:rPr>
                <w:rFonts w:hint="eastAsia" w:ascii="宋体" w:hAnsi="宋体" w:cs="宋体"/>
                <w:szCs w:val="21"/>
              </w:rPr>
              <w:t>建设项目</w:t>
            </w:r>
          </w:p>
          <w:p w14:paraId="7026DBC3">
            <w:pPr>
              <w:adjustRightInd w:val="0"/>
              <w:snapToGrid w:val="0"/>
              <w:jc w:val="center"/>
              <w:rPr>
                <w:rFonts w:ascii="宋体" w:hAnsi="宋体" w:cs="宋体"/>
                <w:szCs w:val="21"/>
              </w:rPr>
            </w:pPr>
            <w:r>
              <w:rPr>
                <w:rFonts w:hint="eastAsia" w:ascii="宋体" w:hAnsi="宋体" w:cs="宋体"/>
                <w:szCs w:val="21"/>
              </w:rPr>
              <w:t>申报情形</w:t>
            </w:r>
          </w:p>
        </w:tc>
        <w:tc>
          <w:tcPr>
            <w:tcW w:w="2639" w:type="dxa"/>
            <w:tcBorders>
              <w:tl2br w:val="nil"/>
              <w:tr2bl w:val="nil"/>
            </w:tcBorders>
            <w:noWrap w:val="0"/>
            <w:vAlign w:val="center"/>
          </w:tcPr>
          <w:p w14:paraId="45A88576">
            <w:pPr>
              <w:jc w:val="left"/>
              <w:rPr>
                <w:rFonts w:hint="eastAsia" w:ascii="宋体" w:hAnsi="宋体" w:eastAsia="宋体" w:cs="宋体"/>
                <w:szCs w:val="21"/>
                <w:lang w:eastAsia="zh-CN"/>
              </w:rPr>
            </w:pPr>
            <w:r>
              <w:rPr>
                <w:rFonts w:hint="eastAsia" w:ascii="宋体" w:hAnsi="宋体" w:cs="宋体"/>
                <w:szCs w:val="21"/>
                <w:lang w:eastAsia="zh-CN"/>
              </w:rPr>
              <w:t>（</w:t>
            </w:r>
            <w:r>
              <w:rPr>
                <w:rFonts w:hint="eastAsia" w:ascii="宋体" w:hAnsi="宋体" w:cs="宋体"/>
                <w:szCs w:val="21"/>
              </w:rPr>
              <w:t>首次申报项目</w:t>
            </w:r>
          </w:p>
          <w:p w14:paraId="670B8C14">
            <w:pPr>
              <w:jc w:val="left"/>
              <w:rPr>
                <w:rFonts w:ascii="宋体" w:hAnsi="宋体" w:cs="宋体"/>
                <w:szCs w:val="21"/>
              </w:rPr>
            </w:pPr>
            <w:r>
              <w:rPr>
                <w:rFonts w:hint="eastAsia" w:ascii="宋体" w:hAnsi="宋体" w:cs="宋体"/>
                <w:szCs w:val="21"/>
              </w:rPr>
              <w:t>□不予批准后再次申报项目</w:t>
            </w:r>
          </w:p>
          <w:p w14:paraId="6EE69716">
            <w:pPr>
              <w:jc w:val="left"/>
              <w:rPr>
                <w:rFonts w:hint="eastAsia" w:ascii="宋体" w:hAnsi="宋体" w:eastAsia="宋体" w:cs="宋体"/>
                <w:szCs w:val="21"/>
                <w:lang w:eastAsia="zh-CN"/>
              </w:rPr>
            </w:pPr>
            <w:r>
              <w:rPr>
                <w:rFonts w:hint="eastAsia" w:ascii="宋体" w:hAnsi="宋体" w:cs="宋体"/>
                <w:szCs w:val="21"/>
                <w:lang w:eastAsia="zh-CN"/>
              </w:rPr>
              <w:t>（</w:t>
            </w:r>
            <w:r>
              <w:rPr>
                <w:rFonts w:hint="eastAsia" w:ascii="宋体" w:hAnsi="宋体" w:cs="宋体"/>
                <w:szCs w:val="21"/>
              </w:rPr>
              <w:t>超五年重新审核项目</w:t>
            </w:r>
          </w:p>
          <w:p w14:paraId="28FEE481">
            <w:pPr>
              <w:jc w:val="left"/>
              <w:rPr>
                <w:rFonts w:ascii="宋体" w:hAnsi="宋体" w:cs="宋体"/>
                <w:szCs w:val="21"/>
              </w:rPr>
            </w:pPr>
            <w:r>
              <w:rPr>
                <w:rFonts w:hint="eastAsia" w:ascii="宋体" w:hAnsi="宋体" w:cs="宋体"/>
                <w:szCs w:val="21"/>
                <w:lang w:eastAsia="zh-CN"/>
              </w:rPr>
              <w:t>□</w:t>
            </w:r>
            <w:r>
              <w:rPr>
                <w:rFonts w:hint="eastAsia" w:ascii="宋体" w:hAnsi="宋体" w:cs="宋体"/>
                <w:szCs w:val="21"/>
              </w:rPr>
              <w:t>重大变动重新报批项目</w:t>
            </w:r>
          </w:p>
        </w:tc>
      </w:tr>
      <w:tr w14:paraId="15BE7F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382" w:type="dxa"/>
            <w:tcBorders>
              <w:tl2br w:val="nil"/>
              <w:tr2bl w:val="nil"/>
            </w:tcBorders>
            <w:noWrap w:val="0"/>
            <w:tcMar>
              <w:top w:w="16" w:type="dxa"/>
              <w:left w:w="16" w:type="dxa"/>
              <w:right w:w="16" w:type="dxa"/>
            </w:tcMar>
            <w:vAlign w:val="center"/>
          </w:tcPr>
          <w:p w14:paraId="1CBFF844">
            <w:pPr>
              <w:adjustRightInd w:val="0"/>
              <w:snapToGrid w:val="0"/>
              <w:jc w:val="center"/>
              <w:rPr>
                <w:rFonts w:hint="eastAsia" w:ascii="宋体" w:hAnsi="宋体" w:cs="宋体"/>
                <w:szCs w:val="21"/>
              </w:rPr>
            </w:pPr>
            <w:r>
              <w:rPr>
                <w:rFonts w:hint="eastAsia" w:ascii="宋体" w:hAnsi="宋体" w:cs="宋体"/>
                <w:szCs w:val="21"/>
              </w:rPr>
              <w:t>项目审批（核准</w:t>
            </w:r>
            <w:r>
              <w:rPr>
                <w:rFonts w:ascii="宋体" w:hAnsi="宋体" w:cs="宋体"/>
                <w:szCs w:val="21"/>
              </w:rPr>
              <w:t>/</w:t>
            </w:r>
          </w:p>
          <w:p w14:paraId="522A7010">
            <w:pPr>
              <w:adjustRightInd w:val="0"/>
              <w:snapToGrid w:val="0"/>
              <w:jc w:val="center"/>
              <w:rPr>
                <w:rFonts w:ascii="宋体" w:hAnsi="宋体" w:cs="宋体"/>
                <w:szCs w:val="21"/>
              </w:rPr>
            </w:pPr>
            <w:r>
              <w:rPr>
                <w:rFonts w:hint="eastAsia" w:ascii="宋体" w:hAnsi="宋体" w:cs="宋体"/>
                <w:szCs w:val="21"/>
              </w:rPr>
              <w:t>备案）部门（选填）</w:t>
            </w:r>
          </w:p>
        </w:tc>
        <w:tc>
          <w:tcPr>
            <w:tcW w:w="1637" w:type="dxa"/>
            <w:tcBorders>
              <w:tl2br w:val="nil"/>
              <w:tr2bl w:val="nil"/>
            </w:tcBorders>
            <w:noWrap w:val="0"/>
            <w:vAlign w:val="center"/>
          </w:tcPr>
          <w:p w14:paraId="5CD3F1FE">
            <w:pPr>
              <w:adjustRightInd w:val="0"/>
              <w:snapToGrid w:val="0"/>
              <w:jc w:val="center"/>
              <w:rPr>
                <w:rFonts w:ascii="宋体" w:hAnsi="宋体" w:cs="宋体"/>
                <w:szCs w:val="21"/>
              </w:rPr>
            </w:pPr>
            <w:r>
              <w:rPr>
                <w:rFonts w:hint="eastAsia" w:ascii="Times New Roman" w:hAnsi="Times New Roman" w:eastAsia="宋体" w:cs="Times New Roman"/>
                <w:sz w:val="21"/>
                <w:szCs w:val="21"/>
                <w:lang w:val="en-US" w:eastAsia="zh-CN"/>
              </w:rPr>
              <w:t>/</w:t>
            </w:r>
          </w:p>
        </w:tc>
        <w:tc>
          <w:tcPr>
            <w:tcW w:w="2212" w:type="dxa"/>
            <w:tcBorders>
              <w:tl2br w:val="nil"/>
              <w:tr2bl w:val="nil"/>
            </w:tcBorders>
            <w:noWrap w:val="0"/>
            <w:vAlign w:val="center"/>
          </w:tcPr>
          <w:p w14:paraId="6D547A2A">
            <w:pPr>
              <w:adjustRightInd w:val="0"/>
              <w:snapToGrid w:val="0"/>
              <w:jc w:val="center"/>
              <w:rPr>
                <w:rFonts w:hint="eastAsia" w:ascii="宋体" w:hAnsi="宋体" w:cs="宋体"/>
                <w:szCs w:val="21"/>
              </w:rPr>
            </w:pPr>
            <w:r>
              <w:rPr>
                <w:rFonts w:hint="eastAsia" w:ascii="宋体" w:hAnsi="宋体" w:cs="宋体"/>
                <w:szCs w:val="21"/>
              </w:rPr>
              <w:t>项目审批（核准</w:t>
            </w:r>
            <w:r>
              <w:rPr>
                <w:rFonts w:ascii="宋体" w:hAnsi="宋体" w:cs="宋体"/>
                <w:szCs w:val="21"/>
              </w:rPr>
              <w:t>/</w:t>
            </w:r>
          </w:p>
          <w:p w14:paraId="686C5749">
            <w:pPr>
              <w:adjustRightInd w:val="0"/>
              <w:snapToGrid w:val="0"/>
              <w:jc w:val="center"/>
              <w:rPr>
                <w:rFonts w:hint="eastAsia" w:ascii="宋体" w:hAnsi="宋体" w:cs="宋体"/>
                <w:szCs w:val="21"/>
              </w:rPr>
            </w:pPr>
            <w:r>
              <w:rPr>
                <w:rFonts w:hint="eastAsia" w:ascii="宋体" w:hAnsi="宋体" w:cs="宋体"/>
                <w:szCs w:val="21"/>
              </w:rPr>
              <w:t>备案）文号（选填）</w:t>
            </w:r>
          </w:p>
        </w:tc>
        <w:tc>
          <w:tcPr>
            <w:tcW w:w="2639" w:type="dxa"/>
            <w:tcBorders>
              <w:tl2br w:val="nil"/>
              <w:tr2bl w:val="nil"/>
            </w:tcBorders>
            <w:noWrap w:val="0"/>
            <w:vAlign w:val="center"/>
          </w:tcPr>
          <w:p w14:paraId="7140304C">
            <w:pPr>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w:t>
            </w:r>
          </w:p>
        </w:tc>
      </w:tr>
      <w:tr w14:paraId="3E20D4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tcBorders>
              <w:tl2br w:val="nil"/>
              <w:tr2bl w:val="nil"/>
            </w:tcBorders>
            <w:noWrap w:val="0"/>
            <w:tcMar>
              <w:top w:w="16" w:type="dxa"/>
              <w:left w:w="16" w:type="dxa"/>
              <w:right w:w="16" w:type="dxa"/>
            </w:tcMar>
            <w:vAlign w:val="center"/>
          </w:tcPr>
          <w:p w14:paraId="43260C8D">
            <w:pPr>
              <w:adjustRightInd w:val="0"/>
              <w:snapToGrid w:val="0"/>
              <w:jc w:val="center"/>
              <w:rPr>
                <w:rFonts w:ascii="宋体" w:hAnsi="宋体" w:cs="宋体"/>
                <w:szCs w:val="21"/>
              </w:rPr>
            </w:pPr>
            <w:r>
              <w:rPr>
                <w:rFonts w:hint="eastAsia" w:ascii="宋体" w:hAnsi="宋体" w:cs="宋体"/>
                <w:szCs w:val="21"/>
              </w:rPr>
              <w:t>总投资（万元）</w:t>
            </w:r>
          </w:p>
        </w:tc>
        <w:tc>
          <w:tcPr>
            <w:tcW w:w="1637" w:type="dxa"/>
            <w:tcBorders>
              <w:tl2br w:val="nil"/>
              <w:tr2bl w:val="nil"/>
            </w:tcBorders>
            <w:shd w:val="clear" w:color="auto" w:fill="auto"/>
            <w:noWrap w:val="0"/>
            <w:vAlign w:val="center"/>
          </w:tcPr>
          <w:p w14:paraId="329D41B5">
            <w:pPr>
              <w:adjustRightInd w:val="0"/>
              <w:snapToGrid w:val="0"/>
              <w:jc w:val="cente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200</w:t>
            </w:r>
          </w:p>
        </w:tc>
        <w:tc>
          <w:tcPr>
            <w:tcW w:w="2212" w:type="dxa"/>
            <w:tcBorders>
              <w:tl2br w:val="nil"/>
              <w:tr2bl w:val="nil"/>
            </w:tcBorders>
            <w:shd w:val="clear" w:color="auto" w:fill="auto"/>
            <w:noWrap w:val="0"/>
            <w:tcMar>
              <w:top w:w="16" w:type="dxa"/>
              <w:left w:w="16" w:type="dxa"/>
              <w:right w:w="16" w:type="dxa"/>
            </w:tcMar>
            <w:vAlign w:val="center"/>
          </w:tcPr>
          <w:p w14:paraId="4F019FCB">
            <w:pPr>
              <w:adjustRightInd w:val="0"/>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环保投资（万元）</w:t>
            </w:r>
          </w:p>
        </w:tc>
        <w:tc>
          <w:tcPr>
            <w:tcW w:w="2639" w:type="dxa"/>
            <w:tcBorders>
              <w:tl2br w:val="nil"/>
              <w:tr2bl w:val="nil"/>
            </w:tcBorders>
            <w:shd w:val="clear" w:color="auto" w:fill="auto"/>
            <w:noWrap w:val="0"/>
            <w:vAlign w:val="center"/>
          </w:tcPr>
          <w:p w14:paraId="22D69B43">
            <w:pPr>
              <w:adjustRightInd w:val="0"/>
              <w:snapToGrid w:val="0"/>
              <w:jc w:val="cente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25</w:t>
            </w:r>
          </w:p>
        </w:tc>
      </w:tr>
      <w:tr w14:paraId="4254A7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tcBorders>
              <w:tl2br w:val="nil"/>
              <w:tr2bl w:val="nil"/>
            </w:tcBorders>
            <w:noWrap w:val="0"/>
            <w:tcMar>
              <w:top w:w="16" w:type="dxa"/>
              <w:left w:w="16" w:type="dxa"/>
              <w:right w:w="16" w:type="dxa"/>
            </w:tcMar>
            <w:vAlign w:val="center"/>
          </w:tcPr>
          <w:p w14:paraId="3528735F">
            <w:pPr>
              <w:adjustRightInd w:val="0"/>
              <w:snapToGrid w:val="0"/>
              <w:jc w:val="center"/>
              <w:rPr>
                <w:rFonts w:ascii="宋体" w:hAnsi="宋体" w:cs="宋体"/>
                <w:szCs w:val="21"/>
              </w:rPr>
            </w:pPr>
            <w:r>
              <w:rPr>
                <w:rFonts w:hint="eastAsia" w:ascii="宋体" w:hAnsi="宋体" w:cs="宋体"/>
                <w:szCs w:val="21"/>
              </w:rPr>
              <w:t>环保投资占比（</w:t>
            </w:r>
            <w:r>
              <w:rPr>
                <w:rFonts w:ascii="宋体" w:hAnsi="宋体" w:cs="宋体"/>
                <w:szCs w:val="21"/>
              </w:rPr>
              <w:t>%</w:t>
            </w:r>
            <w:r>
              <w:rPr>
                <w:rFonts w:hint="eastAsia" w:ascii="宋体" w:hAnsi="宋体" w:cs="宋体"/>
                <w:szCs w:val="21"/>
              </w:rPr>
              <w:t>）</w:t>
            </w:r>
          </w:p>
        </w:tc>
        <w:tc>
          <w:tcPr>
            <w:tcW w:w="1637" w:type="dxa"/>
            <w:tcBorders>
              <w:tl2br w:val="nil"/>
              <w:tr2bl w:val="nil"/>
            </w:tcBorders>
            <w:shd w:val="clear" w:color="auto" w:fill="auto"/>
            <w:noWrap w:val="0"/>
            <w:vAlign w:val="center"/>
          </w:tcPr>
          <w:p w14:paraId="5CA90621">
            <w:pPr>
              <w:adjustRightInd w:val="0"/>
              <w:snapToGrid w:val="0"/>
              <w:jc w:val="cente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12.5</w:t>
            </w:r>
          </w:p>
        </w:tc>
        <w:tc>
          <w:tcPr>
            <w:tcW w:w="2212" w:type="dxa"/>
            <w:tcBorders>
              <w:tl2br w:val="nil"/>
              <w:tr2bl w:val="nil"/>
            </w:tcBorders>
            <w:shd w:val="clear" w:color="auto" w:fill="auto"/>
            <w:noWrap w:val="0"/>
            <w:tcMar>
              <w:top w:w="16" w:type="dxa"/>
              <w:left w:w="16" w:type="dxa"/>
              <w:right w:w="16" w:type="dxa"/>
            </w:tcMar>
            <w:vAlign w:val="center"/>
          </w:tcPr>
          <w:p w14:paraId="2B51A718">
            <w:pPr>
              <w:adjustRightInd w:val="0"/>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施工工期</w:t>
            </w:r>
          </w:p>
        </w:tc>
        <w:tc>
          <w:tcPr>
            <w:tcW w:w="2639" w:type="dxa"/>
            <w:tcBorders>
              <w:tl2br w:val="nil"/>
              <w:tr2bl w:val="nil"/>
            </w:tcBorders>
            <w:shd w:val="clear" w:color="auto" w:fill="auto"/>
            <w:noWrap w:val="0"/>
            <w:vAlign w:val="center"/>
          </w:tcPr>
          <w:p w14:paraId="42BAC722">
            <w:pPr>
              <w:adjustRightInd w:val="0"/>
              <w:snapToGrid w:val="0"/>
              <w:jc w:val="cente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4</w:t>
            </w:r>
            <w:r>
              <w:rPr>
                <w:rFonts w:hint="eastAsia" w:ascii="宋体" w:hAnsi="宋体" w:eastAsia="宋体" w:cs="宋体"/>
                <w:szCs w:val="21"/>
                <w:lang w:val="en-US" w:eastAsia="zh-CN"/>
              </w:rPr>
              <w:t>个月</w:t>
            </w:r>
          </w:p>
        </w:tc>
      </w:tr>
      <w:tr w14:paraId="17C16C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tcBorders>
              <w:tl2br w:val="nil"/>
              <w:tr2bl w:val="nil"/>
            </w:tcBorders>
            <w:noWrap w:val="0"/>
            <w:tcMar>
              <w:top w:w="16" w:type="dxa"/>
              <w:left w:w="16" w:type="dxa"/>
              <w:right w:w="16" w:type="dxa"/>
            </w:tcMar>
            <w:vAlign w:val="center"/>
          </w:tcPr>
          <w:p w14:paraId="31259F84">
            <w:pPr>
              <w:adjustRightInd w:val="0"/>
              <w:snapToGrid w:val="0"/>
              <w:jc w:val="center"/>
              <w:rPr>
                <w:rFonts w:hint="eastAsia" w:ascii="宋体" w:hAnsi="宋体" w:cs="宋体"/>
                <w:szCs w:val="21"/>
              </w:rPr>
            </w:pPr>
            <w:r>
              <w:rPr>
                <w:rFonts w:hint="eastAsia" w:ascii="宋体" w:hAnsi="宋体" w:cs="宋体"/>
                <w:szCs w:val="21"/>
              </w:rPr>
              <w:t>是否开工建设</w:t>
            </w:r>
          </w:p>
        </w:tc>
        <w:tc>
          <w:tcPr>
            <w:tcW w:w="1637" w:type="dxa"/>
            <w:tcBorders>
              <w:tl2br w:val="nil"/>
              <w:tr2bl w:val="nil"/>
            </w:tcBorders>
            <w:noWrap w:val="0"/>
            <w:vAlign w:val="center"/>
          </w:tcPr>
          <w:p w14:paraId="47B38680">
            <w:pPr>
              <w:adjustRightInd w:val="0"/>
              <w:snapToGrid w:val="0"/>
              <w:jc w:val="center"/>
              <w:rPr>
                <w:rFonts w:ascii="宋体" w:hAnsi="宋体" w:cs="宋体"/>
                <w:szCs w:val="21"/>
              </w:rPr>
            </w:pPr>
            <w:r>
              <w:rPr>
                <w:rFonts w:hint="eastAsia" w:ascii="宋体" w:hAnsi="宋体" w:cs="宋体"/>
                <w:szCs w:val="21"/>
                <w:lang w:eastAsia="zh-CN"/>
              </w:rPr>
              <w:t>（</w:t>
            </w:r>
            <w:r>
              <w:rPr>
                <w:rFonts w:hint="eastAsia" w:ascii="宋体" w:hAnsi="宋体" w:cs="宋体"/>
                <w:szCs w:val="21"/>
              </w:rPr>
              <w:t>否</w:t>
            </w:r>
          </w:p>
          <w:p w14:paraId="0241F7E8">
            <w:pPr>
              <w:adjustRightInd w:val="0"/>
              <w:snapToGrid w:val="0"/>
              <w:jc w:val="center"/>
              <w:rPr>
                <w:rFonts w:hint="default" w:ascii="宋体" w:hAnsi="宋体" w:eastAsia="宋体" w:cs="宋体"/>
                <w:szCs w:val="21"/>
                <w:lang w:val="en-US" w:eastAsia="zh-CN"/>
              </w:rPr>
            </w:pPr>
            <w:r>
              <w:rPr>
                <w:rFonts w:hint="eastAsia" w:ascii="宋体" w:hAnsi="宋体" w:cs="宋体"/>
                <w:szCs w:val="21"/>
                <w:lang w:eastAsia="zh-CN"/>
              </w:rPr>
              <w:t>（</w:t>
            </w:r>
            <w:r>
              <w:rPr>
                <w:rFonts w:hint="eastAsia" w:ascii="宋体" w:hAnsi="宋体" w:cs="宋体"/>
                <w:szCs w:val="21"/>
              </w:rPr>
              <w:t>是</w:t>
            </w:r>
            <w:r>
              <w:rPr>
                <w:rFonts w:hint="eastAsia" w:ascii="宋体" w:hAnsi="宋体" w:cs="宋体"/>
                <w:szCs w:val="21"/>
                <w:u w:val="single"/>
                <w:lang w:val="en-US" w:eastAsia="zh-CN"/>
              </w:rPr>
              <w:t>已完成储煤库框架建设，未受到处罚</w:t>
            </w:r>
          </w:p>
        </w:tc>
        <w:tc>
          <w:tcPr>
            <w:tcW w:w="2212" w:type="dxa"/>
            <w:tcBorders>
              <w:tl2br w:val="nil"/>
              <w:tr2bl w:val="nil"/>
            </w:tcBorders>
            <w:noWrap w:val="0"/>
            <w:tcMar>
              <w:top w:w="16" w:type="dxa"/>
              <w:left w:w="16" w:type="dxa"/>
              <w:right w:w="16" w:type="dxa"/>
            </w:tcMar>
            <w:vAlign w:val="center"/>
          </w:tcPr>
          <w:p w14:paraId="2837A42F">
            <w:pPr>
              <w:adjustRightInd w:val="0"/>
              <w:snapToGrid w:val="0"/>
              <w:jc w:val="center"/>
              <w:rPr>
                <w:rFonts w:ascii="宋体" w:hAnsi="宋体" w:cs="宋体"/>
                <w:spacing w:val="-6"/>
                <w:szCs w:val="21"/>
              </w:rPr>
            </w:pPr>
            <w:r>
              <w:rPr>
                <w:rFonts w:hint="eastAsia" w:ascii="宋体" w:hAnsi="宋体" w:cs="宋体"/>
                <w:spacing w:val="-6"/>
                <w:szCs w:val="21"/>
              </w:rPr>
              <w:t>用地（用海）</w:t>
            </w:r>
          </w:p>
          <w:p w14:paraId="42C01853">
            <w:pPr>
              <w:adjustRightInd w:val="0"/>
              <w:snapToGrid w:val="0"/>
              <w:jc w:val="center"/>
              <w:rPr>
                <w:rFonts w:hint="eastAsia" w:ascii="宋体" w:hAnsi="宋体" w:cs="宋体"/>
                <w:szCs w:val="21"/>
              </w:rPr>
            </w:pPr>
            <w:r>
              <w:rPr>
                <w:rFonts w:hint="eastAsia" w:ascii="宋体" w:hAnsi="宋体" w:cs="宋体"/>
                <w:spacing w:val="-6"/>
                <w:szCs w:val="21"/>
              </w:rPr>
              <w:t>面积（</w:t>
            </w:r>
            <w:r>
              <w:rPr>
                <w:rFonts w:ascii="宋体" w:hAnsi="宋体" w:cs="宋体"/>
                <w:spacing w:val="-6"/>
                <w:szCs w:val="21"/>
              </w:rPr>
              <w:t>m</w:t>
            </w:r>
            <w:r>
              <w:rPr>
                <w:rFonts w:ascii="宋体" w:hAnsi="宋体" w:cs="宋体"/>
                <w:spacing w:val="-6"/>
                <w:szCs w:val="21"/>
                <w:vertAlign w:val="superscript"/>
              </w:rPr>
              <w:t>2</w:t>
            </w:r>
            <w:r>
              <w:rPr>
                <w:rFonts w:hint="eastAsia" w:ascii="宋体" w:hAnsi="宋体" w:cs="宋体"/>
                <w:spacing w:val="-6"/>
                <w:szCs w:val="21"/>
              </w:rPr>
              <w:t>）</w:t>
            </w:r>
          </w:p>
        </w:tc>
        <w:tc>
          <w:tcPr>
            <w:tcW w:w="2639" w:type="dxa"/>
            <w:tcBorders>
              <w:tl2br w:val="nil"/>
              <w:tr2bl w:val="nil"/>
            </w:tcBorders>
            <w:noWrap w:val="0"/>
            <w:vAlign w:val="center"/>
          </w:tcPr>
          <w:p w14:paraId="21DCB479">
            <w:pPr>
              <w:adjustRightInd w:val="0"/>
              <w:snapToGrid w:val="0"/>
              <w:jc w:val="center"/>
              <w:rPr>
                <w:rFonts w:hint="default" w:ascii="宋体" w:hAnsi="宋体" w:eastAsia="宋体" w:cs="宋体"/>
                <w:szCs w:val="21"/>
                <w:lang w:val="en-US" w:eastAsia="zh-CN"/>
              </w:rPr>
            </w:pPr>
            <w:r>
              <w:rPr>
                <w:rFonts w:hint="eastAsia" w:ascii="宋体" w:hAnsi="宋体" w:eastAsia="宋体" w:cs="宋体"/>
                <w:szCs w:val="21"/>
                <w:lang w:val="en-US" w:eastAsia="zh-CN"/>
              </w:rPr>
              <w:t>119032.84</w:t>
            </w:r>
          </w:p>
        </w:tc>
      </w:tr>
      <w:tr w14:paraId="4E4CFE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382" w:type="dxa"/>
            <w:tcBorders>
              <w:tl2br w:val="nil"/>
              <w:tr2bl w:val="nil"/>
            </w:tcBorders>
            <w:noWrap w:val="0"/>
            <w:vAlign w:val="center"/>
          </w:tcPr>
          <w:p w14:paraId="58BAC25E">
            <w:pPr>
              <w:autoSpaceDE w:val="0"/>
              <w:autoSpaceDN w:val="0"/>
              <w:adjustRightInd w:val="0"/>
              <w:snapToGrid w:val="0"/>
              <w:jc w:val="center"/>
              <w:rPr>
                <w:rFonts w:ascii="宋体" w:hAnsi="宋体" w:cs="宋体"/>
                <w:kern w:val="0"/>
                <w:szCs w:val="21"/>
              </w:rPr>
            </w:pPr>
            <w:r>
              <w:rPr>
                <w:rFonts w:hint="eastAsia" w:ascii="宋体" w:hAnsi="宋体" w:cs="宋体"/>
                <w:kern w:val="0"/>
                <w:szCs w:val="21"/>
              </w:rPr>
              <w:t>专项评价设置情况</w:t>
            </w:r>
          </w:p>
        </w:tc>
        <w:tc>
          <w:tcPr>
            <w:tcW w:w="6488" w:type="dxa"/>
            <w:gridSpan w:val="3"/>
            <w:tcBorders>
              <w:tl2br w:val="nil"/>
              <w:tr2bl w:val="nil"/>
            </w:tcBorders>
            <w:noWrap w:val="0"/>
            <w:vAlign w:val="center"/>
          </w:tcPr>
          <w:p w14:paraId="734E5835">
            <w:pPr>
              <w:autoSpaceDE w:val="0"/>
              <w:autoSpaceDN w:val="0"/>
              <w:adjustRightInd w:val="0"/>
              <w:snapToGrid w:val="0"/>
              <w:jc w:val="center"/>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无</w:t>
            </w:r>
          </w:p>
        </w:tc>
      </w:tr>
      <w:tr w14:paraId="3AB07D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382" w:type="dxa"/>
            <w:tcBorders>
              <w:tl2br w:val="nil"/>
              <w:tr2bl w:val="nil"/>
            </w:tcBorders>
            <w:noWrap w:val="0"/>
            <w:vAlign w:val="center"/>
          </w:tcPr>
          <w:p w14:paraId="64364970">
            <w:pPr>
              <w:autoSpaceDE w:val="0"/>
              <w:autoSpaceDN w:val="0"/>
              <w:adjustRightInd w:val="0"/>
              <w:snapToGrid w:val="0"/>
              <w:jc w:val="center"/>
              <w:rPr>
                <w:rFonts w:hint="eastAsia" w:ascii="宋体" w:hAnsi="宋体" w:cs="宋体"/>
                <w:kern w:val="0"/>
                <w:szCs w:val="21"/>
              </w:rPr>
            </w:pPr>
            <w:r>
              <w:rPr>
                <w:rFonts w:hint="eastAsia" w:ascii="宋体" w:hAnsi="宋体" w:cs="宋体"/>
                <w:szCs w:val="21"/>
              </w:rPr>
              <w:t>规划情况</w:t>
            </w:r>
          </w:p>
        </w:tc>
        <w:tc>
          <w:tcPr>
            <w:tcW w:w="6488" w:type="dxa"/>
            <w:gridSpan w:val="3"/>
            <w:tcBorders>
              <w:tl2br w:val="nil"/>
              <w:tr2bl w:val="nil"/>
            </w:tcBorders>
            <w:noWrap w:val="0"/>
            <w:vAlign w:val="center"/>
          </w:tcPr>
          <w:p w14:paraId="4A07C9B8">
            <w:pPr>
              <w:autoSpaceDE w:val="0"/>
              <w:autoSpaceDN w:val="0"/>
              <w:adjustRightInd w:val="0"/>
              <w:snapToGrid w:val="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名称：《库尔勒市恰尔巴格乡等4个乡镇国土空间总体规划2021-2035》</w:t>
            </w:r>
          </w:p>
          <w:p w14:paraId="1FCA020E">
            <w:pPr>
              <w:autoSpaceDE w:val="0"/>
              <w:autoSpaceDN w:val="0"/>
              <w:adjustRightInd w:val="0"/>
              <w:snapToGrid w:val="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审批机关：巴州人民政府</w:t>
            </w:r>
          </w:p>
          <w:p w14:paraId="58410DEA">
            <w:pPr>
              <w:autoSpaceDE w:val="0"/>
              <w:autoSpaceDN w:val="0"/>
              <w:adjustRightInd w:val="0"/>
              <w:snapToGrid w:val="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审批文号：</w:t>
            </w:r>
            <w:r>
              <w:rPr>
                <w:rFonts w:hint="eastAsia" w:ascii="Times New Roman" w:hAnsi="Times New Roman" w:eastAsia="宋体" w:cs="Times New Roman"/>
                <w:color w:val="000000"/>
                <w:kern w:val="0"/>
                <w:sz w:val="24"/>
                <w:szCs w:val="24"/>
                <w:highlight w:val="none"/>
                <w:lang w:val="en-US" w:eastAsia="zh-CN"/>
              </w:rPr>
              <w:t>〔2025〕134号</w:t>
            </w:r>
            <w:r>
              <w:rPr>
                <w:rFonts w:hint="eastAsia" w:ascii="Times New Roman" w:hAnsi="Times New Roman" w:eastAsia="宋体" w:cs="Times New Roman"/>
                <w:color w:val="000000"/>
                <w:kern w:val="0"/>
                <w:sz w:val="24"/>
                <w:szCs w:val="24"/>
                <w:lang w:val="en-US" w:eastAsia="zh-CN"/>
              </w:rPr>
              <w:t>）</w:t>
            </w:r>
          </w:p>
          <w:p w14:paraId="0B363923">
            <w:pPr>
              <w:autoSpaceDE w:val="0"/>
              <w:autoSpaceDN w:val="0"/>
              <w:adjustRightInd w:val="0"/>
              <w:snapToGrid w:val="0"/>
              <w:jc w:val="both"/>
              <w:rPr>
                <w:rFonts w:hint="default" w:ascii="宋体" w:hAnsi="宋体" w:cs="宋体"/>
                <w:kern w:val="0"/>
                <w:sz w:val="24"/>
                <w:szCs w:val="24"/>
                <w:lang w:val="en-US" w:eastAsia="zh-CN"/>
              </w:rPr>
            </w:pPr>
            <w:r>
              <w:rPr>
                <w:rFonts w:hint="eastAsia" w:ascii="宋体" w:hAnsi="宋体" w:cs="宋体"/>
                <w:kern w:val="0"/>
                <w:sz w:val="24"/>
                <w:szCs w:val="24"/>
                <w:lang w:val="en-US" w:eastAsia="zh-CN"/>
              </w:rPr>
              <w:t>发布日期：2025年7月2日</w:t>
            </w:r>
          </w:p>
        </w:tc>
      </w:tr>
      <w:tr w14:paraId="516F82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382" w:type="dxa"/>
            <w:tcBorders>
              <w:tl2br w:val="nil"/>
              <w:tr2bl w:val="nil"/>
            </w:tcBorders>
            <w:noWrap w:val="0"/>
            <w:vAlign w:val="center"/>
          </w:tcPr>
          <w:p w14:paraId="623FF54E">
            <w:pPr>
              <w:adjustRightInd w:val="0"/>
              <w:snapToGrid w:val="0"/>
              <w:jc w:val="center"/>
              <w:rPr>
                <w:rFonts w:ascii="宋体" w:hAnsi="宋体" w:cs="宋体"/>
                <w:szCs w:val="21"/>
              </w:rPr>
            </w:pPr>
            <w:r>
              <w:rPr>
                <w:rFonts w:hint="eastAsia" w:ascii="宋体" w:hAnsi="宋体" w:cs="宋体"/>
                <w:szCs w:val="21"/>
              </w:rPr>
              <w:t>规划环境影响</w:t>
            </w:r>
          </w:p>
          <w:p w14:paraId="564520AD">
            <w:pPr>
              <w:adjustRightInd w:val="0"/>
              <w:snapToGrid w:val="0"/>
              <w:jc w:val="center"/>
              <w:rPr>
                <w:rFonts w:hint="eastAsia" w:ascii="宋体" w:hAnsi="宋体" w:cs="宋体"/>
                <w:kern w:val="0"/>
                <w:szCs w:val="21"/>
              </w:rPr>
            </w:pPr>
            <w:r>
              <w:rPr>
                <w:rFonts w:hint="eastAsia" w:ascii="宋体" w:hAnsi="宋体" w:cs="宋体"/>
                <w:szCs w:val="21"/>
              </w:rPr>
              <w:t>评价情况</w:t>
            </w:r>
          </w:p>
        </w:tc>
        <w:tc>
          <w:tcPr>
            <w:tcW w:w="6488" w:type="dxa"/>
            <w:gridSpan w:val="3"/>
            <w:tcBorders>
              <w:tl2br w:val="nil"/>
              <w:tr2bl w:val="nil"/>
            </w:tcBorders>
            <w:noWrap w:val="0"/>
            <w:vAlign w:val="center"/>
          </w:tcPr>
          <w:p w14:paraId="0D454955">
            <w:pPr>
              <w:autoSpaceDE w:val="0"/>
              <w:autoSpaceDN w:val="0"/>
              <w:adjustRightInd w:val="0"/>
              <w:snapToGrid w:val="0"/>
              <w:jc w:val="center"/>
              <w:rPr>
                <w:rFonts w:ascii="宋体" w:hAnsi="宋体" w:cs="宋体"/>
                <w:kern w:val="0"/>
                <w:sz w:val="24"/>
                <w:szCs w:val="24"/>
              </w:rPr>
            </w:pPr>
            <w:r>
              <w:rPr>
                <w:rFonts w:hint="eastAsia" w:ascii="宋体" w:hAnsi="宋体" w:cs="宋体"/>
                <w:kern w:val="0"/>
                <w:sz w:val="24"/>
                <w:szCs w:val="24"/>
                <w:lang w:val="en-US" w:eastAsia="zh-CN"/>
              </w:rPr>
              <w:t>无</w:t>
            </w:r>
          </w:p>
        </w:tc>
      </w:tr>
      <w:tr w14:paraId="20EC1B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382" w:type="dxa"/>
            <w:tcBorders>
              <w:tl2br w:val="nil"/>
              <w:tr2bl w:val="nil"/>
            </w:tcBorders>
            <w:noWrap w:val="0"/>
            <w:vAlign w:val="center"/>
          </w:tcPr>
          <w:p w14:paraId="59B53B1F">
            <w:pPr>
              <w:autoSpaceDE w:val="0"/>
              <w:autoSpaceDN w:val="0"/>
              <w:adjustRightInd w:val="0"/>
              <w:snapToGrid w:val="0"/>
              <w:jc w:val="center"/>
              <w:rPr>
                <w:rFonts w:hint="eastAsia" w:ascii="宋体" w:hAnsi="宋体" w:cs="宋体"/>
                <w:kern w:val="0"/>
                <w:szCs w:val="21"/>
              </w:rPr>
            </w:pPr>
            <w:r>
              <w:rPr>
                <w:rFonts w:hint="eastAsia" w:ascii="宋体" w:hAnsi="宋体" w:cs="宋体"/>
                <w:kern w:val="0"/>
                <w:szCs w:val="21"/>
              </w:rPr>
              <w:t>规划及规划环境</w:t>
            </w:r>
          </w:p>
          <w:p w14:paraId="43F4AD40">
            <w:pPr>
              <w:autoSpaceDE w:val="0"/>
              <w:autoSpaceDN w:val="0"/>
              <w:adjustRightInd w:val="0"/>
              <w:snapToGrid w:val="0"/>
              <w:jc w:val="center"/>
              <w:rPr>
                <w:rFonts w:ascii="宋体" w:hAnsi="宋体" w:cs="宋体"/>
                <w:kern w:val="0"/>
                <w:szCs w:val="21"/>
              </w:rPr>
            </w:pPr>
            <w:r>
              <w:rPr>
                <w:rFonts w:hint="eastAsia" w:ascii="宋体" w:hAnsi="宋体" w:cs="宋体"/>
                <w:kern w:val="0"/>
                <w:szCs w:val="21"/>
              </w:rPr>
              <w:t>影响评价符合性分析</w:t>
            </w:r>
          </w:p>
        </w:tc>
        <w:tc>
          <w:tcPr>
            <w:tcW w:w="6488" w:type="dxa"/>
            <w:gridSpan w:val="3"/>
            <w:tcBorders>
              <w:tl2br w:val="nil"/>
              <w:tr2bl w:val="nil"/>
            </w:tcBorders>
            <w:noWrap w:val="0"/>
            <w:vAlign w:val="center"/>
          </w:tcPr>
          <w:p w14:paraId="2A5D58AF">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both"/>
              <w:textAlignment w:val="auto"/>
              <w:rPr>
                <w:rFonts w:hint="eastAsia"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b/>
                <w:bCs/>
                <w:color w:val="000000"/>
                <w:sz w:val="24"/>
                <w:szCs w:val="24"/>
                <w:highlight w:val="none"/>
                <w:lang w:val="en-US" w:eastAsia="zh-CN"/>
              </w:rPr>
              <w:t>与规划符合性分析</w:t>
            </w:r>
          </w:p>
          <w:p w14:paraId="2CE21C48">
            <w:pPr>
              <w:numPr>
                <w:ilvl w:val="0"/>
                <w:numId w:val="0"/>
              </w:numPr>
              <w:rPr>
                <w:rFonts w:hint="eastAsia"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b/>
                <w:bCs/>
                <w:color w:val="000000"/>
                <w:kern w:val="2"/>
                <w:sz w:val="24"/>
                <w:szCs w:val="24"/>
                <w:lang w:val="en-US" w:eastAsia="zh-CN" w:bidi="ar-SA"/>
              </w:rPr>
              <w:t>1.</w:t>
            </w:r>
            <w:r>
              <w:rPr>
                <w:rFonts w:hint="eastAsia" w:ascii="Times New Roman" w:hAnsi="Times New Roman" w:eastAsia="宋体" w:cs="Times New Roman"/>
                <w:b/>
                <w:bCs/>
                <w:color w:val="000000"/>
                <w:sz w:val="24"/>
                <w:szCs w:val="24"/>
                <w:highlight w:val="none"/>
                <w:lang w:val="en-US" w:eastAsia="zh-CN"/>
              </w:rPr>
              <w:t>用地布局符合性</w:t>
            </w:r>
          </w:p>
          <w:p w14:paraId="64460F4D">
            <w:pPr>
              <w:autoSpaceDE w:val="0"/>
              <w:autoSpaceDN w:val="0"/>
              <w:adjustRightInd w:val="0"/>
              <w:snapToGrid w:val="0"/>
              <w:spacing w:line="360" w:lineRule="auto"/>
              <w:ind w:firstLine="480" w:firstLineChars="200"/>
              <w:jc w:val="both"/>
              <w:rPr>
                <w:rFonts w:hint="default" w:ascii="Times New Roman" w:hAnsi="Times New Roman" w:eastAsia="宋体" w:cs="Times New Roman"/>
                <w:b w:val="0"/>
                <w:bCs w:val="0"/>
                <w:color w:val="000000"/>
                <w:sz w:val="24"/>
                <w:szCs w:val="24"/>
                <w:highlight w:val="none"/>
                <w:lang w:val="en-US" w:eastAsia="zh-CN"/>
              </w:rPr>
            </w:pPr>
            <w:r>
              <w:rPr>
                <w:rFonts w:hint="default" w:ascii="Times New Roman" w:hAnsi="Times New Roman" w:eastAsia="宋体" w:cs="Times New Roman"/>
                <w:b w:val="0"/>
                <w:bCs w:val="0"/>
                <w:color w:val="000000"/>
                <w:sz w:val="24"/>
                <w:szCs w:val="24"/>
                <w:highlight w:val="none"/>
                <w:lang w:val="en-US" w:eastAsia="zh-CN"/>
              </w:rPr>
              <w:t>本项目为煤炭存储、集运项目，选址位于库尔勒市塔什店镇规划物流仓储产业片区，用地性质符合规划确定的仓储物流主导功能；项目不在永久基本农田、生态保护红线管控范围内，未突破城镇开发边界，符合全域 “三区三线”刚性管控要求。依据巴音郭楞蒙古自治州人民政府《关于对库尔勒市恰尔巴格乡等4个乡镇国土空间总体规划（2021—2035 年）》（巴政函〔2025〕134 号）批复要求，辖区合理布局仓储、物流类产业用地，本项目属于规划鼓励配套建设的煤炭中转储运设施，用地选址合规。</w:t>
            </w:r>
          </w:p>
          <w:p w14:paraId="7AB7B44A">
            <w:pPr>
              <w:numPr>
                <w:ilvl w:val="0"/>
                <w:numId w:val="0"/>
              </w:numPr>
              <w:rPr>
                <w:rFonts w:hint="eastAsia" w:ascii="Times New Roman" w:hAnsi="Times New Roman" w:eastAsia="宋体" w:cs="Times New Roman"/>
                <w:b/>
                <w:bCs/>
                <w:color w:val="000000"/>
                <w:kern w:val="2"/>
                <w:sz w:val="24"/>
                <w:szCs w:val="24"/>
                <w:lang w:val="en-US" w:eastAsia="zh-CN" w:bidi="ar-SA"/>
              </w:rPr>
            </w:pPr>
            <w:r>
              <w:rPr>
                <w:rFonts w:hint="eastAsia" w:ascii="Times New Roman" w:hAnsi="Times New Roman" w:eastAsia="宋体" w:cs="Times New Roman"/>
                <w:b/>
                <w:bCs/>
                <w:color w:val="000000"/>
                <w:kern w:val="2"/>
                <w:sz w:val="24"/>
                <w:szCs w:val="24"/>
                <w:lang w:val="en-US" w:eastAsia="zh-CN" w:bidi="ar-SA"/>
              </w:rPr>
              <w:t>2.污染防治管控符合性</w:t>
            </w:r>
          </w:p>
          <w:p w14:paraId="01B2CC6B">
            <w:pPr>
              <w:autoSpaceDE w:val="0"/>
              <w:autoSpaceDN w:val="0"/>
              <w:adjustRightInd w:val="0"/>
              <w:snapToGrid w:val="0"/>
              <w:spacing w:line="360" w:lineRule="auto"/>
              <w:ind w:firstLine="480" w:firstLineChars="200"/>
              <w:jc w:val="both"/>
              <w:rPr>
                <w:rFonts w:hint="default"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根据</w:t>
            </w:r>
            <w:r>
              <w:rPr>
                <w:rFonts w:hint="default" w:ascii="Times New Roman" w:hAnsi="Times New Roman" w:eastAsia="宋体" w:cs="Times New Roman"/>
                <w:b w:val="0"/>
                <w:bCs w:val="0"/>
                <w:color w:val="000000"/>
                <w:sz w:val="24"/>
                <w:szCs w:val="24"/>
                <w:highlight w:val="none"/>
                <w:lang w:val="en-US" w:eastAsia="zh-CN"/>
              </w:rPr>
              <w:t>《关于对库尔勒市恰尔巴格乡等4个乡镇国土空间总体规划（2021—2035 年）》</w:t>
            </w:r>
            <w:r>
              <w:rPr>
                <w:rFonts w:hint="eastAsia" w:ascii="Times New Roman" w:hAnsi="Times New Roman" w:eastAsia="宋体" w:cs="Times New Roman"/>
                <w:b w:val="0"/>
                <w:bCs w:val="0"/>
                <w:color w:val="000000"/>
                <w:sz w:val="24"/>
                <w:szCs w:val="24"/>
                <w:highlight w:val="none"/>
                <w:lang w:val="en-US" w:eastAsia="zh-CN"/>
              </w:rPr>
              <w:t>中“</w:t>
            </w:r>
            <w:r>
              <w:rPr>
                <w:rFonts w:hint="default" w:ascii="Times New Roman" w:hAnsi="Times New Roman" w:eastAsia="宋体" w:cs="Times New Roman"/>
                <w:b w:val="0"/>
                <w:bCs w:val="0"/>
                <w:color w:val="000000"/>
                <w:sz w:val="24"/>
                <w:szCs w:val="24"/>
                <w:highlight w:val="none"/>
                <w:lang w:val="en-US" w:eastAsia="zh-CN"/>
              </w:rPr>
              <w:t>散货、煤炭仓储项目须配套全封闭料棚、硬化道路、喷淋抑尘、车辆冲洗、防渗沉淀池，强化无组织扬尘、废水渗漏风险管控</w:t>
            </w:r>
            <w:r>
              <w:rPr>
                <w:rFonts w:hint="eastAsia" w:ascii="Times New Roman" w:hAnsi="Times New Roman" w:eastAsia="宋体" w:cs="Times New Roman"/>
                <w:b w:val="0"/>
                <w:bCs w:val="0"/>
                <w:color w:val="000000"/>
                <w:sz w:val="24"/>
                <w:szCs w:val="24"/>
                <w:highlight w:val="none"/>
                <w:lang w:val="en-US" w:eastAsia="zh-CN"/>
              </w:rPr>
              <w:t>”，本项目</w:t>
            </w:r>
            <w:r>
              <w:rPr>
                <w:rFonts w:hint="default" w:ascii="Times New Roman" w:hAnsi="Times New Roman" w:eastAsia="宋体" w:cs="Times New Roman"/>
                <w:b w:val="0"/>
                <w:bCs w:val="0"/>
                <w:color w:val="000000"/>
                <w:sz w:val="24"/>
                <w:szCs w:val="24"/>
                <w:highlight w:val="none"/>
                <w:lang w:val="en-US" w:eastAsia="zh-CN"/>
              </w:rPr>
              <w:t>煤炭堆存设置全封闭钢结构煤棚</w:t>
            </w:r>
            <w:r>
              <w:rPr>
                <w:rFonts w:hint="eastAsia" w:ascii="Times New Roman" w:hAnsi="Times New Roman" w:eastAsia="宋体" w:cs="Times New Roman"/>
                <w:b w:val="0"/>
                <w:bCs w:val="0"/>
                <w:color w:val="000000"/>
                <w:sz w:val="24"/>
                <w:szCs w:val="24"/>
                <w:highlight w:val="none"/>
                <w:lang w:val="en-US" w:eastAsia="zh-CN"/>
              </w:rPr>
              <w:t>；</w:t>
            </w:r>
            <w:r>
              <w:rPr>
                <w:rFonts w:hint="default" w:ascii="Times New Roman" w:hAnsi="Times New Roman" w:eastAsia="宋体" w:cs="Times New Roman"/>
                <w:b w:val="0"/>
                <w:bCs w:val="0"/>
                <w:color w:val="000000"/>
                <w:sz w:val="24"/>
                <w:szCs w:val="24"/>
                <w:highlight w:val="none"/>
                <w:lang w:val="en-US" w:eastAsia="zh-CN"/>
              </w:rPr>
              <w:t>厂区全部道路混凝土硬化</w:t>
            </w:r>
            <w:r>
              <w:rPr>
                <w:rFonts w:hint="eastAsia" w:ascii="Times New Roman" w:hAnsi="Times New Roman" w:eastAsia="宋体" w:cs="Times New Roman"/>
                <w:b w:val="0"/>
                <w:bCs w:val="0"/>
                <w:color w:val="000000"/>
                <w:sz w:val="24"/>
                <w:szCs w:val="24"/>
                <w:highlight w:val="none"/>
                <w:lang w:val="en-US" w:eastAsia="zh-CN"/>
              </w:rPr>
              <w:t>；</w:t>
            </w:r>
            <w:r>
              <w:rPr>
                <w:rFonts w:hint="default" w:ascii="Times New Roman" w:hAnsi="Times New Roman" w:eastAsia="宋体" w:cs="Times New Roman"/>
                <w:b w:val="0"/>
                <w:bCs w:val="0"/>
                <w:color w:val="000000"/>
                <w:sz w:val="24"/>
                <w:szCs w:val="24"/>
                <w:highlight w:val="none"/>
                <w:lang w:val="en-US" w:eastAsia="zh-CN"/>
              </w:rPr>
              <w:t>配套雾炮喷淋抑尘系统</w:t>
            </w:r>
            <w:r>
              <w:rPr>
                <w:rFonts w:hint="eastAsia" w:ascii="Times New Roman" w:hAnsi="Times New Roman" w:eastAsia="宋体" w:cs="Times New Roman"/>
                <w:b w:val="0"/>
                <w:bCs w:val="0"/>
                <w:color w:val="000000"/>
                <w:sz w:val="24"/>
                <w:szCs w:val="24"/>
                <w:highlight w:val="none"/>
                <w:lang w:val="en-US" w:eastAsia="zh-CN"/>
              </w:rPr>
              <w:t>；</w:t>
            </w:r>
            <w:r>
              <w:rPr>
                <w:rFonts w:hint="default" w:ascii="Times New Roman" w:hAnsi="Times New Roman" w:eastAsia="宋体" w:cs="Times New Roman"/>
                <w:b w:val="0"/>
                <w:bCs w:val="0"/>
                <w:color w:val="000000"/>
                <w:sz w:val="24"/>
                <w:szCs w:val="24"/>
                <w:highlight w:val="none"/>
                <w:lang w:val="en-US" w:eastAsia="zh-CN"/>
              </w:rPr>
              <w:t>出入口建设车辆高压冲洗平台，配套 5m³ 防渗钢筋混凝土沉淀池，洗车废水闭路循环回用</w:t>
            </w:r>
            <w:r>
              <w:rPr>
                <w:rFonts w:hint="eastAsia" w:ascii="Times New Roman" w:hAnsi="Times New Roman" w:eastAsia="宋体" w:cs="Times New Roman"/>
                <w:b w:val="0"/>
                <w:bCs w:val="0"/>
                <w:color w:val="000000"/>
                <w:sz w:val="24"/>
                <w:szCs w:val="24"/>
                <w:highlight w:val="none"/>
                <w:lang w:val="en-US" w:eastAsia="zh-CN"/>
              </w:rPr>
              <w:t>；</w:t>
            </w:r>
            <w:r>
              <w:rPr>
                <w:rFonts w:hint="default" w:ascii="Times New Roman" w:hAnsi="Times New Roman" w:eastAsia="宋体" w:cs="Times New Roman"/>
                <w:b w:val="0"/>
                <w:bCs w:val="0"/>
                <w:color w:val="000000"/>
                <w:sz w:val="24"/>
                <w:szCs w:val="24"/>
                <w:highlight w:val="none"/>
                <w:lang w:val="en-US" w:eastAsia="zh-CN"/>
              </w:rPr>
              <w:t>沉淀池设置防渗围堰、应急抽排设施，定期清掏煤泥并全部掺配原煤回用，杜绝渗滤液、污泥二次污染。项目扬尘、废水防控措施完全匹配乡镇国土空间规划环保管控条款。</w:t>
            </w:r>
          </w:p>
          <w:p w14:paraId="54F1272B">
            <w:pPr>
              <w:numPr>
                <w:ilvl w:val="0"/>
                <w:numId w:val="0"/>
              </w:numPr>
              <w:rPr>
                <w:rFonts w:hint="eastAsia" w:ascii="Times New Roman" w:hAnsi="Times New Roman" w:eastAsia="宋体" w:cs="Times New Roman"/>
                <w:b/>
                <w:bCs/>
                <w:color w:val="000000"/>
                <w:kern w:val="2"/>
                <w:sz w:val="24"/>
                <w:szCs w:val="24"/>
                <w:lang w:val="en-US" w:eastAsia="zh-CN" w:bidi="ar-SA"/>
              </w:rPr>
            </w:pPr>
            <w:r>
              <w:rPr>
                <w:rFonts w:hint="eastAsia" w:ascii="Times New Roman" w:hAnsi="Times New Roman" w:eastAsia="宋体" w:cs="Times New Roman"/>
                <w:b/>
                <w:bCs/>
                <w:color w:val="000000"/>
                <w:kern w:val="2"/>
                <w:sz w:val="24"/>
                <w:szCs w:val="24"/>
                <w:lang w:val="en-US" w:eastAsia="zh-CN" w:bidi="ar-SA"/>
              </w:rPr>
              <w:t>3.规划环境影响评价符合性分析</w:t>
            </w:r>
          </w:p>
          <w:p w14:paraId="6D4686C5">
            <w:pPr>
              <w:autoSpaceDE w:val="0"/>
              <w:autoSpaceDN w:val="0"/>
              <w:adjustRightInd w:val="0"/>
              <w:snapToGrid w:val="0"/>
              <w:spacing w:line="360" w:lineRule="auto"/>
              <w:ind w:firstLine="480" w:firstLineChars="200"/>
              <w:jc w:val="both"/>
              <w:rPr>
                <w:rFonts w:hint="eastAsia"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（1）大气污染防控符合性</w:t>
            </w:r>
          </w:p>
          <w:p w14:paraId="2530CB81">
            <w:pPr>
              <w:autoSpaceDE w:val="0"/>
              <w:autoSpaceDN w:val="0"/>
              <w:adjustRightInd w:val="0"/>
              <w:snapToGrid w:val="0"/>
              <w:spacing w:line="360" w:lineRule="auto"/>
              <w:ind w:firstLine="480" w:firstLineChars="200"/>
              <w:jc w:val="both"/>
              <w:rPr>
                <w:rFonts w:hint="eastAsia"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规划环评要求煤炭堆场必须全封闭，厂区配套洒水、车辆冲洗、篷布密闭多重抑尘措施。本项目煤棚全封闭、厂区常态化洒水清扫、运煤车辆全覆盖篷布、出厂轮胎冲洗，综合抑尘去除效率90%，大幅削减无组织运输扬尘，满足规划大气污染防控对策。</w:t>
            </w:r>
          </w:p>
          <w:p w14:paraId="10B5F517">
            <w:pPr>
              <w:numPr>
                <w:ilvl w:val="0"/>
                <w:numId w:val="0"/>
              </w:numPr>
              <w:autoSpaceDE w:val="0"/>
              <w:autoSpaceDN w:val="0"/>
              <w:adjustRightInd w:val="0"/>
              <w:snapToGrid w:val="0"/>
              <w:spacing w:line="360" w:lineRule="auto"/>
              <w:ind w:firstLine="480" w:firstLineChars="200"/>
              <w:jc w:val="both"/>
              <w:rPr>
                <w:rFonts w:hint="eastAsia"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kern w:val="2"/>
                <w:sz w:val="24"/>
                <w:szCs w:val="24"/>
                <w:lang w:val="en-US" w:eastAsia="zh-CN" w:bidi="ar-SA"/>
              </w:rPr>
              <w:t>（2）</w:t>
            </w:r>
            <w:r>
              <w:rPr>
                <w:rFonts w:hint="eastAsia" w:ascii="Times New Roman" w:hAnsi="Times New Roman" w:eastAsia="宋体" w:cs="Times New Roman"/>
                <w:b w:val="0"/>
                <w:bCs w:val="0"/>
                <w:color w:val="000000"/>
                <w:sz w:val="24"/>
                <w:szCs w:val="24"/>
                <w:highlight w:val="none"/>
                <w:lang w:val="en-US" w:eastAsia="zh-CN"/>
              </w:rPr>
              <w:t>水污染及地下水防控符合性</w:t>
            </w:r>
          </w:p>
          <w:p w14:paraId="6A5FB69E">
            <w:pPr>
              <w:numPr>
                <w:ilvl w:val="0"/>
                <w:numId w:val="0"/>
              </w:numPr>
              <w:autoSpaceDE w:val="0"/>
              <w:autoSpaceDN w:val="0"/>
              <w:adjustRightInd w:val="0"/>
              <w:snapToGrid w:val="0"/>
              <w:spacing w:line="360" w:lineRule="auto"/>
              <w:ind w:firstLine="480" w:firstLineChars="200"/>
              <w:jc w:val="both"/>
              <w:rPr>
                <w:rFonts w:hint="eastAsia"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规划提出物流冲洗废水不得外排，沉淀池需采取防渗、溢流截留、污泥规范化处置措施。本项目沉淀池采用混凝土+防渗涂层双重防渗，设置应急围堰，洗车废水100%循环回用，无生产废水外排；生活污水经化粪池预处理后定期清运至园区污水处理厂，杜绝地下水、土壤污染风险，符合规划水环境管控要求。</w:t>
            </w:r>
          </w:p>
          <w:p w14:paraId="5B33553F">
            <w:pPr>
              <w:numPr>
                <w:ilvl w:val="0"/>
                <w:numId w:val="0"/>
              </w:numPr>
              <w:autoSpaceDE w:val="0"/>
              <w:autoSpaceDN w:val="0"/>
              <w:adjustRightInd w:val="0"/>
              <w:snapToGrid w:val="0"/>
              <w:spacing w:line="360" w:lineRule="auto"/>
              <w:ind w:firstLine="480" w:firstLineChars="200"/>
              <w:jc w:val="both"/>
              <w:rPr>
                <w:rFonts w:hint="eastAsia"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kern w:val="2"/>
                <w:sz w:val="24"/>
                <w:szCs w:val="24"/>
                <w:lang w:val="en-US" w:eastAsia="zh-CN" w:bidi="ar-SA"/>
              </w:rPr>
              <w:t>（3）</w:t>
            </w:r>
            <w:r>
              <w:rPr>
                <w:rFonts w:hint="eastAsia" w:ascii="Times New Roman" w:hAnsi="Times New Roman" w:eastAsia="宋体" w:cs="Times New Roman"/>
                <w:b w:val="0"/>
                <w:bCs w:val="0"/>
                <w:color w:val="000000"/>
                <w:sz w:val="24"/>
                <w:szCs w:val="24"/>
                <w:highlight w:val="none"/>
                <w:lang w:val="en-US" w:eastAsia="zh-CN"/>
              </w:rPr>
              <w:t>环境风险防控符合性</w:t>
            </w:r>
          </w:p>
          <w:p w14:paraId="5335E363">
            <w:pPr>
              <w:numPr>
                <w:ilvl w:val="0"/>
                <w:numId w:val="0"/>
              </w:numPr>
              <w:autoSpaceDE w:val="0"/>
              <w:autoSpaceDN w:val="0"/>
              <w:adjustRightInd w:val="0"/>
              <w:snapToGrid w:val="0"/>
              <w:spacing w:line="360" w:lineRule="auto"/>
              <w:ind w:firstLine="480" w:firstLineChars="200"/>
              <w:jc w:val="both"/>
              <w:rPr>
                <w:rFonts w:hint="eastAsia"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规划环评要求散货堆场配套废水泄漏、煤泥二次污染应急防控措施。本项目针对沉淀池防渗破损、暴雨溢流、污泥起尘等风险制定专项管控方案，储备抽水泵、防渗沙袋等应急物资，建立定期巡检、年度防渗检测制度，落实规划环境风险防控相关要求。</w:t>
            </w:r>
          </w:p>
          <w:p w14:paraId="49053C13">
            <w:pPr>
              <w:numPr>
                <w:ilvl w:val="0"/>
                <w:numId w:val="0"/>
              </w:numPr>
              <w:autoSpaceDE w:val="0"/>
              <w:autoSpaceDN w:val="0"/>
              <w:adjustRightInd w:val="0"/>
              <w:snapToGrid w:val="0"/>
              <w:spacing w:line="360" w:lineRule="auto"/>
              <w:ind w:firstLine="480" w:firstLineChars="200"/>
              <w:jc w:val="both"/>
              <w:rPr>
                <w:rFonts w:hint="eastAsia"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kern w:val="2"/>
                <w:sz w:val="24"/>
                <w:szCs w:val="24"/>
                <w:lang w:val="en-US" w:eastAsia="zh-CN" w:bidi="ar-SA"/>
              </w:rPr>
              <w:t>（4）</w:t>
            </w:r>
            <w:r>
              <w:rPr>
                <w:rFonts w:hint="eastAsia" w:ascii="Times New Roman" w:hAnsi="Times New Roman" w:eastAsia="宋体" w:cs="Times New Roman"/>
                <w:b w:val="0"/>
                <w:bCs w:val="0"/>
                <w:color w:val="000000"/>
                <w:sz w:val="24"/>
                <w:szCs w:val="24"/>
                <w:highlight w:val="none"/>
                <w:lang w:val="en-US" w:eastAsia="zh-CN"/>
              </w:rPr>
              <w:t>生态保护符合性</w:t>
            </w:r>
          </w:p>
          <w:p w14:paraId="1465BA96">
            <w:pPr>
              <w:numPr>
                <w:ilvl w:val="0"/>
                <w:numId w:val="0"/>
              </w:numPr>
              <w:autoSpaceDE w:val="0"/>
              <w:autoSpaceDN w:val="0"/>
              <w:adjustRightInd w:val="0"/>
              <w:snapToGrid w:val="0"/>
              <w:spacing w:line="360" w:lineRule="auto"/>
              <w:ind w:firstLine="480" w:firstLineChars="200"/>
              <w:jc w:val="both"/>
              <w:rPr>
                <w:rFonts w:hint="eastAsia" w:ascii="宋体" w:hAnsi="宋体" w:eastAsia="宋体" w:cs="宋体"/>
                <w:sz w:val="24"/>
                <w:szCs w:val="24"/>
                <w:lang w:val="en-US" w:eastAsia="zh-CN"/>
              </w:rPr>
            </w:pPr>
            <w:r>
              <w:rPr>
                <w:rFonts w:hint="eastAsia" w:ascii="Times New Roman" w:hAnsi="Times New Roman" w:eastAsia="宋体" w:cs="Times New Roman"/>
                <w:b w:val="0"/>
                <w:bCs w:val="0"/>
                <w:color w:val="000000"/>
                <w:sz w:val="24"/>
                <w:szCs w:val="24"/>
                <w:highlight w:val="none"/>
                <w:lang w:val="en-US" w:eastAsia="zh-CN"/>
              </w:rPr>
              <w:t>项目占地为规划工业物流用地，不占用林地、湿地、水域，远离博斯腾湖遗鸥等珍稀水鸟主要栖息繁殖区，施工及运营期无涉水、生态破坏行为，符合规划生态保护底线要求。</w:t>
            </w:r>
          </w:p>
        </w:tc>
      </w:tr>
      <w:tr w14:paraId="71F9CE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382" w:type="dxa"/>
            <w:tcBorders>
              <w:tl2br w:val="nil"/>
              <w:tr2bl w:val="nil"/>
            </w:tcBorders>
            <w:noWrap w:val="0"/>
            <w:vAlign w:val="center"/>
          </w:tcPr>
          <w:p w14:paraId="1A180D8F">
            <w:pPr>
              <w:autoSpaceDE w:val="0"/>
              <w:autoSpaceDN w:val="0"/>
              <w:adjustRightInd w:val="0"/>
              <w:snapToGrid w:val="0"/>
              <w:jc w:val="center"/>
              <w:rPr>
                <w:rFonts w:hint="eastAsia" w:ascii="宋体" w:hAnsi="宋体" w:cs="宋体"/>
                <w:kern w:val="0"/>
                <w:szCs w:val="21"/>
              </w:rPr>
            </w:pPr>
            <w:r>
              <w:rPr>
                <w:rFonts w:hint="eastAsia" w:ascii="宋体" w:hAnsi="宋体" w:cs="宋体"/>
                <w:kern w:val="0"/>
                <w:szCs w:val="21"/>
              </w:rPr>
              <w:t>其他符合性分析</w:t>
            </w:r>
          </w:p>
        </w:tc>
        <w:tc>
          <w:tcPr>
            <w:tcW w:w="6488" w:type="dxa"/>
            <w:gridSpan w:val="3"/>
            <w:tcBorders>
              <w:tl2br w:val="nil"/>
              <w:tr2bl w:val="nil"/>
            </w:tcBorders>
            <w:noWrap w:val="0"/>
            <w:vAlign w:val="center"/>
          </w:tcPr>
          <w:p w14:paraId="0F616105">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both"/>
              <w:textAlignment w:val="auto"/>
              <w:rPr>
                <w:rFonts w:hint="default"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b/>
                <w:bCs/>
                <w:color w:val="000000"/>
                <w:sz w:val="24"/>
                <w:szCs w:val="24"/>
                <w:highlight w:val="none"/>
                <w:lang w:val="en-US" w:eastAsia="zh-CN"/>
              </w:rPr>
              <w:t>1.</w:t>
            </w:r>
            <w:r>
              <w:rPr>
                <w:rFonts w:hint="default" w:ascii="Times New Roman" w:hAnsi="Times New Roman" w:eastAsia="宋体" w:cs="Times New Roman"/>
                <w:b/>
                <w:bCs/>
                <w:color w:val="000000"/>
                <w:sz w:val="24"/>
                <w:szCs w:val="24"/>
                <w:highlight w:val="none"/>
                <w:lang w:val="en-US" w:eastAsia="zh-CN"/>
              </w:rPr>
              <w:t>产业政策符合性</w:t>
            </w:r>
          </w:p>
          <w:p w14:paraId="1ABDF46C">
            <w:pPr>
              <w:autoSpaceDE w:val="0"/>
              <w:autoSpaceDN w:val="0"/>
              <w:adjustRightInd w:val="0"/>
              <w:snapToGrid w:val="0"/>
              <w:spacing w:line="360" w:lineRule="auto"/>
              <w:ind w:firstLine="480" w:firstLineChars="200"/>
              <w:jc w:val="both"/>
              <w:rPr>
                <w:rFonts w:hint="default" w:ascii="Times New Roman" w:hAnsi="Times New Roman" w:eastAsia="宋体" w:cs="Times New Roman"/>
                <w:b w:val="0"/>
                <w:bCs w:val="0"/>
                <w:color w:val="000000"/>
                <w:sz w:val="24"/>
                <w:szCs w:val="24"/>
                <w:highlight w:val="none"/>
                <w:lang w:eastAsia="zh-CN"/>
              </w:rPr>
            </w:pPr>
            <w:r>
              <w:rPr>
                <w:rFonts w:hint="default" w:ascii="Times New Roman" w:hAnsi="Times New Roman" w:eastAsia="宋体" w:cs="Times New Roman"/>
                <w:b w:val="0"/>
                <w:bCs w:val="0"/>
                <w:color w:val="000000"/>
                <w:sz w:val="24"/>
                <w:szCs w:val="24"/>
                <w:highlight w:val="none"/>
                <w:lang w:val="en-US" w:eastAsia="zh-CN"/>
              </w:rPr>
              <w:t>本项目规模、工艺、设备不属于《</w:t>
            </w:r>
            <w:r>
              <w:rPr>
                <w:rFonts w:hint="eastAsia" w:ascii="宋体" w:hAnsi="宋体" w:eastAsia="宋体" w:cs="宋体"/>
                <w:kern w:val="0"/>
                <w:sz w:val="24"/>
                <w:lang w:val="en-US" w:eastAsia="zh-CN"/>
              </w:rPr>
              <w:t>产业结构调整指导目录（20</w:t>
            </w:r>
            <w:r>
              <w:rPr>
                <w:rFonts w:hint="eastAsia" w:ascii="宋体" w:hAnsi="宋体" w:cs="宋体"/>
                <w:kern w:val="0"/>
                <w:sz w:val="24"/>
                <w:lang w:val="en-US" w:eastAsia="zh-CN"/>
              </w:rPr>
              <w:t>24</w:t>
            </w:r>
            <w:r>
              <w:rPr>
                <w:rFonts w:hint="eastAsia" w:ascii="宋体" w:hAnsi="宋体" w:eastAsia="宋体" w:cs="宋体"/>
                <w:kern w:val="0"/>
                <w:sz w:val="24"/>
                <w:lang w:val="en-US" w:eastAsia="zh-CN"/>
              </w:rPr>
              <w:t>年本）</w:t>
            </w:r>
            <w:r>
              <w:rPr>
                <w:rFonts w:hint="default" w:ascii="Times New Roman" w:hAnsi="Times New Roman" w:eastAsia="宋体" w:cs="Times New Roman"/>
                <w:b w:val="0"/>
                <w:bCs w:val="0"/>
                <w:color w:val="000000"/>
                <w:sz w:val="24"/>
                <w:szCs w:val="24"/>
                <w:highlight w:val="none"/>
                <w:lang w:val="en-US" w:eastAsia="zh-CN"/>
              </w:rPr>
              <w:t>》中鼓励类、限制类或淘汰类项目</w:t>
            </w:r>
            <w:r>
              <w:rPr>
                <w:rFonts w:hint="default" w:ascii="Times New Roman" w:hAnsi="Times New Roman" w:eastAsia="宋体" w:cs="Times New Roman"/>
                <w:b w:val="0"/>
                <w:bCs w:val="0"/>
                <w:color w:val="000000"/>
                <w:sz w:val="24"/>
                <w:szCs w:val="24"/>
                <w:highlight w:val="none"/>
              </w:rPr>
              <w:t>，</w:t>
            </w:r>
            <w:r>
              <w:rPr>
                <w:rFonts w:hint="default" w:ascii="Times New Roman" w:hAnsi="Times New Roman" w:eastAsia="宋体" w:cs="Times New Roman"/>
                <w:b w:val="0"/>
                <w:bCs w:val="0"/>
                <w:color w:val="000000"/>
                <w:sz w:val="24"/>
                <w:szCs w:val="24"/>
                <w:highlight w:val="none"/>
                <w:lang w:val="en-US" w:eastAsia="zh-CN"/>
              </w:rPr>
              <w:t>属于允许类项目，</w:t>
            </w:r>
            <w:r>
              <w:rPr>
                <w:rFonts w:hint="default" w:ascii="Times New Roman" w:hAnsi="Times New Roman" w:eastAsia="宋体" w:cs="Times New Roman"/>
                <w:b w:val="0"/>
                <w:bCs w:val="0"/>
                <w:color w:val="000000"/>
                <w:sz w:val="24"/>
                <w:szCs w:val="24"/>
                <w:highlight w:val="none"/>
                <w:lang w:eastAsia="zh-CN"/>
              </w:rPr>
              <w:t>符合国家产业政策要求。</w:t>
            </w:r>
          </w:p>
          <w:p w14:paraId="14A3767D">
            <w:pPr>
              <w:numPr>
                <w:ilvl w:val="0"/>
                <w:numId w:val="0"/>
              </w:numPr>
              <w:autoSpaceDE w:val="0"/>
              <w:autoSpaceDN w:val="0"/>
              <w:adjustRightInd w:val="0"/>
              <w:snapToGrid w:val="0"/>
              <w:spacing w:line="360" w:lineRule="auto"/>
              <w:jc w:val="both"/>
              <w:rPr>
                <w:rFonts w:hint="eastAsia" w:ascii="Times New Roman" w:hAnsi="Times New Roman" w:eastAsia="宋体" w:cs="Times New Roman"/>
                <w:b/>
                <w:bCs/>
                <w:color w:val="000000"/>
                <w:kern w:val="0"/>
                <w:sz w:val="24"/>
                <w:szCs w:val="24"/>
                <w:highlight w:val="none"/>
                <w:lang w:val="en-US" w:eastAsia="zh-CN" w:bidi="ar-SA"/>
              </w:rPr>
            </w:pPr>
            <w:r>
              <w:rPr>
                <w:rFonts w:hint="eastAsia" w:ascii="Times New Roman" w:hAnsi="Times New Roman" w:eastAsia="宋体" w:cs="Times New Roman"/>
                <w:b/>
                <w:bCs/>
                <w:color w:val="000000"/>
                <w:kern w:val="0"/>
                <w:sz w:val="24"/>
                <w:szCs w:val="24"/>
                <w:lang w:val="en-US" w:eastAsia="zh-CN" w:bidi="ar-SA"/>
              </w:rPr>
              <w:t>2.</w:t>
            </w:r>
            <w:r>
              <w:rPr>
                <w:rFonts w:hint="eastAsia" w:ascii="Times New Roman" w:hAnsi="Times New Roman" w:eastAsia="宋体" w:cs="Times New Roman"/>
                <w:b/>
                <w:bCs/>
                <w:color w:val="000000"/>
                <w:kern w:val="0"/>
                <w:sz w:val="24"/>
                <w:szCs w:val="24"/>
                <w:highlight w:val="none"/>
                <w:lang w:val="en-US" w:eastAsia="zh-CN" w:bidi="ar-SA"/>
              </w:rPr>
              <w:t>用地符合性</w:t>
            </w:r>
          </w:p>
          <w:p w14:paraId="38CC0183">
            <w:pPr>
              <w:autoSpaceDE w:val="0"/>
              <w:autoSpaceDN w:val="0"/>
              <w:adjustRightInd w:val="0"/>
              <w:snapToGrid w:val="0"/>
              <w:spacing w:line="360" w:lineRule="auto"/>
              <w:ind w:firstLine="480" w:firstLineChars="200"/>
              <w:jc w:val="both"/>
              <w:rPr>
                <w:rFonts w:hint="default"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本项目位于</w:t>
            </w:r>
            <w:r>
              <w:rPr>
                <w:rFonts w:hint="eastAsia" w:cs="Times New Roman"/>
                <w:b w:val="0"/>
                <w:bCs w:val="0"/>
                <w:color w:val="000000"/>
                <w:sz w:val="24"/>
                <w:szCs w:val="24"/>
                <w:highlight w:val="none"/>
                <w:lang w:val="en-US" w:eastAsia="zh-CN"/>
              </w:rPr>
              <w:t>库尔勒市塔什店镇</w:t>
            </w:r>
            <w:r>
              <w:rPr>
                <w:rFonts w:hint="eastAsia"/>
                <w:sz w:val="24"/>
                <w:szCs w:val="24"/>
              </w:rPr>
              <w:t>314高速公路东侧建材产业园区</w:t>
            </w:r>
            <w:r>
              <w:rPr>
                <w:rFonts w:hint="eastAsia" w:cs="Times New Roman"/>
                <w:b w:val="0"/>
                <w:bCs w:val="0"/>
                <w:color w:val="000000"/>
                <w:sz w:val="24"/>
                <w:szCs w:val="24"/>
                <w:highlight w:val="none"/>
                <w:lang w:val="en-US" w:eastAsia="zh-CN"/>
              </w:rPr>
              <w:t>，租赁新疆鼎嘉隆新型墙材股份有限公司闲置用地，用地类型为工矿仓储用地，用地类型符合要求。根据库尔勒市塔什店镇总体规划，本项目位于三类工业用地，符合库尔勒市塔什店镇总体规划，土地证详见附件6、租赁合同详见附件5。</w:t>
            </w:r>
          </w:p>
          <w:p w14:paraId="25AD0F9D">
            <w:pPr>
              <w:spacing w:line="520" w:lineRule="exact"/>
              <w:rPr>
                <w:rFonts w:hint="default" w:ascii="Times New Roman" w:hAnsi="Times New Roman" w:eastAsia="宋体" w:cs="Times New Roman"/>
                <w:sz w:val="24"/>
              </w:rPr>
            </w:pPr>
            <w:r>
              <w:rPr>
                <w:rFonts w:hint="eastAsia" w:cs="Times New Roman"/>
                <w:color w:val="000000"/>
                <w:sz w:val="24"/>
                <w:szCs w:val="24"/>
                <w:highlight w:val="none"/>
                <w:lang w:val="en-US" w:eastAsia="zh-CN"/>
              </w:rPr>
              <w:t>3</w:t>
            </w:r>
            <w:r>
              <w:rPr>
                <w:rFonts w:hint="eastAsia" w:ascii="Times New Roman" w:hAnsi="Times New Roman" w:eastAsia="宋体" w:cs="Times New Roman"/>
                <w:color w:val="000000"/>
                <w:sz w:val="24"/>
                <w:szCs w:val="24"/>
                <w:highlight w:val="none"/>
                <w:lang w:val="en-US" w:eastAsia="zh-CN"/>
              </w:rPr>
              <w:t>.</w:t>
            </w:r>
            <w:r>
              <w:rPr>
                <w:rFonts w:hint="default" w:ascii="Times New Roman" w:hAnsi="Times New Roman" w:eastAsia="宋体" w:cs="Times New Roman"/>
                <w:b/>
                <w:kern w:val="0"/>
                <w:sz w:val="24"/>
              </w:rPr>
              <w:t>生态环境分区管控符合性分析</w:t>
            </w:r>
          </w:p>
          <w:p w14:paraId="66A8F1D2">
            <w:pPr>
              <w:spacing w:line="52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rPr>
              <w:t>（1）</w:t>
            </w:r>
            <w:r>
              <w:rPr>
                <w:rFonts w:hint="default" w:ascii="Times New Roman" w:hAnsi="Times New Roman" w:eastAsia="宋体" w:cs="Times New Roman"/>
                <w:sz w:val="24"/>
                <w:szCs w:val="24"/>
                <w:lang w:eastAsia="zh-CN"/>
              </w:rPr>
              <w:t>项目与</w:t>
            </w:r>
            <w:r>
              <w:rPr>
                <w:rFonts w:hint="default" w:ascii="Times New Roman" w:hAnsi="Times New Roman" w:eastAsia="宋体" w:cs="Times New Roman"/>
                <w:color w:val="000000"/>
                <w:kern w:val="0"/>
                <w:sz w:val="24"/>
                <w:szCs w:val="24"/>
                <w:lang w:val="en-US" w:eastAsia="zh-CN"/>
              </w:rPr>
              <w:t>《关于印发</w:t>
            </w:r>
            <w:r>
              <w:rPr>
                <w:rFonts w:hint="eastAsia" w:ascii="Times New Roman" w:hAnsi="Times New Roman" w:eastAsia="宋体" w:cs="Times New Roman"/>
                <w:color w:val="000000"/>
                <w:kern w:val="0"/>
                <w:sz w:val="24"/>
                <w:szCs w:val="24"/>
                <w:lang w:val="en-US" w:eastAsia="zh-CN"/>
              </w:rPr>
              <w:t>〈</w:t>
            </w:r>
            <w:r>
              <w:rPr>
                <w:rFonts w:hint="default" w:ascii="Times New Roman" w:hAnsi="Times New Roman" w:eastAsia="宋体" w:cs="Times New Roman"/>
                <w:color w:val="000000"/>
                <w:kern w:val="0"/>
                <w:sz w:val="24"/>
                <w:szCs w:val="24"/>
                <w:lang w:val="en-US" w:eastAsia="zh-CN"/>
              </w:rPr>
              <w:t>新疆维吾尔自治区“三线一单”生态环境分区管控方案</w:t>
            </w:r>
            <w:r>
              <w:rPr>
                <w:rFonts w:hint="eastAsia" w:ascii="Times New Roman" w:hAnsi="Times New Roman" w:eastAsia="宋体" w:cs="Times New Roman"/>
                <w:color w:val="000000"/>
                <w:kern w:val="0"/>
                <w:sz w:val="24"/>
                <w:szCs w:val="24"/>
                <w:lang w:val="en-US" w:eastAsia="zh-CN"/>
              </w:rPr>
              <w:t>〉的通知》</w:t>
            </w:r>
            <w:r>
              <w:rPr>
                <w:rFonts w:hint="default" w:ascii="Times New Roman" w:hAnsi="Times New Roman" w:eastAsia="宋体" w:cs="Times New Roman"/>
                <w:color w:val="000000"/>
                <w:kern w:val="0"/>
                <w:sz w:val="24"/>
                <w:szCs w:val="24"/>
                <w:lang w:val="en-US" w:eastAsia="zh-CN"/>
              </w:rPr>
              <w:t>（新政发〔2021〕18号）</w:t>
            </w:r>
            <w:r>
              <w:rPr>
                <w:rFonts w:hint="eastAsia" w:ascii="Times New Roman" w:hAnsi="Times New Roman" w:eastAsia="宋体" w:cs="Times New Roman"/>
                <w:color w:val="000000"/>
                <w:kern w:val="0"/>
                <w:sz w:val="24"/>
                <w:szCs w:val="24"/>
                <w:lang w:val="en-US" w:eastAsia="zh-CN"/>
              </w:rPr>
              <w:t>、《</w:t>
            </w:r>
            <w:r>
              <w:rPr>
                <w:rFonts w:hint="eastAsia" w:ascii="Times New Roman" w:hAnsi="Times New Roman" w:eastAsia="宋体" w:cs="Times New Roman"/>
                <w:color w:val="000000"/>
                <w:kern w:val="0"/>
                <w:sz w:val="24"/>
                <w:szCs w:val="24"/>
                <w:highlight w:val="none"/>
                <w:lang w:val="en-US" w:eastAsia="zh-CN"/>
              </w:rPr>
              <w:t>关于印发〈新疆维吾尔自治区生态环境分区管控动态更新成果〉的通知》（新环环评发〔2024〕157号</w:t>
            </w:r>
            <w:r>
              <w:rPr>
                <w:rFonts w:hint="eastAsia" w:ascii="Times New Roman" w:hAnsi="Times New Roman" w:eastAsia="宋体" w:cs="Times New Roman"/>
                <w:color w:val="000000"/>
                <w:kern w:val="0"/>
                <w:sz w:val="24"/>
                <w:szCs w:val="24"/>
                <w:lang w:val="en-US" w:eastAsia="zh-CN"/>
              </w:rPr>
              <w:t>）</w:t>
            </w:r>
            <w:r>
              <w:rPr>
                <w:rFonts w:hint="default" w:ascii="Times New Roman" w:hAnsi="Times New Roman" w:eastAsia="宋体" w:cs="Times New Roman"/>
                <w:color w:val="000000"/>
                <w:kern w:val="0"/>
                <w:sz w:val="24"/>
                <w:szCs w:val="24"/>
                <w:lang w:val="en-US" w:eastAsia="zh-CN"/>
              </w:rPr>
              <w:t>符合性分析以及</w:t>
            </w:r>
            <w:r>
              <w:rPr>
                <w:rFonts w:hint="eastAsia" w:ascii="Times New Roman" w:hAnsi="Times New Roman" w:eastAsia="宋体" w:cs="Times New Roman"/>
                <w:color w:val="000000"/>
                <w:kern w:val="0"/>
                <w:sz w:val="24"/>
                <w:szCs w:val="24"/>
                <w:lang w:val="en-US" w:eastAsia="zh-CN"/>
              </w:rPr>
              <w:t>与</w:t>
            </w:r>
            <w:r>
              <w:rPr>
                <w:rFonts w:hint="default" w:ascii="Times New Roman" w:hAnsi="Times New Roman" w:eastAsia="宋体" w:cs="Times New Roman"/>
                <w:sz w:val="24"/>
                <w:szCs w:val="24"/>
              </w:rPr>
              <w:t>《新</w:t>
            </w:r>
            <w:r>
              <w:rPr>
                <w:rFonts w:hint="default" w:ascii="Times New Roman" w:hAnsi="Times New Roman" w:eastAsia="宋体" w:cs="Times New Roman"/>
                <w:sz w:val="24"/>
              </w:rPr>
              <w:t>疆维吾尔自治区七大片区“三线一单”生态环境分区管控要求》（2021年版）符合性分析</w:t>
            </w:r>
            <w:r>
              <w:rPr>
                <w:rFonts w:hint="default" w:ascii="Times New Roman" w:hAnsi="Times New Roman" w:eastAsia="宋体" w:cs="Times New Roman"/>
                <w:sz w:val="24"/>
                <w:lang w:eastAsia="zh-CN"/>
              </w:rPr>
              <w:t>。</w:t>
            </w:r>
          </w:p>
          <w:p w14:paraId="0EA12C66">
            <w:pPr>
              <w:pStyle w:val="55"/>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ind w:firstLine="482"/>
              <w:jc w:val="center"/>
              <w:textAlignment w:val="auto"/>
              <w:rPr>
                <w:rFonts w:hint="default" w:ascii="Times New Roman" w:hAnsi="Times New Roman" w:eastAsia="宋体" w:cs="Times New Roman"/>
                <w:b/>
                <w:bCs/>
                <w:color w:val="auto"/>
                <w:kern w:val="2"/>
              </w:rPr>
            </w:pPr>
            <w:r>
              <w:rPr>
                <w:rFonts w:hint="default" w:ascii="Times New Roman" w:hAnsi="Times New Roman" w:eastAsia="宋体" w:cs="Times New Roman"/>
                <w:b/>
                <w:bCs/>
                <w:color w:val="auto"/>
                <w:kern w:val="2"/>
              </w:rPr>
              <w:t>表1</w:t>
            </w:r>
            <w:r>
              <w:rPr>
                <w:rFonts w:hint="default" w:ascii="Times New Roman" w:hAnsi="Times New Roman" w:eastAsia="宋体" w:cs="Times New Roman"/>
                <w:b/>
                <w:bCs/>
                <w:color w:val="auto"/>
                <w:kern w:val="2"/>
                <w:lang w:val="en-US" w:eastAsia="zh-CN"/>
              </w:rPr>
              <w:t>-1</w:t>
            </w:r>
            <w:r>
              <w:rPr>
                <w:rFonts w:hint="default" w:ascii="Times New Roman" w:hAnsi="Times New Roman" w:eastAsia="宋体" w:cs="Times New Roman"/>
                <w:b/>
                <w:bCs/>
                <w:color w:val="auto"/>
                <w:kern w:val="2"/>
              </w:rPr>
              <w:t xml:space="preserve">  </w:t>
            </w:r>
            <w:r>
              <w:rPr>
                <w:rFonts w:hint="eastAsia" w:ascii="Times New Roman" w:hAnsi="Times New Roman" w:eastAsia="宋体" w:cs="Times New Roman"/>
                <w:b/>
                <w:bCs/>
                <w:color w:val="auto"/>
                <w:kern w:val="2"/>
                <w:lang w:val="en-US" w:eastAsia="zh-CN"/>
              </w:rPr>
              <w:t>与</w:t>
            </w:r>
            <w:r>
              <w:rPr>
                <w:rFonts w:hint="default" w:ascii="Times New Roman" w:hAnsi="Times New Roman" w:eastAsia="宋体" w:cs="Times New Roman"/>
                <w:b/>
                <w:bCs/>
                <w:color w:val="auto"/>
                <w:kern w:val="2"/>
              </w:rPr>
              <w:t>《新疆维吾尔自治区“三线一单”生态环境分区管控方案》（新政发〔2021〕18号）</w:t>
            </w:r>
            <w:r>
              <w:rPr>
                <w:rFonts w:hint="eastAsia" w:ascii="Times New Roman" w:hAnsi="Times New Roman" w:eastAsia="宋体" w:cs="Times New Roman"/>
                <w:b/>
                <w:bCs/>
                <w:color w:val="auto"/>
                <w:kern w:val="2"/>
                <w:lang w:eastAsia="zh-CN"/>
              </w:rPr>
              <w:t>、</w:t>
            </w:r>
            <w:r>
              <w:rPr>
                <w:rFonts w:hint="default" w:ascii="Times New Roman" w:hAnsi="Times New Roman" w:eastAsia="宋体" w:cs="Times New Roman"/>
                <w:b/>
                <w:bCs/>
                <w:color w:val="auto"/>
                <w:kern w:val="2"/>
                <w:lang w:val="en-US" w:eastAsia="zh-CN"/>
              </w:rPr>
              <w:t>《关于印发〈新疆维吾尔自治区生态环境分区管控动态更新成果〉的通知》（新环环评发〔2024〕157号）</w:t>
            </w:r>
            <w:r>
              <w:rPr>
                <w:rFonts w:hint="default" w:ascii="Times New Roman" w:hAnsi="Times New Roman" w:eastAsia="宋体" w:cs="Times New Roman"/>
                <w:b/>
                <w:bCs/>
                <w:color w:val="auto"/>
                <w:kern w:val="2"/>
              </w:rPr>
              <w:t>符合</w:t>
            </w:r>
            <w:r>
              <w:rPr>
                <w:rFonts w:hint="eastAsia" w:ascii="Times New Roman" w:cs="Times New Roman"/>
                <w:b/>
                <w:bCs/>
                <w:color w:val="auto"/>
                <w:kern w:val="2"/>
                <w:lang w:eastAsia="zh-CN"/>
              </w:rPr>
              <w:t>性分析</w:t>
            </w:r>
          </w:p>
          <w:tbl>
            <w:tblPr>
              <w:tblStyle w:val="26"/>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34"/>
              <w:gridCol w:w="434"/>
              <w:gridCol w:w="2643"/>
              <w:gridCol w:w="2050"/>
              <w:gridCol w:w="707"/>
            </w:tblGrid>
            <w:tr w14:paraId="1193BB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92" w:type="pct"/>
                  <w:gridSpan w:val="2"/>
                  <w:tcBorders>
                    <w:tl2br w:val="nil"/>
                    <w:tr2bl w:val="nil"/>
                  </w:tcBorders>
                  <w:noWrap w:val="0"/>
                  <w:vAlign w:val="center"/>
                </w:tcPr>
                <w:p w14:paraId="7024C57E">
                  <w:pPr>
                    <w:tabs>
                      <w:tab w:val="left" w:pos="1264"/>
                    </w:tabs>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管控要求</w:t>
                  </w:r>
                </w:p>
              </w:tc>
              <w:tc>
                <w:tcPr>
                  <w:tcW w:w="2108" w:type="pct"/>
                  <w:tcBorders>
                    <w:tl2br w:val="nil"/>
                    <w:tr2bl w:val="nil"/>
                  </w:tcBorders>
                  <w:noWrap w:val="0"/>
                  <w:vAlign w:val="center"/>
                </w:tcPr>
                <w:p w14:paraId="77B1F85E">
                  <w:pPr>
                    <w:widowControl/>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“三线一单”要求</w:t>
                  </w:r>
                </w:p>
              </w:tc>
              <w:tc>
                <w:tcPr>
                  <w:tcW w:w="1635" w:type="pct"/>
                  <w:tcBorders>
                    <w:tl2br w:val="nil"/>
                    <w:tr2bl w:val="nil"/>
                  </w:tcBorders>
                  <w:noWrap w:val="0"/>
                  <w:vAlign w:val="center"/>
                </w:tcPr>
                <w:p w14:paraId="2C73A9F9">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工程具体情况</w:t>
                  </w:r>
                </w:p>
              </w:tc>
              <w:tc>
                <w:tcPr>
                  <w:tcW w:w="563" w:type="pct"/>
                  <w:tcBorders>
                    <w:tl2br w:val="nil"/>
                    <w:tr2bl w:val="nil"/>
                  </w:tcBorders>
                  <w:noWrap w:val="0"/>
                  <w:vAlign w:val="center"/>
                </w:tcPr>
                <w:p w14:paraId="05AB37EF">
                  <w:pPr>
                    <w:widowControl/>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相符性分析</w:t>
                  </w:r>
                </w:p>
              </w:tc>
            </w:tr>
            <w:tr w14:paraId="365BDE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92" w:type="pct"/>
                  <w:gridSpan w:val="2"/>
                  <w:tcBorders>
                    <w:tl2br w:val="nil"/>
                    <w:tr2bl w:val="nil"/>
                  </w:tcBorders>
                  <w:noWrap w:val="0"/>
                  <w:vAlign w:val="center"/>
                </w:tcPr>
                <w:p w14:paraId="3ECC5786">
                  <w:pPr>
                    <w:tabs>
                      <w:tab w:val="left" w:pos="1264"/>
                    </w:tabs>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生态环保红线</w:t>
                  </w:r>
                </w:p>
              </w:tc>
              <w:tc>
                <w:tcPr>
                  <w:tcW w:w="2108" w:type="pct"/>
                  <w:tcBorders>
                    <w:tl2br w:val="nil"/>
                    <w:tr2bl w:val="nil"/>
                  </w:tcBorders>
                  <w:noWrap w:val="0"/>
                  <w:vAlign w:val="center"/>
                </w:tcPr>
                <w:p w14:paraId="113C926E">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按照“生态功能不降低、面积不减少、性质不改变”的基本要求</w:t>
                  </w:r>
                  <w:r>
                    <w:rPr>
                      <w:rFonts w:hint="eastAsia" w:ascii="Times New Roman" w:hAnsi="Times New Roman" w:eastAsia="宋体" w:cs="Times New Roman"/>
                      <w:color w:val="000000"/>
                      <w:kern w:val="0"/>
                      <w:sz w:val="21"/>
                      <w:szCs w:val="21"/>
                      <w:lang w:eastAsia="zh-CN"/>
                    </w:rPr>
                    <w:t>，</w:t>
                  </w:r>
                  <w:r>
                    <w:rPr>
                      <w:rFonts w:hint="default" w:ascii="Times New Roman" w:hAnsi="Times New Roman" w:eastAsia="宋体" w:cs="Times New Roman"/>
                      <w:color w:val="000000"/>
                      <w:kern w:val="0"/>
                      <w:sz w:val="21"/>
                      <w:szCs w:val="21"/>
                    </w:rPr>
                    <w:t>对划定的生态保护红线实施严格管控</w:t>
                  </w:r>
                  <w:r>
                    <w:rPr>
                      <w:rFonts w:hint="eastAsia" w:ascii="Times New Roman" w:hAnsi="Times New Roman" w:eastAsia="宋体" w:cs="Times New Roman"/>
                      <w:color w:val="000000"/>
                      <w:kern w:val="0"/>
                      <w:sz w:val="21"/>
                      <w:szCs w:val="21"/>
                      <w:lang w:eastAsia="zh-CN"/>
                    </w:rPr>
                    <w:t>，</w:t>
                  </w:r>
                  <w:r>
                    <w:rPr>
                      <w:rFonts w:hint="default" w:ascii="Times New Roman" w:hAnsi="Times New Roman" w:eastAsia="宋体" w:cs="Times New Roman"/>
                      <w:color w:val="000000"/>
                      <w:kern w:val="0"/>
                      <w:sz w:val="21"/>
                      <w:szCs w:val="21"/>
                    </w:rPr>
                    <w:t>保障和维护国家生态安全的底线和生命线</w:t>
                  </w:r>
                </w:p>
              </w:tc>
              <w:tc>
                <w:tcPr>
                  <w:tcW w:w="1635" w:type="pct"/>
                  <w:tcBorders>
                    <w:tl2br w:val="nil"/>
                    <w:tr2bl w:val="nil"/>
                  </w:tcBorders>
                  <w:noWrap w:val="0"/>
                  <w:vAlign w:val="center"/>
                </w:tcPr>
                <w:p w14:paraId="6BB35170">
                  <w:pPr>
                    <w:widowControl/>
                    <w:jc w:val="both"/>
                    <w:rPr>
                      <w:rFonts w:hint="default" w:ascii="Times New Roman" w:hAnsi="Times New Roman" w:eastAsia="宋体" w:cs="Times New Roman"/>
                      <w:color w:val="000000"/>
                      <w:kern w:val="0"/>
                      <w:sz w:val="21"/>
                      <w:szCs w:val="21"/>
                      <w:lang w:eastAsia="zh-CN"/>
                    </w:rPr>
                  </w:pPr>
                  <w:r>
                    <w:rPr>
                      <w:rFonts w:hint="default" w:ascii="Times New Roman" w:hAnsi="Times New Roman" w:eastAsia="宋体" w:cs="Times New Roman"/>
                      <w:color w:val="000000"/>
                      <w:kern w:val="0"/>
                      <w:sz w:val="21"/>
                      <w:szCs w:val="21"/>
                      <w:lang w:eastAsia="zh-CN"/>
                    </w:rPr>
                    <w:t>项目建设于</w:t>
                  </w:r>
                  <w:r>
                    <w:rPr>
                      <w:rFonts w:hint="eastAsia" w:ascii="Times New Roman" w:hAnsi="Times New Roman" w:eastAsia="宋体" w:cs="Times New Roman"/>
                      <w:sz w:val="21"/>
                      <w:szCs w:val="21"/>
                      <w:lang w:eastAsia="zh-CN"/>
                    </w:rPr>
                    <w:t>新疆巴州库尔勒市</w:t>
                  </w:r>
                  <w:r>
                    <w:rPr>
                      <w:rFonts w:hint="eastAsia" w:cs="Times New Roman"/>
                      <w:sz w:val="21"/>
                      <w:szCs w:val="21"/>
                      <w:lang w:eastAsia="zh-CN"/>
                    </w:rPr>
                    <w:t>塔什店镇特变电工西侧</w:t>
                  </w:r>
                  <w:r>
                    <w:rPr>
                      <w:rFonts w:hint="default" w:ascii="Times New Roman" w:hAnsi="Times New Roman" w:eastAsia="宋体" w:cs="Times New Roman"/>
                      <w:sz w:val="21"/>
                      <w:szCs w:val="21"/>
                      <w:lang w:eastAsia="zh-CN"/>
                    </w:rPr>
                    <w:t>，不涉及</w:t>
                  </w:r>
                  <w:r>
                    <w:rPr>
                      <w:rFonts w:hint="default" w:ascii="Times New Roman" w:hAnsi="Times New Roman" w:eastAsia="宋体" w:cs="Times New Roman"/>
                      <w:color w:val="000000"/>
                      <w:kern w:val="0"/>
                      <w:sz w:val="21"/>
                      <w:szCs w:val="21"/>
                      <w:lang w:eastAsia="zh-CN"/>
                    </w:rPr>
                    <w:t>生态红线</w:t>
                  </w:r>
                </w:p>
              </w:tc>
              <w:tc>
                <w:tcPr>
                  <w:tcW w:w="563" w:type="pct"/>
                  <w:tcBorders>
                    <w:tl2br w:val="nil"/>
                    <w:tr2bl w:val="nil"/>
                  </w:tcBorders>
                  <w:noWrap w:val="0"/>
                  <w:vAlign w:val="center"/>
                </w:tcPr>
                <w:p w14:paraId="13C95739">
                  <w:pPr>
                    <w:widowControl/>
                    <w:jc w:val="center"/>
                    <w:rPr>
                      <w:rFonts w:hint="default" w:ascii="Times New Roman" w:hAnsi="Times New Roman" w:eastAsia="宋体" w:cs="Times New Roman"/>
                      <w:color w:val="000000"/>
                      <w:kern w:val="0"/>
                      <w:sz w:val="21"/>
                      <w:szCs w:val="21"/>
                      <w:lang w:eastAsia="zh-CN"/>
                    </w:rPr>
                  </w:pPr>
                  <w:r>
                    <w:rPr>
                      <w:rFonts w:hint="default" w:ascii="Times New Roman" w:hAnsi="Times New Roman" w:eastAsia="宋体" w:cs="Times New Roman"/>
                      <w:color w:val="000000"/>
                      <w:kern w:val="0"/>
                      <w:sz w:val="21"/>
                      <w:szCs w:val="21"/>
                      <w:lang w:eastAsia="zh-CN"/>
                    </w:rPr>
                    <w:t>符合</w:t>
                  </w:r>
                </w:p>
              </w:tc>
            </w:tr>
            <w:tr w14:paraId="174214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92" w:type="pct"/>
                  <w:gridSpan w:val="2"/>
                  <w:tcBorders>
                    <w:tl2br w:val="nil"/>
                    <w:tr2bl w:val="nil"/>
                  </w:tcBorders>
                  <w:noWrap w:val="0"/>
                  <w:vAlign w:val="center"/>
                </w:tcPr>
                <w:p w14:paraId="33C4A541">
                  <w:pPr>
                    <w:tabs>
                      <w:tab w:val="left" w:pos="1264"/>
                    </w:tabs>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环境质量底线</w:t>
                  </w:r>
                </w:p>
              </w:tc>
              <w:tc>
                <w:tcPr>
                  <w:tcW w:w="2108" w:type="pct"/>
                  <w:tcBorders>
                    <w:tl2br w:val="nil"/>
                    <w:tr2bl w:val="nil"/>
                  </w:tcBorders>
                  <w:noWrap w:val="0"/>
                  <w:vAlign w:val="center"/>
                </w:tcPr>
                <w:p w14:paraId="00241D42">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全区水环境质量持续改善</w:t>
                  </w:r>
                  <w:r>
                    <w:rPr>
                      <w:rFonts w:hint="eastAsia" w:ascii="Times New Roman" w:hAnsi="Times New Roman" w:eastAsia="宋体" w:cs="Times New Roman"/>
                      <w:color w:val="000000"/>
                      <w:kern w:val="0"/>
                      <w:sz w:val="21"/>
                      <w:szCs w:val="21"/>
                      <w:lang w:eastAsia="zh-CN"/>
                    </w:rPr>
                    <w:t>，</w:t>
                  </w:r>
                  <w:r>
                    <w:rPr>
                      <w:rFonts w:hint="default" w:ascii="Times New Roman" w:hAnsi="Times New Roman" w:eastAsia="宋体" w:cs="Times New Roman"/>
                      <w:color w:val="000000"/>
                      <w:kern w:val="0"/>
                      <w:sz w:val="21"/>
                      <w:szCs w:val="21"/>
                    </w:rPr>
                    <w:t>受污染地表水体得到有效治理</w:t>
                  </w:r>
                  <w:r>
                    <w:rPr>
                      <w:rFonts w:hint="eastAsia" w:ascii="Times New Roman" w:hAnsi="Times New Roman" w:eastAsia="宋体" w:cs="Times New Roman"/>
                      <w:color w:val="000000"/>
                      <w:kern w:val="0"/>
                      <w:sz w:val="21"/>
                      <w:szCs w:val="21"/>
                      <w:lang w:eastAsia="zh-CN"/>
                    </w:rPr>
                    <w:t>，</w:t>
                  </w:r>
                  <w:r>
                    <w:rPr>
                      <w:rFonts w:hint="default" w:ascii="Times New Roman" w:hAnsi="Times New Roman" w:eastAsia="宋体" w:cs="Times New Roman"/>
                      <w:color w:val="000000"/>
                      <w:kern w:val="0"/>
                      <w:sz w:val="21"/>
                      <w:szCs w:val="21"/>
                    </w:rPr>
                    <w:t>饮用水安全保障水平持续提升</w:t>
                  </w:r>
                  <w:r>
                    <w:rPr>
                      <w:rFonts w:hint="eastAsia" w:ascii="Times New Roman" w:hAnsi="Times New Roman" w:eastAsia="宋体" w:cs="Times New Roman"/>
                      <w:color w:val="000000"/>
                      <w:kern w:val="0"/>
                      <w:sz w:val="21"/>
                      <w:szCs w:val="21"/>
                      <w:lang w:eastAsia="zh-CN"/>
                    </w:rPr>
                    <w:t>，</w:t>
                  </w:r>
                  <w:r>
                    <w:rPr>
                      <w:rFonts w:hint="default" w:ascii="Times New Roman" w:hAnsi="Times New Roman" w:eastAsia="宋体" w:cs="Times New Roman"/>
                      <w:color w:val="000000"/>
                      <w:kern w:val="0"/>
                      <w:sz w:val="21"/>
                      <w:szCs w:val="21"/>
                    </w:rPr>
                    <w:t>地下水超采得到严格控制</w:t>
                  </w:r>
                  <w:r>
                    <w:rPr>
                      <w:rFonts w:hint="eastAsia" w:ascii="Times New Roman" w:hAnsi="Times New Roman" w:eastAsia="宋体" w:cs="Times New Roman"/>
                      <w:color w:val="000000"/>
                      <w:kern w:val="0"/>
                      <w:sz w:val="21"/>
                      <w:szCs w:val="21"/>
                      <w:lang w:eastAsia="zh-CN"/>
                    </w:rPr>
                    <w:t>，</w:t>
                  </w:r>
                  <w:r>
                    <w:rPr>
                      <w:rFonts w:hint="default" w:ascii="Times New Roman" w:hAnsi="Times New Roman" w:eastAsia="宋体" w:cs="Times New Roman"/>
                      <w:color w:val="000000"/>
                      <w:kern w:val="0"/>
                      <w:sz w:val="21"/>
                      <w:szCs w:val="21"/>
                    </w:rPr>
                    <w:t>地下水水质保持稳定</w:t>
                  </w:r>
                  <w:r>
                    <w:rPr>
                      <w:rFonts w:hint="default" w:ascii="Times New Roman" w:hAnsi="Times New Roman" w:eastAsia="宋体" w:cs="Times New Roman"/>
                      <w:color w:val="000000"/>
                      <w:kern w:val="0"/>
                      <w:sz w:val="21"/>
                      <w:szCs w:val="21"/>
                      <w:lang w:eastAsia="zh-CN"/>
                    </w:rPr>
                    <w:t>；</w:t>
                  </w:r>
                  <w:r>
                    <w:rPr>
                      <w:rFonts w:hint="default" w:ascii="Times New Roman" w:hAnsi="Times New Roman" w:eastAsia="宋体" w:cs="Times New Roman"/>
                      <w:color w:val="000000"/>
                      <w:kern w:val="0"/>
                      <w:sz w:val="21"/>
                      <w:szCs w:val="21"/>
                    </w:rPr>
                    <w:t>全区环境空气质量有所提升</w:t>
                  </w:r>
                  <w:r>
                    <w:rPr>
                      <w:rFonts w:hint="eastAsia" w:ascii="Times New Roman" w:hAnsi="Times New Roman" w:eastAsia="宋体" w:cs="Times New Roman"/>
                      <w:color w:val="000000"/>
                      <w:kern w:val="0"/>
                      <w:sz w:val="21"/>
                      <w:szCs w:val="21"/>
                      <w:lang w:eastAsia="zh-CN"/>
                    </w:rPr>
                    <w:t>，</w:t>
                  </w:r>
                  <w:r>
                    <w:rPr>
                      <w:rFonts w:hint="default" w:ascii="Times New Roman" w:hAnsi="Times New Roman" w:eastAsia="宋体" w:cs="Times New Roman"/>
                      <w:color w:val="000000"/>
                      <w:kern w:val="0"/>
                      <w:sz w:val="21"/>
                      <w:szCs w:val="21"/>
                    </w:rPr>
                    <w:t>重污染天数持续减少</w:t>
                  </w:r>
                  <w:r>
                    <w:rPr>
                      <w:rFonts w:hint="eastAsia" w:ascii="Times New Roman" w:hAnsi="Times New Roman" w:eastAsia="宋体" w:cs="Times New Roman"/>
                      <w:color w:val="000000"/>
                      <w:kern w:val="0"/>
                      <w:sz w:val="21"/>
                      <w:szCs w:val="21"/>
                      <w:lang w:eastAsia="zh-CN"/>
                    </w:rPr>
                    <w:t>，</w:t>
                  </w:r>
                  <w:r>
                    <w:rPr>
                      <w:rFonts w:hint="default" w:ascii="Times New Roman" w:hAnsi="Times New Roman" w:eastAsia="宋体" w:cs="Times New Roman"/>
                      <w:color w:val="000000"/>
                      <w:kern w:val="0"/>
                      <w:sz w:val="21"/>
                      <w:szCs w:val="21"/>
                    </w:rPr>
                    <w:t>已达标城市环境空气质量保持稳定</w:t>
                  </w:r>
                  <w:r>
                    <w:rPr>
                      <w:rFonts w:hint="eastAsia" w:ascii="Times New Roman" w:hAnsi="Times New Roman" w:eastAsia="宋体" w:cs="Times New Roman"/>
                      <w:color w:val="000000"/>
                      <w:kern w:val="0"/>
                      <w:sz w:val="21"/>
                      <w:szCs w:val="21"/>
                      <w:lang w:eastAsia="zh-CN"/>
                    </w:rPr>
                    <w:t>，</w:t>
                  </w:r>
                  <w:r>
                    <w:rPr>
                      <w:rFonts w:hint="default" w:ascii="Times New Roman" w:hAnsi="Times New Roman" w:eastAsia="宋体" w:cs="Times New Roman"/>
                      <w:color w:val="000000"/>
                      <w:kern w:val="0"/>
                      <w:sz w:val="21"/>
                      <w:szCs w:val="21"/>
                    </w:rPr>
                    <w:t>未达标城市环境空气质量持续改善</w:t>
                  </w:r>
                  <w:r>
                    <w:rPr>
                      <w:rFonts w:hint="eastAsia" w:ascii="Times New Roman" w:hAnsi="Times New Roman" w:eastAsia="宋体" w:cs="Times New Roman"/>
                      <w:color w:val="000000"/>
                      <w:kern w:val="0"/>
                      <w:sz w:val="21"/>
                      <w:szCs w:val="21"/>
                      <w:lang w:eastAsia="zh-CN"/>
                    </w:rPr>
                    <w:t>，</w:t>
                  </w:r>
                  <w:r>
                    <w:rPr>
                      <w:rFonts w:hint="default" w:ascii="Times New Roman" w:hAnsi="Times New Roman" w:eastAsia="宋体" w:cs="Times New Roman"/>
                      <w:color w:val="000000"/>
                      <w:kern w:val="0"/>
                      <w:sz w:val="21"/>
                      <w:szCs w:val="21"/>
                    </w:rPr>
                    <w:t>沙尘影响严重地区做好防风固沙、生态环境保护修复等工作</w:t>
                  </w:r>
                  <w:r>
                    <w:rPr>
                      <w:rFonts w:hint="default" w:ascii="Times New Roman" w:hAnsi="Times New Roman" w:eastAsia="宋体" w:cs="Times New Roman"/>
                      <w:color w:val="000000"/>
                      <w:kern w:val="0"/>
                      <w:sz w:val="21"/>
                      <w:szCs w:val="21"/>
                      <w:lang w:eastAsia="zh-CN"/>
                    </w:rPr>
                    <w:t>；</w:t>
                  </w:r>
                  <w:r>
                    <w:rPr>
                      <w:rFonts w:hint="default" w:ascii="Times New Roman" w:hAnsi="Times New Roman" w:eastAsia="宋体" w:cs="Times New Roman"/>
                      <w:color w:val="000000"/>
                      <w:kern w:val="0"/>
                      <w:sz w:val="21"/>
                      <w:szCs w:val="21"/>
                    </w:rPr>
                    <w:t>全区土壤环境质量保持稳定</w:t>
                  </w:r>
                  <w:r>
                    <w:rPr>
                      <w:rFonts w:hint="eastAsia" w:ascii="Times New Roman" w:hAnsi="Times New Roman" w:eastAsia="宋体" w:cs="Times New Roman"/>
                      <w:color w:val="000000"/>
                      <w:kern w:val="0"/>
                      <w:sz w:val="21"/>
                      <w:szCs w:val="21"/>
                      <w:lang w:eastAsia="zh-CN"/>
                    </w:rPr>
                    <w:t>，</w:t>
                  </w:r>
                  <w:r>
                    <w:rPr>
                      <w:rFonts w:hint="default" w:ascii="Times New Roman" w:hAnsi="Times New Roman" w:eastAsia="宋体" w:cs="Times New Roman"/>
                      <w:color w:val="000000"/>
                      <w:kern w:val="0"/>
                      <w:sz w:val="21"/>
                      <w:szCs w:val="21"/>
                    </w:rPr>
                    <w:t>污染地块安全利用水平稳中有升</w:t>
                  </w:r>
                  <w:r>
                    <w:rPr>
                      <w:rFonts w:hint="eastAsia" w:ascii="Times New Roman" w:hAnsi="Times New Roman" w:eastAsia="宋体" w:cs="Times New Roman"/>
                      <w:color w:val="000000"/>
                      <w:kern w:val="0"/>
                      <w:sz w:val="21"/>
                      <w:szCs w:val="21"/>
                      <w:lang w:eastAsia="zh-CN"/>
                    </w:rPr>
                    <w:t>，</w:t>
                  </w:r>
                  <w:r>
                    <w:rPr>
                      <w:rFonts w:hint="default" w:ascii="Times New Roman" w:hAnsi="Times New Roman" w:eastAsia="宋体" w:cs="Times New Roman"/>
                      <w:color w:val="000000"/>
                      <w:kern w:val="0"/>
                      <w:sz w:val="21"/>
                      <w:szCs w:val="21"/>
                    </w:rPr>
                    <w:t>土壤环境风险得到进一步管控</w:t>
                  </w:r>
                </w:p>
              </w:tc>
              <w:tc>
                <w:tcPr>
                  <w:tcW w:w="1635" w:type="pct"/>
                  <w:tcBorders>
                    <w:tl2br w:val="nil"/>
                    <w:tr2bl w:val="nil"/>
                  </w:tcBorders>
                  <w:noWrap w:val="0"/>
                  <w:vAlign w:val="center"/>
                </w:tcPr>
                <w:p w14:paraId="049E7730">
                  <w:pPr>
                    <w:widowControl/>
                    <w:jc w:val="both"/>
                    <w:rPr>
                      <w:rFonts w:hint="default" w:ascii="Times New Roman" w:hAnsi="Times New Roman" w:eastAsia="宋体" w:cs="Times New Roman"/>
                      <w:color w:val="000000"/>
                      <w:kern w:val="0"/>
                      <w:sz w:val="21"/>
                      <w:szCs w:val="21"/>
                      <w:lang w:eastAsia="zh-CN"/>
                    </w:rPr>
                  </w:pPr>
                  <w:r>
                    <w:rPr>
                      <w:rFonts w:hint="default" w:ascii="Times New Roman" w:hAnsi="Times New Roman" w:eastAsia="宋体" w:cs="Times New Roman"/>
                      <w:color w:val="000000"/>
                      <w:kern w:val="0"/>
                      <w:sz w:val="21"/>
                      <w:szCs w:val="21"/>
                      <w:lang w:eastAsia="zh-CN"/>
                    </w:rPr>
                    <w:t>项目产生的生产废水经沉淀池处理后，回用于洒水抑尘及循环使用，不外排</w:t>
                  </w:r>
                  <w:r>
                    <w:rPr>
                      <w:rFonts w:hint="eastAsia" w:ascii="Times New Roman" w:hAnsi="Times New Roman" w:eastAsia="宋体" w:cs="Times New Roman"/>
                      <w:color w:val="000000"/>
                      <w:kern w:val="0"/>
                      <w:sz w:val="21"/>
                      <w:szCs w:val="21"/>
                      <w:lang w:eastAsia="zh-CN"/>
                    </w:rPr>
                    <w:t>；</w:t>
                  </w:r>
                  <w:r>
                    <w:rPr>
                      <w:rFonts w:hint="default" w:ascii="Times New Roman" w:hAnsi="Times New Roman" w:eastAsia="宋体" w:cs="Times New Roman"/>
                      <w:color w:val="000000"/>
                      <w:kern w:val="0"/>
                      <w:sz w:val="21"/>
                      <w:szCs w:val="21"/>
                      <w:lang w:eastAsia="zh-CN"/>
                    </w:rPr>
                    <w:t>生活污水经化粪池处理后定期拉运至</w:t>
                  </w:r>
                  <w:r>
                    <w:rPr>
                      <w:rFonts w:hint="eastAsia" w:cs="Times New Roman"/>
                      <w:color w:val="000000"/>
                      <w:kern w:val="0"/>
                      <w:sz w:val="21"/>
                      <w:szCs w:val="21"/>
                      <w:lang w:eastAsia="zh-CN"/>
                    </w:rPr>
                    <w:t>河北巴州生态产业园污水处理厂</w:t>
                  </w:r>
                  <w:r>
                    <w:rPr>
                      <w:rFonts w:hint="default" w:ascii="Times New Roman" w:hAnsi="Times New Roman" w:eastAsia="宋体" w:cs="Times New Roman"/>
                      <w:color w:val="000000"/>
                      <w:kern w:val="0"/>
                      <w:sz w:val="21"/>
                      <w:szCs w:val="21"/>
                      <w:lang w:eastAsia="zh-CN"/>
                    </w:rPr>
                    <w:t>处理，不会对周围水环境造成影响；项目用水来自市政</w:t>
                  </w:r>
                  <w:r>
                    <w:rPr>
                      <w:rFonts w:hint="eastAsia" w:ascii="Times New Roman" w:hAnsi="Times New Roman" w:eastAsia="宋体" w:cs="Times New Roman"/>
                      <w:color w:val="000000"/>
                      <w:kern w:val="0"/>
                      <w:sz w:val="21"/>
                      <w:szCs w:val="21"/>
                      <w:lang w:val="en-US" w:eastAsia="zh-CN"/>
                    </w:rPr>
                    <w:t>供水</w:t>
                  </w:r>
                  <w:r>
                    <w:rPr>
                      <w:rFonts w:hint="default" w:ascii="Times New Roman" w:hAnsi="Times New Roman" w:eastAsia="宋体" w:cs="Times New Roman"/>
                      <w:color w:val="000000"/>
                      <w:kern w:val="0"/>
                      <w:sz w:val="21"/>
                      <w:szCs w:val="21"/>
                      <w:lang w:eastAsia="zh-CN"/>
                    </w:rPr>
                    <w:t>管网，不</w:t>
                  </w:r>
                  <w:r>
                    <w:rPr>
                      <w:rFonts w:hint="eastAsia" w:ascii="Times New Roman" w:hAnsi="Times New Roman" w:eastAsia="宋体" w:cs="Times New Roman"/>
                      <w:color w:val="000000"/>
                      <w:kern w:val="0"/>
                      <w:sz w:val="21"/>
                      <w:szCs w:val="21"/>
                      <w:lang w:val="en-US" w:eastAsia="zh-CN"/>
                    </w:rPr>
                    <w:t>涉及</w:t>
                  </w:r>
                  <w:r>
                    <w:rPr>
                      <w:rFonts w:hint="default" w:ascii="Times New Roman" w:hAnsi="Times New Roman" w:eastAsia="宋体" w:cs="Times New Roman"/>
                      <w:color w:val="000000"/>
                      <w:kern w:val="0"/>
                      <w:sz w:val="21"/>
                      <w:szCs w:val="21"/>
                      <w:lang w:eastAsia="zh-CN"/>
                    </w:rPr>
                    <w:t>开采地下水；项目产生的</w:t>
                  </w:r>
                  <w:r>
                    <w:rPr>
                      <w:rFonts w:hint="default" w:ascii="Times New Roman" w:hAnsi="Times New Roman" w:eastAsia="宋体" w:cs="Times New Roman"/>
                      <w:color w:val="000000"/>
                      <w:kern w:val="0"/>
                      <w:sz w:val="21"/>
                      <w:szCs w:val="21"/>
                      <w:lang w:val="en-US" w:eastAsia="zh-CN"/>
                    </w:rPr>
                    <w:t>废气</w:t>
                  </w:r>
                  <w:r>
                    <w:rPr>
                      <w:rFonts w:hint="default" w:ascii="Times New Roman" w:hAnsi="Times New Roman" w:eastAsia="宋体" w:cs="Times New Roman"/>
                      <w:color w:val="000000"/>
                      <w:kern w:val="0"/>
                      <w:sz w:val="21"/>
                      <w:szCs w:val="21"/>
                      <w:lang w:eastAsia="zh-CN"/>
                    </w:rPr>
                    <w:t>经环保设施处理后达标排放，对周围大气环境影响较小，运营期项目</w:t>
                  </w:r>
                  <w:r>
                    <w:rPr>
                      <w:rFonts w:hint="eastAsia" w:ascii="Times New Roman" w:hAnsi="Times New Roman" w:eastAsia="宋体" w:cs="Times New Roman"/>
                      <w:color w:val="000000"/>
                      <w:kern w:val="0"/>
                      <w:sz w:val="21"/>
                      <w:szCs w:val="21"/>
                      <w:lang w:val="en-US" w:eastAsia="zh-CN"/>
                    </w:rPr>
                    <w:t>采取在</w:t>
                  </w:r>
                  <w:r>
                    <w:rPr>
                      <w:rFonts w:hint="default" w:ascii="Times New Roman" w:hAnsi="Times New Roman" w:eastAsia="宋体" w:cs="Times New Roman"/>
                      <w:color w:val="000000"/>
                      <w:kern w:val="0"/>
                      <w:sz w:val="21"/>
                      <w:szCs w:val="21"/>
                      <w:lang w:eastAsia="zh-CN"/>
                    </w:rPr>
                    <w:t>厂界及四周种植绿化</w:t>
                  </w:r>
                  <w:r>
                    <w:rPr>
                      <w:rFonts w:hint="eastAsia" w:ascii="Times New Roman" w:hAnsi="Times New Roman" w:eastAsia="宋体" w:cs="Times New Roman"/>
                      <w:color w:val="000000"/>
                      <w:kern w:val="0"/>
                      <w:sz w:val="21"/>
                      <w:szCs w:val="21"/>
                      <w:lang w:val="en-US" w:eastAsia="zh-CN"/>
                    </w:rPr>
                    <w:t>的措施</w:t>
                  </w:r>
                  <w:r>
                    <w:rPr>
                      <w:rFonts w:hint="default" w:ascii="Times New Roman" w:hAnsi="Times New Roman" w:eastAsia="宋体" w:cs="Times New Roman"/>
                      <w:color w:val="000000"/>
                      <w:kern w:val="0"/>
                      <w:sz w:val="21"/>
                      <w:szCs w:val="21"/>
                      <w:lang w:eastAsia="zh-CN"/>
                    </w:rPr>
                    <w:t>，起到防风固沙</w:t>
                  </w:r>
                  <w:r>
                    <w:rPr>
                      <w:rFonts w:hint="eastAsia" w:ascii="Times New Roman" w:hAnsi="Times New Roman" w:eastAsia="宋体" w:cs="Times New Roman"/>
                      <w:color w:val="000000"/>
                      <w:kern w:val="0"/>
                      <w:sz w:val="21"/>
                      <w:szCs w:val="21"/>
                      <w:lang w:val="en-US" w:eastAsia="zh-CN"/>
                    </w:rPr>
                    <w:t>效果</w:t>
                  </w:r>
                  <w:r>
                    <w:rPr>
                      <w:rFonts w:hint="default" w:ascii="Times New Roman" w:hAnsi="Times New Roman" w:eastAsia="宋体" w:cs="Times New Roman"/>
                      <w:color w:val="000000"/>
                      <w:kern w:val="0"/>
                      <w:sz w:val="21"/>
                      <w:szCs w:val="21"/>
                      <w:lang w:eastAsia="zh-CN"/>
                    </w:rPr>
                    <w:t>，对生态环境保护修复有一定的作用</w:t>
                  </w:r>
                  <w:r>
                    <w:rPr>
                      <w:rFonts w:hint="eastAsia" w:ascii="Times New Roman" w:hAnsi="Times New Roman" w:eastAsia="宋体" w:cs="Times New Roman"/>
                      <w:color w:val="000000"/>
                      <w:kern w:val="0"/>
                      <w:sz w:val="21"/>
                      <w:szCs w:val="21"/>
                      <w:lang w:eastAsia="zh-CN"/>
                    </w:rPr>
                    <w:t>。</w:t>
                  </w:r>
                </w:p>
              </w:tc>
              <w:tc>
                <w:tcPr>
                  <w:tcW w:w="563" w:type="pct"/>
                  <w:tcBorders>
                    <w:tl2br w:val="nil"/>
                    <w:tr2bl w:val="nil"/>
                  </w:tcBorders>
                  <w:noWrap w:val="0"/>
                  <w:vAlign w:val="center"/>
                </w:tcPr>
                <w:p w14:paraId="0F0D4735">
                  <w:pPr>
                    <w:widowControl/>
                    <w:jc w:val="center"/>
                    <w:rPr>
                      <w:rFonts w:hint="default" w:ascii="Times New Roman" w:hAnsi="Times New Roman" w:eastAsia="宋体" w:cs="Times New Roman"/>
                      <w:color w:val="000000"/>
                      <w:kern w:val="0"/>
                      <w:sz w:val="21"/>
                      <w:szCs w:val="21"/>
                      <w:lang w:eastAsia="zh-CN"/>
                    </w:rPr>
                  </w:pPr>
                  <w:r>
                    <w:rPr>
                      <w:rFonts w:hint="default" w:ascii="Times New Roman" w:hAnsi="Times New Roman" w:eastAsia="宋体" w:cs="Times New Roman"/>
                      <w:color w:val="000000"/>
                      <w:kern w:val="0"/>
                      <w:sz w:val="21"/>
                      <w:szCs w:val="21"/>
                      <w:lang w:eastAsia="zh-CN"/>
                    </w:rPr>
                    <w:t>符合</w:t>
                  </w:r>
                </w:p>
              </w:tc>
            </w:tr>
            <w:tr w14:paraId="74E951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92" w:type="pct"/>
                  <w:gridSpan w:val="2"/>
                  <w:tcBorders>
                    <w:tl2br w:val="nil"/>
                    <w:tr2bl w:val="nil"/>
                  </w:tcBorders>
                  <w:noWrap w:val="0"/>
                  <w:vAlign w:val="center"/>
                </w:tcPr>
                <w:p w14:paraId="11E4D6F2">
                  <w:pPr>
                    <w:tabs>
                      <w:tab w:val="left" w:pos="1264"/>
                    </w:tabs>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资源利用上线</w:t>
                  </w:r>
                </w:p>
              </w:tc>
              <w:tc>
                <w:tcPr>
                  <w:tcW w:w="2108" w:type="pct"/>
                  <w:tcBorders>
                    <w:tl2br w:val="nil"/>
                    <w:tr2bl w:val="nil"/>
                  </w:tcBorders>
                  <w:noWrap w:val="0"/>
                  <w:vAlign w:val="center"/>
                </w:tcPr>
                <w:p w14:paraId="5BBB5F12">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强化节约集约利用</w:t>
                  </w:r>
                  <w:r>
                    <w:rPr>
                      <w:rFonts w:hint="eastAsia" w:ascii="Times New Roman" w:hAnsi="Times New Roman" w:eastAsia="宋体" w:cs="Times New Roman"/>
                      <w:color w:val="000000"/>
                      <w:kern w:val="0"/>
                      <w:sz w:val="21"/>
                      <w:szCs w:val="21"/>
                      <w:lang w:eastAsia="zh-CN"/>
                    </w:rPr>
                    <w:t>，</w:t>
                  </w:r>
                  <w:r>
                    <w:rPr>
                      <w:rFonts w:hint="default" w:ascii="Times New Roman" w:hAnsi="Times New Roman" w:eastAsia="宋体" w:cs="Times New Roman"/>
                      <w:color w:val="000000"/>
                      <w:kern w:val="0"/>
                      <w:sz w:val="21"/>
                      <w:szCs w:val="21"/>
                    </w:rPr>
                    <w:t>持续提升资源能源利用效率</w:t>
                  </w:r>
                  <w:r>
                    <w:rPr>
                      <w:rFonts w:hint="eastAsia" w:ascii="Times New Roman" w:hAnsi="Times New Roman" w:eastAsia="宋体" w:cs="Times New Roman"/>
                      <w:color w:val="000000"/>
                      <w:kern w:val="0"/>
                      <w:sz w:val="21"/>
                      <w:szCs w:val="21"/>
                      <w:lang w:eastAsia="zh-CN"/>
                    </w:rPr>
                    <w:t>，</w:t>
                  </w:r>
                  <w:r>
                    <w:rPr>
                      <w:rFonts w:hint="default" w:ascii="Times New Roman" w:hAnsi="Times New Roman" w:eastAsia="宋体" w:cs="Times New Roman"/>
                      <w:color w:val="000000"/>
                      <w:kern w:val="0"/>
                      <w:sz w:val="21"/>
                      <w:szCs w:val="21"/>
                    </w:rPr>
                    <w:t>水资源、土地资源、能源消耗等达到国家、自治区下达的总量和强度控制目标。加快区域低碳发展</w:t>
                  </w:r>
                  <w:r>
                    <w:rPr>
                      <w:rFonts w:hint="eastAsia" w:ascii="Times New Roman" w:hAnsi="Times New Roman" w:eastAsia="宋体" w:cs="Times New Roman"/>
                      <w:color w:val="000000"/>
                      <w:kern w:val="0"/>
                      <w:sz w:val="21"/>
                      <w:szCs w:val="21"/>
                      <w:lang w:eastAsia="zh-CN"/>
                    </w:rPr>
                    <w:t>，</w:t>
                  </w:r>
                  <w:r>
                    <w:rPr>
                      <w:rFonts w:hint="default" w:ascii="Times New Roman" w:hAnsi="Times New Roman" w:eastAsia="宋体" w:cs="Times New Roman"/>
                      <w:color w:val="000000"/>
                      <w:kern w:val="0"/>
                      <w:sz w:val="21"/>
                      <w:szCs w:val="21"/>
                    </w:rPr>
                    <w:t>积极推动乌鲁木齐市、昌吉市、伊宁市、和田市等4个国家级低碳试点城市发挥低碳试点示范和引领作用</w:t>
                  </w:r>
                </w:p>
              </w:tc>
              <w:tc>
                <w:tcPr>
                  <w:tcW w:w="1635" w:type="pct"/>
                  <w:tcBorders>
                    <w:tl2br w:val="nil"/>
                    <w:tr2bl w:val="nil"/>
                  </w:tcBorders>
                  <w:noWrap w:val="0"/>
                  <w:vAlign w:val="center"/>
                </w:tcPr>
                <w:p w14:paraId="294E98E8">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sz w:val="21"/>
                      <w:szCs w:val="21"/>
                    </w:rPr>
                    <w:t>项目运营过程中会消耗电和新鲜水，不会突破地区资源利用配额，符合资源利用上线要求。</w:t>
                  </w:r>
                </w:p>
              </w:tc>
              <w:tc>
                <w:tcPr>
                  <w:tcW w:w="563" w:type="pct"/>
                  <w:tcBorders>
                    <w:tl2br w:val="nil"/>
                    <w:tr2bl w:val="nil"/>
                  </w:tcBorders>
                  <w:noWrap w:val="0"/>
                  <w:vAlign w:val="center"/>
                </w:tcPr>
                <w:p w14:paraId="2C61E08D">
                  <w:pPr>
                    <w:widowControl/>
                    <w:jc w:val="center"/>
                    <w:rPr>
                      <w:rFonts w:hint="default" w:ascii="Times New Roman" w:hAnsi="Times New Roman" w:eastAsia="宋体" w:cs="Times New Roman"/>
                      <w:color w:val="000000"/>
                      <w:kern w:val="0"/>
                      <w:sz w:val="21"/>
                      <w:szCs w:val="21"/>
                      <w:lang w:eastAsia="zh-CN"/>
                    </w:rPr>
                  </w:pPr>
                  <w:r>
                    <w:rPr>
                      <w:rFonts w:hint="default" w:ascii="Times New Roman" w:hAnsi="Times New Roman" w:eastAsia="宋体" w:cs="Times New Roman"/>
                      <w:color w:val="000000"/>
                      <w:kern w:val="0"/>
                      <w:sz w:val="21"/>
                      <w:szCs w:val="21"/>
                      <w:lang w:eastAsia="zh-CN"/>
                    </w:rPr>
                    <w:t>符合</w:t>
                  </w:r>
                </w:p>
              </w:tc>
            </w:tr>
            <w:tr w14:paraId="2EFCC8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46" w:type="pct"/>
                  <w:tcBorders>
                    <w:tl2br w:val="nil"/>
                    <w:tr2bl w:val="nil"/>
                  </w:tcBorders>
                  <w:noWrap w:val="0"/>
                  <w:vAlign w:val="center"/>
                </w:tcPr>
                <w:p w14:paraId="4C1F3592">
                  <w:pPr>
                    <w:tabs>
                      <w:tab w:val="left" w:pos="1264"/>
                    </w:tabs>
                    <w:jc w:val="center"/>
                    <w:rPr>
                      <w:rFonts w:hint="default" w:ascii="Times New Roman" w:hAnsi="Times New Roman" w:eastAsia="宋体" w:cs="Times New Roman"/>
                      <w:sz w:val="21"/>
                      <w:szCs w:val="21"/>
                      <w:lang w:eastAsia="zh-CN"/>
                    </w:rPr>
                  </w:pPr>
                  <w:r>
                    <w:rPr>
                      <w:rFonts w:ascii="Times New Roman"/>
                      <w:color w:val="000000"/>
                      <w:spacing w:val="-10"/>
                      <w:sz w:val="21"/>
                      <w:szCs w:val="21"/>
                    </w:rPr>
                    <w:t>环境管控单元</w:t>
                  </w:r>
                </w:p>
              </w:tc>
              <w:tc>
                <w:tcPr>
                  <w:tcW w:w="346" w:type="pct"/>
                  <w:tcBorders>
                    <w:tl2br w:val="nil"/>
                    <w:tr2bl w:val="nil"/>
                  </w:tcBorders>
                  <w:noWrap w:val="0"/>
                  <w:vAlign w:val="center"/>
                </w:tcPr>
                <w:p w14:paraId="3D720A9B">
                  <w:pPr>
                    <w:tabs>
                      <w:tab w:val="left" w:pos="1264"/>
                    </w:tabs>
                    <w:jc w:val="center"/>
                    <w:rPr>
                      <w:rFonts w:ascii="Times New Roman"/>
                      <w:color w:val="000000"/>
                      <w:spacing w:val="-10"/>
                      <w:sz w:val="21"/>
                      <w:szCs w:val="21"/>
                    </w:rPr>
                  </w:pPr>
                  <w:r>
                    <w:rPr>
                      <w:rFonts w:ascii="Times New Roman"/>
                      <w:color w:val="000000"/>
                      <w:spacing w:val="-10"/>
                      <w:sz w:val="21"/>
                      <w:szCs w:val="21"/>
                    </w:rPr>
                    <w:t>一般管控单元</w:t>
                  </w:r>
                </w:p>
              </w:tc>
              <w:tc>
                <w:tcPr>
                  <w:tcW w:w="2108" w:type="pct"/>
                  <w:tcBorders>
                    <w:tl2br w:val="nil"/>
                    <w:tr2bl w:val="nil"/>
                  </w:tcBorders>
                  <w:noWrap w:val="0"/>
                  <w:vAlign w:val="center"/>
                </w:tcPr>
                <w:p w14:paraId="43C31FA4">
                  <w:pPr>
                    <w:widowControl/>
                    <w:jc w:val="center"/>
                    <w:rPr>
                      <w:rFonts w:hint="default" w:ascii="Times New Roman" w:hAnsi="Times New Roman" w:eastAsia="宋体" w:cs="Times New Roman"/>
                      <w:color w:val="000000"/>
                      <w:kern w:val="0"/>
                      <w:sz w:val="21"/>
                      <w:szCs w:val="21"/>
                    </w:rPr>
                  </w:pPr>
                  <w:r>
                    <w:rPr>
                      <w:rFonts w:ascii="Times New Roman"/>
                      <w:color w:val="000000"/>
                      <w:spacing w:val="-10"/>
                      <w:sz w:val="21"/>
                      <w:szCs w:val="21"/>
                    </w:rPr>
                    <w:t>自治区划定环境管控单元，分为优先保护单元、重点管控单元和一般管控单元三类，实施分类管控。一般管控单元主要落实生态环境保护基本要求，推动区域环境质量持续改善</w:t>
                  </w:r>
                </w:p>
              </w:tc>
              <w:tc>
                <w:tcPr>
                  <w:tcW w:w="1635" w:type="pct"/>
                  <w:tcBorders>
                    <w:tl2br w:val="nil"/>
                    <w:tr2bl w:val="nil"/>
                  </w:tcBorders>
                  <w:noWrap w:val="0"/>
                  <w:vAlign w:val="center"/>
                </w:tcPr>
                <w:p w14:paraId="07922726">
                  <w:pPr>
                    <w:widowControl/>
                    <w:jc w:val="center"/>
                    <w:rPr>
                      <w:rFonts w:hint="default" w:ascii="Times New Roman" w:hAnsi="Times New Roman" w:eastAsia="宋体" w:cs="Times New Roman"/>
                      <w:sz w:val="21"/>
                      <w:szCs w:val="21"/>
                    </w:rPr>
                  </w:pPr>
                  <w:r>
                    <w:rPr>
                      <w:rFonts w:hint="eastAsia" w:ascii="Times New Roman"/>
                      <w:color w:val="000000"/>
                      <w:spacing w:val="-10"/>
                      <w:sz w:val="21"/>
                      <w:szCs w:val="21"/>
                      <w:lang w:val="en-US" w:eastAsia="zh-CN"/>
                    </w:rPr>
                    <w:t>本项目</w:t>
                  </w:r>
                  <w:r>
                    <w:rPr>
                      <w:rFonts w:ascii="Times New Roman"/>
                      <w:color w:val="000000"/>
                      <w:spacing w:val="-10"/>
                      <w:sz w:val="21"/>
                      <w:szCs w:val="21"/>
                    </w:rPr>
                    <w:t>通过采</w:t>
                  </w:r>
                  <w:r>
                    <w:rPr>
                      <w:rFonts w:hint="eastAsia" w:ascii="Times New Roman"/>
                      <w:color w:val="000000"/>
                      <w:spacing w:val="-10"/>
                      <w:sz w:val="21"/>
                      <w:szCs w:val="21"/>
                      <w:lang w:eastAsia="zh-CN"/>
                    </w:rPr>
                    <w:t>取完</w:t>
                  </w:r>
                  <w:r>
                    <w:rPr>
                      <w:rFonts w:ascii="Times New Roman"/>
                      <w:color w:val="000000"/>
                      <w:spacing w:val="-10"/>
                      <w:sz w:val="21"/>
                      <w:szCs w:val="21"/>
                    </w:rPr>
                    <w:t>善的污染治理措施，不会对站址周围大气环境、地表水环境、声环境、地下水、土壤环境产生明显影响</w:t>
                  </w:r>
                </w:p>
              </w:tc>
              <w:tc>
                <w:tcPr>
                  <w:tcW w:w="563" w:type="pct"/>
                  <w:tcBorders>
                    <w:tl2br w:val="nil"/>
                    <w:tr2bl w:val="nil"/>
                  </w:tcBorders>
                  <w:noWrap w:val="0"/>
                  <w:vAlign w:val="center"/>
                </w:tcPr>
                <w:p w14:paraId="7D5AB28D">
                  <w:pPr>
                    <w:widowControl/>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符合</w:t>
                  </w:r>
                </w:p>
              </w:tc>
            </w:tr>
          </w:tbl>
          <w:p w14:paraId="26FBDD47">
            <w:pPr>
              <w:pStyle w:val="55"/>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2"/>
                <w:sz w:val="21"/>
                <w:szCs w:val="21"/>
              </w:rPr>
              <w:t>表1</w:t>
            </w:r>
            <w:r>
              <w:rPr>
                <w:rFonts w:hint="default" w:ascii="Times New Roman" w:hAnsi="Times New Roman" w:eastAsia="宋体" w:cs="Times New Roman"/>
                <w:b/>
                <w:bCs/>
                <w:color w:val="auto"/>
                <w:kern w:val="2"/>
                <w:sz w:val="21"/>
                <w:szCs w:val="21"/>
                <w:lang w:val="en-US" w:eastAsia="zh-CN"/>
              </w:rPr>
              <w:t>-2</w:t>
            </w:r>
            <w:r>
              <w:rPr>
                <w:rFonts w:hint="default" w:ascii="Times New Roman" w:hAnsi="Times New Roman" w:eastAsia="宋体" w:cs="Times New Roman"/>
                <w:b/>
                <w:bCs/>
                <w:color w:val="auto"/>
                <w:kern w:val="2"/>
                <w:sz w:val="21"/>
                <w:szCs w:val="21"/>
              </w:rPr>
              <w:t xml:space="preserve">  《新疆维吾尔自治区七大片区“三线一单”生态环境分区管控要求》（2021年）符合分析</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85"/>
              <w:gridCol w:w="536"/>
              <w:gridCol w:w="2628"/>
              <w:gridCol w:w="1846"/>
              <w:gridCol w:w="675"/>
            </w:tblGrid>
            <w:tr w14:paraId="09E85F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6" w:type="pct"/>
                  <w:tcBorders>
                    <w:tl2br w:val="nil"/>
                    <w:tr2bl w:val="nil"/>
                  </w:tcBorders>
                  <w:noWrap w:val="0"/>
                  <w:vAlign w:val="center"/>
                </w:tcPr>
                <w:p w14:paraId="23A0AB88">
                  <w:pPr>
                    <w:tabs>
                      <w:tab w:val="left" w:pos="1264"/>
                    </w:tabs>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管控要求</w:t>
                  </w:r>
                </w:p>
              </w:tc>
              <w:tc>
                <w:tcPr>
                  <w:tcW w:w="2522" w:type="pct"/>
                  <w:gridSpan w:val="2"/>
                  <w:tcBorders>
                    <w:tl2br w:val="nil"/>
                    <w:tr2bl w:val="nil"/>
                  </w:tcBorders>
                  <w:noWrap w:val="0"/>
                  <w:vAlign w:val="center"/>
                </w:tcPr>
                <w:p w14:paraId="36E552E6">
                  <w:pPr>
                    <w:widowControl/>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“三线一单”要求</w:t>
                  </w:r>
                </w:p>
              </w:tc>
              <w:tc>
                <w:tcPr>
                  <w:tcW w:w="1472" w:type="pct"/>
                  <w:tcBorders>
                    <w:tl2br w:val="nil"/>
                    <w:tr2bl w:val="nil"/>
                  </w:tcBorders>
                  <w:noWrap w:val="0"/>
                  <w:vAlign w:val="center"/>
                </w:tcPr>
                <w:p w14:paraId="392CE048">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工程具体情况</w:t>
                  </w:r>
                </w:p>
              </w:tc>
              <w:tc>
                <w:tcPr>
                  <w:tcW w:w="538" w:type="pct"/>
                  <w:tcBorders>
                    <w:tl2br w:val="nil"/>
                    <w:tr2bl w:val="nil"/>
                  </w:tcBorders>
                  <w:noWrap w:val="0"/>
                  <w:vAlign w:val="center"/>
                </w:tcPr>
                <w:p w14:paraId="21905C53">
                  <w:pPr>
                    <w:widowControl/>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相符性分析</w:t>
                  </w:r>
                </w:p>
              </w:tc>
            </w:tr>
            <w:tr w14:paraId="4D454F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6" w:type="pct"/>
                  <w:vMerge w:val="restart"/>
                  <w:tcBorders>
                    <w:tl2br w:val="nil"/>
                    <w:tr2bl w:val="nil"/>
                  </w:tcBorders>
                  <w:noWrap w:val="0"/>
                  <w:vAlign w:val="center"/>
                </w:tcPr>
                <w:p w14:paraId="1BFE4798">
                  <w:pPr>
                    <w:tabs>
                      <w:tab w:val="left" w:pos="1264"/>
                    </w:tabs>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总体要求</w:t>
                  </w:r>
                </w:p>
              </w:tc>
              <w:tc>
                <w:tcPr>
                  <w:tcW w:w="427" w:type="pct"/>
                  <w:tcBorders>
                    <w:tl2br w:val="nil"/>
                    <w:tr2bl w:val="nil"/>
                  </w:tcBorders>
                  <w:noWrap w:val="0"/>
                  <w:vAlign w:val="center"/>
                </w:tcPr>
                <w:p w14:paraId="2DD76F26">
                  <w:pPr>
                    <w:widowControl/>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空间布局约束</w:t>
                  </w:r>
                </w:p>
              </w:tc>
              <w:tc>
                <w:tcPr>
                  <w:tcW w:w="2095" w:type="pct"/>
                  <w:tcBorders>
                    <w:tl2br w:val="nil"/>
                    <w:tr2bl w:val="nil"/>
                  </w:tcBorders>
                  <w:noWrap w:val="0"/>
                  <w:vAlign w:val="top"/>
                </w:tcPr>
                <w:p w14:paraId="1B7BEFB4">
                  <w:pPr>
                    <w:jc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严格执行国家、自治区产业政策和环境准入要求，严禁“三高”项目进新疆，坚决遏制“两高”项目盲</w:t>
                  </w:r>
                </w:p>
                <w:p w14:paraId="1B0EF641">
                  <w:pPr>
                    <w:jc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目发展。不得在水源涵养区、饮用水水源保护区内和河流、湖泊、水库周围建设重化工、涉重金属等工业污染项目。推动项目集聚发展，新建、改建、扩建工业项目</w:t>
                  </w:r>
                  <w:r>
                    <w:rPr>
                      <w:rFonts w:hint="eastAsia" w:cs="Times New Roman"/>
                      <w:b w:val="0"/>
                      <w:bCs w:val="0"/>
                      <w:sz w:val="21"/>
                      <w:szCs w:val="21"/>
                      <w:lang w:eastAsia="zh-CN"/>
                    </w:rPr>
                    <w:t>原则上</w:t>
                  </w:r>
                  <w:r>
                    <w:rPr>
                      <w:rFonts w:hint="default" w:ascii="Times New Roman" w:hAnsi="Times New Roman" w:eastAsia="宋体" w:cs="Times New Roman"/>
                      <w:b w:val="0"/>
                      <w:bCs w:val="0"/>
                      <w:sz w:val="21"/>
                      <w:szCs w:val="21"/>
                    </w:rPr>
                    <w:t>应布置于由县级及以上人民政府批准建立、环境保护基础设施完善的产业园区、工业聚集区或规划矿区，并且符合相关规划和规划环评要求。</w:t>
                  </w:r>
                </w:p>
              </w:tc>
              <w:tc>
                <w:tcPr>
                  <w:tcW w:w="1472" w:type="pct"/>
                  <w:tcBorders>
                    <w:tl2br w:val="nil"/>
                    <w:tr2bl w:val="nil"/>
                  </w:tcBorders>
                  <w:noWrap w:val="0"/>
                  <w:vAlign w:val="top"/>
                </w:tcPr>
                <w:p w14:paraId="55005C5C">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sz w:val="21"/>
                      <w:szCs w:val="21"/>
                    </w:rPr>
                    <w:t>本项目不属于禁</w:t>
                  </w:r>
                  <w:r>
                    <w:rPr>
                      <w:rFonts w:hint="default" w:ascii="Times New Roman" w:hAnsi="Times New Roman" w:eastAsia="宋体" w:cs="Times New Roman"/>
                      <w:color w:val="auto"/>
                      <w:sz w:val="21"/>
                      <w:szCs w:val="21"/>
                    </w:rPr>
                    <w:t>止类及限制类项目，属于允许类，符合产业政策和环境准入要求。项目不属于高污染、高能耗行业；本项目选址于</w:t>
                  </w:r>
                  <w:r>
                    <w:rPr>
                      <w:rFonts w:hint="eastAsia" w:ascii="Times New Roman" w:hAnsi="Times New Roman" w:eastAsia="宋体" w:cs="Times New Roman"/>
                      <w:color w:val="auto"/>
                      <w:sz w:val="21"/>
                      <w:szCs w:val="21"/>
                      <w:lang w:eastAsia="zh-CN"/>
                    </w:rPr>
                    <w:t>新疆巴州库尔勒市</w:t>
                  </w:r>
                  <w:r>
                    <w:rPr>
                      <w:rFonts w:hint="eastAsia" w:cs="Times New Roman"/>
                      <w:color w:val="auto"/>
                      <w:sz w:val="21"/>
                      <w:szCs w:val="21"/>
                      <w:lang w:eastAsia="zh-CN"/>
                    </w:rPr>
                    <w:t>塔什店镇特变电工西侧</w:t>
                  </w:r>
                  <w:r>
                    <w:rPr>
                      <w:rFonts w:hint="default" w:ascii="Times New Roman" w:hAnsi="Times New Roman" w:eastAsia="宋体" w:cs="Times New Roman"/>
                      <w:color w:val="auto"/>
                      <w:sz w:val="21"/>
                      <w:szCs w:val="21"/>
                      <w:lang w:eastAsia="zh-CN"/>
                    </w:rPr>
                    <w:t>，</w:t>
                  </w:r>
                  <w:r>
                    <w:rPr>
                      <w:rFonts w:hint="eastAsia" w:cs="Times New Roman"/>
                      <w:color w:val="auto"/>
                      <w:sz w:val="21"/>
                      <w:szCs w:val="21"/>
                      <w:lang w:val="en-US" w:eastAsia="zh-CN"/>
                    </w:rPr>
                    <w:t>符合库尔勒市国土空间规划</w:t>
                  </w:r>
                  <w:r>
                    <w:rPr>
                      <w:rFonts w:hint="eastAsia" w:ascii="Times New Roman" w:hAnsi="Times New Roman" w:eastAsia="宋体" w:cs="Times New Roman"/>
                      <w:b w:val="0"/>
                      <w:bCs/>
                      <w:color w:val="auto"/>
                      <w:sz w:val="21"/>
                      <w:szCs w:val="21"/>
                      <w:highlight w:val="none"/>
                      <w:vertAlign w:val="baseline"/>
                      <w:lang w:val="en-US" w:eastAsia="zh-CN"/>
                    </w:rPr>
                    <w:t>。</w:t>
                  </w:r>
                </w:p>
              </w:tc>
              <w:tc>
                <w:tcPr>
                  <w:tcW w:w="538" w:type="pct"/>
                  <w:tcBorders>
                    <w:tl2br w:val="nil"/>
                    <w:tr2bl w:val="nil"/>
                  </w:tcBorders>
                  <w:noWrap w:val="0"/>
                  <w:vAlign w:val="center"/>
                </w:tcPr>
                <w:p w14:paraId="6CCD481B">
                  <w:pPr>
                    <w:tabs>
                      <w:tab w:val="left" w:pos="1264"/>
                    </w:tabs>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                                                                         合</w:t>
                  </w:r>
                </w:p>
              </w:tc>
            </w:tr>
            <w:tr w14:paraId="31F9EC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6" w:type="pct"/>
                  <w:vMerge w:val="continue"/>
                  <w:tcBorders>
                    <w:tl2br w:val="nil"/>
                    <w:tr2bl w:val="nil"/>
                  </w:tcBorders>
                  <w:noWrap w:val="0"/>
                  <w:vAlign w:val="center"/>
                </w:tcPr>
                <w:p w14:paraId="11AF8A02">
                  <w:pPr>
                    <w:tabs>
                      <w:tab w:val="left" w:pos="1264"/>
                    </w:tabs>
                    <w:jc w:val="center"/>
                    <w:rPr>
                      <w:rFonts w:hint="default" w:ascii="Times New Roman" w:hAnsi="Times New Roman" w:eastAsia="宋体" w:cs="Times New Roman"/>
                      <w:sz w:val="21"/>
                      <w:szCs w:val="21"/>
                    </w:rPr>
                  </w:pPr>
                </w:p>
              </w:tc>
              <w:tc>
                <w:tcPr>
                  <w:tcW w:w="427" w:type="pct"/>
                  <w:tcBorders>
                    <w:tl2br w:val="nil"/>
                    <w:tr2bl w:val="nil"/>
                  </w:tcBorders>
                  <w:noWrap w:val="0"/>
                  <w:vAlign w:val="center"/>
                </w:tcPr>
                <w:p w14:paraId="63AC7312">
                  <w:pPr>
                    <w:widowControl/>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污染</w:t>
                  </w:r>
                </w:p>
                <w:p w14:paraId="2613C000">
                  <w:pPr>
                    <w:widowControl/>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物排</w:t>
                  </w:r>
                </w:p>
                <w:p w14:paraId="1D65D684">
                  <w:pPr>
                    <w:widowControl/>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放管</w:t>
                  </w:r>
                </w:p>
                <w:p w14:paraId="35EBF414">
                  <w:pPr>
                    <w:widowControl/>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控</w:t>
                  </w:r>
                </w:p>
              </w:tc>
              <w:tc>
                <w:tcPr>
                  <w:tcW w:w="2095" w:type="pct"/>
                  <w:tcBorders>
                    <w:tl2br w:val="nil"/>
                    <w:tr2bl w:val="nil"/>
                  </w:tcBorders>
                  <w:noWrap w:val="0"/>
                  <w:vAlign w:val="top"/>
                </w:tcPr>
                <w:p w14:paraId="0691C734">
                  <w:pPr>
                    <w:pStyle w:val="55"/>
                    <w:jc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深化行业污染源头治理，深入开展火电行业减排，全力推进钢铁行业超低排放改造，有序推进石化行业“泄漏检测与修复”技术改造。强化煤化工、石化、有机化工、表面涂装、包装印刷等重点行业挥发性有机物控制。深入开展燃煤锅炉污染综合整治，深化工业炉窑综合治理。加强“散乱污”</w:t>
                  </w:r>
                </w:p>
                <w:p w14:paraId="1C16CAF6">
                  <w:pPr>
                    <w:pStyle w:val="55"/>
                    <w:jc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企业综合整治。优化区域交通运输结构，加快货物运输绿色转型</w:t>
                  </w:r>
                  <w:r>
                    <w:rPr>
                      <w:rFonts w:hint="eastAsia" w:ascii="Times New Roman" w:hAnsi="Times New Roman" w:eastAsia="宋体" w:cs="Times New Roman"/>
                      <w:b w:val="0"/>
                      <w:bCs w:val="0"/>
                      <w:sz w:val="21"/>
                      <w:szCs w:val="21"/>
                      <w:lang w:eastAsia="zh-CN"/>
                    </w:rPr>
                    <w:t>，</w:t>
                  </w:r>
                  <w:r>
                    <w:rPr>
                      <w:rFonts w:hint="default" w:ascii="Times New Roman" w:hAnsi="Times New Roman" w:eastAsia="宋体" w:cs="Times New Roman"/>
                      <w:b w:val="0"/>
                      <w:bCs w:val="0"/>
                      <w:sz w:val="21"/>
                      <w:szCs w:val="21"/>
                    </w:rPr>
                    <w:t>做好车油联合管控。以改善流域水环境质量为核心，强化源头控制，“一河</w:t>
                  </w:r>
                  <w:r>
                    <w:rPr>
                      <w:rFonts w:hint="eastAsia" w:ascii="Times New Roman" w:hAnsi="Times New Roman" w:eastAsia="宋体" w:cs="Times New Roman"/>
                      <w:b w:val="0"/>
                      <w:bCs w:val="0"/>
                      <w:sz w:val="21"/>
                      <w:szCs w:val="21"/>
                      <w:lang w:eastAsia="zh-CN"/>
                    </w:rPr>
                    <w:t>（</w:t>
                  </w:r>
                  <w:r>
                    <w:rPr>
                      <w:rFonts w:hint="default" w:ascii="Times New Roman" w:hAnsi="Times New Roman" w:eastAsia="宋体" w:cs="Times New Roman"/>
                      <w:b w:val="0"/>
                      <w:bCs w:val="0"/>
                      <w:sz w:val="21"/>
                      <w:szCs w:val="21"/>
                    </w:rPr>
                    <w:t>湖</w:t>
                  </w:r>
                  <w:r>
                    <w:rPr>
                      <w:rFonts w:hint="eastAsia" w:ascii="Times New Roman" w:hAnsi="Times New Roman" w:eastAsia="宋体" w:cs="Times New Roman"/>
                      <w:b w:val="0"/>
                      <w:bCs w:val="0"/>
                      <w:sz w:val="21"/>
                      <w:szCs w:val="21"/>
                      <w:lang w:eastAsia="zh-CN"/>
                    </w:rPr>
                    <w:t>）</w:t>
                  </w:r>
                  <w:r>
                    <w:rPr>
                      <w:rFonts w:hint="default" w:ascii="Times New Roman" w:hAnsi="Times New Roman" w:eastAsia="宋体" w:cs="Times New Roman"/>
                      <w:b w:val="0"/>
                      <w:bCs w:val="0"/>
                      <w:sz w:val="21"/>
                      <w:szCs w:val="21"/>
                    </w:rPr>
                    <w:t>一策”精准施治，减少水污染物排放，持续改善</w:t>
                  </w:r>
                </w:p>
                <w:p w14:paraId="26413D15">
                  <w:pPr>
                    <w:pStyle w:val="55"/>
                    <w:jc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水环境质量。强化园区</w:t>
                  </w:r>
                  <w:r>
                    <w:rPr>
                      <w:rFonts w:hint="eastAsia" w:ascii="Times New Roman" w:hAnsi="Times New Roman" w:eastAsia="宋体" w:cs="Times New Roman"/>
                      <w:b w:val="0"/>
                      <w:bCs w:val="0"/>
                      <w:sz w:val="21"/>
                      <w:szCs w:val="21"/>
                      <w:lang w:eastAsia="zh-CN"/>
                    </w:rPr>
                    <w:t>（</w:t>
                  </w:r>
                  <w:r>
                    <w:rPr>
                      <w:rFonts w:hint="default" w:ascii="Times New Roman" w:hAnsi="Times New Roman" w:eastAsia="宋体" w:cs="Times New Roman"/>
                      <w:b w:val="0"/>
                      <w:bCs w:val="0"/>
                      <w:sz w:val="21"/>
                      <w:szCs w:val="21"/>
                    </w:rPr>
                    <w:t>工业集聚区</w:t>
                  </w:r>
                  <w:r>
                    <w:rPr>
                      <w:rFonts w:hint="eastAsia" w:ascii="Times New Roman" w:hAnsi="Times New Roman" w:eastAsia="宋体" w:cs="Times New Roman"/>
                      <w:b w:val="0"/>
                      <w:bCs w:val="0"/>
                      <w:sz w:val="21"/>
                      <w:szCs w:val="21"/>
                      <w:lang w:eastAsia="zh-CN"/>
                    </w:rPr>
                    <w:t>）</w:t>
                  </w:r>
                  <w:r>
                    <w:rPr>
                      <w:rFonts w:hint="default" w:ascii="Times New Roman" w:hAnsi="Times New Roman" w:eastAsia="宋体" w:cs="Times New Roman"/>
                      <w:b w:val="0"/>
                      <w:bCs w:val="0"/>
                      <w:sz w:val="21"/>
                      <w:szCs w:val="21"/>
                    </w:rPr>
                    <w:t>水污染防治，不断提高工业用水重复利用率。加快实施城镇污水处理设施提质增效，补齐生活污水收集和处理设施短板，提高再生水回用比例。持续推进农业农村污染防治。提升土壤环境监管能力，加强污染地块安全利用监管。强化工矿用地管理，严格建设用地土壤环境风险管控。加强农用地土壤污染源头控制，科学施用化肥农药，提高农膜回收率。</w:t>
                  </w:r>
                </w:p>
              </w:tc>
              <w:tc>
                <w:tcPr>
                  <w:tcW w:w="1472" w:type="pct"/>
                  <w:tcBorders>
                    <w:tl2br w:val="nil"/>
                    <w:tr2bl w:val="nil"/>
                  </w:tcBorders>
                  <w:noWrap w:val="0"/>
                  <w:vAlign w:val="top"/>
                </w:tcPr>
                <w:p w14:paraId="3EEADD9C">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本项目属于</w:t>
                  </w:r>
                  <w:r>
                    <w:rPr>
                      <w:rFonts w:hint="eastAsia" w:cs="Times New Roman"/>
                      <w:color w:val="000000"/>
                      <w:kern w:val="0"/>
                      <w:sz w:val="21"/>
                      <w:szCs w:val="21"/>
                      <w:lang w:val="en-US" w:eastAsia="zh-CN"/>
                    </w:rPr>
                    <w:t>煤炭储存、集运</w:t>
                  </w:r>
                  <w:r>
                    <w:rPr>
                      <w:rFonts w:hint="default" w:ascii="Times New Roman" w:hAnsi="Times New Roman" w:eastAsia="宋体" w:cs="Times New Roman"/>
                      <w:color w:val="000000"/>
                      <w:kern w:val="0"/>
                      <w:sz w:val="21"/>
                      <w:szCs w:val="21"/>
                    </w:rPr>
                    <w:t>，</w:t>
                  </w:r>
                  <w:r>
                    <w:rPr>
                      <w:rFonts w:hint="default" w:ascii="Times New Roman" w:hAnsi="Times New Roman" w:eastAsia="宋体" w:cs="Times New Roman"/>
                      <w:b w:val="0"/>
                      <w:bCs/>
                      <w:color w:val="auto"/>
                      <w:sz w:val="21"/>
                      <w:szCs w:val="21"/>
                      <w:highlight w:val="none"/>
                      <w:vertAlign w:val="baseline"/>
                      <w:lang w:val="en-US" w:eastAsia="zh-CN"/>
                    </w:rPr>
                    <w:t>项目生产供热采用</w:t>
                  </w:r>
                  <w:r>
                    <w:rPr>
                      <w:rFonts w:hint="eastAsia" w:cs="Times New Roman"/>
                      <w:b w:val="0"/>
                      <w:bCs/>
                      <w:color w:val="auto"/>
                      <w:sz w:val="21"/>
                      <w:szCs w:val="21"/>
                      <w:highlight w:val="none"/>
                      <w:vertAlign w:val="baseline"/>
                      <w:lang w:val="en-US" w:eastAsia="zh-CN"/>
                    </w:rPr>
                    <w:t>电采暖</w:t>
                  </w:r>
                  <w:r>
                    <w:rPr>
                      <w:rFonts w:hint="default" w:ascii="Times New Roman" w:hAnsi="Times New Roman" w:eastAsia="宋体" w:cs="Times New Roman"/>
                      <w:b w:val="0"/>
                      <w:bCs/>
                      <w:color w:val="auto"/>
                      <w:sz w:val="21"/>
                      <w:szCs w:val="21"/>
                      <w:highlight w:val="none"/>
                      <w:vertAlign w:val="baseline"/>
                      <w:lang w:val="en-US" w:eastAsia="zh-CN"/>
                    </w:rPr>
                    <w:t>，不采用煤</w:t>
                  </w:r>
                  <w:r>
                    <w:rPr>
                      <w:rFonts w:hint="eastAsia" w:ascii="Times New Roman" w:hAnsi="Times New Roman" w:eastAsia="宋体" w:cs="Times New Roman"/>
                      <w:b w:val="0"/>
                      <w:bCs/>
                      <w:color w:val="auto"/>
                      <w:sz w:val="21"/>
                      <w:szCs w:val="21"/>
                      <w:highlight w:val="none"/>
                      <w:vertAlign w:val="baseline"/>
                      <w:lang w:val="en-US" w:eastAsia="zh-CN"/>
                    </w:rPr>
                    <w:t>等</w:t>
                  </w:r>
                  <w:r>
                    <w:rPr>
                      <w:rFonts w:hint="default" w:ascii="Times New Roman" w:hAnsi="Times New Roman" w:eastAsia="宋体" w:cs="Times New Roman"/>
                      <w:b w:val="0"/>
                      <w:bCs/>
                      <w:color w:val="auto"/>
                      <w:sz w:val="21"/>
                      <w:szCs w:val="21"/>
                      <w:highlight w:val="none"/>
                      <w:vertAlign w:val="baseline"/>
                      <w:lang w:val="en-US" w:eastAsia="zh-CN"/>
                    </w:rPr>
                    <w:t>重污染燃料</w:t>
                  </w:r>
                  <w:r>
                    <w:rPr>
                      <w:rFonts w:hint="default" w:ascii="Times New Roman" w:hAnsi="Times New Roman" w:eastAsia="宋体" w:cs="Times New Roman"/>
                      <w:color w:val="auto"/>
                      <w:kern w:val="0"/>
                      <w:sz w:val="21"/>
                      <w:szCs w:val="21"/>
                    </w:rPr>
                    <w:t>。</w:t>
                  </w:r>
                  <w:r>
                    <w:rPr>
                      <w:rFonts w:hint="default" w:ascii="Times New Roman" w:hAnsi="Times New Roman" w:eastAsia="宋体" w:cs="Times New Roman"/>
                      <w:b w:val="0"/>
                      <w:bCs/>
                      <w:color w:val="auto"/>
                      <w:sz w:val="21"/>
                      <w:szCs w:val="21"/>
                      <w:highlight w:val="none"/>
                      <w:vertAlign w:val="baseline"/>
                      <w:lang w:val="en-US" w:eastAsia="zh-CN"/>
                    </w:rPr>
                    <w:t>项目不涉及饮用水源等环境敏感区域</w:t>
                  </w:r>
                  <w:r>
                    <w:rPr>
                      <w:rFonts w:hint="eastAsia" w:cs="Times New Roman"/>
                      <w:b w:val="0"/>
                      <w:bCs/>
                      <w:color w:val="auto"/>
                      <w:sz w:val="21"/>
                      <w:szCs w:val="21"/>
                      <w:highlight w:val="none"/>
                      <w:vertAlign w:val="baseline"/>
                      <w:lang w:val="en-US" w:eastAsia="zh-CN"/>
                    </w:rPr>
                    <w:t>。</w:t>
                  </w:r>
                  <w:r>
                    <w:rPr>
                      <w:rFonts w:hint="default" w:ascii="Times New Roman" w:hAnsi="Times New Roman" w:eastAsia="宋体" w:cs="Times New Roman"/>
                      <w:b w:val="0"/>
                      <w:bCs/>
                      <w:color w:val="auto"/>
                      <w:sz w:val="21"/>
                      <w:szCs w:val="21"/>
                      <w:highlight w:val="none"/>
                      <w:vertAlign w:val="baseline"/>
                      <w:lang w:val="en-US" w:eastAsia="zh-CN"/>
                    </w:rPr>
                    <w:t>项目生产废水沉淀后用于项目区洒水抑尘</w:t>
                  </w:r>
                  <w:r>
                    <w:rPr>
                      <w:rFonts w:hint="eastAsia" w:cs="Times New Roman"/>
                      <w:b w:val="0"/>
                      <w:bCs/>
                      <w:color w:val="auto"/>
                      <w:sz w:val="21"/>
                      <w:szCs w:val="21"/>
                      <w:highlight w:val="none"/>
                      <w:vertAlign w:val="baseline"/>
                      <w:lang w:val="en-US" w:eastAsia="zh-CN"/>
                    </w:rPr>
                    <w:t>并</w:t>
                  </w:r>
                  <w:r>
                    <w:rPr>
                      <w:rFonts w:hint="default" w:ascii="Times New Roman" w:hAnsi="Times New Roman" w:eastAsia="宋体" w:cs="Times New Roman"/>
                      <w:b w:val="0"/>
                      <w:bCs/>
                      <w:color w:val="auto"/>
                      <w:sz w:val="21"/>
                      <w:szCs w:val="21"/>
                      <w:highlight w:val="none"/>
                      <w:shd w:val="clear" w:color="auto" w:fill="auto"/>
                      <w:vertAlign w:val="baseline"/>
                      <w:lang w:val="en-US" w:eastAsia="zh-CN"/>
                    </w:rPr>
                    <w:t>循环使用，</w:t>
                  </w:r>
                  <w:r>
                    <w:rPr>
                      <w:rFonts w:hint="eastAsia" w:ascii="Times New Roman" w:hAnsi="Times New Roman" w:eastAsia="宋体" w:cs="Times New Roman"/>
                      <w:b w:val="0"/>
                      <w:bCs/>
                      <w:color w:val="auto"/>
                      <w:sz w:val="21"/>
                      <w:szCs w:val="21"/>
                      <w:highlight w:val="none"/>
                      <w:shd w:val="clear" w:color="auto" w:fill="auto"/>
                      <w:vertAlign w:val="baseline"/>
                      <w:lang w:val="en-US" w:eastAsia="zh-CN"/>
                    </w:rPr>
                    <w:t>不外排；</w:t>
                  </w:r>
                  <w:r>
                    <w:rPr>
                      <w:rFonts w:hint="default" w:ascii="Times New Roman" w:hAnsi="Times New Roman" w:eastAsia="宋体" w:cs="Times New Roman"/>
                      <w:b w:val="0"/>
                      <w:bCs/>
                      <w:color w:val="auto"/>
                      <w:sz w:val="21"/>
                      <w:szCs w:val="21"/>
                      <w:highlight w:val="none"/>
                      <w:vertAlign w:val="baseline"/>
                      <w:lang w:val="en-US" w:eastAsia="zh-CN"/>
                    </w:rPr>
                    <w:t>生活污水经化粪池处理后定期清运至</w:t>
                  </w:r>
                  <w:r>
                    <w:rPr>
                      <w:rFonts w:hint="eastAsia" w:cs="Times New Roman"/>
                      <w:b w:val="0"/>
                      <w:bCs/>
                      <w:color w:val="auto"/>
                      <w:sz w:val="21"/>
                      <w:szCs w:val="21"/>
                      <w:highlight w:val="none"/>
                      <w:vertAlign w:val="baseline"/>
                      <w:lang w:val="en-US" w:eastAsia="zh-CN"/>
                    </w:rPr>
                    <w:t>河北巴州生态产业园污水处理厂</w:t>
                  </w:r>
                  <w:r>
                    <w:rPr>
                      <w:rFonts w:hint="default" w:ascii="Times New Roman" w:hAnsi="Times New Roman" w:eastAsia="宋体" w:cs="Times New Roman"/>
                      <w:b w:val="0"/>
                      <w:bCs/>
                      <w:color w:val="auto"/>
                      <w:sz w:val="21"/>
                      <w:szCs w:val="21"/>
                      <w:highlight w:val="none"/>
                      <w:vertAlign w:val="baseline"/>
                      <w:lang w:val="en-US" w:eastAsia="zh-CN"/>
                    </w:rPr>
                    <w:t>处理。项目厂区采取硬化措施，正常情况下本项目运营对项目区土壤环境</w:t>
                  </w:r>
                  <w:r>
                    <w:rPr>
                      <w:rFonts w:hint="eastAsia" w:ascii="Times New Roman" w:hAnsi="Times New Roman" w:eastAsia="宋体" w:cs="Times New Roman"/>
                      <w:b w:val="0"/>
                      <w:bCs/>
                      <w:color w:val="auto"/>
                      <w:sz w:val="21"/>
                      <w:szCs w:val="21"/>
                      <w:highlight w:val="none"/>
                      <w:vertAlign w:val="baseline"/>
                      <w:lang w:val="en-US" w:eastAsia="zh-CN"/>
                    </w:rPr>
                    <w:t>及地下水环境产生的不良影响很小</w:t>
                  </w:r>
                  <w:r>
                    <w:rPr>
                      <w:rFonts w:hint="default" w:ascii="Times New Roman" w:hAnsi="Times New Roman" w:eastAsia="宋体" w:cs="Times New Roman"/>
                      <w:b w:val="0"/>
                      <w:bCs/>
                      <w:color w:val="auto"/>
                      <w:sz w:val="21"/>
                      <w:szCs w:val="21"/>
                      <w:highlight w:val="none"/>
                      <w:vertAlign w:val="baseline"/>
                      <w:lang w:val="en-US" w:eastAsia="zh-CN"/>
                    </w:rPr>
                    <w:t>。</w:t>
                  </w:r>
                </w:p>
              </w:tc>
              <w:tc>
                <w:tcPr>
                  <w:tcW w:w="538" w:type="pct"/>
                  <w:tcBorders>
                    <w:tl2br w:val="nil"/>
                    <w:tr2bl w:val="nil"/>
                  </w:tcBorders>
                  <w:noWrap w:val="0"/>
                  <w:vAlign w:val="center"/>
                </w:tcPr>
                <w:p w14:paraId="2F3C7B5F">
                  <w:pPr>
                    <w:tabs>
                      <w:tab w:val="left" w:pos="1264"/>
                    </w:tabs>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w:t>
                  </w:r>
                </w:p>
              </w:tc>
            </w:tr>
            <w:tr w14:paraId="7EF34D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6" w:type="pct"/>
                  <w:vMerge w:val="continue"/>
                  <w:tcBorders>
                    <w:tl2br w:val="nil"/>
                    <w:tr2bl w:val="nil"/>
                  </w:tcBorders>
                  <w:noWrap w:val="0"/>
                  <w:vAlign w:val="center"/>
                </w:tcPr>
                <w:p w14:paraId="65CA01E9">
                  <w:pPr>
                    <w:tabs>
                      <w:tab w:val="left" w:pos="1264"/>
                    </w:tabs>
                    <w:jc w:val="center"/>
                    <w:rPr>
                      <w:rFonts w:hint="default" w:ascii="Times New Roman" w:hAnsi="Times New Roman" w:eastAsia="宋体" w:cs="Times New Roman"/>
                      <w:sz w:val="21"/>
                      <w:szCs w:val="21"/>
                    </w:rPr>
                  </w:pPr>
                </w:p>
              </w:tc>
              <w:tc>
                <w:tcPr>
                  <w:tcW w:w="427" w:type="pct"/>
                  <w:tcBorders>
                    <w:tl2br w:val="nil"/>
                    <w:tr2bl w:val="nil"/>
                  </w:tcBorders>
                  <w:noWrap w:val="0"/>
                  <w:vAlign w:val="center"/>
                </w:tcPr>
                <w:p w14:paraId="2EDA4535">
                  <w:pPr>
                    <w:widowControl/>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环境风险防控</w:t>
                  </w:r>
                </w:p>
              </w:tc>
              <w:tc>
                <w:tcPr>
                  <w:tcW w:w="2095" w:type="pct"/>
                  <w:tcBorders>
                    <w:tl2br w:val="nil"/>
                    <w:tr2bl w:val="nil"/>
                  </w:tcBorders>
                  <w:noWrap w:val="0"/>
                  <w:vAlign w:val="top"/>
                </w:tcPr>
                <w:p w14:paraId="1052DADB">
                  <w:pPr>
                    <w:pStyle w:val="55"/>
                    <w:jc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禁止在化工园区外新建、扩建危险化学品生产项目。严格落实危险废物处置相关要求。加强重点流域水环境风险管控，保障水环境安全。</w:t>
                  </w:r>
                </w:p>
              </w:tc>
              <w:tc>
                <w:tcPr>
                  <w:tcW w:w="1472" w:type="pct"/>
                  <w:tcBorders>
                    <w:tl2br w:val="nil"/>
                    <w:tr2bl w:val="nil"/>
                  </w:tcBorders>
                  <w:noWrap w:val="0"/>
                  <w:vAlign w:val="top"/>
                </w:tcPr>
                <w:p w14:paraId="4D18E99D">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sz w:val="21"/>
                      <w:szCs w:val="21"/>
                      <w:lang w:eastAsia="zh-CN"/>
                    </w:rPr>
                    <w:t>项目</w:t>
                  </w:r>
                  <w:r>
                    <w:rPr>
                      <w:rFonts w:hint="default" w:ascii="Times New Roman" w:hAnsi="Times New Roman" w:eastAsia="宋体" w:cs="Times New Roman"/>
                      <w:sz w:val="21"/>
                      <w:szCs w:val="21"/>
                    </w:rPr>
                    <w:t>不涉及高风险化学品生产、使用，</w:t>
                  </w:r>
                  <w:r>
                    <w:rPr>
                      <w:rFonts w:hint="default" w:ascii="Times New Roman" w:hAnsi="Times New Roman" w:eastAsia="宋体" w:cs="Times New Roman"/>
                      <w:color w:val="000000"/>
                      <w:kern w:val="0"/>
                      <w:sz w:val="21"/>
                      <w:szCs w:val="21"/>
                    </w:rPr>
                    <w:t>运营期产生的危险废物处置符合有关规定要求。</w:t>
                  </w:r>
                </w:p>
              </w:tc>
              <w:tc>
                <w:tcPr>
                  <w:tcW w:w="538" w:type="pct"/>
                  <w:tcBorders>
                    <w:tl2br w:val="nil"/>
                    <w:tr2bl w:val="nil"/>
                  </w:tcBorders>
                  <w:noWrap w:val="0"/>
                  <w:vAlign w:val="center"/>
                </w:tcPr>
                <w:p w14:paraId="44AFE456">
                  <w:pPr>
                    <w:tabs>
                      <w:tab w:val="left" w:pos="1264"/>
                    </w:tabs>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w:t>
                  </w:r>
                </w:p>
              </w:tc>
            </w:tr>
            <w:tr w14:paraId="3CCCD4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6" w:type="pct"/>
                  <w:vMerge w:val="continue"/>
                  <w:tcBorders>
                    <w:tl2br w:val="nil"/>
                    <w:tr2bl w:val="nil"/>
                  </w:tcBorders>
                  <w:noWrap w:val="0"/>
                  <w:vAlign w:val="center"/>
                </w:tcPr>
                <w:p w14:paraId="3FE88726">
                  <w:pPr>
                    <w:tabs>
                      <w:tab w:val="left" w:pos="1264"/>
                    </w:tabs>
                    <w:jc w:val="center"/>
                    <w:rPr>
                      <w:rFonts w:hint="default" w:ascii="Times New Roman" w:hAnsi="Times New Roman" w:eastAsia="宋体" w:cs="Times New Roman"/>
                      <w:sz w:val="21"/>
                      <w:szCs w:val="21"/>
                    </w:rPr>
                  </w:pPr>
                </w:p>
              </w:tc>
              <w:tc>
                <w:tcPr>
                  <w:tcW w:w="427" w:type="pct"/>
                  <w:tcBorders>
                    <w:tl2br w:val="nil"/>
                    <w:tr2bl w:val="nil"/>
                  </w:tcBorders>
                  <w:noWrap w:val="0"/>
                  <w:vAlign w:val="center"/>
                </w:tcPr>
                <w:p w14:paraId="60ADF4B0">
                  <w:pPr>
                    <w:widowControl/>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资源利用效率要求</w:t>
                  </w:r>
                </w:p>
              </w:tc>
              <w:tc>
                <w:tcPr>
                  <w:tcW w:w="2095" w:type="pct"/>
                  <w:tcBorders>
                    <w:tl2br w:val="nil"/>
                    <w:tr2bl w:val="nil"/>
                  </w:tcBorders>
                  <w:noWrap w:val="0"/>
                  <w:vAlign w:val="top"/>
                </w:tcPr>
                <w:p w14:paraId="459ED94F">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优化能源结构，控制煤炭等化石能源使用量，鼓励使用清洁能源，协同推进减污降碳。全面实施节水工程，合理开发利用水资源，提升水资源利用效率，保障生态用水，严防地下水超采</w:t>
                  </w:r>
                </w:p>
              </w:tc>
              <w:tc>
                <w:tcPr>
                  <w:tcW w:w="1472" w:type="pct"/>
                  <w:tcBorders>
                    <w:tl2br w:val="nil"/>
                    <w:tr2bl w:val="nil"/>
                  </w:tcBorders>
                  <w:noWrap w:val="0"/>
                  <w:vAlign w:val="top"/>
                </w:tcPr>
                <w:p w14:paraId="1BFF514E">
                  <w:pPr>
                    <w:widowControl/>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项目运营过程中供水</w:t>
                  </w:r>
                  <w:r>
                    <w:rPr>
                      <w:rFonts w:hint="default" w:ascii="Times New Roman" w:hAnsi="Times New Roman" w:eastAsia="宋体" w:cs="Times New Roman"/>
                      <w:sz w:val="21"/>
                      <w:szCs w:val="21"/>
                      <w:lang w:eastAsia="zh-CN"/>
                    </w:rPr>
                    <w:t>为市政用水，不开采地下水</w:t>
                  </w:r>
                  <w:r>
                    <w:rPr>
                      <w:rFonts w:hint="default" w:ascii="Times New Roman" w:hAnsi="Times New Roman" w:eastAsia="宋体" w:cs="Times New Roman"/>
                      <w:sz w:val="21"/>
                      <w:szCs w:val="21"/>
                    </w:rPr>
                    <w:t>，项目运营期间</w:t>
                  </w:r>
                  <w:r>
                    <w:rPr>
                      <w:rFonts w:hint="default" w:ascii="Times New Roman" w:hAnsi="Times New Roman" w:eastAsia="宋体" w:cs="Times New Roman"/>
                      <w:sz w:val="21"/>
                      <w:szCs w:val="21"/>
                      <w:lang w:eastAsia="zh-CN"/>
                    </w:rPr>
                    <w:t>生活污水预处理</w:t>
                  </w:r>
                  <w:r>
                    <w:rPr>
                      <w:rFonts w:hint="default" w:ascii="Times New Roman" w:hAnsi="Times New Roman" w:eastAsia="宋体" w:cs="Times New Roman"/>
                      <w:sz w:val="21"/>
                      <w:szCs w:val="21"/>
                    </w:rPr>
                    <w:t>后</w:t>
                  </w:r>
                  <w:r>
                    <w:rPr>
                      <w:rFonts w:hint="default" w:ascii="Times New Roman" w:hAnsi="Times New Roman" w:eastAsia="宋体" w:cs="Times New Roman"/>
                      <w:sz w:val="21"/>
                      <w:szCs w:val="21"/>
                      <w:lang w:eastAsia="zh-CN"/>
                    </w:rPr>
                    <w:t>定期运至</w:t>
                  </w:r>
                  <w:r>
                    <w:rPr>
                      <w:rFonts w:hint="eastAsia" w:cs="Times New Roman"/>
                      <w:sz w:val="21"/>
                      <w:szCs w:val="21"/>
                      <w:lang w:eastAsia="zh-CN"/>
                    </w:rPr>
                    <w:t>河北巴州生态产业园污水处理厂</w:t>
                  </w:r>
                  <w:r>
                    <w:rPr>
                      <w:rFonts w:hint="default" w:ascii="Times New Roman" w:hAnsi="Times New Roman" w:eastAsia="宋体" w:cs="Times New Roman"/>
                      <w:sz w:val="21"/>
                      <w:szCs w:val="21"/>
                      <w:lang w:eastAsia="zh-CN"/>
                    </w:rPr>
                    <w:t>处理</w:t>
                  </w:r>
                  <w:r>
                    <w:rPr>
                      <w:rFonts w:hint="default" w:ascii="Times New Roman" w:hAnsi="Times New Roman" w:eastAsia="宋体" w:cs="Times New Roman"/>
                      <w:sz w:val="21"/>
                      <w:szCs w:val="21"/>
                    </w:rPr>
                    <w:t>，不会突破地区资源利用配额。</w:t>
                  </w:r>
                </w:p>
              </w:tc>
              <w:tc>
                <w:tcPr>
                  <w:tcW w:w="538" w:type="pct"/>
                  <w:tcBorders>
                    <w:tl2br w:val="nil"/>
                    <w:tr2bl w:val="nil"/>
                  </w:tcBorders>
                  <w:noWrap w:val="0"/>
                  <w:vAlign w:val="center"/>
                </w:tcPr>
                <w:p w14:paraId="0618C6D8">
                  <w:pPr>
                    <w:tabs>
                      <w:tab w:val="left" w:pos="1264"/>
                    </w:tabs>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w:t>
                  </w:r>
                </w:p>
              </w:tc>
            </w:tr>
            <w:tr w14:paraId="4E5C96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6" w:type="pct"/>
                  <w:vMerge w:val="restart"/>
                  <w:tcBorders>
                    <w:tl2br w:val="nil"/>
                    <w:tr2bl w:val="nil"/>
                  </w:tcBorders>
                  <w:noWrap w:val="0"/>
                  <w:vAlign w:val="center"/>
                </w:tcPr>
                <w:p w14:paraId="4538836D">
                  <w:pPr>
                    <w:widowControl/>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天山</w:t>
                  </w:r>
                </w:p>
                <w:p w14:paraId="5E9AE218">
                  <w:pPr>
                    <w:widowControl/>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南坡片区</w:t>
                  </w:r>
                </w:p>
              </w:tc>
              <w:tc>
                <w:tcPr>
                  <w:tcW w:w="2522" w:type="pct"/>
                  <w:gridSpan w:val="2"/>
                  <w:tcBorders>
                    <w:tl2br w:val="nil"/>
                    <w:tr2bl w:val="nil"/>
                  </w:tcBorders>
                  <w:noWrap w:val="0"/>
                  <w:vAlign w:val="center"/>
                </w:tcPr>
                <w:p w14:paraId="1B5C141D">
                  <w:pPr>
                    <w:pStyle w:val="55"/>
                    <w:keepNext w:val="0"/>
                    <w:keepLines w:val="0"/>
                    <w:pageBreakBefore w:val="0"/>
                    <w:widowControl w:val="0"/>
                    <w:kinsoku/>
                    <w:wordWrap/>
                    <w:overflowPunct/>
                    <w:topLinePunct w:val="0"/>
                    <w:autoSpaceDE w:val="0"/>
                    <w:autoSpaceDN w:val="0"/>
                    <w:bidi w:val="0"/>
                    <w:adjustRightInd w:val="0"/>
                    <w:snapToGrid w:val="0"/>
                    <w:spacing w:before="0"/>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 w:val="0"/>
                      <w:bCs/>
                      <w:color w:val="auto"/>
                      <w:sz w:val="21"/>
                      <w:szCs w:val="21"/>
                      <w:highlight w:val="none"/>
                      <w:vertAlign w:val="baseline"/>
                      <w:lang w:val="en-US" w:eastAsia="zh-CN"/>
                    </w:rPr>
                    <w:t>切实保护托木尔峰和天山南坡中段冰雪水源及生物多样性保护生态功能区内的托木尔峰自然景观、高山冰川、野生动物、森林和草原，合理利用天然草地，稳步推进草原减牧，加强保护区管理，维护自然景观和生物多样性。</w:t>
                  </w:r>
                </w:p>
              </w:tc>
              <w:tc>
                <w:tcPr>
                  <w:tcW w:w="1472" w:type="pct"/>
                  <w:tcBorders>
                    <w:tl2br w:val="nil"/>
                    <w:tr2bl w:val="nil"/>
                  </w:tcBorders>
                  <w:noWrap w:val="0"/>
                  <w:vAlign w:val="center"/>
                </w:tcPr>
                <w:p w14:paraId="38521B43">
                  <w:pPr>
                    <w:pStyle w:val="55"/>
                    <w:keepNext w:val="0"/>
                    <w:keepLines w:val="0"/>
                    <w:pageBreakBefore w:val="0"/>
                    <w:widowControl w:val="0"/>
                    <w:kinsoku/>
                    <w:wordWrap/>
                    <w:overflowPunct/>
                    <w:topLinePunct w:val="0"/>
                    <w:autoSpaceDE w:val="0"/>
                    <w:autoSpaceDN w:val="0"/>
                    <w:bidi w:val="0"/>
                    <w:adjustRightInd w:val="0"/>
                    <w:snapToGrid w:val="0"/>
                    <w:spacing w:before="0"/>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 w:val="0"/>
                      <w:bCs/>
                      <w:color w:val="auto"/>
                      <w:sz w:val="21"/>
                      <w:szCs w:val="21"/>
                      <w:highlight w:val="none"/>
                      <w:vertAlign w:val="baseline"/>
                      <w:lang w:val="en-US" w:eastAsia="zh-CN"/>
                    </w:rPr>
                    <w:t>本项目不涉及生态保护区、天然草地</w:t>
                  </w:r>
                </w:p>
              </w:tc>
              <w:tc>
                <w:tcPr>
                  <w:tcW w:w="538" w:type="pct"/>
                  <w:tcBorders>
                    <w:tl2br w:val="nil"/>
                    <w:tr2bl w:val="nil"/>
                  </w:tcBorders>
                  <w:noWrap w:val="0"/>
                  <w:vAlign w:val="center"/>
                </w:tcPr>
                <w:p w14:paraId="6C29E609">
                  <w:pPr>
                    <w:tabs>
                      <w:tab w:val="left" w:pos="1264"/>
                    </w:tabs>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符合</w:t>
                  </w:r>
                </w:p>
              </w:tc>
            </w:tr>
            <w:tr w14:paraId="3B625D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6" w:type="pct"/>
                  <w:vMerge w:val="continue"/>
                  <w:tcBorders>
                    <w:tl2br w:val="nil"/>
                    <w:tr2bl w:val="nil"/>
                  </w:tcBorders>
                  <w:noWrap w:val="0"/>
                  <w:vAlign w:val="center"/>
                </w:tcPr>
                <w:p w14:paraId="4F6DC943">
                  <w:pPr>
                    <w:widowControl/>
                    <w:rPr>
                      <w:rFonts w:hint="default" w:ascii="Times New Roman" w:hAnsi="Times New Roman" w:eastAsia="宋体" w:cs="Times New Roman"/>
                      <w:sz w:val="21"/>
                      <w:szCs w:val="21"/>
                    </w:rPr>
                  </w:pPr>
                </w:p>
              </w:tc>
              <w:tc>
                <w:tcPr>
                  <w:tcW w:w="2522" w:type="pct"/>
                  <w:gridSpan w:val="2"/>
                  <w:tcBorders>
                    <w:tl2br w:val="nil"/>
                    <w:tr2bl w:val="nil"/>
                  </w:tcBorders>
                  <w:noWrap w:val="0"/>
                  <w:vAlign w:val="center"/>
                </w:tcPr>
                <w:p w14:paraId="2B1EE43E">
                  <w:pPr>
                    <w:pStyle w:val="55"/>
                    <w:keepNext w:val="0"/>
                    <w:keepLines w:val="0"/>
                    <w:pageBreakBefore w:val="0"/>
                    <w:widowControl w:val="0"/>
                    <w:kinsoku/>
                    <w:wordWrap/>
                    <w:overflowPunct/>
                    <w:topLinePunct w:val="0"/>
                    <w:autoSpaceDE w:val="0"/>
                    <w:autoSpaceDN w:val="0"/>
                    <w:bidi w:val="0"/>
                    <w:adjustRightInd w:val="0"/>
                    <w:snapToGrid w:val="0"/>
                    <w:spacing w:before="0"/>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 w:val="0"/>
                      <w:bCs/>
                      <w:color w:val="auto"/>
                      <w:sz w:val="21"/>
                      <w:szCs w:val="21"/>
                      <w:highlight w:val="none"/>
                      <w:vertAlign w:val="baseline"/>
                      <w:lang w:val="en-US" w:eastAsia="zh-CN"/>
                    </w:rPr>
                    <w:t>重点做好塔里木盆地北缘荒漠化防治。加强荒漠植被及河岸荒漠林保护，规范油气勘探开发作业，建立油田和公路扰动区域工程与生物相结合的防风固沙体系，逐步形成生态屏障。</w:t>
                  </w:r>
                </w:p>
              </w:tc>
              <w:tc>
                <w:tcPr>
                  <w:tcW w:w="1472" w:type="pct"/>
                  <w:tcBorders>
                    <w:tl2br w:val="nil"/>
                    <w:tr2bl w:val="nil"/>
                  </w:tcBorders>
                  <w:noWrap w:val="0"/>
                  <w:vAlign w:val="center"/>
                </w:tcPr>
                <w:p w14:paraId="3C642855">
                  <w:pPr>
                    <w:pStyle w:val="55"/>
                    <w:keepNext w:val="0"/>
                    <w:keepLines w:val="0"/>
                    <w:pageBreakBefore w:val="0"/>
                    <w:widowControl w:val="0"/>
                    <w:kinsoku/>
                    <w:wordWrap/>
                    <w:overflowPunct/>
                    <w:topLinePunct w:val="0"/>
                    <w:autoSpaceDE w:val="0"/>
                    <w:autoSpaceDN w:val="0"/>
                    <w:bidi w:val="0"/>
                    <w:adjustRightInd w:val="0"/>
                    <w:snapToGrid w:val="0"/>
                    <w:spacing w:before="0"/>
                    <w:ind w:firstLine="0" w:firstLineChars="0"/>
                    <w:jc w:val="center"/>
                    <w:textAlignment w:val="auto"/>
                    <w:rPr>
                      <w:rFonts w:hint="default" w:ascii="Times New Roman" w:hAnsi="Times New Roman" w:eastAsia="宋体" w:cs="Times New Roman"/>
                      <w:sz w:val="21"/>
                      <w:szCs w:val="21"/>
                    </w:rPr>
                  </w:pPr>
                  <w:r>
                    <w:rPr>
                      <w:rFonts w:hint="eastAsia" w:ascii="Times New Roman" w:hAnsi="Times New Roman" w:eastAsia="宋体" w:cs="Times New Roman"/>
                      <w:b w:val="0"/>
                      <w:bCs/>
                      <w:color w:val="auto"/>
                      <w:sz w:val="21"/>
                      <w:szCs w:val="21"/>
                      <w:highlight w:val="none"/>
                      <w:vertAlign w:val="baseline"/>
                      <w:lang w:val="en-US" w:eastAsia="zh-CN"/>
                    </w:rPr>
                    <w:t>运营期</w:t>
                  </w:r>
                  <w:r>
                    <w:rPr>
                      <w:rFonts w:hint="default" w:ascii="Times New Roman" w:hAnsi="Times New Roman" w:eastAsia="宋体" w:cs="Times New Roman"/>
                      <w:b w:val="0"/>
                      <w:bCs/>
                      <w:color w:val="auto"/>
                      <w:sz w:val="21"/>
                      <w:szCs w:val="21"/>
                      <w:highlight w:val="none"/>
                      <w:vertAlign w:val="baseline"/>
                      <w:lang w:val="en-US" w:eastAsia="zh-CN"/>
                    </w:rPr>
                    <w:t>项目厂区四周及厂区内</w:t>
                  </w:r>
                  <w:r>
                    <w:rPr>
                      <w:rFonts w:hint="eastAsia" w:ascii="Times New Roman" w:hAnsi="Times New Roman" w:eastAsia="宋体" w:cs="Times New Roman"/>
                      <w:b w:val="0"/>
                      <w:bCs/>
                      <w:color w:val="auto"/>
                      <w:sz w:val="21"/>
                      <w:szCs w:val="21"/>
                      <w:highlight w:val="none"/>
                      <w:vertAlign w:val="baseline"/>
                      <w:lang w:val="en-US" w:eastAsia="zh-CN"/>
                    </w:rPr>
                    <w:t>采取</w:t>
                  </w:r>
                  <w:r>
                    <w:rPr>
                      <w:rFonts w:hint="default" w:ascii="Times New Roman" w:hAnsi="Times New Roman" w:eastAsia="宋体" w:cs="Times New Roman"/>
                      <w:b w:val="0"/>
                      <w:bCs/>
                      <w:color w:val="auto"/>
                      <w:sz w:val="21"/>
                      <w:szCs w:val="21"/>
                      <w:highlight w:val="none"/>
                      <w:vertAlign w:val="baseline"/>
                      <w:lang w:val="en-US" w:eastAsia="zh-CN"/>
                    </w:rPr>
                    <w:t>种植绿化</w:t>
                  </w:r>
                  <w:r>
                    <w:rPr>
                      <w:rFonts w:hint="eastAsia" w:ascii="Times New Roman" w:hAnsi="Times New Roman" w:eastAsia="宋体" w:cs="Times New Roman"/>
                      <w:b w:val="0"/>
                      <w:bCs/>
                      <w:color w:val="auto"/>
                      <w:sz w:val="21"/>
                      <w:szCs w:val="21"/>
                      <w:highlight w:val="none"/>
                      <w:vertAlign w:val="baseline"/>
                      <w:lang w:val="en-US" w:eastAsia="zh-CN"/>
                    </w:rPr>
                    <w:t>的措施</w:t>
                  </w:r>
                  <w:r>
                    <w:rPr>
                      <w:rFonts w:hint="default" w:ascii="Times New Roman" w:hAnsi="Times New Roman" w:eastAsia="宋体" w:cs="Times New Roman"/>
                      <w:b w:val="0"/>
                      <w:bCs/>
                      <w:color w:val="auto"/>
                      <w:sz w:val="21"/>
                      <w:szCs w:val="21"/>
                      <w:highlight w:val="none"/>
                      <w:vertAlign w:val="baseline"/>
                      <w:lang w:val="en-US" w:eastAsia="zh-CN"/>
                    </w:rPr>
                    <w:t>，起到防风固沙作用，减少风力侵蚀的影响</w:t>
                  </w:r>
                  <w:r>
                    <w:rPr>
                      <w:rFonts w:hint="eastAsia" w:ascii="Times New Roman" w:cs="Times New Roman"/>
                      <w:b w:val="0"/>
                      <w:bCs/>
                      <w:color w:val="auto"/>
                      <w:sz w:val="21"/>
                      <w:szCs w:val="21"/>
                      <w:highlight w:val="none"/>
                      <w:vertAlign w:val="baseline"/>
                      <w:lang w:val="en-US" w:eastAsia="zh-CN"/>
                    </w:rPr>
                    <w:t>。</w:t>
                  </w:r>
                </w:p>
              </w:tc>
              <w:tc>
                <w:tcPr>
                  <w:tcW w:w="538" w:type="pct"/>
                  <w:tcBorders>
                    <w:tl2br w:val="nil"/>
                    <w:tr2bl w:val="nil"/>
                  </w:tcBorders>
                  <w:noWrap w:val="0"/>
                  <w:vAlign w:val="center"/>
                </w:tcPr>
                <w:p w14:paraId="656980D1">
                  <w:pPr>
                    <w:tabs>
                      <w:tab w:val="left" w:pos="1264"/>
                    </w:tabs>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符合</w:t>
                  </w:r>
                </w:p>
              </w:tc>
            </w:tr>
            <w:tr w14:paraId="17E7E8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6" w:type="pct"/>
                  <w:vMerge w:val="continue"/>
                  <w:tcBorders>
                    <w:tl2br w:val="nil"/>
                    <w:tr2bl w:val="nil"/>
                  </w:tcBorders>
                  <w:noWrap w:val="0"/>
                  <w:vAlign w:val="center"/>
                </w:tcPr>
                <w:p w14:paraId="450983F4">
                  <w:pPr>
                    <w:widowControl/>
                    <w:rPr>
                      <w:rFonts w:hint="default" w:ascii="Times New Roman" w:hAnsi="Times New Roman" w:eastAsia="宋体" w:cs="Times New Roman"/>
                      <w:sz w:val="21"/>
                      <w:szCs w:val="21"/>
                    </w:rPr>
                  </w:pPr>
                </w:p>
              </w:tc>
              <w:tc>
                <w:tcPr>
                  <w:tcW w:w="2522" w:type="pct"/>
                  <w:gridSpan w:val="2"/>
                  <w:tcBorders>
                    <w:tl2br w:val="nil"/>
                    <w:tr2bl w:val="nil"/>
                  </w:tcBorders>
                  <w:noWrap w:val="0"/>
                  <w:vAlign w:val="center"/>
                </w:tcPr>
                <w:p w14:paraId="3E20D8D7">
                  <w:pPr>
                    <w:pStyle w:val="55"/>
                    <w:keepNext w:val="0"/>
                    <w:keepLines w:val="0"/>
                    <w:pageBreakBefore w:val="0"/>
                    <w:widowControl w:val="0"/>
                    <w:kinsoku/>
                    <w:wordWrap/>
                    <w:overflowPunct/>
                    <w:topLinePunct w:val="0"/>
                    <w:autoSpaceDE w:val="0"/>
                    <w:autoSpaceDN w:val="0"/>
                    <w:bidi w:val="0"/>
                    <w:adjustRightInd w:val="0"/>
                    <w:snapToGrid w:val="0"/>
                    <w:spacing w:before="0"/>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 w:val="0"/>
                      <w:bCs/>
                      <w:color w:val="auto"/>
                      <w:sz w:val="21"/>
                      <w:szCs w:val="21"/>
                      <w:highlight w:val="none"/>
                      <w:vertAlign w:val="baseline"/>
                      <w:lang w:val="en-US" w:eastAsia="zh-CN"/>
                    </w:rPr>
                    <w:t>推进塔里木河流域用水结构调整，维护塔里木河、博斯腾湖基本生态用水。加强塔里木河流域水环境风险管控。加大博斯腾湖污染源头达标排放治理和监督力度，实施博斯腾湖综合治理。</w:t>
                  </w:r>
                </w:p>
              </w:tc>
              <w:tc>
                <w:tcPr>
                  <w:tcW w:w="1472" w:type="pct"/>
                  <w:tcBorders>
                    <w:tl2br w:val="nil"/>
                    <w:tr2bl w:val="nil"/>
                  </w:tcBorders>
                  <w:noWrap w:val="0"/>
                  <w:vAlign w:val="center"/>
                </w:tcPr>
                <w:p w14:paraId="77129DD1">
                  <w:pPr>
                    <w:pStyle w:val="55"/>
                    <w:keepNext w:val="0"/>
                    <w:keepLines w:val="0"/>
                    <w:pageBreakBefore w:val="0"/>
                    <w:widowControl w:val="0"/>
                    <w:kinsoku/>
                    <w:wordWrap/>
                    <w:overflowPunct/>
                    <w:topLinePunct w:val="0"/>
                    <w:autoSpaceDE w:val="0"/>
                    <w:autoSpaceDN w:val="0"/>
                    <w:bidi w:val="0"/>
                    <w:adjustRightInd w:val="0"/>
                    <w:snapToGrid w:val="0"/>
                    <w:spacing w:before="0"/>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 w:val="0"/>
                      <w:bCs/>
                      <w:color w:val="auto"/>
                      <w:sz w:val="21"/>
                      <w:szCs w:val="21"/>
                      <w:highlight w:val="none"/>
                      <w:vertAlign w:val="baseline"/>
                      <w:lang w:val="en-US" w:eastAsia="zh-CN"/>
                    </w:rPr>
                    <w:t>项目施工废水</w:t>
                  </w:r>
                  <w:r>
                    <w:rPr>
                      <w:rFonts w:hint="eastAsia" w:ascii="Times New Roman" w:hAnsi="Times New Roman" w:eastAsia="宋体" w:cs="Times New Roman"/>
                      <w:b w:val="0"/>
                      <w:bCs/>
                      <w:color w:val="auto"/>
                      <w:sz w:val="21"/>
                      <w:szCs w:val="21"/>
                      <w:highlight w:val="none"/>
                      <w:vertAlign w:val="baseline"/>
                      <w:lang w:val="en-US" w:eastAsia="zh-CN"/>
                    </w:rPr>
                    <w:t>经临时沉淀池</w:t>
                  </w:r>
                  <w:r>
                    <w:rPr>
                      <w:rFonts w:hint="default" w:ascii="Times New Roman" w:hAnsi="Times New Roman" w:eastAsia="宋体" w:cs="Times New Roman"/>
                      <w:b w:val="0"/>
                      <w:bCs/>
                      <w:color w:val="auto"/>
                      <w:sz w:val="21"/>
                      <w:szCs w:val="21"/>
                      <w:highlight w:val="none"/>
                      <w:vertAlign w:val="baseline"/>
                      <w:lang w:val="en-US" w:eastAsia="zh-CN"/>
                    </w:rPr>
                    <w:t>沉淀后用于项目区洒水抑尘，不外排</w:t>
                  </w:r>
                  <w:r>
                    <w:rPr>
                      <w:rFonts w:hint="default" w:ascii="Times New Roman" w:hAnsi="Times New Roman"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color w:val="auto"/>
                      <w:sz w:val="21"/>
                      <w:szCs w:val="21"/>
                      <w:highlight w:val="none"/>
                      <w:vertAlign w:val="baseline"/>
                      <w:lang w:val="en-US" w:eastAsia="zh-CN"/>
                    </w:rPr>
                    <w:t>生活污水经防渗化粪池处理后定期清运至</w:t>
                  </w:r>
                  <w:r>
                    <w:rPr>
                      <w:rFonts w:hint="eastAsia" w:ascii="Times New Roman" w:cs="Times New Roman"/>
                      <w:b w:val="0"/>
                      <w:bCs/>
                      <w:color w:val="auto"/>
                      <w:sz w:val="21"/>
                      <w:szCs w:val="21"/>
                      <w:highlight w:val="none"/>
                      <w:vertAlign w:val="baseline"/>
                      <w:lang w:val="en-US" w:eastAsia="zh-CN"/>
                    </w:rPr>
                    <w:t>河北巴州生态产业园污水处理厂</w:t>
                  </w:r>
                  <w:r>
                    <w:rPr>
                      <w:rFonts w:hint="default" w:ascii="Times New Roman" w:hAnsi="Times New Roman" w:eastAsia="宋体" w:cs="Times New Roman"/>
                      <w:b w:val="0"/>
                      <w:bCs/>
                      <w:color w:val="auto"/>
                      <w:sz w:val="21"/>
                      <w:szCs w:val="21"/>
                      <w:highlight w:val="none"/>
                      <w:vertAlign w:val="baseline"/>
                      <w:lang w:val="en-US" w:eastAsia="zh-CN"/>
                    </w:rPr>
                    <w:t>处理，运营期产生的生活污水经化粪池预处理后</w:t>
                  </w:r>
                  <w:r>
                    <w:rPr>
                      <w:rFonts w:hint="eastAsia" w:ascii="Times New Roman" w:cs="Times New Roman"/>
                      <w:b w:val="0"/>
                      <w:bCs/>
                      <w:color w:val="auto"/>
                      <w:sz w:val="21"/>
                      <w:szCs w:val="21"/>
                      <w:highlight w:val="none"/>
                      <w:vertAlign w:val="baseline"/>
                      <w:lang w:val="en-US" w:eastAsia="zh-CN"/>
                    </w:rPr>
                    <w:t>定期清运</w:t>
                  </w:r>
                  <w:r>
                    <w:rPr>
                      <w:rFonts w:hint="default" w:ascii="Times New Roman" w:hAnsi="Times New Roman" w:eastAsia="宋体" w:cs="Times New Roman"/>
                      <w:b w:val="0"/>
                      <w:bCs/>
                      <w:color w:val="auto"/>
                      <w:sz w:val="21"/>
                      <w:szCs w:val="21"/>
                      <w:highlight w:val="none"/>
                      <w:vertAlign w:val="baseline"/>
                      <w:lang w:val="en-US" w:eastAsia="zh-CN"/>
                    </w:rPr>
                    <w:t>至</w:t>
                  </w:r>
                  <w:r>
                    <w:rPr>
                      <w:rFonts w:hint="eastAsia" w:ascii="Times New Roman" w:cs="Times New Roman"/>
                      <w:b w:val="0"/>
                      <w:bCs/>
                      <w:color w:val="auto"/>
                      <w:sz w:val="21"/>
                      <w:szCs w:val="21"/>
                      <w:highlight w:val="none"/>
                      <w:vertAlign w:val="baseline"/>
                      <w:lang w:val="en-US" w:eastAsia="zh-CN"/>
                    </w:rPr>
                    <w:t>河北巴州生态产业园污水处理厂</w:t>
                  </w:r>
                  <w:r>
                    <w:rPr>
                      <w:rFonts w:hint="default" w:ascii="Times New Roman" w:hAnsi="Times New Roman" w:eastAsia="宋体" w:cs="Times New Roman"/>
                      <w:b w:val="0"/>
                      <w:bCs/>
                      <w:color w:val="auto"/>
                      <w:sz w:val="21"/>
                      <w:szCs w:val="21"/>
                      <w:highlight w:val="none"/>
                      <w:vertAlign w:val="baseline"/>
                      <w:lang w:val="en-US" w:eastAsia="zh-CN"/>
                    </w:rPr>
                    <w:t>处理，</w:t>
                  </w:r>
                  <w:r>
                    <w:rPr>
                      <w:rFonts w:hint="eastAsia" w:ascii="Times New Roman" w:hAnsi="Times New Roman" w:eastAsia="宋体" w:cs="Times New Roman"/>
                      <w:b w:val="0"/>
                      <w:bCs/>
                      <w:color w:val="auto"/>
                      <w:sz w:val="21"/>
                      <w:szCs w:val="21"/>
                      <w:highlight w:val="none"/>
                      <w:vertAlign w:val="baseline"/>
                      <w:lang w:val="en-US" w:eastAsia="zh-CN"/>
                    </w:rPr>
                    <w:t>运营期</w:t>
                  </w:r>
                  <w:r>
                    <w:rPr>
                      <w:rFonts w:hint="default" w:ascii="Times New Roman" w:hAnsi="Times New Roman" w:eastAsia="宋体" w:cs="Times New Roman"/>
                      <w:b w:val="0"/>
                      <w:bCs/>
                      <w:color w:val="auto"/>
                      <w:sz w:val="21"/>
                      <w:szCs w:val="21"/>
                      <w:highlight w:val="none"/>
                      <w:vertAlign w:val="baseline"/>
                      <w:lang w:val="en-US" w:eastAsia="zh-CN"/>
                    </w:rPr>
                    <w:t>生产废水经沉淀池处理后循环使用，不外排，本项目不会对周围水环境造成影响</w:t>
                  </w:r>
                  <w:r>
                    <w:rPr>
                      <w:rFonts w:hint="eastAsia" w:ascii="Times New Roman" w:cs="Times New Roman"/>
                      <w:b w:val="0"/>
                      <w:bCs/>
                      <w:color w:val="auto"/>
                      <w:sz w:val="21"/>
                      <w:szCs w:val="21"/>
                      <w:highlight w:val="none"/>
                      <w:vertAlign w:val="baseline"/>
                      <w:lang w:val="en-US" w:eastAsia="zh-CN"/>
                    </w:rPr>
                    <w:t>。</w:t>
                  </w:r>
                </w:p>
              </w:tc>
              <w:tc>
                <w:tcPr>
                  <w:tcW w:w="538" w:type="pct"/>
                  <w:tcBorders>
                    <w:tl2br w:val="nil"/>
                    <w:tr2bl w:val="nil"/>
                  </w:tcBorders>
                  <w:noWrap w:val="0"/>
                  <w:vAlign w:val="center"/>
                </w:tcPr>
                <w:p w14:paraId="458D526A">
                  <w:pPr>
                    <w:tabs>
                      <w:tab w:val="left" w:pos="1264"/>
                    </w:tabs>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符合</w:t>
                  </w:r>
                </w:p>
              </w:tc>
            </w:tr>
            <w:tr w14:paraId="4A466B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6" w:type="pct"/>
                  <w:vMerge w:val="continue"/>
                  <w:tcBorders>
                    <w:tl2br w:val="nil"/>
                    <w:tr2bl w:val="nil"/>
                  </w:tcBorders>
                  <w:noWrap w:val="0"/>
                  <w:vAlign w:val="center"/>
                </w:tcPr>
                <w:p w14:paraId="06DF519A">
                  <w:pPr>
                    <w:widowControl/>
                    <w:rPr>
                      <w:rFonts w:hint="default" w:ascii="Times New Roman" w:hAnsi="Times New Roman" w:eastAsia="宋体" w:cs="Times New Roman"/>
                      <w:sz w:val="21"/>
                      <w:szCs w:val="21"/>
                    </w:rPr>
                  </w:pPr>
                </w:p>
              </w:tc>
              <w:tc>
                <w:tcPr>
                  <w:tcW w:w="2522" w:type="pct"/>
                  <w:gridSpan w:val="2"/>
                  <w:tcBorders>
                    <w:tl2br w:val="nil"/>
                    <w:tr2bl w:val="nil"/>
                  </w:tcBorders>
                  <w:noWrap w:val="0"/>
                  <w:vAlign w:val="center"/>
                </w:tcPr>
                <w:p w14:paraId="5AFF0BB3">
                  <w:pPr>
                    <w:pStyle w:val="55"/>
                    <w:keepNext w:val="0"/>
                    <w:keepLines w:val="0"/>
                    <w:pageBreakBefore w:val="0"/>
                    <w:widowControl w:val="0"/>
                    <w:kinsoku/>
                    <w:wordWrap/>
                    <w:overflowPunct/>
                    <w:topLinePunct w:val="0"/>
                    <w:autoSpaceDE w:val="0"/>
                    <w:autoSpaceDN w:val="0"/>
                    <w:bidi w:val="0"/>
                    <w:adjustRightInd w:val="0"/>
                    <w:snapToGrid w:val="0"/>
                    <w:spacing w:before="0"/>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 w:val="0"/>
                      <w:bCs/>
                      <w:color w:val="auto"/>
                      <w:sz w:val="21"/>
                      <w:szCs w:val="21"/>
                      <w:highlight w:val="none"/>
                      <w:vertAlign w:val="baseline"/>
                      <w:lang w:val="en-US" w:eastAsia="zh-CN"/>
                    </w:rPr>
                    <w:t>加强油（气）资源开发区土壤环境污染综合整治。强化涉重金属行业污染防控与工业废物处理处置。</w:t>
                  </w:r>
                </w:p>
              </w:tc>
              <w:tc>
                <w:tcPr>
                  <w:tcW w:w="1472" w:type="pct"/>
                  <w:tcBorders>
                    <w:tl2br w:val="nil"/>
                    <w:tr2bl w:val="nil"/>
                  </w:tcBorders>
                  <w:noWrap w:val="0"/>
                  <w:vAlign w:val="center"/>
                </w:tcPr>
                <w:p w14:paraId="0BB7C722">
                  <w:pPr>
                    <w:pStyle w:val="55"/>
                    <w:keepNext w:val="0"/>
                    <w:keepLines w:val="0"/>
                    <w:pageBreakBefore w:val="0"/>
                    <w:widowControl w:val="0"/>
                    <w:kinsoku/>
                    <w:wordWrap/>
                    <w:overflowPunct/>
                    <w:topLinePunct w:val="0"/>
                    <w:autoSpaceDE w:val="0"/>
                    <w:autoSpaceDN w:val="0"/>
                    <w:bidi w:val="0"/>
                    <w:adjustRightInd w:val="0"/>
                    <w:snapToGrid w:val="0"/>
                    <w:spacing w:before="0"/>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 w:val="0"/>
                      <w:bCs/>
                      <w:color w:val="auto"/>
                      <w:sz w:val="21"/>
                      <w:szCs w:val="21"/>
                      <w:highlight w:val="none"/>
                      <w:vertAlign w:val="baseline"/>
                      <w:lang w:val="en-US" w:eastAsia="zh-CN"/>
                    </w:rPr>
                    <w:t>项目属于</w:t>
                  </w:r>
                  <w:r>
                    <w:rPr>
                      <w:rFonts w:hint="eastAsia" w:ascii="Times New Roman" w:cs="Times New Roman"/>
                      <w:b w:val="0"/>
                      <w:bCs/>
                      <w:color w:val="auto"/>
                      <w:sz w:val="21"/>
                      <w:szCs w:val="21"/>
                      <w:highlight w:val="none"/>
                      <w:vertAlign w:val="baseline"/>
                      <w:lang w:val="en-US" w:eastAsia="zh-CN"/>
                    </w:rPr>
                    <w:t>煤炭储存、集运</w:t>
                  </w:r>
                  <w:r>
                    <w:rPr>
                      <w:rFonts w:hint="default" w:ascii="Times New Roman" w:hAnsi="Times New Roman" w:eastAsia="宋体" w:cs="Times New Roman"/>
                      <w:b w:val="0"/>
                      <w:bCs/>
                      <w:color w:val="auto"/>
                      <w:sz w:val="21"/>
                      <w:szCs w:val="21"/>
                      <w:highlight w:val="none"/>
                      <w:vertAlign w:val="baseline"/>
                      <w:lang w:val="en-US" w:eastAsia="zh-CN"/>
                    </w:rPr>
                    <w:t>，不属于油气资源开发区域</w:t>
                  </w:r>
                  <w:r>
                    <w:rPr>
                      <w:rFonts w:hint="eastAsia" w:ascii="Times New Roman" w:cs="Times New Roman"/>
                      <w:b w:val="0"/>
                      <w:bCs/>
                      <w:color w:val="auto"/>
                      <w:sz w:val="21"/>
                      <w:szCs w:val="21"/>
                      <w:highlight w:val="none"/>
                      <w:vertAlign w:val="baseline"/>
                      <w:lang w:val="en-US" w:eastAsia="zh-CN"/>
                    </w:rPr>
                    <w:t>。</w:t>
                  </w:r>
                </w:p>
              </w:tc>
              <w:tc>
                <w:tcPr>
                  <w:tcW w:w="538" w:type="pct"/>
                  <w:tcBorders>
                    <w:tl2br w:val="nil"/>
                    <w:tr2bl w:val="nil"/>
                  </w:tcBorders>
                  <w:noWrap w:val="0"/>
                  <w:vAlign w:val="center"/>
                </w:tcPr>
                <w:p w14:paraId="62E0D2A6">
                  <w:pPr>
                    <w:tabs>
                      <w:tab w:val="left" w:pos="1264"/>
                    </w:tabs>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符合</w:t>
                  </w:r>
                </w:p>
              </w:tc>
            </w:tr>
          </w:tbl>
          <w:p w14:paraId="1DD6F750">
            <w:pPr>
              <w:spacing w:line="52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b w:val="0"/>
                <w:bCs w:val="0"/>
                <w:color w:val="auto"/>
                <w:sz w:val="24"/>
                <w:szCs w:val="24"/>
                <w:highlight w:val="none"/>
                <w:lang w:val="en-US" w:eastAsia="zh-CN"/>
              </w:rPr>
              <w:t>综上所述，项目建设符合</w:t>
            </w:r>
            <w:r>
              <w:rPr>
                <w:rFonts w:hint="eastAsia" w:cs="Times New Roman"/>
                <w:b w:val="0"/>
                <w:bCs w:val="0"/>
                <w:color w:val="auto"/>
                <w:sz w:val="24"/>
                <w:szCs w:val="24"/>
                <w:highlight w:val="none"/>
                <w:lang w:val="en-US" w:eastAsia="zh-CN"/>
              </w:rPr>
              <w:t>《关于</w:t>
            </w:r>
            <w:r>
              <w:rPr>
                <w:rFonts w:hint="default" w:ascii="Times New Roman" w:hAnsi="Times New Roman" w:eastAsia="宋体" w:cs="Times New Roman"/>
                <w:color w:val="000000"/>
                <w:kern w:val="0"/>
                <w:sz w:val="24"/>
                <w:szCs w:val="24"/>
                <w:lang w:val="en-US" w:eastAsia="zh-CN"/>
              </w:rPr>
              <w:t>印发</w:t>
            </w:r>
            <w:r>
              <w:rPr>
                <w:rFonts w:hint="eastAsia" w:ascii="Times New Roman" w:hAnsi="Times New Roman" w:eastAsia="宋体" w:cs="Times New Roman"/>
                <w:color w:val="000000"/>
                <w:kern w:val="0"/>
                <w:sz w:val="24"/>
                <w:szCs w:val="24"/>
                <w:lang w:val="en-US" w:eastAsia="zh-CN"/>
              </w:rPr>
              <w:t>〈</w:t>
            </w:r>
            <w:r>
              <w:rPr>
                <w:rFonts w:hint="default" w:ascii="Times New Roman" w:hAnsi="Times New Roman" w:eastAsia="宋体" w:cs="Times New Roman"/>
                <w:color w:val="000000"/>
                <w:kern w:val="0"/>
                <w:sz w:val="24"/>
                <w:szCs w:val="24"/>
                <w:lang w:val="en-US" w:eastAsia="zh-CN"/>
              </w:rPr>
              <w:t>新疆维吾尔自治区“三线一单”生态环境分区管控方案</w:t>
            </w:r>
            <w:r>
              <w:rPr>
                <w:rFonts w:hint="eastAsia" w:ascii="Times New Roman" w:hAnsi="Times New Roman" w:eastAsia="宋体" w:cs="Times New Roman"/>
                <w:color w:val="000000"/>
                <w:kern w:val="0"/>
                <w:sz w:val="24"/>
                <w:szCs w:val="24"/>
                <w:lang w:val="en-US" w:eastAsia="zh-CN"/>
              </w:rPr>
              <w:t>〉的通知》</w:t>
            </w:r>
            <w:r>
              <w:rPr>
                <w:rFonts w:hint="default" w:ascii="Times New Roman" w:hAnsi="Times New Roman" w:eastAsia="宋体" w:cs="Times New Roman"/>
                <w:color w:val="000000"/>
                <w:kern w:val="0"/>
                <w:sz w:val="24"/>
                <w:szCs w:val="24"/>
                <w:lang w:val="en-US" w:eastAsia="zh-CN"/>
              </w:rPr>
              <w:t>（新政发〔2021〕18号）</w:t>
            </w:r>
            <w:r>
              <w:rPr>
                <w:rFonts w:hint="eastAsia" w:ascii="Times New Roman" w:hAnsi="Times New Roman" w:eastAsia="宋体" w:cs="Times New Roman"/>
                <w:color w:val="000000"/>
                <w:kern w:val="0"/>
                <w:sz w:val="24"/>
                <w:szCs w:val="24"/>
                <w:lang w:val="en-US" w:eastAsia="zh-CN"/>
              </w:rPr>
              <w:t>、《关于印发〈新疆维吾尔自治区生态环境分区管控动态更新成果〉的通知》（新环环评发〔2024〕157号）中</w:t>
            </w:r>
            <w:r>
              <w:rPr>
                <w:rFonts w:hint="default" w:ascii="Times New Roman" w:hAnsi="Times New Roman" w:eastAsia="宋体" w:cs="Times New Roman"/>
                <w:color w:val="000000"/>
                <w:kern w:val="0"/>
                <w:sz w:val="24"/>
                <w:szCs w:val="24"/>
                <w:lang w:val="en-US" w:eastAsia="zh-CN"/>
              </w:rPr>
              <w:t>“三线一单”要求以及</w:t>
            </w:r>
            <w:r>
              <w:rPr>
                <w:rFonts w:hint="default" w:ascii="Times New Roman" w:hAnsi="Times New Roman" w:eastAsia="宋体" w:cs="Times New Roman"/>
                <w:b w:val="0"/>
                <w:bCs w:val="0"/>
                <w:color w:val="auto"/>
                <w:sz w:val="24"/>
                <w:szCs w:val="24"/>
                <w:highlight w:val="none"/>
                <w:lang w:val="en-US" w:eastAsia="zh-CN"/>
              </w:rPr>
              <w:t>新疆维吾尔自治区七大片区“三线一单”生态环境分区管控要求。</w:t>
            </w:r>
          </w:p>
          <w:p w14:paraId="32D569D8">
            <w:pPr>
              <w:spacing w:line="520" w:lineRule="exact"/>
              <w:ind w:firstLine="480" w:firstLineChars="200"/>
              <w:rPr>
                <w:rFonts w:hint="default" w:ascii="Times New Roman" w:hAnsi="Times New Roman" w:eastAsia="宋体" w:cs="Times New Roman"/>
                <w:b/>
                <w:color w:val="000000"/>
                <w:kern w:val="0"/>
                <w:sz w:val="24"/>
                <w:szCs w:val="24"/>
                <w:lang w:eastAsia="zh-CN" w:bidi="ar"/>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与</w:t>
            </w:r>
            <w:r>
              <w:rPr>
                <w:rFonts w:hint="default" w:ascii="Times New Roman" w:hAnsi="Times New Roman" w:eastAsia="宋体" w:cs="Times New Roman"/>
                <w:sz w:val="24"/>
                <w:szCs w:val="24"/>
              </w:rPr>
              <w:t>《巴音郭楞蒙古自治州“三线一单”生态环境分区管控方案</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2023年）</w:t>
            </w:r>
            <w:r>
              <w:rPr>
                <w:rFonts w:hint="default" w:ascii="Times New Roman" w:hAnsi="Times New Roman" w:eastAsia="宋体" w:cs="Times New Roman"/>
                <w:sz w:val="24"/>
                <w:szCs w:val="24"/>
              </w:rPr>
              <w:t>》</w:t>
            </w:r>
            <w:r>
              <w:rPr>
                <w:rFonts w:hint="eastAsia" w:cs="Times New Roman"/>
                <w:sz w:val="24"/>
                <w:szCs w:val="24"/>
                <w:lang w:eastAsia="zh-CN"/>
              </w:rPr>
              <w:t>的符合性分析</w:t>
            </w:r>
            <w:r>
              <w:rPr>
                <w:rFonts w:hint="default" w:ascii="Times New Roman" w:hAnsi="Times New Roman" w:eastAsia="宋体" w:cs="Times New Roman"/>
                <w:sz w:val="24"/>
                <w:szCs w:val="24"/>
                <w:lang w:eastAsia="zh-CN"/>
              </w:rPr>
              <w:t>。</w:t>
            </w:r>
          </w:p>
          <w:p w14:paraId="4641C544">
            <w:pPr>
              <w:pStyle w:val="55"/>
              <w:spacing w:line="500" w:lineRule="exact"/>
              <w:ind w:firstLine="482"/>
              <w:jc w:val="center"/>
              <w:rPr>
                <w:rFonts w:hint="default" w:ascii="Times New Roman" w:hAnsi="Times New Roman" w:eastAsia="宋体" w:cs="Times New Roman"/>
                <w:b/>
                <w:bCs w:val="0"/>
                <w:color w:val="000000" w:themeColor="text1"/>
                <w:kern w:val="2"/>
                <w:sz w:val="21"/>
                <w:szCs w:val="21"/>
                <w14:textFill>
                  <w14:solidFill>
                    <w14:schemeClr w14:val="tx1"/>
                  </w14:solidFill>
                </w14:textFill>
              </w:rPr>
            </w:pPr>
            <w:r>
              <w:rPr>
                <w:rFonts w:hint="default" w:ascii="Times New Roman" w:hAnsi="Times New Roman" w:eastAsia="宋体" w:cs="Times New Roman"/>
                <w:b/>
                <w:bCs w:val="0"/>
                <w:color w:val="000000" w:themeColor="text1"/>
                <w:kern w:val="2"/>
                <w:sz w:val="21"/>
                <w:szCs w:val="21"/>
                <w14:textFill>
                  <w14:solidFill>
                    <w14:schemeClr w14:val="tx1"/>
                  </w14:solidFill>
                </w14:textFill>
              </w:rPr>
              <w:t>表</w:t>
            </w:r>
            <w:r>
              <w:rPr>
                <w:rFonts w:hint="default" w:ascii="Times New Roman" w:hAnsi="Times New Roman" w:eastAsia="宋体" w:cs="Times New Roman"/>
                <w:b/>
                <w:bCs w:val="0"/>
                <w:color w:val="000000" w:themeColor="text1"/>
                <w:kern w:val="2"/>
                <w:sz w:val="21"/>
                <w:szCs w:val="21"/>
                <w:lang w:val="en-US" w:eastAsia="zh-CN"/>
                <w14:textFill>
                  <w14:solidFill>
                    <w14:schemeClr w14:val="tx1"/>
                  </w14:solidFill>
                </w14:textFill>
              </w:rPr>
              <w:t>1-3</w:t>
            </w:r>
            <w:r>
              <w:rPr>
                <w:rFonts w:hint="default" w:ascii="Times New Roman" w:hAnsi="Times New Roman" w:eastAsia="宋体" w:cs="Times New Roman"/>
                <w:b/>
                <w:bCs w:val="0"/>
                <w:color w:val="000000" w:themeColor="text1"/>
                <w:kern w:val="2"/>
                <w:sz w:val="21"/>
                <w:szCs w:val="21"/>
                <w14:textFill>
                  <w14:solidFill>
                    <w14:schemeClr w14:val="tx1"/>
                  </w14:solidFill>
                </w14:textFill>
              </w:rPr>
              <w:t xml:space="preserve">  《巴音郭楞蒙古自治州“三线一单”生态环境分区管控方案</w:t>
            </w:r>
            <w:r>
              <w:rPr>
                <w:rFonts w:hint="eastAsia" w:ascii="Times New Roman" w:hAnsi="Times New Roman" w:eastAsia="宋体" w:cs="Times New Roman"/>
                <w:b/>
                <w:bCs w:val="0"/>
                <w:color w:val="000000" w:themeColor="text1"/>
                <w:kern w:val="2"/>
                <w:sz w:val="21"/>
                <w:szCs w:val="21"/>
                <w:lang w:eastAsia="zh-CN"/>
                <w14:textFill>
                  <w14:solidFill>
                    <w14:schemeClr w14:val="tx1"/>
                  </w14:solidFill>
                </w14:textFill>
              </w:rPr>
              <w:t>（</w:t>
            </w:r>
            <w:r>
              <w:rPr>
                <w:rFonts w:hint="eastAsia" w:ascii="Times New Roman" w:hAnsi="Times New Roman" w:eastAsia="宋体" w:cs="Times New Roman"/>
                <w:b/>
                <w:bCs w:val="0"/>
                <w:color w:val="000000" w:themeColor="text1"/>
                <w:kern w:val="2"/>
                <w:sz w:val="21"/>
                <w:szCs w:val="21"/>
                <w:lang w:val="en-US" w:eastAsia="zh-CN"/>
                <w14:textFill>
                  <w14:solidFill>
                    <w14:schemeClr w14:val="tx1"/>
                  </w14:solidFill>
                </w14:textFill>
              </w:rPr>
              <w:t>2023</w:t>
            </w:r>
            <w:r>
              <w:rPr>
                <w:rFonts w:hint="eastAsia" w:ascii="Times New Roman" w:cs="Times New Roman"/>
                <w:b/>
                <w:bCs w:val="0"/>
                <w:color w:val="000000" w:themeColor="text1"/>
                <w:kern w:val="2"/>
                <w:sz w:val="21"/>
                <w:szCs w:val="21"/>
                <w:lang w:val="en-US" w:eastAsia="zh-CN"/>
                <w14:textFill>
                  <w14:solidFill>
                    <w14:schemeClr w14:val="tx1"/>
                  </w14:solidFill>
                </w14:textFill>
              </w:rPr>
              <w:t>年）</w:t>
            </w:r>
            <w:r>
              <w:rPr>
                <w:rFonts w:hint="default" w:ascii="Times New Roman" w:hAnsi="Times New Roman" w:eastAsia="宋体" w:cs="Times New Roman"/>
                <w:b/>
                <w:bCs w:val="0"/>
                <w:color w:val="000000" w:themeColor="text1"/>
                <w:kern w:val="2"/>
                <w:sz w:val="21"/>
                <w:szCs w:val="21"/>
                <w14:textFill>
                  <w14:solidFill>
                    <w14:schemeClr w14:val="tx1"/>
                  </w14:solidFill>
                </w14:textFill>
              </w:rPr>
              <w:t>》符合</w:t>
            </w:r>
            <w:r>
              <w:rPr>
                <w:rFonts w:hint="eastAsia" w:ascii="Times New Roman" w:cs="Times New Roman"/>
                <w:b/>
                <w:bCs w:val="0"/>
                <w:color w:val="000000" w:themeColor="text1"/>
                <w:kern w:val="2"/>
                <w:sz w:val="21"/>
                <w:szCs w:val="21"/>
                <w:lang w:eastAsia="zh-CN"/>
                <w14:textFill>
                  <w14:solidFill>
                    <w14:schemeClr w14:val="tx1"/>
                  </w14:solidFill>
                </w14:textFill>
              </w:rPr>
              <w:t>性分析</w:t>
            </w:r>
          </w:p>
          <w:tbl>
            <w:tblPr>
              <w:tblStyle w:val="25"/>
              <w:tblW w:w="4996"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63"/>
              <w:gridCol w:w="676"/>
              <w:gridCol w:w="2499"/>
              <w:gridCol w:w="1690"/>
              <w:gridCol w:w="640"/>
            </w:tblGrid>
            <w:tr w14:paraId="3533AD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8" w:type="pct"/>
                  <w:tcBorders>
                    <w:tl2br w:val="nil"/>
                    <w:tr2bl w:val="nil"/>
                  </w:tcBorders>
                  <w:noWrap w:val="0"/>
                  <w:vAlign w:val="center"/>
                </w:tcPr>
                <w:p w14:paraId="0E9C0054">
                  <w:pPr>
                    <w:keepNext w:val="0"/>
                    <w:keepLines w:val="0"/>
                    <w:pageBreakBefore w:val="0"/>
                    <w:tabs>
                      <w:tab w:val="left" w:pos="1264"/>
                    </w:tabs>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环境管控单元名称及编码</w:t>
                  </w:r>
                </w:p>
              </w:tc>
              <w:tc>
                <w:tcPr>
                  <w:tcW w:w="2532" w:type="pct"/>
                  <w:gridSpan w:val="2"/>
                  <w:tcBorders>
                    <w:tl2br w:val="nil"/>
                    <w:tr2bl w:val="nil"/>
                  </w:tcBorders>
                  <w:noWrap w:val="0"/>
                  <w:vAlign w:val="center"/>
                </w:tcPr>
                <w:p w14:paraId="15A4D020">
                  <w:pPr>
                    <w:keepNext w:val="0"/>
                    <w:keepLines w:val="0"/>
                    <w:pageBreakBefore w:val="0"/>
                    <w:widowControl/>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“三线一单”要求</w:t>
                  </w:r>
                </w:p>
              </w:tc>
              <w:tc>
                <w:tcPr>
                  <w:tcW w:w="1348" w:type="pct"/>
                  <w:tcBorders>
                    <w:tl2br w:val="nil"/>
                    <w:tr2bl w:val="nil"/>
                  </w:tcBorders>
                  <w:noWrap w:val="0"/>
                  <w:vAlign w:val="center"/>
                </w:tcPr>
                <w:p w14:paraId="1C7FAE7B">
                  <w:pPr>
                    <w:keepNext w:val="0"/>
                    <w:keepLines w:val="0"/>
                    <w:pageBreakBefore w:val="0"/>
                    <w:widowControl/>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工程具体情况</w:t>
                  </w:r>
                </w:p>
              </w:tc>
              <w:tc>
                <w:tcPr>
                  <w:tcW w:w="510" w:type="pct"/>
                  <w:tcBorders>
                    <w:tl2br w:val="nil"/>
                    <w:tr2bl w:val="nil"/>
                  </w:tcBorders>
                  <w:noWrap w:val="0"/>
                  <w:vAlign w:val="center"/>
                </w:tcPr>
                <w:p w14:paraId="013CBF39">
                  <w:pPr>
                    <w:keepNext w:val="0"/>
                    <w:keepLines w:val="0"/>
                    <w:pageBreakBefore w:val="0"/>
                    <w:widowControl/>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相符性分析</w:t>
                  </w:r>
                </w:p>
              </w:tc>
            </w:tr>
            <w:tr w14:paraId="412164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8" w:type="pct"/>
                  <w:vMerge w:val="restart"/>
                  <w:tcBorders>
                    <w:tl2br w:val="nil"/>
                    <w:tr2bl w:val="nil"/>
                  </w:tcBorders>
                  <w:noWrap w:val="0"/>
                  <w:vAlign w:val="center"/>
                </w:tcPr>
                <w:p w14:paraId="4180F302">
                  <w:pPr>
                    <w:keepNext w:val="0"/>
                    <w:keepLines w:val="0"/>
                    <w:pageBreakBefore w:val="0"/>
                    <w:tabs>
                      <w:tab w:val="left" w:pos="1264"/>
                    </w:tabs>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自治区七大片区天山南坡管控要求</w:t>
                  </w:r>
                </w:p>
              </w:tc>
              <w:tc>
                <w:tcPr>
                  <w:tcW w:w="2532" w:type="pct"/>
                  <w:gridSpan w:val="2"/>
                  <w:tcBorders>
                    <w:tl2br w:val="nil"/>
                    <w:tr2bl w:val="nil"/>
                  </w:tcBorders>
                  <w:noWrap w:val="0"/>
                  <w:vAlign w:val="center"/>
                </w:tcPr>
                <w:p w14:paraId="32275913">
                  <w:pPr>
                    <w:pStyle w:val="55"/>
                    <w:keepNext w:val="0"/>
                    <w:keepLines w:val="0"/>
                    <w:pageBreakBefore w:val="0"/>
                    <w:widowControl w:val="0"/>
                    <w:kinsoku/>
                    <w:wordWrap/>
                    <w:overflowPunct/>
                    <w:topLinePunct w:val="0"/>
                    <w:autoSpaceDE w:val="0"/>
                    <w:autoSpaceDN w:val="0"/>
                    <w:bidi w:val="0"/>
                    <w:adjustRightInd w:val="0"/>
                    <w:snapToGrid w:val="0"/>
                    <w:spacing w:before="0"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b w:val="0"/>
                      <w:bCs/>
                      <w:color w:val="auto"/>
                      <w:spacing w:val="-6"/>
                      <w:sz w:val="21"/>
                      <w:szCs w:val="21"/>
                      <w:highlight w:val="none"/>
                      <w:vertAlign w:val="baseline"/>
                      <w:lang w:val="en-US" w:eastAsia="zh-CN"/>
                    </w:rPr>
                    <w:t>切实保护托木尔峰和天山南坡中段冰雪水源及生物多样性保护生态功能区内的托木尔峰自然景观、高山冰川、野生动物、森林和草原，合理利用天然草地，稳步推进草原减牧，加强保护区管理，维护自然景观和生物多样性。</w:t>
                  </w:r>
                </w:p>
              </w:tc>
              <w:tc>
                <w:tcPr>
                  <w:tcW w:w="1348" w:type="pct"/>
                  <w:tcBorders>
                    <w:tl2br w:val="nil"/>
                    <w:tr2bl w:val="nil"/>
                  </w:tcBorders>
                  <w:noWrap w:val="0"/>
                  <w:vAlign w:val="center"/>
                </w:tcPr>
                <w:p w14:paraId="1F339CAB">
                  <w:pPr>
                    <w:pStyle w:val="55"/>
                    <w:keepNext w:val="0"/>
                    <w:keepLines w:val="0"/>
                    <w:pageBreakBefore w:val="0"/>
                    <w:widowControl w:val="0"/>
                    <w:kinsoku/>
                    <w:wordWrap/>
                    <w:overflowPunct/>
                    <w:topLinePunct w:val="0"/>
                    <w:autoSpaceDE w:val="0"/>
                    <w:autoSpaceDN w:val="0"/>
                    <w:bidi w:val="0"/>
                    <w:adjustRightInd w:val="0"/>
                    <w:snapToGrid w:val="0"/>
                    <w:spacing w:before="0"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b w:val="0"/>
                      <w:bCs/>
                      <w:color w:val="auto"/>
                      <w:sz w:val="21"/>
                      <w:szCs w:val="21"/>
                      <w:highlight w:val="none"/>
                      <w:vertAlign w:val="baseline"/>
                      <w:lang w:val="en-US" w:eastAsia="zh-CN"/>
                    </w:rPr>
                    <w:t>本项目不涉及生态保护区、天然草地</w:t>
                  </w:r>
                </w:p>
              </w:tc>
              <w:tc>
                <w:tcPr>
                  <w:tcW w:w="510" w:type="pct"/>
                  <w:tcBorders>
                    <w:tl2br w:val="nil"/>
                    <w:tr2bl w:val="nil"/>
                  </w:tcBorders>
                  <w:noWrap w:val="0"/>
                  <w:vAlign w:val="center"/>
                </w:tcPr>
                <w:p w14:paraId="4E883D6F">
                  <w:pPr>
                    <w:keepNext w:val="0"/>
                    <w:keepLines w:val="0"/>
                    <w:pageBreakBefore w:val="0"/>
                    <w:tabs>
                      <w:tab w:val="left" w:pos="1264"/>
                    </w:tabs>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sz w:val="21"/>
                      <w:szCs w:val="21"/>
                      <w:lang w:eastAsia="zh-CN"/>
                    </w:rPr>
                    <w:t>符合</w:t>
                  </w:r>
                </w:p>
              </w:tc>
            </w:tr>
            <w:tr w14:paraId="659991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8" w:type="pct"/>
                  <w:vMerge w:val="continue"/>
                  <w:tcBorders>
                    <w:tl2br w:val="nil"/>
                    <w:tr2bl w:val="nil"/>
                  </w:tcBorders>
                  <w:noWrap w:val="0"/>
                  <w:vAlign w:val="center"/>
                </w:tcPr>
                <w:p w14:paraId="0E91ECCF">
                  <w:pPr>
                    <w:keepNext w:val="0"/>
                    <w:keepLines w:val="0"/>
                    <w:pageBreakBefore w:val="0"/>
                    <w:tabs>
                      <w:tab w:val="left" w:pos="1264"/>
                    </w:tabs>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sz w:val="21"/>
                      <w:szCs w:val="21"/>
                      <w:lang w:eastAsia="zh-CN"/>
                    </w:rPr>
                  </w:pPr>
                </w:p>
              </w:tc>
              <w:tc>
                <w:tcPr>
                  <w:tcW w:w="2532" w:type="pct"/>
                  <w:gridSpan w:val="2"/>
                  <w:tcBorders>
                    <w:tl2br w:val="nil"/>
                    <w:tr2bl w:val="nil"/>
                  </w:tcBorders>
                  <w:noWrap w:val="0"/>
                  <w:vAlign w:val="center"/>
                </w:tcPr>
                <w:p w14:paraId="2DF125BA">
                  <w:pPr>
                    <w:pStyle w:val="55"/>
                    <w:keepNext w:val="0"/>
                    <w:keepLines w:val="0"/>
                    <w:pageBreakBefore w:val="0"/>
                    <w:widowControl w:val="0"/>
                    <w:kinsoku/>
                    <w:wordWrap/>
                    <w:overflowPunct/>
                    <w:topLinePunct w:val="0"/>
                    <w:autoSpaceDE w:val="0"/>
                    <w:autoSpaceDN w:val="0"/>
                    <w:bidi w:val="0"/>
                    <w:adjustRightInd w:val="0"/>
                    <w:snapToGrid w:val="0"/>
                    <w:spacing w:before="0"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b w:val="0"/>
                      <w:bCs/>
                      <w:color w:val="auto"/>
                      <w:sz w:val="21"/>
                      <w:szCs w:val="21"/>
                      <w:highlight w:val="none"/>
                      <w:vertAlign w:val="baseline"/>
                      <w:lang w:val="en-US" w:eastAsia="zh-CN"/>
                    </w:rPr>
                    <w:t>重点做好塔里木盆地北缘荒漠化防治。加强荒漠植被及河岸荒漠林保护，规范油气勘探开发作业，建立油田和公路扰动区域工程与生物相结合的防风固沙体系，逐步形成生态屏障。</w:t>
                  </w:r>
                </w:p>
              </w:tc>
              <w:tc>
                <w:tcPr>
                  <w:tcW w:w="1348" w:type="pct"/>
                  <w:tcBorders>
                    <w:tl2br w:val="nil"/>
                    <w:tr2bl w:val="nil"/>
                  </w:tcBorders>
                  <w:noWrap w:val="0"/>
                  <w:vAlign w:val="center"/>
                </w:tcPr>
                <w:p w14:paraId="4C62C8BB">
                  <w:pPr>
                    <w:pStyle w:val="55"/>
                    <w:keepNext w:val="0"/>
                    <w:keepLines w:val="0"/>
                    <w:pageBreakBefore w:val="0"/>
                    <w:widowControl w:val="0"/>
                    <w:kinsoku/>
                    <w:wordWrap/>
                    <w:overflowPunct/>
                    <w:topLinePunct w:val="0"/>
                    <w:autoSpaceDE w:val="0"/>
                    <w:autoSpaceDN w:val="0"/>
                    <w:bidi w:val="0"/>
                    <w:adjustRightInd w:val="0"/>
                    <w:snapToGrid w:val="0"/>
                    <w:spacing w:before="0"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b w:val="0"/>
                      <w:bCs/>
                      <w:color w:val="auto"/>
                      <w:sz w:val="21"/>
                      <w:szCs w:val="21"/>
                      <w:highlight w:val="none"/>
                      <w:vertAlign w:val="baseline"/>
                      <w:lang w:val="en-US" w:eastAsia="zh-CN"/>
                    </w:rPr>
                    <w:t>项目运营厂区四周及厂区内会种植绿化，起到防风固沙作用，减少风力侵蚀的影响</w:t>
                  </w:r>
                </w:p>
              </w:tc>
              <w:tc>
                <w:tcPr>
                  <w:tcW w:w="510" w:type="pct"/>
                  <w:tcBorders>
                    <w:tl2br w:val="nil"/>
                    <w:tr2bl w:val="nil"/>
                  </w:tcBorders>
                  <w:noWrap w:val="0"/>
                  <w:vAlign w:val="center"/>
                </w:tcPr>
                <w:p w14:paraId="6D6841B8">
                  <w:pPr>
                    <w:keepNext w:val="0"/>
                    <w:keepLines w:val="0"/>
                    <w:pageBreakBefore w:val="0"/>
                    <w:tabs>
                      <w:tab w:val="left" w:pos="1264"/>
                    </w:tabs>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sz w:val="21"/>
                      <w:szCs w:val="21"/>
                      <w:lang w:eastAsia="zh-CN"/>
                    </w:rPr>
                    <w:t>符合</w:t>
                  </w:r>
                </w:p>
              </w:tc>
            </w:tr>
            <w:tr w14:paraId="2B929B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8" w:type="pct"/>
                  <w:vMerge w:val="continue"/>
                  <w:tcBorders>
                    <w:tl2br w:val="nil"/>
                    <w:tr2bl w:val="nil"/>
                  </w:tcBorders>
                  <w:noWrap w:val="0"/>
                  <w:vAlign w:val="center"/>
                </w:tcPr>
                <w:p w14:paraId="07A40FD9">
                  <w:pPr>
                    <w:keepNext w:val="0"/>
                    <w:keepLines w:val="0"/>
                    <w:pageBreakBefore w:val="0"/>
                    <w:tabs>
                      <w:tab w:val="left" w:pos="1264"/>
                    </w:tabs>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sz w:val="21"/>
                      <w:szCs w:val="21"/>
                      <w:lang w:eastAsia="zh-CN"/>
                    </w:rPr>
                  </w:pPr>
                </w:p>
              </w:tc>
              <w:tc>
                <w:tcPr>
                  <w:tcW w:w="2532" w:type="pct"/>
                  <w:gridSpan w:val="2"/>
                  <w:tcBorders>
                    <w:tl2br w:val="nil"/>
                    <w:tr2bl w:val="nil"/>
                  </w:tcBorders>
                  <w:noWrap w:val="0"/>
                  <w:vAlign w:val="center"/>
                </w:tcPr>
                <w:p w14:paraId="20661448">
                  <w:pPr>
                    <w:pStyle w:val="55"/>
                    <w:keepNext w:val="0"/>
                    <w:keepLines w:val="0"/>
                    <w:pageBreakBefore w:val="0"/>
                    <w:widowControl w:val="0"/>
                    <w:kinsoku/>
                    <w:wordWrap/>
                    <w:overflowPunct/>
                    <w:topLinePunct w:val="0"/>
                    <w:autoSpaceDE w:val="0"/>
                    <w:autoSpaceDN w:val="0"/>
                    <w:bidi w:val="0"/>
                    <w:adjustRightInd w:val="0"/>
                    <w:snapToGrid w:val="0"/>
                    <w:spacing w:before="0"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b w:val="0"/>
                      <w:bCs/>
                      <w:color w:val="auto"/>
                      <w:sz w:val="21"/>
                      <w:szCs w:val="21"/>
                      <w:highlight w:val="none"/>
                      <w:vertAlign w:val="baseline"/>
                      <w:lang w:val="en-US" w:eastAsia="zh-CN"/>
                    </w:rPr>
                    <w:t>推进塔里木河流域用水结构调整，维护塔里木河、博斯腾湖基本生态用水。加强塔里木河流域水环境风险管控。加大博斯腾湖污染源头达标排放治理和监督力度，实施博斯腾湖综合治理。</w:t>
                  </w:r>
                </w:p>
              </w:tc>
              <w:tc>
                <w:tcPr>
                  <w:tcW w:w="1348" w:type="pct"/>
                  <w:tcBorders>
                    <w:tl2br w:val="nil"/>
                    <w:tr2bl w:val="nil"/>
                  </w:tcBorders>
                  <w:noWrap w:val="0"/>
                  <w:vAlign w:val="center"/>
                </w:tcPr>
                <w:p w14:paraId="4B9D408A">
                  <w:pPr>
                    <w:pStyle w:val="55"/>
                    <w:keepNext w:val="0"/>
                    <w:keepLines w:val="0"/>
                    <w:pageBreakBefore w:val="0"/>
                    <w:widowControl w:val="0"/>
                    <w:kinsoku/>
                    <w:wordWrap/>
                    <w:overflowPunct/>
                    <w:topLinePunct w:val="0"/>
                    <w:autoSpaceDE w:val="0"/>
                    <w:autoSpaceDN w:val="0"/>
                    <w:bidi w:val="0"/>
                    <w:adjustRightInd w:val="0"/>
                    <w:snapToGrid w:val="0"/>
                    <w:spacing w:before="0"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b w:val="0"/>
                      <w:bCs/>
                      <w:color w:val="auto"/>
                      <w:sz w:val="21"/>
                      <w:szCs w:val="21"/>
                      <w:highlight w:val="none"/>
                      <w:vertAlign w:val="baseline"/>
                      <w:lang w:val="en-US" w:eastAsia="zh-CN"/>
                    </w:rPr>
                    <w:t>项目生产废水沉淀后用于项目区洒水抑尘，不外排</w:t>
                  </w:r>
                  <w:r>
                    <w:rPr>
                      <w:rFonts w:hint="default" w:ascii="Times New Roman" w:hAnsi="Times New Roman"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color w:val="auto"/>
                      <w:sz w:val="21"/>
                      <w:szCs w:val="21"/>
                      <w:highlight w:val="none"/>
                      <w:vertAlign w:val="baseline"/>
                      <w:lang w:val="en-US" w:eastAsia="zh-CN"/>
                    </w:rPr>
                    <w:t>生活污水经防渗化粪池处理后定期清运至</w:t>
                  </w:r>
                  <w:r>
                    <w:rPr>
                      <w:rFonts w:hint="eastAsia" w:ascii="Times New Roman" w:cs="Times New Roman"/>
                      <w:b w:val="0"/>
                      <w:bCs/>
                      <w:color w:val="auto"/>
                      <w:sz w:val="21"/>
                      <w:szCs w:val="21"/>
                      <w:highlight w:val="none"/>
                      <w:vertAlign w:val="baseline"/>
                      <w:lang w:val="en-US" w:eastAsia="zh-CN"/>
                    </w:rPr>
                    <w:t>河北巴州生态产业园污水处理厂</w:t>
                  </w:r>
                  <w:r>
                    <w:rPr>
                      <w:rFonts w:hint="default" w:ascii="Times New Roman" w:hAnsi="Times New Roman" w:eastAsia="宋体" w:cs="Times New Roman"/>
                      <w:b w:val="0"/>
                      <w:bCs/>
                      <w:color w:val="auto"/>
                      <w:sz w:val="21"/>
                      <w:szCs w:val="21"/>
                      <w:highlight w:val="none"/>
                      <w:vertAlign w:val="baseline"/>
                      <w:lang w:val="en-US" w:eastAsia="zh-CN"/>
                    </w:rPr>
                    <w:t>处理，不会对周围水环境造成影响</w:t>
                  </w:r>
                </w:p>
              </w:tc>
              <w:tc>
                <w:tcPr>
                  <w:tcW w:w="510" w:type="pct"/>
                  <w:tcBorders>
                    <w:tl2br w:val="nil"/>
                    <w:tr2bl w:val="nil"/>
                  </w:tcBorders>
                  <w:noWrap w:val="0"/>
                  <w:vAlign w:val="center"/>
                </w:tcPr>
                <w:p w14:paraId="79DA1C81">
                  <w:pPr>
                    <w:keepNext w:val="0"/>
                    <w:keepLines w:val="0"/>
                    <w:pageBreakBefore w:val="0"/>
                    <w:tabs>
                      <w:tab w:val="left" w:pos="1264"/>
                    </w:tabs>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sz w:val="21"/>
                      <w:szCs w:val="21"/>
                      <w:lang w:eastAsia="zh-CN"/>
                    </w:rPr>
                    <w:t>符合</w:t>
                  </w:r>
                </w:p>
              </w:tc>
            </w:tr>
            <w:tr w14:paraId="57A4CF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8" w:type="pct"/>
                  <w:vMerge w:val="continue"/>
                  <w:tcBorders>
                    <w:tl2br w:val="nil"/>
                    <w:tr2bl w:val="nil"/>
                  </w:tcBorders>
                  <w:noWrap w:val="0"/>
                  <w:vAlign w:val="center"/>
                </w:tcPr>
                <w:p w14:paraId="4D35B251">
                  <w:pPr>
                    <w:keepNext w:val="0"/>
                    <w:keepLines w:val="0"/>
                    <w:pageBreakBefore w:val="0"/>
                    <w:tabs>
                      <w:tab w:val="left" w:pos="1264"/>
                    </w:tabs>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sz w:val="21"/>
                      <w:szCs w:val="21"/>
                      <w:lang w:eastAsia="zh-CN"/>
                    </w:rPr>
                  </w:pPr>
                </w:p>
              </w:tc>
              <w:tc>
                <w:tcPr>
                  <w:tcW w:w="2532" w:type="pct"/>
                  <w:gridSpan w:val="2"/>
                  <w:tcBorders>
                    <w:tl2br w:val="nil"/>
                    <w:tr2bl w:val="nil"/>
                  </w:tcBorders>
                  <w:noWrap w:val="0"/>
                  <w:vAlign w:val="center"/>
                </w:tcPr>
                <w:p w14:paraId="7714ADB5">
                  <w:pPr>
                    <w:pStyle w:val="55"/>
                    <w:keepNext w:val="0"/>
                    <w:keepLines w:val="0"/>
                    <w:pageBreakBefore w:val="0"/>
                    <w:widowControl w:val="0"/>
                    <w:kinsoku/>
                    <w:wordWrap/>
                    <w:overflowPunct/>
                    <w:topLinePunct w:val="0"/>
                    <w:autoSpaceDE w:val="0"/>
                    <w:autoSpaceDN w:val="0"/>
                    <w:bidi w:val="0"/>
                    <w:adjustRightInd w:val="0"/>
                    <w:snapToGrid w:val="0"/>
                    <w:spacing w:before="0"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b w:val="0"/>
                      <w:bCs/>
                      <w:color w:val="auto"/>
                      <w:sz w:val="21"/>
                      <w:szCs w:val="21"/>
                      <w:highlight w:val="none"/>
                      <w:vertAlign w:val="baseline"/>
                      <w:lang w:val="en-US" w:eastAsia="zh-CN"/>
                    </w:rPr>
                    <w:t>加强油（气）资源开发区土壤环境污染综合整治。强化涉重金属行业污染防控与工业废物处理处置。</w:t>
                  </w:r>
                </w:p>
              </w:tc>
              <w:tc>
                <w:tcPr>
                  <w:tcW w:w="1348" w:type="pct"/>
                  <w:tcBorders>
                    <w:tl2br w:val="nil"/>
                    <w:tr2bl w:val="nil"/>
                  </w:tcBorders>
                  <w:noWrap w:val="0"/>
                  <w:vAlign w:val="center"/>
                </w:tcPr>
                <w:p w14:paraId="4AA54024">
                  <w:pPr>
                    <w:pStyle w:val="55"/>
                    <w:keepNext w:val="0"/>
                    <w:keepLines w:val="0"/>
                    <w:pageBreakBefore w:val="0"/>
                    <w:widowControl w:val="0"/>
                    <w:kinsoku/>
                    <w:wordWrap/>
                    <w:overflowPunct/>
                    <w:topLinePunct w:val="0"/>
                    <w:autoSpaceDE w:val="0"/>
                    <w:autoSpaceDN w:val="0"/>
                    <w:bidi w:val="0"/>
                    <w:adjustRightInd w:val="0"/>
                    <w:snapToGrid w:val="0"/>
                    <w:spacing w:before="0"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b w:val="0"/>
                      <w:bCs/>
                      <w:color w:val="auto"/>
                      <w:sz w:val="21"/>
                      <w:szCs w:val="21"/>
                      <w:highlight w:val="none"/>
                      <w:vertAlign w:val="baseline"/>
                      <w:lang w:val="en-US" w:eastAsia="zh-CN"/>
                    </w:rPr>
                    <w:t>项目属于其他建筑材料制造，不属于油气资源开发区域</w:t>
                  </w:r>
                </w:p>
              </w:tc>
              <w:tc>
                <w:tcPr>
                  <w:tcW w:w="510" w:type="pct"/>
                  <w:tcBorders>
                    <w:tl2br w:val="nil"/>
                    <w:tr2bl w:val="nil"/>
                  </w:tcBorders>
                  <w:noWrap w:val="0"/>
                  <w:vAlign w:val="center"/>
                </w:tcPr>
                <w:p w14:paraId="35F3DCAD">
                  <w:pPr>
                    <w:keepNext w:val="0"/>
                    <w:keepLines w:val="0"/>
                    <w:pageBreakBefore w:val="0"/>
                    <w:tabs>
                      <w:tab w:val="left" w:pos="1264"/>
                    </w:tabs>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sz w:val="21"/>
                      <w:szCs w:val="21"/>
                      <w:lang w:eastAsia="zh-CN"/>
                    </w:rPr>
                    <w:t>符合</w:t>
                  </w:r>
                </w:p>
              </w:tc>
            </w:tr>
            <w:tr w14:paraId="67447D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8" w:type="pct"/>
                  <w:vMerge w:val="restart"/>
                  <w:tcBorders>
                    <w:tl2br w:val="nil"/>
                    <w:tr2bl w:val="nil"/>
                  </w:tcBorders>
                  <w:noWrap w:val="0"/>
                  <w:vAlign w:val="center"/>
                </w:tcPr>
                <w:p w14:paraId="76A45A06">
                  <w:pPr>
                    <w:keepNext w:val="0"/>
                    <w:keepLines w:val="0"/>
                    <w:pageBreakBefore w:val="0"/>
                    <w:tabs>
                      <w:tab w:val="left" w:pos="1264"/>
                    </w:tabs>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eastAsia="zh-CN"/>
                    </w:rPr>
                    <w:t>库尔勒塔什店镇循环经济园区</w:t>
                  </w:r>
                  <w:r>
                    <w:rPr>
                      <w:rFonts w:hint="default" w:ascii="Times New Roman" w:hAnsi="Times New Roman" w:eastAsia="宋体" w:cs="Times New Roman"/>
                      <w:sz w:val="21"/>
                      <w:szCs w:val="21"/>
                    </w:rPr>
                    <w:t>（ZH6528</w:t>
                  </w:r>
                  <w:r>
                    <w:rPr>
                      <w:rFonts w:hint="eastAsia" w:ascii="Times New Roman" w:hAnsi="Times New Roman" w:eastAsia="宋体" w:cs="Times New Roman"/>
                      <w:sz w:val="21"/>
                      <w:szCs w:val="21"/>
                      <w:lang w:val="en-US" w:eastAsia="zh-CN"/>
                    </w:rPr>
                    <w:t>0120014</w:t>
                  </w:r>
                  <w:r>
                    <w:rPr>
                      <w:rFonts w:hint="eastAsia" w:ascii="Times New Roman" w:hAnsi="Times New Roman" w:eastAsia="宋体" w:cs="Times New Roman"/>
                      <w:sz w:val="21"/>
                      <w:szCs w:val="21"/>
                      <w:lang w:eastAsia="zh-CN"/>
                    </w:rPr>
                    <w:t>）</w:t>
                  </w:r>
                </w:p>
              </w:tc>
              <w:tc>
                <w:tcPr>
                  <w:tcW w:w="539" w:type="pct"/>
                  <w:tcBorders>
                    <w:tl2br w:val="nil"/>
                    <w:tr2bl w:val="nil"/>
                  </w:tcBorders>
                  <w:noWrap w:val="0"/>
                  <w:vAlign w:val="center"/>
                </w:tcPr>
                <w:p w14:paraId="6A71A878">
                  <w:pPr>
                    <w:keepNext w:val="0"/>
                    <w:keepLines w:val="0"/>
                    <w:pageBreakBefore w:val="0"/>
                    <w:widowControl/>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空间</w:t>
                  </w:r>
                  <w:r>
                    <w:rPr>
                      <w:rFonts w:hint="default" w:ascii="Times New Roman" w:hAnsi="Times New Roman" w:eastAsia="宋体" w:cs="Times New Roman"/>
                      <w:sz w:val="21"/>
                      <w:szCs w:val="21"/>
                      <w:lang w:eastAsia="zh-CN"/>
                    </w:rPr>
                    <w:t>布局</w:t>
                  </w:r>
                  <w:r>
                    <w:rPr>
                      <w:rFonts w:hint="default" w:ascii="Times New Roman" w:hAnsi="Times New Roman" w:eastAsia="宋体" w:cs="Times New Roman"/>
                      <w:sz w:val="21"/>
                      <w:szCs w:val="21"/>
                    </w:rPr>
                    <w:t>约束</w:t>
                  </w:r>
                </w:p>
              </w:tc>
              <w:tc>
                <w:tcPr>
                  <w:tcW w:w="1993" w:type="pct"/>
                  <w:tcBorders>
                    <w:tl2br w:val="nil"/>
                    <w:tr2bl w:val="nil"/>
                  </w:tcBorders>
                  <w:noWrap w:val="0"/>
                  <w:vAlign w:val="center"/>
                </w:tcPr>
                <w:p w14:paraId="4802B82D">
                  <w:pPr>
                    <w:keepNext w:val="0"/>
                    <w:keepLines w:val="0"/>
                    <w:pageBreakBefore w:val="0"/>
                    <w:numPr>
                      <w:ilvl w:val="0"/>
                      <w:numId w:val="0"/>
                    </w:numPr>
                    <w:kinsoku/>
                    <w:wordWrap/>
                    <w:overflowPunct/>
                    <w:topLinePunct w:val="0"/>
                    <w:bidi w:val="0"/>
                    <w:adjustRightInd w:val="0"/>
                    <w:snapToGrid w:val="0"/>
                    <w:spacing w:line="240" w:lineRule="auto"/>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严把入园企业关，以园区产业为特点，引进新型建材加工业和矿产资源再生利用加工型企业，禁止不符合园区产业定位的企业入园</w:t>
                  </w:r>
                  <w:r>
                    <w:rPr>
                      <w:rFonts w:hint="eastAsia" w:ascii="Times New Roman" w:hAnsi="Times New Roman" w:eastAsia="宋体" w:cs="Times New Roman"/>
                      <w:sz w:val="21"/>
                      <w:szCs w:val="21"/>
                      <w:lang w:val="en-US" w:eastAsia="zh-CN"/>
                    </w:rPr>
                    <w:t>。</w:t>
                  </w:r>
                </w:p>
              </w:tc>
              <w:tc>
                <w:tcPr>
                  <w:tcW w:w="1348" w:type="pct"/>
                  <w:tcBorders>
                    <w:tl2br w:val="nil"/>
                    <w:tr2bl w:val="nil"/>
                  </w:tcBorders>
                  <w:noWrap w:val="0"/>
                  <w:vAlign w:val="center"/>
                </w:tcPr>
                <w:p w14:paraId="520C5818">
                  <w:pPr>
                    <w:keepNext w:val="0"/>
                    <w:keepLines w:val="0"/>
                    <w:pageBreakBefore w:val="0"/>
                    <w:widowControl/>
                    <w:kinsoku/>
                    <w:wordWrap/>
                    <w:overflowPunct/>
                    <w:topLinePunct w:val="0"/>
                    <w:bidi w:val="0"/>
                    <w:adjustRightInd w:val="0"/>
                    <w:snapToGrid w:val="0"/>
                    <w:spacing w:line="240" w:lineRule="auto"/>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本项目属于</w:t>
                  </w:r>
                  <w:r>
                    <w:rPr>
                      <w:rFonts w:ascii="Times New Roman" w:hAnsi="Times New Roman" w:eastAsia="Times New Roman" w:cs="Times New Roman"/>
                      <w:spacing w:val="-2"/>
                      <w:lang w:val="en-US" w:eastAsia="zh-CN"/>
                    </w:rPr>
                    <w:t>煤炭开采和洗选业</w:t>
                  </w:r>
                  <w:r>
                    <w:rPr>
                      <w:rFonts w:hint="eastAsia" w:eastAsia="Times New Roman" w:cs="Times New Roman"/>
                      <w:spacing w:val="-2"/>
                      <w:lang w:val="en-US" w:eastAsia="zh-CN"/>
                    </w:rPr>
                    <w:t>，符合园区产业定位。</w:t>
                  </w:r>
                </w:p>
              </w:tc>
              <w:tc>
                <w:tcPr>
                  <w:tcW w:w="510" w:type="pct"/>
                  <w:tcBorders>
                    <w:tl2br w:val="nil"/>
                    <w:tr2bl w:val="nil"/>
                  </w:tcBorders>
                  <w:noWrap w:val="0"/>
                  <w:vAlign w:val="center"/>
                </w:tcPr>
                <w:p w14:paraId="74A81135">
                  <w:pPr>
                    <w:keepNext w:val="0"/>
                    <w:keepLines w:val="0"/>
                    <w:pageBreakBefore w:val="0"/>
                    <w:tabs>
                      <w:tab w:val="left" w:pos="1264"/>
                    </w:tabs>
                    <w:kinsoku/>
                    <w:wordWrap/>
                    <w:overflowPunct/>
                    <w:topLinePunct w:val="0"/>
                    <w:bidi w:val="0"/>
                    <w:adjustRightInd w:val="0"/>
                    <w:snapToGrid w:val="0"/>
                    <w:spacing w:line="24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w:t>
                  </w:r>
                </w:p>
              </w:tc>
            </w:tr>
            <w:tr w14:paraId="28958D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8" w:type="pct"/>
                  <w:vMerge w:val="continue"/>
                  <w:tcBorders>
                    <w:tl2br w:val="nil"/>
                    <w:tr2bl w:val="nil"/>
                  </w:tcBorders>
                  <w:noWrap w:val="0"/>
                  <w:vAlign w:val="center"/>
                </w:tcPr>
                <w:p w14:paraId="6370E2C4">
                  <w:pPr>
                    <w:keepNext w:val="0"/>
                    <w:keepLines w:val="0"/>
                    <w:pageBreakBefore w:val="0"/>
                    <w:tabs>
                      <w:tab w:val="left" w:pos="1264"/>
                    </w:tabs>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sz w:val="21"/>
                      <w:szCs w:val="21"/>
                    </w:rPr>
                  </w:pPr>
                </w:p>
              </w:tc>
              <w:tc>
                <w:tcPr>
                  <w:tcW w:w="539" w:type="pct"/>
                  <w:tcBorders>
                    <w:tl2br w:val="nil"/>
                    <w:tr2bl w:val="nil"/>
                  </w:tcBorders>
                  <w:noWrap w:val="0"/>
                  <w:vAlign w:val="center"/>
                </w:tcPr>
                <w:p w14:paraId="7E79CD68">
                  <w:pPr>
                    <w:keepNext w:val="0"/>
                    <w:keepLines w:val="0"/>
                    <w:pageBreakBefore w:val="0"/>
                    <w:widowControl/>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污染</w:t>
                  </w:r>
                </w:p>
                <w:p w14:paraId="30AF940A">
                  <w:pPr>
                    <w:keepNext w:val="0"/>
                    <w:keepLines w:val="0"/>
                    <w:pageBreakBefore w:val="0"/>
                    <w:widowControl/>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物排</w:t>
                  </w:r>
                </w:p>
                <w:p w14:paraId="2B68D1DE">
                  <w:pPr>
                    <w:keepNext w:val="0"/>
                    <w:keepLines w:val="0"/>
                    <w:pageBreakBefore w:val="0"/>
                    <w:widowControl/>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放管</w:t>
                  </w:r>
                </w:p>
                <w:p w14:paraId="025B0C59">
                  <w:pPr>
                    <w:keepNext w:val="0"/>
                    <w:keepLines w:val="0"/>
                    <w:pageBreakBefore w:val="0"/>
                    <w:widowControl/>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控</w:t>
                  </w:r>
                </w:p>
              </w:tc>
              <w:tc>
                <w:tcPr>
                  <w:tcW w:w="1993" w:type="pct"/>
                  <w:tcBorders>
                    <w:tl2br w:val="nil"/>
                    <w:tr2bl w:val="nil"/>
                  </w:tcBorders>
                  <w:noWrap w:val="0"/>
                  <w:vAlign w:val="center"/>
                </w:tcPr>
                <w:p w14:paraId="40BEC5EA">
                  <w:pPr>
                    <w:keepNext w:val="0"/>
                    <w:keepLines w:val="0"/>
                    <w:pageBreakBefore w:val="0"/>
                    <w:numPr>
                      <w:ilvl w:val="0"/>
                      <w:numId w:val="1"/>
                    </w:numPr>
                    <w:kinsoku/>
                    <w:wordWrap/>
                    <w:overflowPunct/>
                    <w:topLinePunct w:val="0"/>
                    <w:bidi w:val="0"/>
                    <w:adjustRightInd w:val="0"/>
                    <w:snapToGrid w:val="0"/>
                    <w:spacing w:line="240" w:lineRule="auto"/>
                    <w:jc w:val="both"/>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园区所在区域执行</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环境空气质量标准</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的二级标准。</w:t>
                  </w:r>
                </w:p>
                <w:p w14:paraId="2BAFC5B2">
                  <w:pPr>
                    <w:keepNext w:val="0"/>
                    <w:keepLines w:val="0"/>
                    <w:pageBreakBefore w:val="0"/>
                    <w:numPr>
                      <w:ilvl w:val="0"/>
                      <w:numId w:val="1"/>
                    </w:numPr>
                    <w:kinsoku/>
                    <w:wordWrap/>
                    <w:overflowPunct/>
                    <w:topLinePunct w:val="0"/>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引进企业均依托集中供热管网进行冬季供暖和生产用热，不再单独设置供热锅炉。园区内企业各生产装置必须配备完善的大气污染治理设施，并确保正常运行，严格做到大气污染物达标排放。</w:t>
                  </w:r>
                </w:p>
                <w:p w14:paraId="61741C40">
                  <w:pPr>
                    <w:keepNext w:val="0"/>
                    <w:keepLines w:val="0"/>
                    <w:pageBreakBefore w:val="0"/>
                    <w:numPr>
                      <w:ilvl w:val="0"/>
                      <w:numId w:val="1"/>
                    </w:numPr>
                    <w:kinsoku/>
                    <w:wordWrap/>
                    <w:overflowPunct/>
                    <w:topLinePunct w:val="0"/>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企业排确保正常运行，严格做到大气污染物达标排放。</w:t>
                  </w:r>
                </w:p>
                <w:p w14:paraId="406C5B9A">
                  <w:pPr>
                    <w:keepNext w:val="0"/>
                    <w:keepLines w:val="0"/>
                    <w:pageBreakBefore w:val="0"/>
                    <w:numPr>
                      <w:ilvl w:val="0"/>
                      <w:numId w:val="0"/>
                    </w:numPr>
                    <w:kinsoku/>
                    <w:wordWrap/>
                    <w:overflowPunct/>
                    <w:topLinePunct w:val="0"/>
                    <w:bidi w:val="0"/>
                    <w:adjustRightInd w:val="0"/>
                    <w:snapToGrid w:val="0"/>
                    <w:spacing w:line="240" w:lineRule="auto"/>
                    <w:ind w:leftChars="0"/>
                    <w:jc w:val="both"/>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4</w:t>
                  </w:r>
                  <w:r>
                    <w:rPr>
                      <w:rFonts w:hint="default" w:ascii="Times New Roman" w:hAnsi="Times New Roman" w:eastAsia="宋体" w:cs="Times New Roman"/>
                      <w:sz w:val="21"/>
                      <w:szCs w:val="21"/>
                    </w:rPr>
                    <w:t>.企业排水排放必须满足</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污水综合排放标准</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三级标准后方可排放下水管网进入污水处理进行处置。处理后的水质</w:t>
                  </w:r>
                  <w:r>
                    <w:rPr>
                      <w:rFonts w:hint="eastAsia" w:cs="Times New Roman"/>
                      <w:sz w:val="21"/>
                      <w:szCs w:val="21"/>
                      <w:lang w:eastAsia="zh-CN"/>
                    </w:rPr>
                    <w:t>在达到《城镇污水处理厂污染物排放标准》</w:t>
                  </w:r>
                  <w:r>
                    <w:rPr>
                      <w:rFonts w:hint="default" w:ascii="Times New Roman" w:hAnsi="Times New Roman" w:eastAsia="宋体" w:cs="Times New Roman"/>
                      <w:sz w:val="21"/>
                      <w:szCs w:val="21"/>
                    </w:rPr>
                    <w:t>一级B排放标准的基础上，同时满足</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城市杂用水水质标准</w:t>
                  </w:r>
                  <w:r>
                    <w:rPr>
                      <w:rFonts w:hint="eastAsia" w:cs="Times New Roman"/>
                      <w:sz w:val="21"/>
                      <w:szCs w:val="21"/>
                      <w:lang w:eastAsia="zh-CN"/>
                    </w:rPr>
                    <w:t>（</w:t>
                  </w:r>
                  <w:r>
                    <w:rPr>
                      <w:rFonts w:hint="default" w:ascii="Times New Roman" w:hAnsi="Times New Roman" w:eastAsia="宋体" w:cs="Times New Roman"/>
                      <w:sz w:val="21"/>
                      <w:szCs w:val="21"/>
                    </w:rPr>
                    <w:t>绿化</w:t>
                  </w:r>
                  <w:r>
                    <w:rPr>
                      <w:rFonts w:hint="eastAsia" w:cs="Times New Roman"/>
                      <w:sz w:val="21"/>
                      <w:szCs w:val="21"/>
                      <w:lang w:eastAsia="zh-CN"/>
                    </w:rPr>
                    <w:t>）</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水质要求后用于生态绿化。</w:t>
                  </w:r>
                </w:p>
              </w:tc>
              <w:tc>
                <w:tcPr>
                  <w:tcW w:w="1348" w:type="pct"/>
                  <w:tcBorders>
                    <w:tl2br w:val="nil"/>
                    <w:tr2bl w:val="nil"/>
                  </w:tcBorders>
                  <w:noWrap w:val="0"/>
                  <w:vAlign w:val="center"/>
                </w:tcPr>
                <w:p w14:paraId="5055651E">
                  <w:pPr>
                    <w:keepNext w:val="0"/>
                    <w:keepLines w:val="0"/>
                    <w:pageBreakBefore w:val="0"/>
                    <w:widowControl/>
                    <w:kinsoku/>
                    <w:wordWrap/>
                    <w:overflowPunct/>
                    <w:topLinePunct w:val="0"/>
                    <w:bidi w:val="0"/>
                    <w:adjustRightInd w:val="0"/>
                    <w:snapToGrid w:val="0"/>
                    <w:spacing w:line="240" w:lineRule="auto"/>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本项目生产车间无供热设施，且产生废气经雾炮、洒水降尘、车间密闭等措施可达标排放。本项目无生产废水排放。</w:t>
                  </w:r>
                </w:p>
              </w:tc>
              <w:tc>
                <w:tcPr>
                  <w:tcW w:w="510" w:type="pct"/>
                  <w:tcBorders>
                    <w:tl2br w:val="nil"/>
                    <w:tr2bl w:val="nil"/>
                  </w:tcBorders>
                  <w:noWrap w:val="0"/>
                  <w:vAlign w:val="center"/>
                </w:tcPr>
                <w:p w14:paraId="1D489208">
                  <w:pPr>
                    <w:keepNext w:val="0"/>
                    <w:keepLines w:val="0"/>
                    <w:pageBreakBefore w:val="0"/>
                    <w:tabs>
                      <w:tab w:val="left" w:pos="1264"/>
                    </w:tabs>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w:t>
                  </w:r>
                </w:p>
              </w:tc>
            </w:tr>
            <w:tr w14:paraId="60DD92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8" w:type="pct"/>
                  <w:vMerge w:val="continue"/>
                  <w:tcBorders>
                    <w:tl2br w:val="nil"/>
                    <w:tr2bl w:val="nil"/>
                  </w:tcBorders>
                  <w:noWrap w:val="0"/>
                  <w:vAlign w:val="center"/>
                </w:tcPr>
                <w:p w14:paraId="352C2CEE">
                  <w:pPr>
                    <w:keepNext w:val="0"/>
                    <w:keepLines w:val="0"/>
                    <w:pageBreakBefore w:val="0"/>
                    <w:tabs>
                      <w:tab w:val="left" w:pos="1264"/>
                    </w:tabs>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sz w:val="21"/>
                      <w:szCs w:val="21"/>
                    </w:rPr>
                  </w:pPr>
                </w:p>
              </w:tc>
              <w:tc>
                <w:tcPr>
                  <w:tcW w:w="539" w:type="pct"/>
                  <w:tcBorders>
                    <w:tl2br w:val="nil"/>
                    <w:tr2bl w:val="nil"/>
                  </w:tcBorders>
                  <w:noWrap w:val="0"/>
                  <w:vAlign w:val="center"/>
                </w:tcPr>
                <w:p w14:paraId="10C090F7">
                  <w:pPr>
                    <w:keepNext w:val="0"/>
                    <w:keepLines w:val="0"/>
                    <w:pageBreakBefore w:val="0"/>
                    <w:widowControl/>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环境风险防控</w:t>
                  </w:r>
                </w:p>
              </w:tc>
              <w:tc>
                <w:tcPr>
                  <w:tcW w:w="1993" w:type="pct"/>
                  <w:tcBorders>
                    <w:tl2br w:val="nil"/>
                    <w:tr2bl w:val="nil"/>
                  </w:tcBorders>
                  <w:noWrap w:val="0"/>
                  <w:vAlign w:val="center"/>
                </w:tcPr>
                <w:p w14:paraId="7B546041">
                  <w:pPr>
                    <w:keepNext w:val="0"/>
                    <w:keepLines w:val="0"/>
                    <w:pageBreakBefore w:val="0"/>
                    <w:widowControl/>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1</w:t>
                  </w:r>
                  <w:r>
                    <w:rPr>
                      <w:rFonts w:hint="default" w:ascii="Times New Roman" w:hAnsi="Times New Roman" w:eastAsia="宋体" w:cs="Times New Roman"/>
                      <w:sz w:val="21"/>
                      <w:szCs w:val="21"/>
                    </w:rPr>
                    <w:t>.建立区域大气污染预警应急机制。加强重点控制区域极端不利气象条件下大气污染预警体系和区域大气环境质量预报系统建设，建立区域重污染事件应急预案，构建区域联动一体的应急响应体系。</w:t>
                  </w:r>
                </w:p>
              </w:tc>
              <w:tc>
                <w:tcPr>
                  <w:tcW w:w="1348" w:type="pct"/>
                  <w:tcBorders>
                    <w:tl2br w:val="nil"/>
                    <w:tr2bl w:val="nil"/>
                  </w:tcBorders>
                  <w:noWrap w:val="0"/>
                  <w:vAlign w:val="center"/>
                </w:tcPr>
                <w:p w14:paraId="0E623E43">
                  <w:pPr>
                    <w:keepNext w:val="0"/>
                    <w:keepLines w:val="0"/>
                    <w:pageBreakBefore w:val="0"/>
                    <w:widowControl/>
                    <w:kinsoku/>
                    <w:wordWrap/>
                    <w:overflowPunct/>
                    <w:topLinePunct w:val="0"/>
                    <w:bidi w:val="0"/>
                    <w:adjustRightInd w:val="0"/>
                    <w:snapToGrid w:val="0"/>
                    <w:spacing w:line="240" w:lineRule="auto"/>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本项目建成后拟制定突发环境事件应急预案，并定期进行演练。</w:t>
                  </w:r>
                </w:p>
              </w:tc>
              <w:tc>
                <w:tcPr>
                  <w:tcW w:w="510" w:type="pct"/>
                  <w:tcBorders>
                    <w:tl2br w:val="nil"/>
                    <w:tr2bl w:val="nil"/>
                  </w:tcBorders>
                  <w:noWrap w:val="0"/>
                  <w:vAlign w:val="center"/>
                </w:tcPr>
                <w:p w14:paraId="6BC2CBB3">
                  <w:pPr>
                    <w:keepNext w:val="0"/>
                    <w:keepLines w:val="0"/>
                    <w:pageBreakBefore w:val="0"/>
                    <w:tabs>
                      <w:tab w:val="left" w:pos="1264"/>
                    </w:tabs>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w:t>
                  </w:r>
                </w:p>
              </w:tc>
            </w:tr>
            <w:tr w14:paraId="053167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8" w:type="pct"/>
                  <w:vMerge w:val="continue"/>
                  <w:tcBorders>
                    <w:tl2br w:val="nil"/>
                    <w:tr2bl w:val="nil"/>
                  </w:tcBorders>
                  <w:noWrap w:val="0"/>
                  <w:vAlign w:val="center"/>
                </w:tcPr>
                <w:p w14:paraId="134CD78D">
                  <w:pPr>
                    <w:keepNext w:val="0"/>
                    <w:keepLines w:val="0"/>
                    <w:pageBreakBefore w:val="0"/>
                    <w:tabs>
                      <w:tab w:val="left" w:pos="1264"/>
                    </w:tabs>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sz w:val="21"/>
                      <w:szCs w:val="21"/>
                    </w:rPr>
                  </w:pPr>
                </w:p>
              </w:tc>
              <w:tc>
                <w:tcPr>
                  <w:tcW w:w="539" w:type="pct"/>
                  <w:tcBorders>
                    <w:tl2br w:val="nil"/>
                    <w:tr2bl w:val="nil"/>
                  </w:tcBorders>
                  <w:noWrap w:val="0"/>
                  <w:vAlign w:val="center"/>
                </w:tcPr>
                <w:p w14:paraId="0A44AECB">
                  <w:pPr>
                    <w:keepNext w:val="0"/>
                    <w:keepLines w:val="0"/>
                    <w:pageBreakBefore w:val="0"/>
                    <w:widowControl/>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资源利用效率</w:t>
                  </w:r>
                </w:p>
              </w:tc>
              <w:tc>
                <w:tcPr>
                  <w:tcW w:w="1993" w:type="pct"/>
                  <w:tcBorders>
                    <w:tl2br w:val="nil"/>
                    <w:tr2bl w:val="nil"/>
                  </w:tcBorders>
                  <w:noWrap w:val="0"/>
                  <w:vAlign w:val="center"/>
                </w:tcPr>
                <w:p w14:paraId="7A1EDBCB">
                  <w:pPr>
                    <w:keepNext w:val="0"/>
                    <w:keepLines w:val="0"/>
                    <w:pageBreakBefore w:val="0"/>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1.执行总体管控要求中关于水、大气环境重点管控区的资源利用效率要求。2.实施节水措施，提高工业用水的重复利用率。3.工业固体废弃物综合处置率达到100%</w:t>
                  </w:r>
                  <w:r>
                    <w:rPr>
                      <w:rFonts w:hint="eastAsia" w:cs="Times New Roman"/>
                      <w:sz w:val="21"/>
                      <w:szCs w:val="21"/>
                      <w:lang w:eastAsia="zh-CN"/>
                    </w:rPr>
                    <w:t>；</w:t>
                  </w:r>
                  <w:r>
                    <w:rPr>
                      <w:rFonts w:hint="default" w:ascii="Times New Roman" w:hAnsi="Times New Roman" w:eastAsia="宋体" w:cs="Times New Roman"/>
                      <w:sz w:val="21"/>
                      <w:szCs w:val="21"/>
                    </w:rPr>
                    <w:t>固体废物综合利用率达到相关要求。</w:t>
                  </w:r>
                </w:p>
              </w:tc>
              <w:tc>
                <w:tcPr>
                  <w:tcW w:w="1348" w:type="pct"/>
                  <w:tcBorders>
                    <w:tl2br w:val="nil"/>
                    <w:tr2bl w:val="nil"/>
                  </w:tcBorders>
                  <w:noWrap w:val="0"/>
                  <w:vAlign w:val="center"/>
                </w:tcPr>
                <w:p w14:paraId="25F7B4A5">
                  <w:pPr>
                    <w:keepNext w:val="0"/>
                    <w:keepLines w:val="0"/>
                    <w:pageBreakBefore w:val="0"/>
                    <w:widowControl/>
                    <w:kinsoku/>
                    <w:wordWrap/>
                    <w:overflowPunct/>
                    <w:topLinePunct w:val="0"/>
                    <w:bidi w:val="0"/>
                    <w:adjustRightInd w:val="0"/>
                    <w:snapToGrid w:val="0"/>
                    <w:spacing w:line="240" w:lineRule="auto"/>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本项目车辆进出清洗废水经沉淀后可循环使用。</w:t>
                  </w:r>
                </w:p>
              </w:tc>
              <w:tc>
                <w:tcPr>
                  <w:tcW w:w="510" w:type="pct"/>
                  <w:tcBorders>
                    <w:tl2br w:val="nil"/>
                    <w:tr2bl w:val="nil"/>
                  </w:tcBorders>
                  <w:noWrap w:val="0"/>
                  <w:vAlign w:val="center"/>
                </w:tcPr>
                <w:p w14:paraId="3CA42CFB">
                  <w:pPr>
                    <w:keepNext w:val="0"/>
                    <w:keepLines w:val="0"/>
                    <w:pageBreakBefore w:val="0"/>
                    <w:tabs>
                      <w:tab w:val="left" w:pos="1264"/>
                    </w:tabs>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w:t>
                  </w:r>
                </w:p>
              </w:tc>
            </w:tr>
          </w:tbl>
          <w:p w14:paraId="4A51ADD4">
            <w:pPr>
              <w:spacing w:line="360" w:lineRule="auto"/>
              <w:ind w:firstLine="480" w:firstLineChars="200"/>
              <w:rPr>
                <w:rFonts w:hint="default" w:ascii="Times New Roman" w:hAnsi="Times New Roman" w:eastAsia="宋体" w:cs="Times New Roman"/>
                <w:b/>
                <w:color w:val="000000"/>
                <w:kern w:val="0"/>
                <w:sz w:val="24"/>
                <w:szCs w:val="24"/>
                <w:lang w:bidi="ar"/>
              </w:rPr>
            </w:pPr>
            <w:r>
              <w:rPr>
                <w:rFonts w:hint="default" w:ascii="Times New Roman" w:hAnsi="Times New Roman" w:eastAsia="宋体" w:cs="Times New Roman"/>
                <w:sz w:val="24"/>
                <w:szCs w:val="24"/>
              </w:rPr>
              <w:t>综合以上分析判定结果，本项目符合《巴音郭楞蒙古自治州“三线一单”生态环境分区管控方案</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2023）</w:t>
            </w:r>
            <w:r>
              <w:rPr>
                <w:rFonts w:hint="default" w:ascii="Times New Roman" w:hAnsi="Times New Roman" w:eastAsia="宋体" w:cs="Times New Roman"/>
                <w:sz w:val="24"/>
                <w:szCs w:val="24"/>
              </w:rPr>
              <w:t>》文件要求。</w:t>
            </w:r>
            <w:r>
              <w:rPr>
                <w:rFonts w:hint="eastAsia" w:ascii="Times New Roman" w:hAnsi="Times New Roman" w:eastAsia="宋体" w:cs="Times New Roman"/>
                <w:b/>
                <w:color w:val="000000"/>
                <w:kern w:val="0"/>
                <w:sz w:val="24"/>
                <w:szCs w:val="24"/>
                <w:lang w:val="en-US" w:eastAsia="zh-CN" w:bidi="ar"/>
              </w:rPr>
              <w:t>3</w:t>
            </w:r>
            <w:r>
              <w:rPr>
                <w:rFonts w:hint="default" w:ascii="Times New Roman" w:hAnsi="Times New Roman" w:eastAsia="宋体" w:cs="Times New Roman"/>
                <w:b/>
                <w:color w:val="000000"/>
                <w:kern w:val="0"/>
                <w:sz w:val="24"/>
                <w:szCs w:val="24"/>
                <w:lang w:bidi="ar"/>
              </w:rPr>
              <w:t>、环境管理</w:t>
            </w:r>
            <w:r>
              <w:rPr>
                <w:rFonts w:hint="default" w:ascii="Times New Roman" w:hAnsi="Times New Roman" w:eastAsia="宋体" w:cs="Times New Roman"/>
                <w:b/>
                <w:kern w:val="0"/>
                <w:sz w:val="24"/>
                <w:szCs w:val="24"/>
              </w:rPr>
              <w:t>政策分析</w:t>
            </w:r>
          </w:p>
          <w:p w14:paraId="5751B460">
            <w:pPr>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表</w:t>
            </w:r>
            <w:r>
              <w:rPr>
                <w:rFonts w:hint="default" w:ascii="Times New Roman" w:hAnsi="Times New Roman" w:eastAsia="宋体" w:cs="Times New Roman"/>
                <w:b/>
                <w:bCs/>
                <w:sz w:val="21"/>
                <w:szCs w:val="21"/>
                <w:lang w:val="en-US" w:eastAsia="zh-CN"/>
              </w:rPr>
              <w:t>1-</w:t>
            </w:r>
            <w:r>
              <w:rPr>
                <w:rFonts w:hint="eastAsia" w:ascii="Times New Roman" w:hAnsi="Times New Roman" w:eastAsia="宋体" w:cs="Times New Roman"/>
                <w:b/>
                <w:bCs/>
                <w:sz w:val="21"/>
                <w:szCs w:val="21"/>
                <w:lang w:val="en-US" w:eastAsia="zh-CN"/>
              </w:rPr>
              <w:t>4</w:t>
            </w:r>
            <w:r>
              <w:rPr>
                <w:rFonts w:hint="default" w:ascii="Times New Roman" w:hAnsi="Times New Roman" w:eastAsia="宋体" w:cs="Times New Roman"/>
                <w:b/>
                <w:bCs/>
                <w:sz w:val="21"/>
                <w:szCs w:val="21"/>
              </w:rPr>
              <w:t xml:space="preserve">  环境管理政策相符性分析</w:t>
            </w:r>
          </w:p>
          <w:tbl>
            <w:tblPr>
              <w:tblStyle w:val="25"/>
              <w:tblW w:w="4996"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04"/>
              <w:gridCol w:w="2677"/>
              <w:gridCol w:w="1859"/>
              <w:gridCol w:w="427"/>
            </w:tblGrid>
            <w:tr w14:paraId="04B8E3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40" w:type="pct"/>
                  <w:tcBorders>
                    <w:tl2br w:val="nil"/>
                    <w:tr2bl w:val="nil"/>
                  </w:tcBorders>
                  <w:noWrap w:val="0"/>
                  <w:vAlign w:val="center"/>
                </w:tcPr>
                <w:p w14:paraId="3BECAC50">
                  <w:pPr>
                    <w:pStyle w:val="55"/>
                    <w:spacing w:line="32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文件</w:t>
                  </w:r>
                </w:p>
              </w:tc>
              <w:tc>
                <w:tcPr>
                  <w:tcW w:w="2135" w:type="pct"/>
                  <w:tcBorders>
                    <w:tl2br w:val="nil"/>
                    <w:tr2bl w:val="nil"/>
                  </w:tcBorders>
                  <w:noWrap w:val="0"/>
                  <w:vAlign w:val="center"/>
                </w:tcPr>
                <w:p w14:paraId="25FC9F41">
                  <w:pPr>
                    <w:pStyle w:val="55"/>
                    <w:spacing w:line="32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环境管理政策要求</w:t>
                  </w:r>
                </w:p>
              </w:tc>
              <w:tc>
                <w:tcPr>
                  <w:tcW w:w="1483" w:type="pct"/>
                  <w:tcBorders>
                    <w:tl2br w:val="nil"/>
                    <w:tr2bl w:val="nil"/>
                  </w:tcBorders>
                  <w:noWrap w:val="0"/>
                  <w:vAlign w:val="center"/>
                </w:tcPr>
                <w:p w14:paraId="776FC8C6">
                  <w:pPr>
                    <w:pStyle w:val="55"/>
                    <w:spacing w:line="32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本项目情况</w:t>
                  </w:r>
                </w:p>
              </w:tc>
              <w:tc>
                <w:tcPr>
                  <w:tcW w:w="340" w:type="pct"/>
                  <w:tcBorders>
                    <w:tl2br w:val="nil"/>
                    <w:tr2bl w:val="nil"/>
                  </w:tcBorders>
                  <w:noWrap w:val="0"/>
                  <w:vAlign w:val="center"/>
                </w:tcPr>
                <w:p w14:paraId="26105AEB">
                  <w:pPr>
                    <w:pStyle w:val="55"/>
                    <w:spacing w:line="32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符合性</w:t>
                  </w:r>
                </w:p>
              </w:tc>
            </w:tr>
            <w:tr w14:paraId="477167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40" w:type="pct"/>
                  <w:tcBorders>
                    <w:tl2br w:val="nil"/>
                    <w:tr2bl w:val="nil"/>
                  </w:tcBorders>
                  <w:noWrap w:val="0"/>
                  <w:vAlign w:val="center"/>
                </w:tcPr>
                <w:p w14:paraId="3FC60E65">
                  <w:pPr>
                    <w:pStyle w:val="55"/>
                    <w:spacing w:line="32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w:t>
                  </w:r>
                  <w:r>
                    <w:rPr>
                      <w:rFonts w:hint="eastAsia" w:ascii="Times New Roman" w:hAnsi="Times New Roman" w:eastAsia="宋体" w:cs="Times New Roman"/>
                      <w:b w:val="0"/>
                      <w:bCs/>
                      <w:sz w:val="21"/>
                      <w:szCs w:val="21"/>
                      <w:lang w:eastAsia="zh-CN"/>
                    </w:rPr>
                    <w:t>巴音郭楞蒙古自治州大气污染防治办法</w:t>
                  </w:r>
                  <w:r>
                    <w:rPr>
                      <w:rFonts w:hint="default" w:ascii="Times New Roman" w:hAnsi="Times New Roman" w:eastAsia="宋体" w:cs="Times New Roman"/>
                      <w:b w:val="0"/>
                      <w:bCs/>
                      <w:sz w:val="21"/>
                      <w:szCs w:val="21"/>
                    </w:rPr>
                    <w:t>》州人大常委会公告，2019年第5号</w:t>
                  </w:r>
                </w:p>
              </w:tc>
              <w:tc>
                <w:tcPr>
                  <w:tcW w:w="2135" w:type="pct"/>
                  <w:tcBorders>
                    <w:tl2br w:val="nil"/>
                    <w:tr2bl w:val="nil"/>
                  </w:tcBorders>
                  <w:noWrap w:val="0"/>
                  <w:vAlign w:val="center"/>
                </w:tcPr>
                <w:p w14:paraId="46DEA90A">
                  <w:pPr>
                    <w:pStyle w:val="55"/>
                    <w:spacing w:line="320" w:lineRule="exact"/>
                    <w:jc w:val="both"/>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禁止新建、改建、扩建严重污染大气环境的项目。向大气排放污染物的企事业单位和其他生产经营者应当履行大</w:t>
                  </w:r>
                  <w:r>
                    <w:rPr>
                      <w:rFonts w:hint="eastAsia" w:ascii="Times New Roman" w:hAnsi="Times New Roman" w:eastAsia="宋体" w:cs="Times New Roman"/>
                      <w:b w:val="0"/>
                      <w:bCs/>
                      <w:sz w:val="21"/>
                      <w:szCs w:val="21"/>
                      <w:lang w:val="en-US" w:eastAsia="zh-CN"/>
                    </w:rPr>
                    <w:t>气</w:t>
                  </w:r>
                  <w:r>
                    <w:rPr>
                      <w:rFonts w:hint="default" w:ascii="Times New Roman" w:hAnsi="Times New Roman" w:eastAsia="宋体" w:cs="Times New Roman"/>
                      <w:b w:val="0"/>
                      <w:bCs/>
                      <w:sz w:val="21"/>
                      <w:szCs w:val="21"/>
                    </w:rPr>
                    <w:t>污染防治的法治义务，执行大气污染物排放标准，遵守大气污染物排放总量控制要求</w:t>
                  </w:r>
                </w:p>
              </w:tc>
              <w:tc>
                <w:tcPr>
                  <w:tcW w:w="1483" w:type="pct"/>
                  <w:tcBorders>
                    <w:tl2br w:val="nil"/>
                    <w:tr2bl w:val="nil"/>
                  </w:tcBorders>
                  <w:noWrap w:val="0"/>
                  <w:vAlign w:val="center"/>
                </w:tcPr>
                <w:p w14:paraId="03F26B0F">
                  <w:pPr>
                    <w:pStyle w:val="55"/>
                    <w:spacing w:line="32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本项目不属于严重污染大气环境的项目。本项目产生的废气都采取有效的环保措施，排放的废气满足大气污染物排放限值后排放</w:t>
                  </w:r>
                </w:p>
              </w:tc>
              <w:tc>
                <w:tcPr>
                  <w:tcW w:w="340" w:type="pct"/>
                  <w:tcBorders>
                    <w:tl2br w:val="nil"/>
                    <w:tr2bl w:val="nil"/>
                  </w:tcBorders>
                  <w:noWrap w:val="0"/>
                  <w:vAlign w:val="center"/>
                </w:tcPr>
                <w:p w14:paraId="69647F86">
                  <w:pPr>
                    <w:pStyle w:val="55"/>
                    <w:spacing w:line="32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符合</w:t>
                  </w:r>
                </w:p>
              </w:tc>
            </w:tr>
            <w:tr w14:paraId="77CEBC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40" w:type="pct"/>
                  <w:vMerge w:val="restart"/>
                  <w:tcBorders>
                    <w:tl2br w:val="nil"/>
                    <w:tr2bl w:val="nil"/>
                  </w:tcBorders>
                  <w:noWrap w:val="0"/>
                  <w:vAlign w:val="center"/>
                </w:tcPr>
                <w:p w14:paraId="784435F5">
                  <w:pPr>
                    <w:pStyle w:val="55"/>
                    <w:spacing w:line="32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b w:val="0"/>
                      <w:bCs w:val="0"/>
                      <w:color w:val="auto"/>
                      <w:sz w:val="21"/>
                      <w:szCs w:val="21"/>
                      <w:lang w:val="en-US" w:eastAsia="zh-CN"/>
                    </w:rPr>
                    <w:t>《新疆生态环境保护“十四五”规划》</w:t>
                  </w:r>
                </w:p>
              </w:tc>
              <w:tc>
                <w:tcPr>
                  <w:tcW w:w="2135" w:type="pct"/>
                  <w:tcBorders>
                    <w:tl2br w:val="nil"/>
                    <w:tr2bl w:val="nil"/>
                  </w:tcBorders>
                  <w:noWrap w:val="0"/>
                  <w:vAlign w:val="center"/>
                </w:tcPr>
                <w:p w14:paraId="270B8111">
                  <w:pPr>
                    <w:pStyle w:val="47"/>
                    <w:numPr>
                      <w:ilvl w:val="0"/>
                      <w:numId w:val="0"/>
                    </w:numPr>
                    <w:spacing w:line="320" w:lineRule="exact"/>
                    <w:ind w:left="0" w:lef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color w:val="auto"/>
                      <w:sz w:val="21"/>
                      <w:szCs w:val="21"/>
                    </w:rPr>
                    <w:t>受自然沙尘影响严重的南疆、东疆区域，因地制宜开展防风固沙生态修复工程，强化沙尘天气颗粒物防控。</w:t>
                  </w:r>
                </w:p>
              </w:tc>
              <w:tc>
                <w:tcPr>
                  <w:tcW w:w="1483" w:type="pct"/>
                  <w:tcBorders>
                    <w:tl2br w:val="nil"/>
                    <w:tr2bl w:val="nil"/>
                  </w:tcBorders>
                  <w:noWrap w:val="0"/>
                  <w:vAlign w:val="center"/>
                </w:tcPr>
                <w:p w14:paraId="550FA1CA">
                  <w:pPr>
                    <w:pStyle w:val="47"/>
                    <w:spacing w:line="320" w:lineRule="exact"/>
                    <w:jc w:val="left"/>
                    <w:rPr>
                      <w:rFonts w:hint="default" w:ascii="Times New Roman" w:hAnsi="Times New Roman" w:eastAsia="宋体" w:cs="Times New Roman"/>
                      <w:sz w:val="21"/>
                      <w:szCs w:val="21"/>
                    </w:rPr>
                  </w:pPr>
                  <w:r>
                    <w:rPr>
                      <w:rFonts w:hint="default" w:ascii="Times New Roman" w:hAnsi="Times New Roman" w:eastAsia="宋体" w:cs="Times New Roman"/>
                      <w:color w:val="auto"/>
                      <w:spacing w:val="-6"/>
                      <w:sz w:val="21"/>
                      <w:szCs w:val="21"/>
                      <w:highlight w:val="none"/>
                      <w:lang w:val="en-US" w:eastAsia="zh-CN"/>
                    </w:rPr>
                    <w:t>本项目</w:t>
                  </w:r>
                  <w:r>
                    <w:rPr>
                      <w:rFonts w:hint="default" w:ascii="Times New Roman" w:hAnsi="Times New Roman" w:eastAsia="宋体" w:cs="Times New Roman"/>
                      <w:color w:val="auto"/>
                      <w:spacing w:val="-6"/>
                      <w:sz w:val="21"/>
                      <w:szCs w:val="21"/>
                      <w:highlight w:val="none"/>
                    </w:rPr>
                    <w:t>卸料、堆存过程中产生的粉尘通过</w:t>
                  </w:r>
                  <w:r>
                    <w:rPr>
                      <w:rFonts w:hint="default" w:ascii="Times New Roman" w:hAnsi="Times New Roman" w:eastAsia="宋体" w:cs="Times New Roman"/>
                      <w:color w:val="auto"/>
                      <w:spacing w:val="-6"/>
                      <w:sz w:val="21"/>
                      <w:szCs w:val="21"/>
                      <w:highlight w:val="none"/>
                      <w:lang w:val="en-US" w:eastAsia="zh-CN"/>
                    </w:rPr>
                    <w:t>封闭</w:t>
                  </w:r>
                  <w:r>
                    <w:rPr>
                      <w:rFonts w:hint="eastAsia" w:ascii="Times New Roman" w:hAnsi="Times New Roman" w:cs="Times New Roman"/>
                      <w:color w:val="auto"/>
                      <w:spacing w:val="-6"/>
                      <w:sz w:val="21"/>
                      <w:szCs w:val="21"/>
                      <w:highlight w:val="none"/>
                      <w:lang w:val="en-US" w:eastAsia="zh-CN"/>
                    </w:rPr>
                    <w:t>式</w:t>
                  </w:r>
                  <w:r>
                    <w:rPr>
                      <w:rFonts w:hint="default" w:ascii="Times New Roman" w:hAnsi="Times New Roman" w:eastAsia="宋体" w:cs="Times New Roman"/>
                      <w:color w:val="auto"/>
                      <w:spacing w:val="-6"/>
                      <w:sz w:val="21"/>
                      <w:szCs w:val="21"/>
                      <w:highlight w:val="none"/>
                      <w:lang w:val="en-US" w:eastAsia="zh-CN"/>
                    </w:rPr>
                    <w:t>原料库</w:t>
                  </w:r>
                  <w:r>
                    <w:rPr>
                      <w:rFonts w:hint="default" w:ascii="Times New Roman" w:hAnsi="Times New Roman" w:eastAsia="宋体" w:cs="Times New Roman"/>
                      <w:color w:val="auto"/>
                      <w:spacing w:val="-6"/>
                      <w:sz w:val="21"/>
                      <w:szCs w:val="21"/>
                      <w:highlight w:val="none"/>
                    </w:rPr>
                    <w:t>、洒水抑尘等措施处理</w:t>
                  </w:r>
                  <w:r>
                    <w:rPr>
                      <w:rFonts w:hint="default" w:ascii="Times New Roman" w:hAnsi="Times New Roman" w:eastAsia="宋体" w:cs="Times New Roman"/>
                      <w:color w:val="auto"/>
                      <w:spacing w:val="-6"/>
                      <w:sz w:val="21"/>
                      <w:szCs w:val="21"/>
                      <w:highlight w:val="none"/>
                      <w:lang w:eastAsia="zh-CN"/>
                    </w:rPr>
                    <w:t>。</w:t>
                  </w:r>
                  <w:r>
                    <w:rPr>
                      <w:rFonts w:hint="default" w:ascii="Times New Roman" w:hAnsi="Times New Roman" w:eastAsia="宋体" w:cs="Times New Roman"/>
                      <w:color w:val="auto"/>
                      <w:spacing w:val="-6"/>
                      <w:sz w:val="21"/>
                      <w:szCs w:val="21"/>
                      <w:highlight w:val="none"/>
                      <w:lang w:val="en-US" w:eastAsia="zh-CN"/>
                    </w:rPr>
                    <w:t>对施工期采取防沙治沙处理措施，减轻项目施工期对环境的影响。</w:t>
                  </w:r>
                </w:p>
              </w:tc>
              <w:tc>
                <w:tcPr>
                  <w:tcW w:w="340" w:type="pct"/>
                  <w:tcBorders>
                    <w:tl2br w:val="nil"/>
                    <w:tr2bl w:val="nil"/>
                  </w:tcBorders>
                  <w:noWrap w:val="0"/>
                  <w:vAlign w:val="center"/>
                </w:tcPr>
                <w:p w14:paraId="08B9D58E">
                  <w:pPr>
                    <w:pStyle w:val="55"/>
                    <w:spacing w:line="320" w:lineRule="exact"/>
                    <w:ind w:firstLine="0" w:firstLine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b w:val="0"/>
                      <w:bCs/>
                      <w:color w:val="auto"/>
                      <w:sz w:val="21"/>
                      <w:szCs w:val="21"/>
                    </w:rPr>
                    <w:t>符合</w:t>
                  </w:r>
                </w:p>
              </w:tc>
            </w:tr>
            <w:tr w14:paraId="651058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40" w:type="pct"/>
                  <w:vMerge w:val="continue"/>
                  <w:tcBorders>
                    <w:tl2br w:val="nil"/>
                    <w:tr2bl w:val="nil"/>
                  </w:tcBorders>
                  <w:noWrap w:val="0"/>
                  <w:vAlign w:val="center"/>
                </w:tcPr>
                <w:p w14:paraId="00B876CE">
                  <w:pPr>
                    <w:pStyle w:val="55"/>
                    <w:spacing w:line="320" w:lineRule="exact"/>
                    <w:jc w:val="center"/>
                    <w:rPr>
                      <w:rFonts w:hint="default" w:ascii="Times New Roman" w:hAnsi="Times New Roman" w:eastAsia="宋体" w:cs="Times New Roman"/>
                      <w:b w:val="0"/>
                      <w:bCs w:val="0"/>
                      <w:color w:val="auto"/>
                      <w:sz w:val="21"/>
                      <w:szCs w:val="21"/>
                      <w:lang w:val="en-US" w:eastAsia="zh-CN"/>
                    </w:rPr>
                  </w:pPr>
                </w:p>
              </w:tc>
              <w:tc>
                <w:tcPr>
                  <w:tcW w:w="2135" w:type="pct"/>
                  <w:tcBorders>
                    <w:tl2br w:val="nil"/>
                    <w:tr2bl w:val="nil"/>
                  </w:tcBorders>
                  <w:noWrap w:val="0"/>
                  <w:vAlign w:val="center"/>
                </w:tcPr>
                <w:p w14:paraId="63D762F1">
                  <w:pPr>
                    <w:pStyle w:val="47"/>
                    <w:numPr>
                      <w:ilvl w:val="0"/>
                      <w:numId w:val="0"/>
                    </w:numPr>
                    <w:spacing w:line="320" w:lineRule="exact"/>
                    <w:ind w:left="0" w:lef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color w:val="auto"/>
                      <w:sz w:val="21"/>
                      <w:szCs w:val="21"/>
                    </w:rPr>
                    <w:t>强化区域大气污染联防联控，合理确定产业布局，推动区域内统一产业准入和排放标准。实施钢铁、水泥、焦化等行业季节性生产调控措施，推进散煤整治、挥发性有机污染物（以下简称“VOC</w:t>
                  </w:r>
                  <w:r>
                    <w:rPr>
                      <w:rFonts w:hint="default" w:ascii="Times New Roman" w:hAnsi="Times New Roman" w:eastAsia="宋体" w:cs="Times New Roman"/>
                      <w:color w:val="auto"/>
                      <w:sz w:val="21"/>
                      <w:szCs w:val="21"/>
                      <w:vertAlign w:val="subscript"/>
                    </w:rPr>
                    <w:t>s</w:t>
                  </w:r>
                  <w:r>
                    <w:rPr>
                      <w:rFonts w:hint="default" w:ascii="Times New Roman" w:hAnsi="Times New Roman" w:eastAsia="宋体" w:cs="Times New Roman"/>
                      <w:color w:val="auto"/>
                      <w:sz w:val="21"/>
                      <w:szCs w:val="21"/>
                    </w:rPr>
                    <w:t>”）综合治理、钢铁、水泥、焦化和燃煤工业锅炉行业超低排放改造、燃气锅炉低氮燃烧改造、工业园区内轨道运输（大宗货物“公转铁”）、柴油货车治理、锅炉炉窑综合治理等工程项目。</w:t>
                  </w:r>
                </w:p>
              </w:tc>
              <w:tc>
                <w:tcPr>
                  <w:tcW w:w="1483" w:type="pct"/>
                  <w:tcBorders>
                    <w:tl2br w:val="nil"/>
                    <w:tr2bl w:val="nil"/>
                  </w:tcBorders>
                  <w:noWrap w:val="0"/>
                  <w:vAlign w:val="center"/>
                </w:tcPr>
                <w:p w14:paraId="7F65F0EB">
                  <w:pPr>
                    <w:pStyle w:val="47"/>
                    <w:spacing w:line="320" w:lineRule="exact"/>
                    <w:jc w:val="both"/>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lang w:val="en-US" w:eastAsia="zh-CN"/>
                    </w:rPr>
                    <w:t>本项目</w:t>
                  </w:r>
                  <w:r>
                    <w:rPr>
                      <w:rFonts w:hint="eastAsia" w:ascii="Times New Roman" w:hAnsi="Times New Roman" w:cs="Times New Roman"/>
                      <w:color w:val="auto"/>
                      <w:sz w:val="21"/>
                      <w:szCs w:val="21"/>
                      <w:lang w:val="en-US" w:eastAsia="zh-CN"/>
                    </w:rPr>
                    <w:t>不涉及挥发性有机污染物</w:t>
                  </w:r>
                  <w:r>
                    <w:rPr>
                      <w:rFonts w:hint="default" w:ascii="Times New Roman" w:hAnsi="Times New Roman" w:eastAsia="宋体" w:cs="Times New Roman"/>
                      <w:color w:val="auto"/>
                      <w:sz w:val="21"/>
                      <w:szCs w:val="21"/>
                      <w:lang w:eastAsia="zh-CN"/>
                    </w:rPr>
                    <w:t>。</w:t>
                  </w:r>
                </w:p>
              </w:tc>
              <w:tc>
                <w:tcPr>
                  <w:tcW w:w="340" w:type="pct"/>
                  <w:tcBorders>
                    <w:tl2br w:val="nil"/>
                    <w:tr2bl w:val="nil"/>
                  </w:tcBorders>
                  <w:noWrap w:val="0"/>
                  <w:vAlign w:val="center"/>
                </w:tcPr>
                <w:p w14:paraId="35D1C870">
                  <w:pPr>
                    <w:pStyle w:val="55"/>
                    <w:spacing w:line="320" w:lineRule="exact"/>
                    <w:ind w:firstLine="0" w:firstLine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b w:val="0"/>
                      <w:bCs/>
                      <w:color w:val="auto"/>
                      <w:sz w:val="21"/>
                      <w:szCs w:val="21"/>
                    </w:rPr>
                    <w:t>符合</w:t>
                  </w:r>
                </w:p>
              </w:tc>
            </w:tr>
            <w:tr w14:paraId="7DBE06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40" w:type="pct"/>
                  <w:vMerge w:val="continue"/>
                  <w:tcBorders>
                    <w:tl2br w:val="nil"/>
                    <w:tr2bl w:val="nil"/>
                  </w:tcBorders>
                  <w:noWrap w:val="0"/>
                  <w:vAlign w:val="center"/>
                </w:tcPr>
                <w:p w14:paraId="2D69DC5E">
                  <w:pPr>
                    <w:pStyle w:val="55"/>
                    <w:spacing w:line="320" w:lineRule="exact"/>
                    <w:jc w:val="center"/>
                    <w:rPr>
                      <w:rFonts w:hint="default" w:ascii="Times New Roman" w:hAnsi="Times New Roman" w:eastAsia="宋体" w:cs="Times New Roman"/>
                      <w:b w:val="0"/>
                      <w:bCs w:val="0"/>
                      <w:color w:val="auto"/>
                      <w:sz w:val="21"/>
                      <w:szCs w:val="21"/>
                      <w:lang w:val="en-US" w:eastAsia="zh-CN"/>
                    </w:rPr>
                  </w:pPr>
                </w:p>
              </w:tc>
              <w:tc>
                <w:tcPr>
                  <w:tcW w:w="2135" w:type="pct"/>
                  <w:tcBorders>
                    <w:tl2br w:val="nil"/>
                    <w:tr2bl w:val="nil"/>
                  </w:tcBorders>
                  <w:noWrap w:val="0"/>
                  <w:vAlign w:val="center"/>
                </w:tcPr>
                <w:p w14:paraId="22B02B9C">
                  <w:pPr>
                    <w:pStyle w:val="47"/>
                    <w:numPr>
                      <w:ilvl w:val="0"/>
                      <w:numId w:val="0"/>
                    </w:numPr>
                    <w:spacing w:line="320" w:lineRule="exact"/>
                    <w:ind w:left="0" w:lef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color w:val="auto"/>
                      <w:sz w:val="21"/>
                      <w:szCs w:val="21"/>
                    </w:rPr>
                    <w:t>针对铸造、铁合金、焦化、水泥、砖瓦、石灰、耐火材料、金属冶炼以及煤化工、石油化工等行业，严格控制物料储存、输送及生产工艺过程无组织排放。</w:t>
                  </w:r>
                </w:p>
              </w:tc>
              <w:tc>
                <w:tcPr>
                  <w:tcW w:w="1483" w:type="pct"/>
                  <w:tcBorders>
                    <w:tl2br w:val="nil"/>
                    <w:tr2bl w:val="nil"/>
                  </w:tcBorders>
                  <w:noWrap w:val="0"/>
                  <w:vAlign w:val="center"/>
                </w:tcPr>
                <w:p w14:paraId="03E23710">
                  <w:pPr>
                    <w:pStyle w:val="47"/>
                    <w:spacing w:line="320" w:lineRule="exact"/>
                    <w:jc w:val="left"/>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lang w:val="en-US" w:eastAsia="zh-CN"/>
                    </w:rPr>
                    <w:t>本项目</w:t>
                  </w:r>
                  <w:r>
                    <w:rPr>
                      <w:rFonts w:hint="eastAsia" w:ascii="Times New Roman" w:hAnsi="Times New Roman" w:cs="Times New Roman"/>
                      <w:color w:val="auto"/>
                      <w:sz w:val="21"/>
                      <w:szCs w:val="21"/>
                      <w:lang w:val="en-US" w:eastAsia="zh-CN"/>
                    </w:rPr>
                    <w:t>原煤料</w:t>
                  </w:r>
                  <w:r>
                    <w:rPr>
                      <w:rFonts w:hint="default" w:ascii="Times New Roman" w:hAnsi="Times New Roman" w:eastAsia="宋体" w:cs="Times New Roman"/>
                      <w:color w:val="auto"/>
                      <w:sz w:val="21"/>
                      <w:szCs w:val="21"/>
                      <w:lang w:val="en-US" w:eastAsia="zh-CN"/>
                    </w:rPr>
                    <w:t>堆存于封闭</w:t>
                  </w:r>
                  <w:r>
                    <w:rPr>
                      <w:rFonts w:hint="eastAsia" w:ascii="Times New Roman" w:hAnsi="Times New Roman" w:cs="Times New Roman"/>
                      <w:color w:val="auto"/>
                      <w:sz w:val="21"/>
                      <w:szCs w:val="21"/>
                      <w:lang w:val="en-US" w:eastAsia="zh-CN"/>
                    </w:rPr>
                    <w:t>煤棚</w:t>
                  </w:r>
                  <w:r>
                    <w:rPr>
                      <w:rFonts w:hint="default" w:ascii="Times New Roman" w:hAnsi="Times New Roman" w:eastAsia="宋体" w:cs="Times New Roman"/>
                      <w:color w:val="auto"/>
                      <w:sz w:val="21"/>
                      <w:szCs w:val="21"/>
                      <w:lang w:val="en-US" w:eastAsia="zh-CN"/>
                    </w:rPr>
                    <w:t>中，并定期洒水。</w:t>
                  </w:r>
                </w:p>
              </w:tc>
              <w:tc>
                <w:tcPr>
                  <w:tcW w:w="340" w:type="pct"/>
                  <w:tcBorders>
                    <w:tl2br w:val="nil"/>
                    <w:tr2bl w:val="nil"/>
                  </w:tcBorders>
                  <w:noWrap w:val="0"/>
                  <w:vAlign w:val="center"/>
                </w:tcPr>
                <w:p w14:paraId="1AF4EB0F">
                  <w:pPr>
                    <w:pStyle w:val="55"/>
                    <w:spacing w:line="320" w:lineRule="exact"/>
                    <w:ind w:firstLine="0" w:firstLine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b w:val="0"/>
                      <w:bCs/>
                      <w:color w:val="auto"/>
                      <w:sz w:val="21"/>
                      <w:szCs w:val="21"/>
                    </w:rPr>
                    <w:t>符合</w:t>
                  </w:r>
                </w:p>
              </w:tc>
            </w:tr>
            <w:tr w14:paraId="626FFD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40" w:type="pct"/>
                  <w:vMerge w:val="restart"/>
                  <w:tcBorders>
                    <w:tl2br w:val="nil"/>
                    <w:tr2bl w:val="nil"/>
                  </w:tcBorders>
                  <w:noWrap w:val="0"/>
                  <w:vAlign w:val="center"/>
                </w:tcPr>
                <w:p w14:paraId="4285D8B8">
                  <w:pPr>
                    <w:pStyle w:val="55"/>
                    <w:spacing w:line="320" w:lineRule="exact"/>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《新疆维吾尔自治区大气污染防治条例》</w:t>
                  </w:r>
                </w:p>
              </w:tc>
              <w:tc>
                <w:tcPr>
                  <w:tcW w:w="2135" w:type="pct"/>
                  <w:tcBorders>
                    <w:tl2br w:val="nil"/>
                    <w:tr2bl w:val="nil"/>
                  </w:tcBorders>
                  <w:noWrap w:val="0"/>
                  <w:vAlign w:val="center"/>
                </w:tcPr>
                <w:p w14:paraId="1C31DBD7">
                  <w:pPr>
                    <w:pStyle w:val="47"/>
                    <w:numPr>
                      <w:ilvl w:val="0"/>
                      <w:numId w:val="0"/>
                    </w:numPr>
                    <w:spacing w:line="320" w:lineRule="exact"/>
                    <w:ind w:left="0" w:leftChars="0" w:firstLine="0" w:firstLineChars="0"/>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第四十三条贮存易产生扬尘的煤炭、煤矸石、煤渣、煤灰、水泥、石灰、石膏、砂土等物料的堆场应当密闭</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不能密闭的</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贮存单位或者个人应当采取下列防尘措施</w:t>
                  </w:r>
                  <w:r>
                    <w:rPr>
                      <w:rFonts w:hint="default" w:ascii="Times New Roman" w:hAnsi="Times New Roman" w:eastAsia="宋体" w:cs="Times New Roman"/>
                      <w:color w:val="auto"/>
                      <w:sz w:val="21"/>
                      <w:szCs w:val="21"/>
                      <w:lang w:eastAsia="zh-CN"/>
                    </w:rPr>
                    <w:t>：</w:t>
                  </w:r>
                </w:p>
                <w:p w14:paraId="4C2DCC40">
                  <w:pPr>
                    <w:pStyle w:val="47"/>
                    <w:numPr>
                      <w:ilvl w:val="0"/>
                      <w:numId w:val="0"/>
                    </w:numPr>
                    <w:spacing w:line="320" w:lineRule="exact"/>
                    <w:ind w:left="0" w:leftChars="0" w:firstLine="0" w:firstLineChars="0"/>
                    <w:rPr>
                      <w:rFonts w:hint="default"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（一）</w:t>
                  </w:r>
                  <w:r>
                    <w:rPr>
                      <w:rFonts w:hint="default" w:ascii="Times New Roman" w:hAnsi="Times New Roman" w:eastAsia="宋体" w:cs="Times New Roman"/>
                      <w:color w:val="auto"/>
                      <w:sz w:val="21"/>
                      <w:szCs w:val="21"/>
                    </w:rPr>
                    <w:t>堆场的场坪、路面应当进行硬化处理</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并保持路面整洁</w:t>
                  </w:r>
                  <w:r>
                    <w:rPr>
                      <w:rFonts w:hint="default" w:ascii="Times New Roman" w:hAnsi="Times New Roman" w:eastAsia="宋体" w:cs="Times New Roman"/>
                      <w:color w:val="auto"/>
                      <w:sz w:val="21"/>
                      <w:szCs w:val="21"/>
                      <w:lang w:eastAsia="zh-CN"/>
                    </w:rPr>
                    <w:t>；</w:t>
                  </w:r>
                </w:p>
                <w:p w14:paraId="6EC8345A">
                  <w:pPr>
                    <w:pStyle w:val="47"/>
                    <w:numPr>
                      <w:ilvl w:val="0"/>
                      <w:numId w:val="0"/>
                    </w:numPr>
                    <w:spacing w:line="320" w:lineRule="exact"/>
                    <w:ind w:left="0" w:leftChars="0" w:firstLine="0" w:firstLineChars="0"/>
                    <w:rPr>
                      <w:rFonts w:hint="default"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（二）</w:t>
                  </w:r>
                  <w:r>
                    <w:rPr>
                      <w:rFonts w:hint="default" w:ascii="Times New Roman" w:hAnsi="Times New Roman" w:eastAsia="宋体" w:cs="Times New Roman"/>
                      <w:color w:val="auto"/>
                      <w:sz w:val="21"/>
                      <w:szCs w:val="21"/>
                    </w:rPr>
                    <w:t>堆场周边应当配备高于堆存物料的围挡、防风抑尘网等设施</w:t>
                  </w:r>
                  <w:r>
                    <w:rPr>
                      <w:rFonts w:hint="default" w:ascii="Times New Roman" w:hAnsi="Times New Roman" w:eastAsia="宋体" w:cs="Times New Roman"/>
                      <w:color w:val="auto"/>
                      <w:sz w:val="21"/>
                      <w:szCs w:val="21"/>
                      <w:lang w:eastAsia="zh-CN"/>
                    </w:rPr>
                    <w:t>；</w:t>
                  </w:r>
                </w:p>
                <w:p w14:paraId="7A65049F">
                  <w:pPr>
                    <w:pStyle w:val="47"/>
                    <w:numPr>
                      <w:ilvl w:val="0"/>
                      <w:numId w:val="0"/>
                    </w:numPr>
                    <w:spacing w:line="320" w:lineRule="exact"/>
                    <w:ind w:left="0" w:leftChars="0" w:firstLine="0" w:firstLineChars="0"/>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eastAsia="zh-CN"/>
                    </w:rPr>
                    <w:t>（三）</w:t>
                  </w:r>
                  <w:r>
                    <w:rPr>
                      <w:rFonts w:hint="default" w:ascii="Times New Roman" w:hAnsi="Times New Roman" w:eastAsia="宋体" w:cs="Times New Roman"/>
                      <w:color w:val="auto"/>
                      <w:sz w:val="21"/>
                      <w:szCs w:val="21"/>
                    </w:rPr>
                    <w:t>按照物料类别采取相应的覆盖、喷淋和围挡等防风抑尘措施。</w:t>
                  </w:r>
                </w:p>
                <w:p w14:paraId="15545E6D">
                  <w:pPr>
                    <w:pStyle w:val="47"/>
                    <w:numPr>
                      <w:ilvl w:val="0"/>
                      <w:numId w:val="0"/>
                    </w:numPr>
                    <w:spacing w:line="320" w:lineRule="exact"/>
                    <w:ind w:left="0" w:leftChars="0"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露天装卸物料应当采取密闭或者喷淋等抑尘措施</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输送的物料应当在装料、卸料处配备吸尘、喷淋等防尘设施。</w:t>
                  </w:r>
                </w:p>
              </w:tc>
              <w:tc>
                <w:tcPr>
                  <w:tcW w:w="1483" w:type="pct"/>
                  <w:tcBorders>
                    <w:tl2br w:val="nil"/>
                    <w:tr2bl w:val="nil"/>
                  </w:tcBorders>
                  <w:noWrap w:val="0"/>
                  <w:vAlign w:val="center"/>
                </w:tcPr>
                <w:p w14:paraId="7F26E8D5">
                  <w:pPr>
                    <w:pStyle w:val="47"/>
                    <w:spacing w:line="320" w:lineRule="exact"/>
                    <w:jc w:val="left"/>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项目</w:t>
                  </w:r>
                  <w:r>
                    <w:rPr>
                      <w:rFonts w:hint="eastAsia" w:ascii="Times New Roman" w:hAnsi="Times New Roman" w:cs="Times New Roman"/>
                      <w:sz w:val="21"/>
                      <w:szCs w:val="21"/>
                      <w:lang w:val="en-US" w:eastAsia="zh-CN"/>
                    </w:rPr>
                    <w:t>原煤</w:t>
                  </w:r>
                  <w:r>
                    <w:rPr>
                      <w:rFonts w:hint="default" w:ascii="Times New Roman" w:hAnsi="Times New Roman" w:eastAsia="宋体" w:cs="Times New Roman"/>
                      <w:sz w:val="21"/>
                      <w:szCs w:val="21"/>
                      <w:lang w:eastAsia="zh-CN"/>
                    </w:rPr>
                    <w:t>采用封闭</w:t>
                  </w:r>
                  <w:r>
                    <w:rPr>
                      <w:rFonts w:hint="eastAsia" w:ascii="Times New Roman" w:hAnsi="Times New Roman" w:cs="Times New Roman"/>
                      <w:sz w:val="21"/>
                      <w:szCs w:val="21"/>
                      <w:lang w:val="en-US" w:eastAsia="zh-CN"/>
                    </w:rPr>
                    <w:t>煤棚</w:t>
                  </w:r>
                  <w:r>
                    <w:rPr>
                      <w:rFonts w:hint="default" w:ascii="Times New Roman" w:hAnsi="Times New Roman" w:eastAsia="宋体" w:cs="Times New Roman"/>
                      <w:sz w:val="21"/>
                      <w:szCs w:val="21"/>
                      <w:lang w:eastAsia="zh-CN"/>
                    </w:rPr>
                    <w:t>堆存，装卸物料采取洒水抑尘措施</w:t>
                  </w:r>
                  <w:r>
                    <w:rPr>
                      <w:rFonts w:hint="default" w:ascii="Times New Roman" w:hAnsi="Times New Roman" w:eastAsia="宋体" w:cs="Times New Roman"/>
                      <w:color w:val="auto"/>
                      <w:sz w:val="21"/>
                      <w:szCs w:val="21"/>
                      <w:lang w:eastAsia="zh-CN"/>
                    </w:rPr>
                    <w:t>。</w:t>
                  </w:r>
                </w:p>
              </w:tc>
              <w:tc>
                <w:tcPr>
                  <w:tcW w:w="340" w:type="pct"/>
                  <w:tcBorders>
                    <w:tl2br w:val="nil"/>
                    <w:tr2bl w:val="nil"/>
                  </w:tcBorders>
                  <w:noWrap w:val="0"/>
                  <w:vAlign w:val="center"/>
                </w:tcPr>
                <w:p w14:paraId="5F84427E">
                  <w:pPr>
                    <w:pStyle w:val="55"/>
                    <w:spacing w:line="320" w:lineRule="exact"/>
                    <w:ind w:firstLine="0" w:firstLineChars="0"/>
                    <w:jc w:val="center"/>
                    <w:rPr>
                      <w:rFonts w:hint="default" w:ascii="Times New Roman" w:hAnsi="Times New Roman" w:eastAsia="宋体" w:cs="Times New Roman"/>
                      <w:b w:val="0"/>
                      <w:bCs/>
                      <w:color w:val="auto"/>
                      <w:sz w:val="21"/>
                      <w:szCs w:val="21"/>
                      <w:lang w:eastAsia="zh-CN"/>
                    </w:rPr>
                  </w:pPr>
                  <w:r>
                    <w:rPr>
                      <w:rFonts w:hint="default" w:ascii="Times New Roman" w:hAnsi="Times New Roman" w:eastAsia="宋体" w:cs="Times New Roman"/>
                      <w:b w:val="0"/>
                      <w:bCs/>
                      <w:color w:val="auto"/>
                      <w:sz w:val="21"/>
                      <w:szCs w:val="21"/>
                      <w:lang w:eastAsia="zh-CN"/>
                    </w:rPr>
                    <w:t>符合</w:t>
                  </w:r>
                </w:p>
              </w:tc>
            </w:tr>
            <w:tr w14:paraId="0493C3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40" w:type="pct"/>
                  <w:vMerge w:val="continue"/>
                  <w:tcBorders>
                    <w:tl2br w:val="nil"/>
                    <w:tr2bl w:val="nil"/>
                  </w:tcBorders>
                  <w:noWrap w:val="0"/>
                  <w:vAlign w:val="center"/>
                </w:tcPr>
                <w:p w14:paraId="06366D7C">
                  <w:pPr>
                    <w:pStyle w:val="55"/>
                    <w:spacing w:line="320" w:lineRule="exact"/>
                    <w:jc w:val="center"/>
                    <w:rPr>
                      <w:rFonts w:hint="default" w:ascii="Times New Roman" w:hAnsi="Times New Roman" w:eastAsia="宋体" w:cs="Times New Roman"/>
                      <w:b w:val="0"/>
                      <w:bCs w:val="0"/>
                      <w:color w:val="auto"/>
                      <w:sz w:val="21"/>
                      <w:szCs w:val="21"/>
                      <w:lang w:val="en-US" w:eastAsia="zh-CN"/>
                    </w:rPr>
                  </w:pPr>
                </w:p>
              </w:tc>
              <w:tc>
                <w:tcPr>
                  <w:tcW w:w="2135" w:type="pct"/>
                  <w:tcBorders>
                    <w:tl2br w:val="nil"/>
                    <w:tr2bl w:val="nil"/>
                  </w:tcBorders>
                  <w:noWrap w:val="0"/>
                  <w:vAlign w:val="center"/>
                </w:tcPr>
                <w:p w14:paraId="7D189FAD">
                  <w:pPr>
                    <w:pStyle w:val="47"/>
                    <w:numPr>
                      <w:ilvl w:val="0"/>
                      <w:numId w:val="0"/>
                    </w:numPr>
                    <w:spacing w:line="320" w:lineRule="exact"/>
                    <w:ind w:left="0" w:leftChars="0"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000000"/>
                      <w:sz w:val="21"/>
                      <w:szCs w:val="21"/>
                      <w:highlight w:val="none"/>
                    </w:rPr>
                    <w:t>向大气排放污染物的企业事业单位和其他生产经营者，应当按照国家有关规定和监测规范，自行或者委托有资质的监测机构监测大气污染物排放情况，并保存原始监测数据记录。</w:t>
                  </w:r>
                </w:p>
              </w:tc>
              <w:tc>
                <w:tcPr>
                  <w:tcW w:w="1483" w:type="pct"/>
                  <w:tcBorders>
                    <w:tl2br w:val="nil"/>
                    <w:tr2bl w:val="nil"/>
                  </w:tcBorders>
                  <w:noWrap w:val="0"/>
                  <w:vAlign w:val="center"/>
                </w:tcPr>
                <w:p w14:paraId="0EC2582E">
                  <w:pPr>
                    <w:pStyle w:val="47"/>
                    <w:spacing w:line="320" w:lineRule="exact"/>
                    <w:jc w:val="left"/>
                    <w:rPr>
                      <w:rFonts w:hint="default" w:ascii="Times New Roman" w:hAnsi="Times New Roman" w:eastAsia="宋体" w:cs="Times New Roman"/>
                      <w:sz w:val="21"/>
                      <w:szCs w:val="21"/>
                      <w:lang w:eastAsia="zh-CN"/>
                    </w:rPr>
                  </w:pPr>
                  <w:r>
                    <w:rPr>
                      <w:rFonts w:hint="default" w:ascii="Times New Roman" w:hAnsi="Times New Roman" w:eastAsia="宋体" w:cs="Times New Roman"/>
                      <w:color w:val="000000"/>
                      <w:sz w:val="21"/>
                      <w:szCs w:val="21"/>
                      <w:highlight w:val="none"/>
                      <w:lang w:val="en-US" w:eastAsia="zh-CN"/>
                    </w:rPr>
                    <w:t>本项目建成后，每年定期对</w:t>
                  </w:r>
                  <w:r>
                    <w:rPr>
                      <w:rFonts w:hint="eastAsia" w:ascii="Times New Roman" w:hAnsi="Times New Roman" w:cs="Times New Roman"/>
                      <w:color w:val="000000"/>
                      <w:sz w:val="21"/>
                      <w:szCs w:val="21"/>
                      <w:highlight w:val="none"/>
                      <w:lang w:val="en-US" w:eastAsia="zh-CN"/>
                    </w:rPr>
                    <w:t>厂界废气</w:t>
                  </w:r>
                  <w:r>
                    <w:rPr>
                      <w:rFonts w:hint="default" w:ascii="Times New Roman" w:hAnsi="Times New Roman" w:eastAsia="宋体" w:cs="Times New Roman"/>
                      <w:color w:val="000000"/>
                      <w:sz w:val="21"/>
                      <w:szCs w:val="21"/>
                      <w:highlight w:val="none"/>
                      <w:lang w:val="en-US" w:eastAsia="zh-CN"/>
                    </w:rPr>
                    <w:t>开展监测，并保存原始监测数据。</w:t>
                  </w:r>
                </w:p>
              </w:tc>
              <w:tc>
                <w:tcPr>
                  <w:tcW w:w="340" w:type="pct"/>
                  <w:tcBorders>
                    <w:tl2br w:val="nil"/>
                    <w:tr2bl w:val="nil"/>
                  </w:tcBorders>
                  <w:noWrap w:val="0"/>
                  <w:vAlign w:val="center"/>
                </w:tcPr>
                <w:p w14:paraId="6F35141B">
                  <w:pPr>
                    <w:pStyle w:val="55"/>
                    <w:spacing w:line="320" w:lineRule="exact"/>
                    <w:ind w:firstLine="0" w:firstLineChars="0"/>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符合</w:t>
                  </w:r>
                </w:p>
              </w:tc>
            </w:tr>
            <w:tr w14:paraId="3E9BD1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40" w:type="pct"/>
                  <w:tcBorders>
                    <w:tl2br w:val="nil"/>
                    <w:tr2bl w:val="nil"/>
                  </w:tcBorders>
                  <w:noWrap w:val="0"/>
                  <w:vAlign w:val="center"/>
                </w:tcPr>
                <w:p w14:paraId="3799B802">
                  <w:pPr>
                    <w:pStyle w:val="55"/>
                    <w:spacing w:line="320" w:lineRule="exact"/>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《新疆维吾尔自治区重点行业环境准入条件（2024年）》</w:t>
                  </w:r>
                </w:p>
              </w:tc>
              <w:tc>
                <w:tcPr>
                  <w:tcW w:w="2135" w:type="pct"/>
                  <w:tcBorders>
                    <w:tl2br w:val="nil"/>
                    <w:tr2bl w:val="nil"/>
                  </w:tcBorders>
                  <w:noWrap w:val="0"/>
                  <w:vAlign w:val="center"/>
                </w:tcPr>
                <w:p w14:paraId="64F5FC66">
                  <w:pPr>
                    <w:pStyle w:val="47"/>
                    <w:numPr>
                      <w:ilvl w:val="0"/>
                      <w:numId w:val="0"/>
                    </w:numPr>
                    <w:spacing w:line="320" w:lineRule="exact"/>
                    <w:ind w:left="0" w:leftChars="0"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1.建设单位</w:t>
                  </w:r>
                  <w:r>
                    <w:rPr>
                      <w:rFonts w:hint="eastAsia" w:ascii="Times New Roman" w:hAnsi="Times New Roman" w:cs="Times New Roman"/>
                      <w:color w:val="auto"/>
                      <w:sz w:val="21"/>
                      <w:szCs w:val="21"/>
                      <w:lang w:eastAsia="zh-CN"/>
                    </w:rPr>
                    <w:t>应当</w:t>
                  </w:r>
                  <w:r>
                    <w:rPr>
                      <w:rFonts w:hint="default" w:ascii="Times New Roman" w:hAnsi="Times New Roman" w:eastAsia="宋体" w:cs="Times New Roman"/>
                      <w:color w:val="auto"/>
                      <w:sz w:val="21"/>
                      <w:szCs w:val="21"/>
                    </w:rPr>
                    <w:t>依法依规组织编制环境影响评价文件，并报具有审批权限的生态环境部门审批。</w:t>
                  </w:r>
                </w:p>
                <w:p w14:paraId="597BA9F1">
                  <w:pPr>
                    <w:pStyle w:val="47"/>
                    <w:numPr>
                      <w:ilvl w:val="0"/>
                      <w:numId w:val="0"/>
                    </w:numPr>
                    <w:spacing w:line="320" w:lineRule="exact"/>
                    <w:ind w:left="0" w:leftChars="0"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2.建设项目应符合国家、自治区相关法律法</w:t>
                  </w:r>
                  <w:r>
                    <w:rPr>
                      <w:rFonts w:hint="eastAsia" w:ascii="Times New Roman" w:hAnsi="Times New Roman" w:cs="Times New Roman"/>
                      <w:color w:val="auto"/>
                      <w:sz w:val="21"/>
                      <w:szCs w:val="21"/>
                      <w:lang w:eastAsia="zh-CN"/>
                    </w:rPr>
                    <w:t>规和</w:t>
                  </w:r>
                  <w:r>
                    <w:rPr>
                      <w:rFonts w:hint="default" w:ascii="Times New Roman" w:hAnsi="Times New Roman" w:eastAsia="宋体" w:cs="Times New Roman"/>
                      <w:color w:val="auto"/>
                      <w:sz w:val="21"/>
                      <w:szCs w:val="21"/>
                    </w:rPr>
                    <w:t>规章、产业政策要求，采用的工艺、技术和设备应符合《产业结构调整指导目录》《产业转移指导目录》《鼓励外商投资产业目录》《西部地区鼓励类产业目录》等相关要求，不得采用国家和自治区限制、淘汰或禁止使用的工艺、技术和设备。在环评审批中，严格落实国家及自治区有关行业产能替代、压减等措施。</w:t>
                  </w:r>
                </w:p>
                <w:p w14:paraId="7C18AC66">
                  <w:pPr>
                    <w:pStyle w:val="47"/>
                    <w:numPr>
                      <w:ilvl w:val="0"/>
                      <w:numId w:val="0"/>
                    </w:numPr>
                    <w:spacing w:line="320" w:lineRule="exact"/>
                    <w:ind w:left="0" w:leftChars="0"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r>
                    <w:rPr>
                      <w:rFonts w:hint="default" w:ascii="Times New Roman" w:hAnsi="Times New Roman" w:eastAsia="宋体" w:cs="Times New Roman"/>
                      <w:color w:val="auto"/>
                      <w:sz w:val="21"/>
                      <w:szCs w:val="21"/>
                      <w:lang w:val="en-US" w:eastAsia="zh-CN"/>
                    </w:rPr>
                    <w:t>一</w:t>
                  </w:r>
                  <w:r>
                    <w:rPr>
                      <w:rFonts w:hint="default" w:ascii="Times New Roman" w:hAnsi="Times New Roman" w:eastAsia="宋体" w:cs="Times New Roman"/>
                      <w:color w:val="auto"/>
                      <w:sz w:val="21"/>
                      <w:szCs w:val="21"/>
                    </w:rPr>
                    <w:t>切开发建设活动应符合国家、自治区主体功能区规划</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自治区和各地颁布实施的国民经济发展规划、生态功能区划、</w:t>
                  </w:r>
                  <w:r>
                    <w:rPr>
                      <w:rFonts w:hint="eastAsia" w:ascii="Times New Roman" w:hAnsi="Times New Roman" w:cs="Times New Roman"/>
                      <w:color w:val="auto"/>
                      <w:sz w:val="21"/>
                      <w:szCs w:val="21"/>
                      <w:lang w:eastAsia="zh-CN"/>
                    </w:rPr>
                    <w:t>国土</w:t>
                  </w:r>
                  <w:r>
                    <w:rPr>
                      <w:rFonts w:hint="default" w:ascii="Times New Roman" w:hAnsi="Times New Roman" w:eastAsia="宋体" w:cs="Times New Roman"/>
                      <w:color w:val="auto"/>
                      <w:sz w:val="21"/>
                      <w:szCs w:val="21"/>
                    </w:rPr>
                    <w:t>空间规划、产业发展规划等相关规划</w:t>
                  </w:r>
                  <w:r>
                    <w:rPr>
                      <w:rFonts w:hint="eastAsia" w:ascii="Times New Roman" w:hAnsi="Times New Roman" w:cs="Times New Roman"/>
                      <w:color w:val="auto"/>
                      <w:sz w:val="21"/>
                      <w:szCs w:val="21"/>
                      <w:lang w:eastAsia="zh-CN"/>
                    </w:rPr>
                    <w:t>，及</w:t>
                  </w:r>
                  <w:r>
                    <w:rPr>
                      <w:rFonts w:hint="default" w:ascii="Times New Roman" w:hAnsi="Times New Roman" w:eastAsia="宋体" w:cs="Times New Roman"/>
                      <w:color w:val="auto"/>
                      <w:sz w:val="21"/>
                      <w:szCs w:val="21"/>
                    </w:rPr>
                    <w:t>生态环境分区管控要求</w:t>
                  </w:r>
                  <w:r>
                    <w:rPr>
                      <w:rFonts w:hint="eastAsia" w:ascii="Times New Roman" w:hAnsi="Times New Roman" w:cs="Times New Roman"/>
                      <w:color w:val="auto"/>
                      <w:sz w:val="21"/>
                      <w:szCs w:val="21"/>
                      <w:lang w:eastAsia="zh-CN"/>
                    </w:rPr>
                    <w:t>，符合</w:t>
                  </w:r>
                  <w:r>
                    <w:rPr>
                      <w:rFonts w:hint="default" w:ascii="Times New Roman" w:hAnsi="Times New Roman" w:eastAsia="宋体" w:cs="Times New Roman"/>
                      <w:color w:val="auto"/>
                      <w:sz w:val="21"/>
                      <w:szCs w:val="21"/>
                    </w:rPr>
                    <w:t>区域</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流域</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或产业规划环评及审查意见要求。</w:t>
                  </w:r>
                </w:p>
                <w:p w14:paraId="3D08C8A3">
                  <w:pPr>
                    <w:pStyle w:val="47"/>
                    <w:numPr>
                      <w:ilvl w:val="0"/>
                      <w:numId w:val="0"/>
                    </w:numPr>
                    <w:spacing w:line="320" w:lineRule="exact"/>
                    <w:ind w:left="0" w:leftChars="0"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4.禁止在自然保护区、世界自然遗产地、风景名胜区、自然公园</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森林公园、地质公园、湿地公园、沙漠公园等</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、重要</w:t>
                  </w:r>
                  <w:r>
                    <w:rPr>
                      <w:rFonts w:hint="eastAsia" w:ascii="Times New Roman" w:hAnsi="Times New Roman" w:cs="Times New Roman"/>
                      <w:color w:val="auto"/>
                      <w:sz w:val="21"/>
                      <w:szCs w:val="21"/>
                      <w:lang w:val="en-US" w:eastAsia="zh-CN"/>
                    </w:rPr>
                    <w:t>湿</w:t>
                  </w:r>
                  <w:r>
                    <w:rPr>
                      <w:rFonts w:hint="default" w:ascii="Times New Roman" w:hAnsi="Times New Roman" w:eastAsia="宋体" w:cs="Times New Roman"/>
                      <w:color w:val="auto"/>
                      <w:sz w:val="21"/>
                      <w:szCs w:val="21"/>
                    </w:rPr>
                    <w:t>地、饮用水水源保护区等依法划定禁止开发建设的环境敏感区及其它法律法规规章禁止的区域进行污染环境的任何开发活动。禁止在青藏高原水土流失严重、生态脆弱的区域开展可能造成水土流失的生产建设活动。确因国家发展战略和国计民生需要建设的，应当经科学论证，并依法办理审批手续，严格控制扰动范围。涉及生态保护红线的其他要求，按照《自然资源部生态环境部国家林业和草原局关于加强生态保护红线管理的通知</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试行</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自然资发</w:t>
                  </w:r>
                  <w:r>
                    <w:rPr>
                      <w:rFonts w:hint="eastAsia" w:ascii="Times New Roman" w:hAnsi="Times New Roman" w:cs="Times New Roman"/>
                      <w:color w:val="auto"/>
                      <w:sz w:val="21"/>
                      <w:szCs w:val="21"/>
                      <w:lang w:eastAsia="zh-CN"/>
                    </w:rPr>
                    <w:t>〔2022〕142号）</w:t>
                  </w:r>
                  <w:r>
                    <w:rPr>
                      <w:rFonts w:hint="default" w:ascii="Times New Roman" w:hAnsi="Times New Roman" w:eastAsia="宋体" w:cs="Times New Roman"/>
                      <w:color w:val="auto"/>
                      <w:sz w:val="21"/>
                      <w:szCs w:val="21"/>
                    </w:rPr>
                    <w:t>执行，生态保护红线管控要求调整更新的，从其规定。</w:t>
                  </w:r>
                </w:p>
              </w:tc>
              <w:tc>
                <w:tcPr>
                  <w:tcW w:w="1483" w:type="pct"/>
                  <w:tcBorders>
                    <w:tl2br w:val="nil"/>
                    <w:tr2bl w:val="nil"/>
                  </w:tcBorders>
                  <w:noWrap w:val="0"/>
                  <w:vAlign w:val="center"/>
                </w:tcPr>
                <w:p w14:paraId="419FE9BA">
                  <w:pPr>
                    <w:pStyle w:val="47"/>
                    <w:spacing w:line="320" w:lineRule="exact"/>
                    <w:jc w:val="left"/>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项目编制</w:t>
                  </w:r>
                  <w:r>
                    <w:rPr>
                      <w:rFonts w:hint="eastAsia" w:ascii="Times New Roman" w:hAnsi="Times New Roman" w:cs="Times New Roman"/>
                      <w:color w:val="auto"/>
                      <w:sz w:val="21"/>
                      <w:szCs w:val="21"/>
                      <w:lang w:val="en-US" w:eastAsia="zh-CN"/>
                    </w:rPr>
                    <w:t>环境影响</w:t>
                  </w:r>
                  <w:r>
                    <w:rPr>
                      <w:rFonts w:hint="default" w:ascii="Times New Roman" w:hAnsi="Times New Roman" w:eastAsia="宋体" w:cs="Times New Roman"/>
                      <w:color w:val="auto"/>
                      <w:sz w:val="21"/>
                      <w:szCs w:val="21"/>
                      <w:lang w:val="en-US" w:eastAsia="zh-CN"/>
                    </w:rPr>
                    <w:t>报告表报巴州生态环境局审批后建设；项目工艺、技术和设备不属于</w:t>
                  </w:r>
                  <w:r>
                    <w:rPr>
                      <w:rFonts w:hint="eastAsia" w:ascii="Times New Roman" w:hAnsi="Times New Roman" w:cs="Times New Roman"/>
                      <w:color w:val="auto"/>
                      <w:sz w:val="21"/>
                      <w:szCs w:val="21"/>
                      <w:lang w:val="en-US" w:eastAsia="zh-CN"/>
                    </w:rPr>
                    <w:t>《产业结构</w:t>
                  </w:r>
                  <w:r>
                    <w:rPr>
                      <w:rFonts w:hint="default" w:ascii="Times New Roman" w:hAnsi="Times New Roman" w:eastAsia="宋体" w:cs="Times New Roman"/>
                      <w:color w:val="auto"/>
                      <w:sz w:val="21"/>
                      <w:szCs w:val="21"/>
                    </w:rPr>
                    <w:t>调整指导目录（2</w:t>
                  </w:r>
                  <w:r>
                    <w:rPr>
                      <w:rFonts w:hint="default" w:ascii="Times New Roman" w:hAnsi="Times New Roman" w:eastAsia="宋体" w:cs="Times New Roman"/>
                      <w:color w:val="auto"/>
                      <w:sz w:val="21"/>
                      <w:szCs w:val="21"/>
                      <w:lang w:val="en-US" w:eastAsia="zh-CN"/>
                    </w:rPr>
                    <w:t>024</w:t>
                  </w:r>
                  <w:r>
                    <w:rPr>
                      <w:rFonts w:hint="default" w:ascii="Times New Roman" w:hAnsi="Times New Roman" w:eastAsia="宋体" w:cs="Times New Roman"/>
                      <w:color w:val="auto"/>
                      <w:sz w:val="21"/>
                      <w:szCs w:val="21"/>
                    </w:rPr>
                    <w:t>年本）》</w:t>
                  </w:r>
                  <w:r>
                    <w:rPr>
                      <w:rFonts w:hint="default" w:ascii="Times New Roman" w:hAnsi="Times New Roman" w:eastAsia="宋体" w:cs="Times New Roman"/>
                      <w:color w:val="auto"/>
                      <w:sz w:val="21"/>
                      <w:szCs w:val="21"/>
                      <w:lang w:eastAsia="zh-CN"/>
                    </w:rPr>
                    <w:t>限制类和禁止类，本项目不属于</w:t>
                  </w:r>
                  <w:r>
                    <w:rPr>
                      <w:rFonts w:hint="eastAsia" w:ascii="Times New Roman" w:hAnsi="Times New Roman" w:cs="Times New Roman"/>
                      <w:color w:val="auto"/>
                      <w:sz w:val="21"/>
                      <w:szCs w:val="21"/>
                      <w:lang w:eastAsia="zh-CN"/>
                    </w:rPr>
                    <w:t>《市场准入负面清单（2025年版）》</w:t>
                  </w:r>
                  <w:r>
                    <w:rPr>
                      <w:rFonts w:hint="default" w:ascii="Times New Roman" w:hAnsi="Times New Roman" w:eastAsia="宋体" w:cs="Times New Roman"/>
                      <w:color w:val="auto"/>
                      <w:sz w:val="21"/>
                      <w:szCs w:val="21"/>
                      <w:lang w:eastAsia="zh-CN"/>
                    </w:rPr>
                    <w:t>禁止要求，属于许可类，项目位</w:t>
                  </w:r>
                  <w:r>
                    <w:rPr>
                      <w:rFonts w:hint="default" w:ascii="Times New Roman" w:hAnsi="Times New Roman" w:eastAsia="宋体" w:cs="Times New Roman"/>
                      <w:color w:val="000000"/>
                      <w:kern w:val="0"/>
                      <w:sz w:val="21"/>
                      <w:szCs w:val="21"/>
                      <w:lang w:eastAsia="zh-CN"/>
                    </w:rPr>
                    <w:t>于</w:t>
                  </w:r>
                  <w:r>
                    <w:rPr>
                      <w:rFonts w:hint="eastAsia" w:ascii="Times New Roman" w:hAnsi="Times New Roman" w:cs="Times New Roman"/>
                      <w:sz w:val="21"/>
                      <w:szCs w:val="21"/>
                      <w:lang w:eastAsia="zh-CN"/>
                    </w:rPr>
                    <w:t>新疆巴州库尔勒市塔什店镇特变电工西侧</w:t>
                  </w:r>
                  <w:r>
                    <w:rPr>
                      <w:rFonts w:hint="default" w:ascii="Times New Roman" w:hAnsi="Times New Roman" w:eastAsia="宋体" w:cs="Times New Roman"/>
                      <w:sz w:val="21"/>
                      <w:szCs w:val="21"/>
                      <w:lang w:eastAsia="zh-CN"/>
                    </w:rPr>
                    <w:t>，不在生态保护红线内、</w:t>
                  </w:r>
                  <w:r>
                    <w:rPr>
                      <w:rFonts w:hint="default" w:ascii="Times New Roman" w:hAnsi="Times New Roman" w:eastAsia="宋体" w:cs="Times New Roman"/>
                      <w:color w:val="auto"/>
                      <w:sz w:val="21"/>
                      <w:szCs w:val="21"/>
                    </w:rPr>
                    <w:t>自然保护区、世界自然遗产地、风景名胜区、森林公园、地质公园、重要湿地、饮用水水源保护区等重点保护区域内及其它法律法规禁止的区域</w:t>
                  </w:r>
                  <w:r>
                    <w:rPr>
                      <w:rFonts w:hint="default" w:ascii="Times New Roman" w:hAnsi="Times New Roman" w:eastAsia="宋体" w:cs="Times New Roman"/>
                      <w:color w:val="auto"/>
                      <w:sz w:val="21"/>
                      <w:szCs w:val="21"/>
                      <w:lang w:eastAsia="zh-CN"/>
                    </w:rPr>
                    <w:t>。</w:t>
                  </w:r>
                </w:p>
              </w:tc>
              <w:tc>
                <w:tcPr>
                  <w:tcW w:w="340" w:type="pct"/>
                  <w:tcBorders>
                    <w:tl2br w:val="nil"/>
                    <w:tr2bl w:val="nil"/>
                  </w:tcBorders>
                  <w:noWrap w:val="0"/>
                  <w:vAlign w:val="center"/>
                </w:tcPr>
                <w:p w14:paraId="4094D7C8">
                  <w:pPr>
                    <w:pStyle w:val="55"/>
                    <w:spacing w:line="320" w:lineRule="exact"/>
                    <w:ind w:firstLine="0" w:firstLineChars="0"/>
                    <w:jc w:val="center"/>
                    <w:rPr>
                      <w:rFonts w:hint="default" w:ascii="Times New Roman" w:hAnsi="Times New Roman" w:eastAsia="宋体" w:cs="Times New Roman"/>
                      <w:b w:val="0"/>
                      <w:bCs/>
                      <w:color w:val="auto"/>
                      <w:sz w:val="21"/>
                      <w:szCs w:val="21"/>
                      <w:lang w:eastAsia="zh-CN"/>
                    </w:rPr>
                  </w:pPr>
                  <w:r>
                    <w:rPr>
                      <w:rFonts w:hint="default" w:ascii="Times New Roman" w:hAnsi="Times New Roman" w:eastAsia="宋体" w:cs="Times New Roman"/>
                      <w:b w:val="0"/>
                      <w:bCs/>
                      <w:color w:val="auto"/>
                      <w:sz w:val="21"/>
                      <w:szCs w:val="21"/>
                      <w:lang w:eastAsia="zh-CN"/>
                    </w:rPr>
                    <w:t>符合</w:t>
                  </w:r>
                </w:p>
              </w:tc>
            </w:tr>
            <w:tr w14:paraId="6CD17F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40" w:type="pct"/>
                  <w:tcBorders>
                    <w:tl2br w:val="nil"/>
                    <w:tr2bl w:val="nil"/>
                  </w:tcBorders>
                  <w:noWrap w:val="0"/>
                  <w:vAlign w:val="center"/>
                </w:tcPr>
                <w:p w14:paraId="3A46FEB7">
                  <w:pPr>
                    <w:pStyle w:val="55"/>
                    <w:spacing w:line="320" w:lineRule="exact"/>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《巴音郭楞蒙古自治州生态环境保护“十四五”规划》</w:t>
                  </w:r>
                </w:p>
              </w:tc>
              <w:tc>
                <w:tcPr>
                  <w:tcW w:w="2135" w:type="pct"/>
                  <w:tcBorders>
                    <w:tl2br w:val="nil"/>
                    <w:tr2bl w:val="nil"/>
                  </w:tcBorders>
                  <w:noWrap w:val="0"/>
                  <w:vAlign w:val="center"/>
                </w:tcPr>
                <w:p w14:paraId="66CD0674">
                  <w:pPr>
                    <w:pStyle w:val="47"/>
                    <w:numPr>
                      <w:ilvl w:val="0"/>
                      <w:numId w:val="0"/>
                    </w:numPr>
                    <w:spacing w:line="320" w:lineRule="exact"/>
                    <w:ind w:left="0" w:leftChars="0"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实施最严格的生态保护制度。坚决遏制“两高”项目盲目发展，严格执行能源、矿产资源开发自治区人民政府“一支笔”审批制度、环境保护“一票否决”制度，落实“三线一单”生态环境分区管控要求，守住生态保护红线、环境质量底线和自然资源利用上线，实施兵地统一的生态环境准入清单管控。落实最严格的水资源管理制度，科学确定水资源承载能力，严格实行区域用</w:t>
                  </w:r>
                  <w:r>
                    <w:rPr>
                      <w:rFonts w:hint="default" w:ascii="Times New Roman" w:hAnsi="Times New Roman" w:eastAsia="宋体" w:cs="Times New Roman"/>
                      <w:color w:val="auto"/>
                      <w:sz w:val="21"/>
                      <w:szCs w:val="21"/>
                      <w:lang w:eastAsia="zh-CN"/>
                    </w:rPr>
                    <w:t>水</w:t>
                  </w:r>
                  <w:r>
                    <w:rPr>
                      <w:rFonts w:hint="default" w:ascii="Times New Roman" w:hAnsi="Times New Roman" w:eastAsia="宋体" w:cs="Times New Roman"/>
                      <w:color w:val="auto"/>
                      <w:sz w:val="21"/>
                      <w:szCs w:val="21"/>
                    </w:rPr>
                    <w:t>总量和强度控制，强化节水约束性指标管理。强化地下水超采治理。</w:t>
                  </w:r>
                </w:p>
                <w:p w14:paraId="516D8757">
                  <w:pPr>
                    <w:pStyle w:val="47"/>
                    <w:numPr>
                      <w:ilvl w:val="0"/>
                      <w:numId w:val="0"/>
                    </w:numPr>
                    <w:spacing w:line="320" w:lineRule="exact"/>
                    <w:ind w:left="0" w:leftChars="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优化调整产业布局。严格落实环境准入要求，加大落后产能淘汰力度，持续压减过剩产能，加快调整优化产业结构。制定实施年度《自治州利用综合标准依法依规推动落后产能退出工作方案》。加快重点控制区域重污染企业提标改造，全面落实排污许可制度</w:t>
                  </w:r>
                  <w:r>
                    <w:rPr>
                      <w:rFonts w:hint="eastAsia" w:ascii="Times New Roman" w:hAnsi="Times New Roman" w:cs="Times New Roman"/>
                      <w:color w:val="auto"/>
                      <w:sz w:val="21"/>
                      <w:szCs w:val="21"/>
                      <w:lang w:val="en-US" w:eastAsia="zh-CN"/>
                    </w:rPr>
                    <w:t>，对</w:t>
                  </w:r>
                  <w:r>
                    <w:rPr>
                      <w:rFonts w:hint="default" w:ascii="Times New Roman" w:hAnsi="Times New Roman" w:eastAsia="宋体" w:cs="Times New Roman"/>
                      <w:color w:val="auto"/>
                      <w:sz w:val="21"/>
                      <w:szCs w:val="21"/>
                      <w:lang w:val="en-US" w:eastAsia="zh-CN"/>
                    </w:rPr>
                    <w:t>不达标企业要求限期整改、搬迁或关闭退出；持续做好以煤电、水泥行业为重点的过剩产能淘汰工作，落实好自治州利用综合标准促进过剩产能退出工作机制，通过政策扶持等支持产能过剩行业企业退出、转型发展。</w:t>
                  </w:r>
                </w:p>
                <w:p w14:paraId="6BCC570F">
                  <w:pPr>
                    <w:pStyle w:val="47"/>
                    <w:numPr>
                      <w:ilvl w:val="0"/>
                      <w:numId w:val="0"/>
                    </w:numPr>
                    <w:spacing w:line="320" w:lineRule="exact"/>
                    <w:ind w:left="0" w:leftChars="0"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持续推进能源清洁化利用。加大民用散煤清洁化治理。到2022年，禁燃区逐步由县级及以上城市建成区扩展到近郊。在禁燃区内，禁止使用散煤等高污染燃料，采用清洁能源，宜气则气</w:t>
                  </w:r>
                  <w:r>
                    <w:rPr>
                      <w:rFonts w:hint="eastAsia" w:ascii="Times New Roman" w:hAnsi="Times New Roman" w:cs="Times New Roman"/>
                      <w:color w:val="auto"/>
                      <w:sz w:val="21"/>
                      <w:szCs w:val="21"/>
                      <w:lang w:eastAsia="zh-CN"/>
                    </w:rPr>
                    <w:t>，</w:t>
                  </w:r>
                </w:p>
                <w:p w14:paraId="6780EA24">
                  <w:pPr>
                    <w:pStyle w:val="47"/>
                    <w:numPr>
                      <w:ilvl w:val="0"/>
                      <w:numId w:val="0"/>
                    </w:numPr>
                    <w:spacing w:line="320" w:lineRule="exact"/>
                    <w:ind w:left="0" w:leftChars="0"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宜电则电，逐步实现禁燃区内无煤化。在禁燃区外，逐步推行清洁能源替代散煤。持续推进清洁供暖，因地制宜制定实施自治州清洁取暖方案，逐步提高清洁取暖面积占比。</w:t>
                  </w:r>
                </w:p>
              </w:tc>
              <w:tc>
                <w:tcPr>
                  <w:tcW w:w="1483" w:type="pct"/>
                  <w:tcBorders>
                    <w:tl2br w:val="nil"/>
                    <w:tr2bl w:val="nil"/>
                  </w:tcBorders>
                  <w:noWrap w:val="0"/>
                  <w:vAlign w:val="center"/>
                </w:tcPr>
                <w:p w14:paraId="692E6DB2">
                  <w:pPr>
                    <w:pStyle w:val="47"/>
                    <w:spacing w:line="320" w:lineRule="exact"/>
                    <w:jc w:val="left"/>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项目不属于</w:t>
                  </w:r>
                  <w:r>
                    <w:rPr>
                      <w:rFonts w:hint="eastAsia" w:ascii="Times New Roman" w:hAnsi="Times New Roman" w:cs="Times New Roman"/>
                      <w:color w:val="auto"/>
                      <w:sz w:val="21"/>
                      <w:szCs w:val="21"/>
                      <w:lang w:val="en-US" w:eastAsia="zh-CN"/>
                    </w:rPr>
                    <w:t>“两高”项目</w:t>
                  </w:r>
                  <w:r>
                    <w:rPr>
                      <w:rFonts w:hint="default" w:ascii="Times New Roman" w:hAnsi="Times New Roman" w:eastAsia="宋体" w:cs="Times New Roman"/>
                      <w:color w:val="auto"/>
                      <w:sz w:val="21"/>
                      <w:szCs w:val="21"/>
                      <w:lang w:val="en-US" w:eastAsia="zh-CN"/>
                    </w:rPr>
                    <w:t>，项目符合</w:t>
                  </w:r>
                  <w:r>
                    <w:rPr>
                      <w:rFonts w:hint="default" w:ascii="Times New Roman" w:hAnsi="Times New Roman" w:eastAsia="宋体" w:cs="Times New Roman"/>
                      <w:color w:val="auto"/>
                      <w:sz w:val="21"/>
                      <w:szCs w:val="21"/>
                    </w:rPr>
                    <w:t>“三线一单”生态环境分区管控要求</w:t>
                  </w:r>
                  <w:r>
                    <w:rPr>
                      <w:rFonts w:hint="default" w:ascii="Times New Roman" w:hAnsi="Times New Roman" w:eastAsia="宋体" w:cs="Times New Roman"/>
                      <w:color w:val="auto"/>
                      <w:sz w:val="21"/>
                      <w:szCs w:val="21"/>
                      <w:lang w:eastAsia="zh-CN"/>
                    </w:rPr>
                    <w:t>，本项目用水不开采地下水资源，</w:t>
                  </w:r>
                  <w:r>
                    <w:rPr>
                      <w:rFonts w:hint="default" w:ascii="Times New Roman" w:hAnsi="Times New Roman" w:eastAsia="宋体" w:cs="Times New Roman"/>
                      <w:sz w:val="21"/>
                      <w:szCs w:val="21"/>
                    </w:rPr>
                    <w:t>本项目不属于禁止类及限制类项目，属于</w:t>
                  </w:r>
                  <w:r>
                    <w:rPr>
                      <w:rFonts w:hint="default" w:ascii="Times New Roman" w:hAnsi="Times New Roman" w:eastAsia="宋体" w:cs="Times New Roman"/>
                      <w:sz w:val="21"/>
                      <w:szCs w:val="21"/>
                      <w:lang w:eastAsia="zh-CN"/>
                    </w:rPr>
                    <w:t>允许类</w:t>
                  </w:r>
                  <w:r>
                    <w:rPr>
                      <w:rFonts w:hint="default" w:ascii="Times New Roman" w:hAnsi="Times New Roman" w:eastAsia="宋体" w:cs="Times New Roman"/>
                      <w:sz w:val="21"/>
                      <w:szCs w:val="21"/>
                    </w:rPr>
                    <w:t>，符合产业政策和环境准入要求。项目不属于高污染、高能耗行业</w:t>
                  </w:r>
                  <w:r>
                    <w:rPr>
                      <w:rFonts w:hint="default" w:ascii="Times New Roman" w:hAnsi="Times New Roman" w:eastAsia="宋体" w:cs="Times New Roman"/>
                      <w:sz w:val="21"/>
                      <w:szCs w:val="21"/>
                      <w:lang w:eastAsia="zh-CN"/>
                    </w:rPr>
                    <w:t>。</w:t>
                  </w:r>
                </w:p>
              </w:tc>
              <w:tc>
                <w:tcPr>
                  <w:tcW w:w="340" w:type="pct"/>
                  <w:tcBorders>
                    <w:tl2br w:val="nil"/>
                    <w:tr2bl w:val="nil"/>
                  </w:tcBorders>
                  <w:noWrap w:val="0"/>
                  <w:vAlign w:val="center"/>
                </w:tcPr>
                <w:p w14:paraId="2DF23AA8">
                  <w:pPr>
                    <w:pStyle w:val="55"/>
                    <w:spacing w:line="320" w:lineRule="exact"/>
                    <w:ind w:firstLine="0" w:firstLineChars="0"/>
                    <w:jc w:val="center"/>
                    <w:rPr>
                      <w:rFonts w:hint="default" w:ascii="Times New Roman" w:hAnsi="Times New Roman" w:eastAsia="宋体" w:cs="Times New Roman"/>
                      <w:b w:val="0"/>
                      <w:bCs/>
                      <w:color w:val="auto"/>
                      <w:sz w:val="21"/>
                      <w:szCs w:val="21"/>
                      <w:lang w:eastAsia="zh-CN"/>
                    </w:rPr>
                  </w:pPr>
                  <w:r>
                    <w:rPr>
                      <w:rFonts w:hint="default" w:ascii="Times New Roman" w:hAnsi="Times New Roman" w:eastAsia="宋体" w:cs="Times New Roman"/>
                      <w:b w:val="0"/>
                      <w:bCs/>
                      <w:color w:val="auto"/>
                      <w:sz w:val="21"/>
                      <w:szCs w:val="21"/>
                      <w:lang w:eastAsia="zh-CN"/>
                    </w:rPr>
                    <w:t>符合</w:t>
                  </w:r>
                </w:p>
              </w:tc>
            </w:tr>
            <w:tr w14:paraId="71CAF5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40" w:type="pct"/>
                  <w:tcBorders>
                    <w:tl2br w:val="nil"/>
                    <w:tr2bl w:val="nil"/>
                  </w:tcBorders>
                  <w:noWrap w:val="0"/>
                  <w:vAlign w:val="center"/>
                </w:tcPr>
                <w:p w14:paraId="635B4A42">
                  <w:pPr>
                    <w:pStyle w:val="55"/>
                    <w:spacing w:line="320" w:lineRule="exact"/>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关于印发《自治州大气污染防治三年攻坚行动方案（2023－2025年）》的通知</w:t>
                  </w:r>
                </w:p>
              </w:tc>
              <w:tc>
                <w:tcPr>
                  <w:tcW w:w="2135" w:type="pct"/>
                  <w:tcBorders>
                    <w:tl2br w:val="nil"/>
                    <w:tr2bl w:val="nil"/>
                  </w:tcBorders>
                  <w:noWrap w:val="0"/>
                  <w:vAlign w:val="center"/>
                </w:tcPr>
                <w:p w14:paraId="2856F73D">
                  <w:pPr>
                    <w:pStyle w:val="47"/>
                    <w:numPr>
                      <w:ilvl w:val="0"/>
                      <w:numId w:val="0"/>
                    </w:numPr>
                    <w:spacing w:line="320" w:lineRule="exact"/>
                    <w:ind w:left="0" w:leftChars="0" w:firstLine="0" w:firstLineChars="0"/>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大力推进电能替代煤炭，积极稳妥推进以气代煤。新、改、扩建加热炉、热处理炉、干燥炉、熔化炉，采用清洁低碳能源，不得使用高污染燃料（煤、石油焦、渣油、重油等）</w:t>
                  </w:r>
                  <w:r>
                    <w:rPr>
                      <w:rFonts w:hint="default" w:ascii="Times New Roman" w:hAnsi="Times New Roman" w:eastAsia="宋体" w:cs="Times New Roman"/>
                      <w:color w:val="auto"/>
                      <w:sz w:val="21"/>
                      <w:szCs w:val="21"/>
                      <w:lang w:eastAsia="zh-CN"/>
                    </w:rPr>
                    <w:t>。</w:t>
                  </w:r>
                </w:p>
                <w:p w14:paraId="51205046">
                  <w:pPr>
                    <w:pStyle w:val="47"/>
                    <w:numPr>
                      <w:ilvl w:val="0"/>
                      <w:numId w:val="0"/>
                    </w:numPr>
                    <w:spacing w:line="320" w:lineRule="exact"/>
                    <w:ind w:left="0" w:leftChars="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全面推行绿色施工，实现建筑施工工地周边围挡、物料堆放覆盖、土方开挖湿法作业、路面硬化、出入车辆清洗、渣土车辆密闭运输等“六个</w:t>
                  </w:r>
                  <w:r>
                    <w:rPr>
                      <w:rFonts w:hint="eastAsia" w:ascii="Times New Roman" w:hAnsi="Times New Roman" w:cs="Times New Roman"/>
                      <w:color w:val="auto"/>
                      <w:sz w:val="21"/>
                      <w:szCs w:val="21"/>
                      <w:lang w:val="en-US" w:eastAsia="zh-CN"/>
                    </w:rPr>
                    <w:t>100%”</w:t>
                  </w:r>
                  <w:r>
                    <w:rPr>
                      <w:rFonts w:hint="default" w:ascii="Times New Roman" w:hAnsi="Times New Roman" w:eastAsia="宋体" w:cs="Times New Roman"/>
                      <w:color w:val="auto"/>
                      <w:sz w:val="21"/>
                      <w:szCs w:val="21"/>
                      <w:lang w:val="en-US" w:eastAsia="zh-CN"/>
                    </w:rPr>
                    <w:t>；</w:t>
                  </w:r>
                </w:p>
              </w:tc>
              <w:tc>
                <w:tcPr>
                  <w:tcW w:w="1483" w:type="pct"/>
                  <w:tcBorders>
                    <w:tl2br w:val="nil"/>
                    <w:tr2bl w:val="nil"/>
                  </w:tcBorders>
                  <w:noWrap w:val="0"/>
                  <w:vAlign w:val="center"/>
                </w:tcPr>
                <w:p w14:paraId="443486B1">
                  <w:pPr>
                    <w:pStyle w:val="47"/>
                    <w:spacing w:line="320" w:lineRule="exact"/>
                    <w:jc w:val="left"/>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sz w:val="21"/>
                      <w:szCs w:val="21"/>
                      <w:lang w:eastAsia="zh-CN"/>
                    </w:rPr>
                    <w:t>项目供热采用</w:t>
                  </w:r>
                  <w:r>
                    <w:rPr>
                      <w:rFonts w:hint="eastAsia" w:ascii="Times New Roman" w:hAnsi="Times New Roman" w:cs="Times New Roman"/>
                      <w:sz w:val="21"/>
                      <w:szCs w:val="21"/>
                      <w:lang w:val="en-US" w:eastAsia="zh-CN"/>
                    </w:rPr>
                    <w:t>电能</w:t>
                  </w:r>
                  <w:r>
                    <w:rPr>
                      <w:rFonts w:hint="default" w:ascii="Times New Roman" w:hAnsi="Times New Roman" w:eastAsia="宋体" w:cs="Times New Roman"/>
                      <w:b w:val="0"/>
                      <w:bCs/>
                      <w:color w:val="auto"/>
                      <w:sz w:val="21"/>
                      <w:szCs w:val="21"/>
                      <w:highlight w:val="none"/>
                      <w:vertAlign w:val="baseline"/>
                      <w:lang w:val="en-US" w:eastAsia="zh-CN"/>
                    </w:rPr>
                    <w:t>。</w:t>
                  </w:r>
                </w:p>
                <w:p w14:paraId="54D63AF2">
                  <w:pPr>
                    <w:pStyle w:val="47"/>
                    <w:spacing w:line="320" w:lineRule="exact"/>
                    <w:jc w:val="left"/>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sz w:val="21"/>
                      <w:szCs w:val="21"/>
                      <w:vertAlign w:val="baseline"/>
                      <w:lang w:val="en-US" w:eastAsia="zh-CN"/>
                    </w:rPr>
                    <w:t>本项目施工设置有围栏遮挡、定期洒水压尘、运输车辆和施工场地都有做好防尘措施，车辆驶出装、卸场地前用水将</w:t>
                  </w:r>
                  <w:r>
                    <w:rPr>
                      <w:rFonts w:hint="eastAsia" w:ascii="Times New Roman" w:hAnsi="Times New Roman" w:cs="Times New Roman"/>
                      <w:b w:val="0"/>
                      <w:bCs w:val="0"/>
                      <w:sz w:val="21"/>
                      <w:szCs w:val="21"/>
                      <w:vertAlign w:val="baseline"/>
                      <w:lang w:val="en-US" w:eastAsia="zh-CN"/>
                    </w:rPr>
                    <w:t>车辆</w:t>
                  </w:r>
                  <w:r>
                    <w:rPr>
                      <w:rFonts w:hint="default" w:ascii="Times New Roman" w:hAnsi="Times New Roman" w:eastAsia="宋体" w:cs="Times New Roman"/>
                      <w:b w:val="0"/>
                      <w:bCs w:val="0"/>
                      <w:sz w:val="21"/>
                      <w:szCs w:val="21"/>
                      <w:vertAlign w:val="baseline"/>
                      <w:lang w:val="en-US" w:eastAsia="zh-CN"/>
                    </w:rPr>
                    <w:t>冲洗干净。</w:t>
                  </w:r>
                </w:p>
              </w:tc>
              <w:tc>
                <w:tcPr>
                  <w:tcW w:w="340" w:type="pct"/>
                  <w:tcBorders>
                    <w:tl2br w:val="nil"/>
                    <w:tr2bl w:val="nil"/>
                  </w:tcBorders>
                  <w:noWrap w:val="0"/>
                  <w:vAlign w:val="center"/>
                </w:tcPr>
                <w:p w14:paraId="7F874150">
                  <w:pPr>
                    <w:pStyle w:val="55"/>
                    <w:spacing w:line="320" w:lineRule="exact"/>
                    <w:ind w:firstLine="0" w:firstLineChars="0"/>
                    <w:jc w:val="center"/>
                    <w:rPr>
                      <w:rFonts w:hint="default" w:ascii="Times New Roman" w:hAnsi="Times New Roman" w:eastAsia="宋体" w:cs="Times New Roman"/>
                      <w:b w:val="0"/>
                      <w:bCs/>
                      <w:color w:val="auto"/>
                      <w:sz w:val="21"/>
                      <w:szCs w:val="21"/>
                      <w:lang w:eastAsia="zh-CN"/>
                    </w:rPr>
                  </w:pPr>
                  <w:r>
                    <w:rPr>
                      <w:rFonts w:hint="default" w:ascii="Times New Roman" w:hAnsi="Times New Roman" w:eastAsia="宋体" w:cs="Times New Roman"/>
                      <w:b w:val="0"/>
                      <w:bCs/>
                      <w:color w:val="auto"/>
                      <w:sz w:val="21"/>
                      <w:szCs w:val="21"/>
                      <w:lang w:eastAsia="zh-CN"/>
                    </w:rPr>
                    <w:t>符合</w:t>
                  </w:r>
                </w:p>
              </w:tc>
            </w:tr>
            <w:tr w14:paraId="280DFA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40" w:type="pct"/>
                  <w:tcBorders>
                    <w:tl2br w:val="nil"/>
                    <w:tr2bl w:val="nil"/>
                  </w:tcBorders>
                  <w:noWrap w:val="0"/>
                  <w:vAlign w:val="center"/>
                </w:tcPr>
                <w:p w14:paraId="4B9BA50F">
                  <w:pPr>
                    <w:pStyle w:val="55"/>
                    <w:spacing w:line="320" w:lineRule="exact"/>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《环境空气细颗粒物污染综合防治技术政策》（2013-9-25实施）</w:t>
                  </w:r>
                </w:p>
              </w:tc>
              <w:tc>
                <w:tcPr>
                  <w:tcW w:w="2135" w:type="pct"/>
                  <w:tcBorders>
                    <w:tl2br w:val="nil"/>
                    <w:tr2bl w:val="nil"/>
                  </w:tcBorders>
                  <w:noWrap w:val="0"/>
                  <w:vAlign w:val="center"/>
                </w:tcPr>
                <w:p w14:paraId="07B58CE4">
                  <w:pPr>
                    <w:pStyle w:val="47"/>
                    <w:numPr>
                      <w:ilvl w:val="0"/>
                      <w:numId w:val="0"/>
                    </w:numPr>
                    <w:spacing w:line="320" w:lineRule="exact"/>
                    <w:ind w:left="0" w:leftChars="0" w:firstLine="0" w:firstLineChars="0"/>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eastAsia="zh-CN"/>
                    </w:rPr>
                    <w:t>产生大气颗粒物及其前体物污染物的生产活动应尽量采用密闭装置，避免无组织排放；无法完全密闭的，应安装集气装置收集逸散的污染物，经净化后排放。</w:t>
                  </w:r>
                </w:p>
                <w:p w14:paraId="4FE9389A">
                  <w:pPr>
                    <w:pStyle w:val="47"/>
                    <w:numPr>
                      <w:ilvl w:val="0"/>
                      <w:numId w:val="0"/>
                    </w:numPr>
                    <w:spacing w:line="320" w:lineRule="exact"/>
                    <w:ind w:left="0" w:leftChars="0" w:firstLine="0" w:firstLineChars="0"/>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实行粉状物料及渣土车辆密闭运输，加强监管，防止遗撒。及时进行道路清扫、冲洗、洒水作业，减少道路扬尘。规范园林绿化设计和施工管理，防止园林绿地土壤向道路流失。</w:t>
                  </w:r>
                </w:p>
              </w:tc>
              <w:tc>
                <w:tcPr>
                  <w:tcW w:w="1483" w:type="pct"/>
                  <w:tcBorders>
                    <w:tl2br w:val="nil"/>
                    <w:tr2bl w:val="nil"/>
                  </w:tcBorders>
                  <w:noWrap w:val="0"/>
                  <w:vAlign w:val="center"/>
                </w:tcPr>
                <w:p w14:paraId="50743AA3">
                  <w:pPr>
                    <w:pStyle w:val="47"/>
                    <w:spacing w:line="320" w:lineRule="exact"/>
                    <w:jc w:val="left"/>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项目产生的粉尘</w:t>
                  </w:r>
                  <w:r>
                    <w:rPr>
                      <w:rFonts w:hint="eastAsia" w:ascii="Times New Roman" w:hAnsi="Times New Roman" w:cs="Times New Roman"/>
                      <w:b w:val="0"/>
                      <w:bCs w:val="0"/>
                      <w:color w:val="auto"/>
                      <w:sz w:val="21"/>
                      <w:szCs w:val="21"/>
                      <w:lang w:val="en-US" w:eastAsia="zh-CN"/>
                    </w:rPr>
                    <w:t>经雾炮、密闭煤棚</w:t>
                  </w:r>
                  <w:r>
                    <w:rPr>
                      <w:rFonts w:hint="default" w:ascii="Times New Roman" w:hAnsi="Times New Roman" w:eastAsia="宋体" w:cs="Times New Roman"/>
                      <w:b w:val="0"/>
                      <w:bCs w:val="0"/>
                      <w:color w:val="auto"/>
                      <w:sz w:val="21"/>
                      <w:szCs w:val="21"/>
                      <w:lang w:val="en-US" w:eastAsia="zh-CN"/>
                    </w:rPr>
                    <w:t>，能有效减少颗粒物的排放，运输、装卸产生的粉尘采取覆盖、洒水等抑尘措施，减少扬尘污染</w:t>
                  </w:r>
                  <w:r>
                    <w:rPr>
                      <w:rFonts w:hint="eastAsia" w:ascii="Times New Roman" w:hAnsi="Times New Roman" w:cs="Times New Roman"/>
                      <w:b w:val="0"/>
                      <w:bCs w:val="0"/>
                      <w:color w:val="auto"/>
                      <w:sz w:val="21"/>
                      <w:szCs w:val="21"/>
                      <w:lang w:val="en-US" w:eastAsia="zh-CN"/>
                    </w:rPr>
                    <w:t>。</w:t>
                  </w:r>
                </w:p>
              </w:tc>
              <w:tc>
                <w:tcPr>
                  <w:tcW w:w="340" w:type="pct"/>
                  <w:tcBorders>
                    <w:tl2br w:val="nil"/>
                    <w:tr2bl w:val="nil"/>
                  </w:tcBorders>
                  <w:noWrap w:val="0"/>
                  <w:vAlign w:val="center"/>
                </w:tcPr>
                <w:p w14:paraId="6BD82DC8">
                  <w:pPr>
                    <w:pStyle w:val="55"/>
                    <w:spacing w:line="320" w:lineRule="exact"/>
                    <w:ind w:firstLine="0" w:firstLineChars="0"/>
                    <w:jc w:val="center"/>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eastAsia="zh-CN"/>
                    </w:rPr>
                    <w:t>符合</w:t>
                  </w:r>
                </w:p>
              </w:tc>
            </w:tr>
            <w:tr w14:paraId="414428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40" w:type="pct"/>
                  <w:vMerge w:val="restart"/>
                  <w:tcBorders>
                    <w:tl2br w:val="nil"/>
                    <w:tr2bl w:val="nil"/>
                  </w:tcBorders>
                  <w:noWrap w:val="0"/>
                  <w:vAlign w:val="center"/>
                </w:tcPr>
                <w:p w14:paraId="406E766D">
                  <w:pPr>
                    <w:pStyle w:val="55"/>
                    <w:spacing w:line="320" w:lineRule="exact"/>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《工业料堆场扬尘整治规范》（DB65/T4061-2017）</w:t>
                  </w:r>
                </w:p>
              </w:tc>
              <w:tc>
                <w:tcPr>
                  <w:tcW w:w="2135" w:type="pct"/>
                  <w:tcBorders>
                    <w:tl2br w:val="nil"/>
                    <w:tr2bl w:val="nil"/>
                  </w:tcBorders>
                  <w:noWrap w:val="0"/>
                  <w:vAlign w:val="center"/>
                </w:tcPr>
                <w:p w14:paraId="7DBD07EF">
                  <w:pPr>
                    <w:pStyle w:val="55"/>
                    <w:spacing w:line="320" w:lineRule="exact"/>
                    <w:jc w:val="both"/>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color w:val="000000"/>
                      <w:sz w:val="21"/>
                      <w:szCs w:val="21"/>
                      <w:highlight w:val="none"/>
                    </w:rPr>
                    <w:t>工业料堆场的污染防治应从源头控制，减少堆存量，通过优化生产原料配置、厂区布置，提高管理水平、改善污染防治技术工艺、加强综合利用等措施减少环境污染</w:t>
                  </w:r>
                  <w:r>
                    <w:rPr>
                      <w:rFonts w:hint="default" w:ascii="Times New Roman" w:hAnsi="Times New Roman" w:eastAsia="宋体" w:cs="Times New Roman"/>
                      <w:b w:val="0"/>
                      <w:bCs/>
                      <w:color w:val="000000"/>
                      <w:sz w:val="21"/>
                      <w:szCs w:val="21"/>
                      <w:highlight w:val="none"/>
                      <w:lang w:eastAsia="zh-CN"/>
                    </w:rPr>
                    <w:t>。</w:t>
                  </w:r>
                </w:p>
              </w:tc>
              <w:tc>
                <w:tcPr>
                  <w:tcW w:w="1483" w:type="pct"/>
                  <w:tcBorders>
                    <w:tl2br w:val="nil"/>
                    <w:tr2bl w:val="nil"/>
                  </w:tcBorders>
                  <w:noWrap w:val="0"/>
                  <w:vAlign w:val="center"/>
                </w:tcPr>
                <w:p w14:paraId="2DE9A3C5">
                  <w:pPr>
                    <w:pStyle w:val="55"/>
                    <w:spacing w:line="320" w:lineRule="exact"/>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color w:val="000000"/>
                      <w:sz w:val="21"/>
                      <w:szCs w:val="21"/>
                      <w:highlight w:val="none"/>
                      <w:lang w:val="en-US" w:eastAsia="zh-CN"/>
                    </w:rPr>
                    <w:t>本项目堆场在卸料、堆存过程中产生的粉尘通过堆棚密闭、洒水抑尘等措施处理后，减少无组织排放。</w:t>
                  </w:r>
                </w:p>
              </w:tc>
              <w:tc>
                <w:tcPr>
                  <w:tcW w:w="340" w:type="pct"/>
                  <w:tcBorders>
                    <w:tl2br w:val="nil"/>
                    <w:tr2bl w:val="nil"/>
                  </w:tcBorders>
                  <w:noWrap w:val="0"/>
                  <w:vAlign w:val="center"/>
                </w:tcPr>
                <w:p w14:paraId="3375F9B1">
                  <w:pPr>
                    <w:pStyle w:val="55"/>
                    <w:spacing w:line="320" w:lineRule="exact"/>
                    <w:ind w:firstLine="0" w:firstLineChars="0"/>
                    <w:jc w:val="center"/>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eastAsia="zh-CN"/>
                    </w:rPr>
                    <w:t>符合</w:t>
                  </w:r>
                </w:p>
              </w:tc>
            </w:tr>
            <w:tr w14:paraId="4418E3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40" w:type="pct"/>
                  <w:vMerge w:val="continue"/>
                  <w:tcBorders>
                    <w:tl2br w:val="nil"/>
                    <w:tr2bl w:val="nil"/>
                  </w:tcBorders>
                  <w:noWrap w:val="0"/>
                  <w:vAlign w:val="center"/>
                </w:tcPr>
                <w:p w14:paraId="78E8FFFC">
                  <w:pPr>
                    <w:pStyle w:val="55"/>
                    <w:spacing w:line="320" w:lineRule="exact"/>
                    <w:jc w:val="center"/>
                    <w:rPr>
                      <w:rFonts w:hint="default" w:ascii="Times New Roman" w:hAnsi="Times New Roman" w:eastAsia="宋体" w:cs="Times New Roman"/>
                      <w:b w:val="0"/>
                      <w:bCs w:val="0"/>
                      <w:color w:val="auto"/>
                      <w:sz w:val="21"/>
                      <w:szCs w:val="21"/>
                      <w:lang w:val="en-US" w:eastAsia="zh-CN"/>
                    </w:rPr>
                  </w:pPr>
                </w:p>
              </w:tc>
              <w:tc>
                <w:tcPr>
                  <w:tcW w:w="2135" w:type="pct"/>
                  <w:tcBorders>
                    <w:tl2br w:val="nil"/>
                    <w:tr2bl w:val="nil"/>
                  </w:tcBorders>
                  <w:noWrap w:val="0"/>
                  <w:vAlign w:val="center"/>
                </w:tcPr>
                <w:p w14:paraId="43DFD42A">
                  <w:pPr>
                    <w:pStyle w:val="55"/>
                    <w:spacing w:line="320" w:lineRule="exact"/>
                    <w:jc w:val="both"/>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sz w:val="21"/>
                      <w:szCs w:val="21"/>
                    </w:rPr>
                    <w:t>对工业料堆场内装卸、运输等作业过程中，易产生扬尘污染的物料必须采取封闭、遮盖、洒水降尘措施，密闭输送物料必须在装料、卸料处配备吸尘、喷淋防尘措施。</w:t>
                  </w:r>
                </w:p>
              </w:tc>
              <w:tc>
                <w:tcPr>
                  <w:tcW w:w="1483" w:type="pct"/>
                  <w:tcBorders>
                    <w:tl2br w:val="nil"/>
                    <w:tr2bl w:val="nil"/>
                  </w:tcBorders>
                  <w:noWrap w:val="0"/>
                  <w:vAlign w:val="center"/>
                </w:tcPr>
                <w:p w14:paraId="7270AF89">
                  <w:pPr>
                    <w:pStyle w:val="55"/>
                    <w:spacing w:line="320" w:lineRule="exact"/>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sz w:val="21"/>
                      <w:szCs w:val="21"/>
                      <w:lang w:eastAsia="zh-CN"/>
                    </w:rPr>
                    <w:t>本项目砂石料上料</w:t>
                  </w:r>
                  <w:r>
                    <w:rPr>
                      <w:rFonts w:hint="eastAsia" w:ascii="Times New Roman" w:hAnsi="Times New Roman" w:eastAsia="宋体" w:cs="Times New Roman"/>
                      <w:b w:val="0"/>
                      <w:bCs w:val="0"/>
                      <w:sz w:val="21"/>
                      <w:szCs w:val="21"/>
                      <w:lang w:eastAsia="zh-CN"/>
                    </w:rPr>
                    <w:t>、</w:t>
                  </w:r>
                  <w:r>
                    <w:rPr>
                      <w:rFonts w:hint="eastAsia" w:ascii="Times New Roman" w:hAnsi="Times New Roman" w:eastAsia="宋体" w:cs="Times New Roman"/>
                      <w:b w:val="0"/>
                      <w:bCs w:val="0"/>
                      <w:sz w:val="21"/>
                      <w:szCs w:val="21"/>
                      <w:lang w:val="en-US" w:eastAsia="zh-CN"/>
                    </w:rPr>
                    <w:t>筛分工序设置在密闭厂房内，</w:t>
                  </w:r>
                  <w:r>
                    <w:rPr>
                      <w:rFonts w:hint="eastAsia" w:ascii="Times New Roman" w:cs="Times New Roman"/>
                      <w:b w:val="0"/>
                      <w:bCs w:val="0"/>
                      <w:sz w:val="21"/>
                      <w:szCs w:val="21"/>
                      <w:lang w:val="en-US" w:eastAsia="zh-CN"/>
                    </w:rPr>
                    <w:t>并</w:t>
                  </w:r>
                  <w:r>
                    <w:rPr>
                      <w:rFonts w:hint="default" w:ascii="Times New Roman" w:hAnsi="Times New Roman" w:eastAsia="宋体" w:cs="Times New Roman"/>
                      <w:b w:val="0"/>
                      <w:bCs w:val="0"/>
                      <w:sz w:val="21"/>
                      <w:szCs w:val="21"/>
                      <w:lang w:eastAsia="zh-CN"/>
                    </w:rPr>
                    <w:t>采取喷淋洒水措施</w:t>
                  </w:r>
                  <w:r>
                    <w:rPr>
                      <w:rFonts w:hint="eastAsia" w:ascii="Times New Roman" w:hAnsi="Times New Roman" w:eastAsia="宋体" w:cs="Times New Roman"/>
                      <w:b w:val="0"/>
                      <w:bCs w:val="0"/>
                      <w:sz w:val="21"/>
                      <w:szCs w:val="21"/>
                      <w:lang w:eastAsia="zh-CN"/>
                    </w:rPr>
                    <w:t>以及</w:t>
                  </w:r>
                  <w:r>
                    <w:rPr>
                      <w:rFonts w:hint="default" w:ascii="Times New Roman" w:hAnsi="Times New Roman" w:eastAsia="宋体" w:cs="Times New Roman"/>
                      <w:b w:val="0"/>
                      <w:bCs w:val="0"/>
                      <w:sz w:val="21"/>
                      <w:szCs w:val="21"/>
                      <w:lang w:eastAsia="zh-CN"/>
                    </w:rPr>
                    <w:t>设置封闭式料仓，再加强装载机管理，能有效减少上料</w:t>
                  </w:r>
                  <w:r>
                    <w:rPr>
                      <w:rFonts w:hint="eastAsia" w:ascii="Times New Roman" w:hAnsi="Times New Roman" w:eastAsia="宋体" w:cs="Times New Roman"/>
                      <w:b w:val="0"/>
                      <w:bCs w:val="0"/>
                      <w:sz w:val="21"/>
                      <w:szCs w:val="21"/>
                      <w:lang w:eastAsia="zh-CN"/>
                    </w:rPr>
                    <w:t>、</w:t>
                  </w:r>
                  <w:r>
                    <w:rPr>
                      <w:rFonts w:hint="eastAsia" w:ascii="Times New Roman" w:hAnsi="Times New Roman" w:eastAsia="宋体" w:cs="Times New Roman"/>
                      <w:b w:val="0"/>
                      <w:bCs w:val="0"/>
                      <w:sz w:val="21"/>
                      <w:szCs w:val="21"/>
                      <w:lang w:val="en-US" w:eastAsia="zh-CN"/>
                    </w:rPr>
                    <w:t>筛分</w:t>
                  </w:r>
                  <w:r>
                    <w:rPr>
                      <w:rFonts w:hint="default" w:ascii="Times New Roman" w:hAnsi="Times New Roman" w:eastAsia="宋体" w:cs="Times New Roman"/>
                      <w:b w:val="0"/>
                      <w:bCs w:val="0"/>
                      <w:sz w:val="21"/>
                      <w:szCs w:val="21"/>
                      <w:lang w:eastAsia="zh-CN"/>
                    </w:rPr>
                    <w:t>粉尘的</w:t>
                  </w:r>
                  <w:r>
                    <w:rPr>
                      <w:rFonts w:hint="eastAsia" w:ascii="Times New Roman" w:cs="Times New Roman"/>
                      <w:b w:val="0"/>
                      <w:bCs w:val="0"/>
                      <w:sz w:val="21"/>
                      <w:szCs w:val="21"/>
                      <w:lang w:eastAsia="zh-CN"/>
                    </w:rPr>
                    <w:t>污染。</w:t>
                  </w:r>
                </w:p>
              </w:tc>
              <w:tc>
                <w:tcPr>
                  <w:tcW w:w="340" w:type="pct"/>
                  <w:tcBorders>
                    <w:tl2br w:val="nil"/>
                    <w:tr2bl w:val="nil"/>
                  </w:tcBorders>
                  <w:noWrap w:val="0"/>
                  <w:vAlign w:val="center"/>
                </w:tcPr>
                <w:p w14:paraId="1402B079">
                  <w:pPr>
                    <w:pStyle w:val="55"/>
                    <w:spacing w:line="320" w:lineRule="exact"/>
                    <w:ind w:firstLine="0" w:firstLineChars="0"/>
                    <w:jc w:val="center"/>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eastAsia="zh-CN"/>
                    </w:rPr>
                    <w:t>符合</w:t>
                  </w:r>
                </w:p>
              </w:tc>
            </w:tr>
            <w:tr w14:paraId="7D4CC6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40" w:type="pct"/>
                  <w:vMerge w:val="continue"/>
                  <w:tcBorders>
                    <w:tl2br w:val="nil"/>
                    <w:tr2bl w:val="nil"/>
                  </w:tcBorders>
                  <w:noWrap w:val="0"/>
                  <w:vAlign w:val="center"/>
                </w:tcPr>
                <w:p w14:paraId="58033F3F">
                  <w:pPr>
                    <w:pStyle w:val="55"/>
                    <w:spacing w:line="320" w:lineRule="exact"/>
                    <w:jc w:val="center"/>
                    <w:rPr>
                      <w:rFonts w:hint="default" w:ascii="Times New Roman" w:hAnsi="Times New Roman" w:eastAsia="宋体" w:cs="Times New Roman"/>
                      <w:b w:val="0"/>
                      <w:bCs w:val="0"/>
                      <w:color w:val="auto"/>
                      <w:sz w:val="21"/>
                      <w:szCs w:val="21"/>
                      <w:lang w:val="en-US" w:eastAsia="zh-CN"/>
                    </w:rPr>
                  </w:pPr>
                </w:p>
              </w:tc>
              <w:tc>
                <w:tcPr>
                  <w:tcW w:w="2135" w:type="pct"/>
                  <w:tcBorders>
                    <w:tl2br w:val="nil"/>
                    <w:tr2bl w:val="nil"/>
                  </w:tcBorders>
                  <w:noWrap w:val="0"/>
                  <w:vAlign w:val="center"/>
                </w:tcPr>
                <w:p w14:paraId="72273682">
                  <w:pPr>
                    <w:pStyle w:val="55"/>
                    <w:spacing w:line="320" w:lineRule="exact"/>
                    <w:jc w:val="both"/>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sz w:val="21"/>
                      <w:szCs w:val="21"/>
                    </w:rPr>
                    <w:t>在工业料堆场出口处设置车辆清洗的专用场地，配备运输车辆冲洗保洁设施，冲洗沉积物必须及时进行清理和清运，冲洗污水必须经回收系统收集、处理，处理符合GB 8978的规定后排放。</w:t>
                  </w:r>
                </w:p>
              </w:tc>
              <w:tc>
                <w:tcPr>
                  <w:tcW w:w="1483" w:type="pct"/>
                  <w:tcBorders>
                    <w:tl2br w:val="nil"/>
                    <w:tr2bl w:val="nil"/>
                  </w:tcBorders>
                  <w:noWrap w:val="0"/>
                  <w:vAlign w:val="center"/>
                </w:tcPr>
                <w:p w14:paraId="0A2B4726">
                  <w:pPr>
                    <w:pStyle w:val="55"/>
                    <w:spacing w:line="320" w:lineRule="exact"/>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sz w:val="21"/>
                      <w:szCs w:val="21"/>
                      <w:lang w:val="en-US" w:eastAsia="zh-CN"/>
                    </w:rPr>
                    <w:t>本项目</w:t>
                  </w:r>
                  <w:r>
                    <w:rPr>
                      <w:rFonts w:hint="eastAsia" w:ascii="Times New Roman" w:hAnsi="Times New Roman" w:eastAsia="宋体" w:cs="Times New Roman"/>
                      <w:b w:val="0"/>
                      <w:bCs w:val="0"/>
                      <w:sz w:val="21"/>
                      <w:szCs w:val="21"/>
                      <w:lang w:val="en-US" w:eastAsia="zh-CN"/>
                    </w:rPr>
                    <w:t>在厂区出入口</w:t>
                  </w:r>
                  <w:r>
                    <w:rPr>
                      <w:rFonts w:hint="default" w:ascii="Times New Roman" w:hAnsi="Times New Roman" w:eastAsia="宋体" w:cs="Times New Roman"/>
                      <w:b w:val="0"/>
                      <w:bCs w:val="0"/>
                      <w:sz w:val="21"/>
                      <w:szCs w:val="21"/>
                      <w:lang w:val="en-US" w:eastAsia="zh-CN"/>
                    </w:rPr>
                    <w:t>设有洗车区，洗车废水（仅对车辆外部及轮胎进行冲洗）经沉淀池处理后回用于生产，不外排</w:t>
                  </w:r>
                </w:p>
              </w:tc>
              <w:tc>
                <w:tcPr>
                  <w:tcW w:w="340" w:type="pct"/>
                  <w:tcBorders>
                    <w:tl2br w:val="nil"/>
                    <w:tr2bl w:val="nil"/>
                  </w:tcBorders>
                  <w:noWrap w:val="0"/>
                  <w:vAlign w:val="center"/>
                </w:tcPr>
                <w:p w14:paraId="1B7104C2">
                  <w:pPr>
                    <w:pStyle w:val="55"/>
                    <w:spacing w:line="320" w:lineRule="exact"/>
                    <w:ind w:firstLine="0" w:firstLineChars="0"/>
                    <w:jc w:val="center"/>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eastAsia="zh-CN"/>
                    </w:rPr>
                    <w:t>符合</w:t>
                  </w:r>
                </w:p>
              </w:tc>
            </w:tr>
            <w:tr w14:paraId="015A79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40" w:type="pct"/>
                  <w:tcBorders>
                    <w:tl2br w:val="nil"/>
                    <w:tr2bl w:val="nil"/>
                  </w:tcBorders>
                  <w:noWrap w:val="0"/>
                  <w:vAlign w:val="center"/>
                </w:tcPr>
                <w:p w14:paraId="7F688F71">
                  <w:pPr>
                    <w:pStyle w:val="55"/>
                    <w:spacing w:line="320" w:lineRule="exact"/>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《国务院关于印发</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空气质量持续改善行动计划</w:t>
                  </w:r>
                  <w:r>
                    <w:rPr>
                      <w:rFonts w:hint="eastAsia" w:ascii="Times New Roman" w:hAnsi="Times New Roman" w:eastAsia="宋体" w:cs="Times New Roman"/>
                      <w:b w:val="0"/>
                      <w:bCs w:val="0"/>
                      <w:color w:val="auto"/>
                      <w:sz w:val="21"/>
                      <w:szCs w:val="21"/>
                      <w:lang w:val="en-US" w:eastAsia="zh-CN"/>
                    </w:rPr>
                    <w:t>〉的通知》</w:t>
                  </w:r>
                  <w:r>
                    <w:rPr>
                      <w:rFonts w:hint="default" w:ascii="Times New Roman" w:hAnsi="Times New Roman" w:eastAsia="宋体" w:cs="Times New Roman"/>
                      <w:b w:val="0"/>
                      <w:bCs w:val="0"/>
                      <w:color w:val="auto"/>
                      <w:sz w:val="21"/>
                      <w:szCs w:val="21"/>
                      <w:lang w:val="en-US" w:eastAsia="zh-CN"/>
                    </w:rPr>
                    <w:t>（国发〔2023〕24号）</w:t>
                  </w:r>
                </w:p>
              </w:tc>
              <w:tc>
                <w:tcPr>
                  <w:tcW w:w="2135" w:type="pct"/>
                  <w:tcBorders>
                    <w:tl2br w:val="nil"/>
                    <w:tr2bl w:val="nil"/>
                  </w:tcBorders>
                  <w:noWrap w:val="0"/>
                  <w:vAlign w:val="center"/>
                </w:tcPr>
                <w:p w14:paraId="4419ED70">
                  <w:pPr>
                    <w:pStyle w:val="55"/>
                    <w:spacing w:line="320" w:lineRule="exact"/>
                    <w:jc w:val="both"/>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坚决遏制高耗能、高排放、低水平项目盲目上马。新改扩建项目严格落实国家产业规划、产业政策、生态环境分区管控方案、规划环评、项目环评、节能审查、产能置换、重点污染物总量控制、污染物排放区域削减、碳排放达峰目标等相关要求，原则上采用清洁运输方式。</w:t>
                  </w:r>
                </w:p>
                <w:p w14:paraId="46A1649D">
                  <w:pPr>
                    <w:pStyle w:val="55"/>
                    <w:spacing w:line="320" w:lineRule="exact"/>
                    <w:jc w:val="both"/>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有序推进以电代煤，积极稳妥推进以气代煤。重点区域不再新增燃料类煤气发生炉，新改扩建加热炉、热处理炉、干燥炉、熔化炉原则上采用清洁低碳能源；安全稳妥推进使用高污染燃料的工业炉窑改用工业余热、电能、天然气等；燃料类煤气发生炉实行清洁能源替代，或因地制宜采取园区（集群）集中供气、分散使用方式；逐步淘汰固定床间歇式煤气发生炉。</w:t>
                  </w:r>
                </w:p>
              </w:tc>
              <w:tc>
                <w:tcPr>
                  <w:tcW w:w="1483" w:type="pct"/>
                  <w:tcBorders>
                    <w:tl2br w:val="nil"/>
                    <w:tr2bl w:val="nil"/>
                  </w:tcBorders>
                  <w:noWrap w:val="0"/>
                  <w:vAlign w:val="center"/>
                </w:tcPr>
                <w:p w14:paraId="115DD72D">
                  <w:pPr>
                    <w:pStyle w:val="55"/>
                    <w:spacing w:line="320" w:lineRule="exact"/>
                    <w:jc w:val="center"/>
                    <w:rPr>
                      <w:rFonts w:hint="default" w:ascii="Times New Roman" w:hAnsi="Times New Roman" w:eastAsia="宋体" w:cs="Times New Roman"/>
                      <w:b w:val="0"/>
                      <w:bCs/>
                      <w:sz w:val="21"/>
                      <w:szCs w:val="21"/>
                      <w:lang w:val="en-US" w:eastAsia="zh-CN"/>
                    </w:rPr>
                  </w:pPr>
                  <w:r>
                    <w:rPr>
                      <w:rFonts w:hint="default" w:ascii="Times New Roman" w:hAnsi="Times New Roman" w:eastAsia="宋体" w:cs="Times New Roman"/>
                      <w:b w:val="0"/>
                      <w:bCs/>
                      <w:sz w:val="21"/>
                      <w:szCs w:val="21"/>
                      <w:lang w:val="en-US" w:eastAsia="zh-CN"/>
                    </w:rPr>
                    <w:t>项目不属于高污染、高能耗行业。项目供热采用轻质柴油燃料，不采用煤重污染燃料。</w:t>
                  </w:r>
                </w:p>
              </w:tc>
              <w:tc>
                <w:tcPr>
                  <w:tcW w:w="340" w:type="pct"/>
                  <w:tcBorders>
                    <w:tl2br w:val="nil"/>
                    <w:tr2bl w:val="nil"/>
                  </w:tcBorders>
                  <w:noWrap w:val="0"/>
                  <w:vAlign w:val="center"/>
                </w:tcPr>
                <w:p w14:paraId="1E3A8608">
                  <w:pPr>
                    <w:pStyle w:val="55"/>
                    <w:spacing w:line="320" w:lineRule="exact"/>
                    <w:ind w:firstLine="0" w:firstLineChars="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符合</w:t>
                  </w:r>
                </w:p>
              </w:tc>
            </w:tr>
            <w:tr w14:paraId="1295BD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00" w:hRule="atLeast"/>
              </w:trPr>
              <w:tc>
                <w:tcPr>
                  <w:tcW w:w="1040" w:type="pct"/>
                  <w:tcBorders>
                    <w:tl2br w:val="nil"/>
                    <w:tr2bl w:val="nil"/>
                  </w:tcBorders>
                  <w:noWrap w:val="0"/>
                  <w:vAlign w:val="center"/>
                </w:tcPr>
                <w:p w14:paraId="492DD984">
                  <w:pPr>
                    <w:pStyle w:val="55"/>
                    <w:spacing w:line="320" w:lineRule="exact"/>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国务院关于深入打好污染防治攻坚战的意见（2021年11月2日）</w:t>
                  </w:r>
                </w:p>
              </w:tc>
              <w:tc>
                <w:tcPr>
                  <w:tcW w:w="2135" w:type="pct"/>
                  <w:tcBorders>
                    <w:tl2br w:val="nil"/>
                    <w:tr2bl w:val="nil"/>
                  </w:tcBorders>
                  <w:noWrap w:val="0"/>
                  <w:vAlign w:val="center"/>
                </w:tcPr>
                <w:p w14:paraId="3DC7A16C">
                  <w:pPr>
                    <w:pStyle w:val="55"/>
                    <w:spacing w:line="320" w:lineRule="exact"/>
                    <w:jc w:val="both"/>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坚决遏制高耗能高排放项目盲目发展。严把高耗能高排放项目准入关口，严格落实污染物排放区域削减要求，对不符合规定的项目坚决停批停建。</w:t>
                  </w:r>
                </w:p>
                <w:p w14:paraId="560D2F20">
                  <w:pPr>
                    <w:pStyle w:val="55"/>
                    <w:spacing w:line="320" w:lineRule="exact"/>
                    <w:jc w:val="both"/>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推进清洁生产和能源</w:t>
                  </w:r>
                  <w:r>
                    <w:rPr>
                      <w:rFonts w:hint="eastAsia" w:ascii="Times New Roman" w:cs="Times New Roman"/>
                      <w:b w:val="0"/>
                      <w:bCs w:val="0"/>
                      <w:color w:val="auto"/>
                      <w:sz w:val="21"/>
                      <w:szCs w:val="21"/>
                      <w:lang w:val="en-US" w:eastAsia="zh-CN"/>
                    </w:rPr>
                    <w:t>资源节约集约利用</w:t>
                  </w:r>
                  <w:r>
                    <w:rPr>
                      <w:rFonts w:hint="default" w:ascii="Times New Roman" w:hAnsi="Times New Roman" w:eastAsia="宋体" w:cs="Times New Roman"/>
                      <w:b w:val="0"/>
                      <w:bCs w:val="0"/>
                      <w:color w:val="auto"/>
                      <w:sz w:val="21"/>
                      <w:szCs w:val="21"/>
                      <w:lang w:val="en-US" w:eastAsia="zh-CN"/>
                    </w:rPr>
                    <w:t>。实施国家节水行动，强化农业节水增效、工业节水减排、城镇节水降损。</w:t>
                  </w:r>
                </w:p>
              </w:tc>
              <w:tc>
                <w:tcPr>
                  <w:tcW w:w="1483" w:type="pct"/>
                  <w:tcBorders>
                    <w:tl2br w:val="nil"/>
                    <w:tr2bl w:val="nil"/>
                  </w:tcBorders>
                  <w:noWrap w:val="0"/>
                  <w:vAlign w:val="center"/>
                </w:tcPr>
                <w:p w14:paraId="4A6366CC">
                  <w:pPr>
                    <w:pStyle w:val="55"/>
                    <w:spacing w:line="320" w:lineRule="exact"/>
                    <w:jc w:val="center"/>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项目不属于高污染、高能耗行业；项目生产废水经沉淀池沉淀后循环使用不外排，生活污水经化粪池预处理后拉运至</w:t>
                  </w:r>
                  <w:r>
                    <w:rPr>
                      <w:rFonts w:hint="eastAsia" w:ascii="Times New Roman" w:cs="Times New Roman"/>
                      <w:b w:val="0"/>
                      <w:bCs/>
                      <w:color w:val="auto"/>
                      <w:sz w:val="21"/>
                      <w:szCs w:val="21"/>
                      <w:lang w:val="en-US" w:eastAsia="zh-CN"/>
                    </w:rPr>
                    <w:t>河北巴州生态产业园污水处理厂</w:t>
                  </w:r>
                  <w:r>
                    <w:rPr>
                      <w:rFonts w:hint="default" w:ascii="Times New Roman" w:hAnsi="Times New Roman" w:eastAsia="宋体" w:cs="Times New Roman"/>
                      <w:b w:val="0"/>
                      <w:bCs/>
                      <w:color w:val="auto"/>
                      <w:sz w:val="21"/>
                      <w:szCs w:val="21"/>
                      <w:lang w:val="en-US" w:eastAsia="zh-CN"/>
                    </w:rPr>
                    <w:t>深处理，最后用于城市绿化，实现水资源的高效利用</w:t>
                  </w:r>
                  <w:r>
                    <w:rPr>
                      <w:rFonts w:hint="eastAsia" w:ascii="Times New Roman" w:cs="Times New Roman"/>
                      <w:b w:val="0"/>
                      <w:bCs/>
                      <w:color w:val="auto"/>
                      <w:sz w:val="21"/>
                      <w:szCs w:val="21"/>
                      <w:lang w:val="en-US" w:eastAsia="zh-CN"/>
                    </w:rPr>
                    <w:t>。</w:t>
                  </w:r>
                </w:p>
              </w:tc>
              <w:tc>
                <w:tcPr>
                  <w:tcW w:w="340" w:type="pct"/>
                  <w:tcBorders>
                    <w:tl2br w:val="nil"/>
                    <w:tr2bl w:val="nil"/>
                  </w:tcBorders>
                  <w:noWrap w:val="0"/>
                  <w:vAlign w:val="center"/>
                </w:tcPr>
                <w:p w14:paraId="53276B01">
                  <w:pPr>
                    <w:pStyle w:val="55"/>
                    <w:spacing w:line="320" w:lineRule="exact"/>
                    <w:ind w:firstLine="0" w:firstLineChars="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符合</w:t>
                  </w:r>
                </w:p>
              </w:tc>
            </w:tr>
          </w:tbl>
          <w:p w14:paraId="4D24739C">
            <w:pPr>
              <w:autoSpaceDE w:val="0"/>
              <w:autoSpaceDN w:val="0"/>
              <w:adjustRightInd w:val="0"/>
              <w:snapToGrid w:val="0"/>
              <w:spacing w:line="360" w:lineRule="auto"/>
              <w:ind w:firstLine="480" w:firstLineChars="200"/>
              <w:jc w:val="both"/>
              <w:rPr>
                <w:rFonts w:ascii="宋体" w:hAnsi="宋体" w:cs="宋体"/>
                <w:kern w:val="0"/>
                <w:sz w:val="24"/>
                <w:szCs w:val="24"/>
              </w:rPr>
            </w:pPr>
          </w:p>
        </w:tc>
      </w:tr>
    </w:tbl>
    <w:p w14:paraId="32FFC2C0">
      <w:pPr>
        <w:spacing w:line="360" w:lineRule="auto"/>
        <w:outlineLvl w:val="0"/>
        <w:rPr>
          <w:rFonts w:eastAsia="黑体"/>
          <w:sz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644D7E82">
      <w:pPr>
        <w:pStyle w:val="21"/>
        <w:jc w:val="center"/>
        <w:outlineLvl w:val="0"/>
        <w:rPr>
          <w:rFonts w:ascii="黑体" w:hAnsi="黑体" w:eastAsia="黑体"/>
          <w:snapToGrid w:val="0"/>
          <w:sz w:val="30"/>
          <w:szCs w:val="30"/>
        </w:rPr>
      </w:pPr>
      <w:r>
        <w:rPr>
          <w:rFonts w:hint="eastAsia" w:ascii="黑体" w:hAnsi="黑体" w:eastAsia="黑体"/>
          <w:snapToGrid w:val="0"/>
          <w:sz w:val="30"/>
          <w:szCs w:val="30"/>
        </w:rPr>
        <w:t>二、建设项目工程分析</w:t>
      </w:r>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161"/>
      </w:tblGrid>
      <w:tr w14:paraId="42E306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192" w:hRule="atLeast"/>
          <w:jc w:val="center"/>
        </w:trPr>
        <w:tc>
          <w:tcPr>
            <w:tcW w:w="823" w:type="dxa"/>
            <w:noWrap w:val="0"/>
            <w:vAlign w:val="center"/>
          </w:tcPr>
          <w:p w14:paraId="537C16A3">
            <w:pPr>
              <w:spacing w:line="360" w:lineRule="auto"/>
              <w:rPr>
                <w:rFonts w:cs="宋体"/>
                <w:sz w:val="21"/>
                <w:szCs w:val="21"/>
              </w:rPr>
            </w:pP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建设内容</w:t>
            </w:r>
          </w:p>
        </w:tc>
        <w:tc>
          <w:tcPr>
            <w:tcW w:w="8161" w:type="dxa"/>
            <w:noWrap w:val="0"/>
            <w:vAlign w:val="top"/>
          </w:tcPr>
          <w:p w14:paraId="0A0FA333">
            <w:pPr>
              <w:numPr>
                <w:ilvl w:val="0"/>
                <w:numId w:val="0"/>
              </w:numPr>
              <w:spacing w:line="360" w:lineRule="auto"/>
              <w:rPr>
                <w:rFonts w:hint="eastAsia" w:ascii="宋体" w:hAnsi="宋体" w:cs="宋体"/>
                <w:b/>
                <w:bCs/>
                <w:sz w:val="24"/>
                <w:lang w:val="en-US" w:eastAsia="zh-CN"/>
              </w:rPr>
            </w:pPr>
            <w:r>
              <w:rPr>
                <w:rFonts w:hint="eastAsia" w:ascii="宋体" w:hAnsi="宋体" w:cs="宋体"/>
                <w:b/>
                <w:bCs/>
                <w:kern w:val="2"/>
                <w:sz w:val="24"/>
                <w:szCs w:val="24"/>
                <w:lang w:val="en-US" w:eastAsia="zh-CN" w:bidi="ar-SA"/>
              </w:rPr>
              <w:t>1.</w:t>
            </w:r>
            <w:r>
              <w:rPr>
                <w:rFonts w:hint="eastAsia" w:ascii="宋体" w:hAnsi="宋体" w:cs="宋体"/>
                <w:b/>
                <w:bCs/>
                <w:sz w:val="24"/>
                <w:lang w:val="en-US" w:eastAsia="zh-CN"/>
              </w:rPr>
              <w:t>项目背景</w:t>
            </w:r>
          </w:p>
          <w:p w14:paraId="4F7DF913">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库尔勒国创煤炭有限公司成立于2021年10月20日，注册地位于新疆巴州库尔勒市</w:t>
            </w:r>
            <w:r>
              <w:rPr>
                <w:rFonts w:hint="eastAsia" w:cs="Times New Roman"/>
                <w:sz w:val="24"/>
                <w:lang w:val="en-US" w:eastAsia="zh-CN"/>
              </w:rPr>
              <w:t>塔什店镇特变电工西侧</w:t>
            </w:r>
            <w:r>
              <w:rPr>
                <w:rFonts w:hint="eastAsia" w:ascii="Times New Roman" w:hAnsi="Times New Roman" w:eastAsia="宋体" w:cs="Times New Roman"/>
                <w:sz w:val="24"/>
                <w:lang w:val="en-US" w:eastAsia="zh-CN"/>
              </w:rPr>
              <w:t>，主要从事煤炭存储</w:t>
            </w:r>
            <w:r>
              <w:rPr>
                <w:rFonts w:hint="eastAsia" w:cs="Times New Roman"/>
                <w:sz w:val="24"/>
                <w:lang w:val="en-US" w:eastAsia="zh-CN"/>
              </w:rPr>
              <w:t>、集运</w:t>
            </w:r>
            <w:r>
              <w:rPr>
                <w:rFonts w:hint="eastAsia" w:ascii="Times New Roman" w:hAnsi="Times New Roman" w:eastAsia="宋体" w:cs="Times New Roman"/>
                <w:sz w:val="24"/>
                <w:lang w:val="en-US" w:eastAsia="zh-CN"/>
              </w:rPr>
              <w:t>。</w:t>
            </w:r>
          </w:p>
          <w:p w14:paraId="1CDFC5BD">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根据《中华人民共和国环境保护法》《中华人民共和国环境影响评价法》《建设项目环境保护管理条例》（国务院第682号令）、《建设项目环境影响评价分类管理名录（2021）》，本项目主要煤炭储存，“四、煤炭开采和洗选业06-6煤炭储存、集运”，根据名录要求应编制环境影响报告表。受库尔勒国创煤炭有限公司委托，</w:t>
            </w:r>
            <w:r>
              <w:rPr>
                <w:rFonts w:hint="eastAsia" w:cs="Times New Roman"/>
                <w:sz w:val="24"/>
                <w:lang w:val="en-US" w:eastAsia="zh-CN"/>
              </w:rPr>
              <w:t>新疆信和环宇环保工程技术咨询有限公司</w:t>
            </w:r>
            <w:r>
              <w:rPr>
                <w:rFonts w:hint="eastAsia" w:ascii="Times New Roman" w:hAnsi="Times New Roman" w:eastAsia="宋体" w:cs="Times New Roman"/>
                <w:sz w:val="24"/>
                <w:lang w:val="en-US" w:eastAsia="zh-CN"/>
              </w:rPr>
              <w:t>承担了本项目的环境影响评价工作。接受委托后，在现场踏勘和资料收集的基础上，编制完成《库尔勒国创煤炭有限公司煤炭存储、集运项目》，并呈报生态环境主管部门进行审批，审批后的报告将作为生态环境部门对企业进行环境管理的依据。</w:t>
            </w:r>
          </w:p>
          <w:p w14:paraId="0AEED039">
            <w:pPr>
              <w:spacing w:line="360" w:lineRule="auto"/>
              <w:ind w:firstLine="480" w:firstLineChars="200"/>
              <w:rPr>
                <w:rFonts w:hint="eastAsia" w:ascii="Times New Roman" w:hAnsi="Times New Roman" w:eastAsia="宋体" w:cs="Times New Roman"/>
                <w:sz w:val="24"/>
                <w:lang w:val="en-US" w:eastAsia="zh-CN"/>
              </w:rPr>
            </w:pP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经现场实地踏勘</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eastAsia" w:cs="Times New Roman"/>
                <w:b w:val="0"/>
                <w:bCs w:val="0"/>
                <w:color w:val="000000" w:themeColor="text1"/>
                <w:sz w:val="24"/>
                <w:szCs w:val="24"/>
                <w:highlight w:val="none"/>
                <w:lang w:val="en-US" w:eastAsia="zh-CN"/>
                <w14:textFill>
                  <w14:solidFill>
                    <w14:schemeClr w14:val="tx1"/>
                  </w14:solidFill>
                </w14:textFill>
              </w:rPr>
              <w:t>库尔勒</w:t>
            </w:r>
            <w:r>
              <w:rPr>
                <w:rFonts w:hint="eastAsia" w:ascii="Times New Roman" w:hAnsi="Times New Roman" w:eastAsia="宋体" w:cs="Times New Roman"/>
                <w:color w:val="000000" w:themeColor="text1"/>
                <w:sz w:val="24"/>
                <w:lang w:val="en-US" w:eastAsia="zh-CN"/>
                <w14:textFill>
                  <w14:solidFill>
                    <w14:schemeClr w14:val="tx1"/>
                  </w14:solidFill>
                </w14:textFill>
              </w:rPr>
              <w:t>国创煤炭有限公司2026年1月开展了</w:t>
            </w:r>
            <w:r>
              <w:rPr>
                <w:rFonts w:hint="eastAsia" w:cs="Times New Roman"/>
                <w:color w:val="000000" w:themeColor="text1"/>
                <w:sz w:val="24"/>
                <w:lang w:val="en-US" w:eastAsia="zh-CN"/>
                <w14:textFill>
                  <w14:solidFill>
                    <w14:schemeClr w14:val="tx1"/>
                  </w14:solidFill>
                </w14:textFill>
              </w:rPr>
              <w:t>生产区</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场地平整</w:t>
            </w:r>
            <w:r>
              <w:rPr>
                <w:rFonts w:hint="eastAsia" w:cs="Times New Roman"/>
                <w:b w:val="0"/>
                <w:bCs w:val="0"/>
                <w:color w:val="000000" w:themeColor="text1"/>
                <w:sz w:val="24"/>
                <w:szCs w:val="24"/>
                <w:highlight w:val="none"/>
                <w:lang w:val="en-US" w:eastAsia="zh-CN"/>
                <w14:textFill>
                  <w14:solidFill>
                    <w14:schemeClr w14:val="tx1"/>
                  </w14:solidFill>
                </w14:textFill>
              </w:rPr>
              <w:t>和煤棚</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框架搭建施工，现状已停止建设</w:t>
            </w:r>
            <w:r>
              <w:rPr>
                <w:rFonts w:hint="default" w:ascii="Times New Roman" w:hAnsi="Times New Roman" w:cs="Times New Roman"/>
                <w:b w:val="0"/>
                <w:bCs w:val="0"/>
                <w:color w:val="auto"/>
                <w:sz w:val="24"/>
                <w:szCs w:val="24"/>
                <w:highlight w:val="none"/>
                <w:lang w:val="en-US" w:eastAsia="zh-CN"/>
              </w:rPr>
              <w:t>。</w:t>
            </w:r>
          </w:p>
          <w:p w14:paraId="294CD6FA">
            <w:pPr>
              <w:spacing w:line="360" w:lineRule="auto"/>
              <w:rPr>
                <w:rFonts w:hint="default" w:eastAsia="宋体"/>
                <w:b/>
                <w:bCs/>
                <w:sz w:val="24"/>
                <w:lang w:val="en-US" w:eastAsia="zh-CN"/>
              </w:rPr>
            </w:pPr>
            <w:r>
              <w:rPr>
                <w:rFonts w:hint="eastAsia" w:ascii="宋体" w:hAnsi="宋体" w:cs="宋体"/>
                <w:b/>
                <w:bCs/>
                <w:sz w:val="24"/>
                <w:lang w:val="en-US" w:eastAsia="zh-CN"/>
              </w:rPr>
              <w:t>2.主要建设内容</w:t>
            </w:r>
          </w:p>
          <w:p w14:paraId="735FB08A">
            <w:pPr>
              <w:spacing w:line="360" w:lineRule="auto"/>
              <w:ind w:firstLine="480" w:firstLineChars="200"/>
              <w:rPr>
                <w:rFonts w:hint="eastAsia" w:eastAsia="宋体"/>
                <w:sz w:val="24"/>
                <w:lang w:val="en-US" w:eastAsia="zh-CN"/>
              </w:rPr>
            </w:pPr>
            <w:r>
              <w:rPr>
                <w:rFonts w:hint="eastAsia"/>
                <w:sz w:val="24"/>
                <w:lang w:val="en-US" w:eastAsia="zh-CN"/>
              </w:rPr>
              <w:t>本</w:t>
            </w:r>
            <w:r>
              <w:rPr>
                <w:sz w:val="24"/>
              </w:rPr>
              <w:t>项目选址于</w:t>
            </w:r>
            <w:r>
              <w:rPr>
                <w:rFonts w:hint="eastAsia"/>
                <w:sz w:val="24"/>
                <w:lang w:eastAsia="zh-CN"/>
              </w:rPr>
              <w:t>新疆巴州库尔勒市塔什店镇</w:t>
            </w:r>
            <w:r>
              <w:rPr>
                <w:color w:val="000000"/>
                <w:sz w:val="24"/>
              </w:rPr>
              <w:t>，</w:t>
            </w:r>
            <w:r>
              <w:rPr>
                <w:sz w:val="24"/>
              </w:rPr>
              <w:t>中心地理坐标为：</w:t>
            </w:r>
            <w:r>
              <w:rPr>
                <w:rFonts w:hint="eastAsia"/>
                <w:sz w:val="24"/>
                <w:lang w:eastAsia="zh-CN"/>
              </w:rPr>
              <w:t>东经</w:t>
            </w:r>
            <w:r>
              <w:rPr>
                <w:rFonts w:hint="eastAsia"/>
                <w:sz w:val="24"/>
                <w:highlight w:val="none"/>
                <w:lang w:eastAsia="zh-CN"/>
              </w:rPr>
              <w:t>86°19′05.910"，北纬41°49′57.437"</w:t>
            </w:r>
            <w:r>
              <w:rPr>
                <w:color w:val="000000"/>
                <w:sz w:val="24"/>
              </w:rPr>
              <w:t>。</w:t>
            </w:r>
            <w:r>
              <w:rPr>
                <w:sz w:val="24"/>
              </w:rPr>
              <w:t>具体地理位置详见附图1</w:t>
            </w:r>
            <w:r>
              <w:rPr>
                <w:rFonts w:hint="eastAsia"/>
                <w:sz w:val="24"/>
                <w:lang w:eastAsia="zh-CN"/>
              </w:rPr>
              <w:t>。</w:t>
            </w:r>
          </w:p>
          <w:p w14:paraId="6ADE3227">
            <w:pPr>
              <w:adjustRightInd w:val="0"/>
              <w:snapToGrid w:val="0"/>
              <w:spacing w:line="360" w:lineRule="auto"/>
              <w:ind w:firstLine="480" w:firstLineChars="200"/>
              <w:jc w:val="both"/>
              <w:rPr>
                <w:color w:val="000000"/>
                <w:sz w:val="24"/>
              </w:rPr>
            </w:pPr>
            <w:r>
              <w:rPr>
                <w:color w:val="auto"/>
                <w:sz w:val="24"/>
              </w:rPr>
              <w:t>建设项目</w:t>
            </w:r>
            <w:r>
              <w:rPr>
                <w:rFonts w:hint="eastAsia"/>
                <w:color w:val="auto"/>
                <w:sz w:val="24"/>
                <w:lang w:val="en-US" w:eastAsia="zh-CN"/>
              </w:rPr>
              <w:t>东侧依次</w:t>
            </w:r>
            <w:r>
              <w:rPr>
                <w:color w:val="auto"/>
                <w:sz w:val="24"/>
              </w:rPr>
              <w:t>为</w:t>
            </w:r>
            <w:r>
              <w:rPr>
                <w:rFonts w:hint="eastAsia"/>
                <w:color w:val="auto"/>
                <w:sz w:val="24"/>
                <w:lang w:val="en-US" w:eastAsia="zh-CN"/>
              </w:rPr>
              <w:t>水泥道路（20m）、特变电工（66m），</w:t>
            </w:r>
            <w:r>
              <w:rPr>
                <w:rFonts w:hint="eastAsia"/>
                <w:color w:val="auto"/>
                <w:sz w:val="24"/>
                <w:lang w:eastAsia="zh-CN"/>
              </w:rPr>
              <w:t>项目北侧</w:t>
            </w:r>
            <w:r>
              <w:rPr>
                <w:rFonts w:hint="eastAsia"/>
                <w:color w:val="auto"/>
                <w:sz w:val="24"/>
                <w:lang w:val="en-US" w:eastAsia="zh-CN"/>
              </w:rPr>
              <w:t>依次为空地、水泥道路；西</w:t>
            </w:r>
            <w:r>
              <w:rPr>
                <w:color w:val="auto"/>
                <w:sz w:val="24"/>
              </w:rPr>
              <w:t>侧为</w:t>
            </w:r>
            <w:r>
              <w:rPr>
                <w:rFonts w:hint="eastAsia"/>
                <w:color w:val="auto"/>
                <w:sz w:val="24"/>
                <w:lang w:val="en-US" w:eastAsia="zh-CN"/>
              </w:rPr>
              <w:t>库尔勒福升华新型建材有限公司</w:t>
            </w:r>
            <w:r>
              <w:rPr>
                <w:color w:val="auto"/>
                <w:sz w:val="24"/>
              </w:rPr>
              <w:t>，</w:t>
            </w:r>
            <w:r>
              <w:rPr>
                <w:color w:val="000000"/>
                <w:sz w:val="24"/>
              </w:rPr>
              <w:t>距离约</w:t>
            </w:r>
            <w:r>
              <w:rPr>
                <w:rFonts w:hint="eastAsia"/>
                <w:color w:val="000000"/>
                <w:sz w:val="24"/>
                <w:lang w:val="en-US" w:eastAsia="zh-CN"/>
              </w:rPr>
              <w:t>44</w:t>
            </w:r>
            <w:r>
              <w:rPr>
                <w:color w:val="000000"/>
                <w:sz w:val="24"/>
              </w:rPr>
              <w:t>m</w:t>
            </w:r>
            <w:r>
              <w:rPr>
                <w:rFonts w:hint="eastAsia"/>
                <w:color w:val="000000"/>
                <w:sz w:val="24"/>
                <w:lang w:eastAsia="zh-CN"/>
              </w:rPr>
              <w:t>；</w:t>
            </w:r>
            <w:r>
              <w:rPr>
                <w:rFonts w:hint="eastAsia"/>
                <w:color w:val="000000"/>
                <w:sz w:val="24"/>
                <w:lang w:val="en-US" w:eastAsia="zh-CN"/>
              </w:rPr>
              <w:t>南侧为空地</w:t>
            </w:r>
            <w:r>
              <w:rPr>
                <w:color w:val="000000"/>
                <w:sz w:val="24"/>
              </w:rPr>
              <w:t>。周边环境详见附图2。</w:t>
            </w:r>
          </w:p>
          <w:p w14:paraId="138CEC18">
            <w:pPr>
              <w:adjustRightInd w:val="0"/>
              <w:snapToGrid w:val="0"/>
              <w:spacing w:line="360" w:lineRule="auto"/>
              <w:ind w:firstLine="472" w:firstLineChars="200"/>
              <w:jc w:val="both"/>
              <w:rPr>
                <w:rFonts w:hint="default" w:ascii="Times New Roman" w:hAnsi="Times New Roman" w:eastAsia="宋体" w:cs="Times New Roman"/>
                <w:color w:val="000000"/>
                <w:spacing w:val="-2"/>
                <w:sz w:val="24"/>
                <w:szCs w:val="24"/>
                <w:highlight w:val="none"/>
                <w:lang w:val="en-US" w:eastAsia="zh-CN"/>
              </w:rPr>
            </w:pPr>
            <w:r>
              <w:rPr>
                <w:rFonts w:hint="eastAsia" w:ascii="Times New Roman" w:hAnsi="Times New Roman" w:eastAsia="宋体" w:cs="Times New Roman"/>
                <w:color w:val="000000"/>
                <w:spacing w:val="-2"/>
                <w:sz w:val="24"/>
                <w:szCs w:val="24"/>
                <w:highlight w:val="none"/>
                <w:lang w:val="en-US" w:eastAsia="zh-CN"/>
              </w:rPr>
              <w:t>本项目租赁新疆鼎嘉隆新型墙材股份有限公司用地</w:t>
            </w:r>
            <w:r>
              <w:rPr>
                <w:rFonts w:hint="eastAsia" w:cs="Times New Roman"/>
                <w:color w:val="000000"/>
                <w:spacing w:val="-2"/>
                <w:sz w:val="24"/>
                <w:szCs w:val="24"/>
                <w:highlight w:val="none"/>
                <w:lang w:val="en-US" w:eastAsia="zh-CN"/>
              </w:rPr>
              <w:t>，用地属性为工况仓储用地</w:t>
            </w:r>
            <w:r>
              <w:rPr>
                <w:rFonts w:hint="eastAsia" w:ascii="Times New Roman" w:hAnsi="Times New Roman" w:eastAsia="宋体" w:cs="Times New Roman"/>
                <w:color w:val="000000"/>
                <w:spacing w:val="-2"/>
                <w:sz w:val="24"/>
                <w:szCs w:val="24"/>
                <w:highlight w:val="none"/>
                <w:lang w:val="en-US" w:eastAsia="zh-CN"/>
              </w:rPr>
              <w:t>，</w:t>
            </w:r>
            <w:r>
              <w:rPr>
                <w:rFonts w:hint="default" w:ascii="Times New Roman" w:hAnsi="Times New Roman" w:eastAsia="宋体" w:cs="Times New Roman"/>
                <w:color w:val="000000"/>
                <w:spacing w:val="-2"/>
                <w:sz w:val="24"/>
                <w:szCs w:val="24"/>
                <w:highlight w:val="none"/>
                <w:lang w:eastAsia="zh-CN"/>
              </w:rPr>
              <w:t>总占地面积</w:t>
            </w:r>
            <w:r>
              <w:rPr>
                <w:rFonts w:hint="eastAsia" w:ascii="Times New Roman" w:hAnsi="Times New Roman" w:eastAsia="宋体" w:cs="Times New Roman"/>
                <w:color w:val="000000"/>
                <w:spacing w:val="-2"/>
                <w:sz w:val="24"/>
                <w:szCs w:val="24"/>
                <w:highlight w:val="none"/>
                <w:lang w:val="en-US" w:eastAsia="zh-CN"/>
              </w:rPr>
              <w:t>119032.84</w:t>
            </w:r>
            <w:r>
              <w:rPr>
                <w:rFonts w:hint="default" w:ascii="Times New Roman" w:hAnsi="Times New Roman" w:eastAsia="宋体" w:cs="Times New Roman"/>
                <w:color w:val="000000"/>
                <w:spacing w:val="-2"/>
                <w:sz w:val="24"/>
                <w:szCs w:val="24"/>
                <w:highlight w:val="none"/>
                <w:lang w:val="en-US" w:eastAsia="zh-CN"/>
              </w:rPr>
              <w:t>m</w:t>
            </w:r>
            <w:r>
              <w:rPr>
                <w:rFonts w:hint="default" w:ascii="Times New Roman" w:hAnsi="Times New Roman" w:eastAsia="宋体" w:cs="Times New Roman"/>
                <w:color w:val="000000"/>
                <w:spacing w:val="-2"/>
                <w:sz w:val="24"/>
                <w:szCs w:val="24"/>
                <w:highlight w:val="none"/>
                <w:vertAlign w:val="superscript"/>
                <w:lang w:val="en-US" w:eastAsia="zh-CN"/>
              </w:rPr>
              <w:t>2</w:t>
            </w:r>
            <w:r>
              <w:rPr>
                <w:rFonts w:hint="default" w:ascii="Times New Roman" w:hAnsi="Times New Roman" w:eastAsia="宋体" w:cs="Times New Roman"/>
                <w:color w:val="000000"/>
                <w:spacing w:val="-2"/>
                <w:sz w:val="24"/>
                <w:szCs w:val="24"/>
                <w:highlight w:val="none"/>
                <w:lang w:eastAsia="zh-CN"/>
              </w:rPr>
              <w:t>。建设占地面积</w:t>
            </w:r>
            <w:r>
              <w:rPr>
                <w:rFonts w:hint="eastAsia" w:cs="Times New Roman"/>
                <w:color w:val="000000"/>
                <w:spacing w:val="-2"/>
                <w:sz w:val="24"/>
                <w:szCs w:val="24"/>
                <w:highlight w:val="none"/>
                <w:lang w:val="en-US" w:eastAsia="zh-CN"/>
              </w:rPr>
              <w:t>10500</w:t>
            </w:r>
            <w:r>
              <w:rPr>
                <w:rFonts w:hint="default" w:ascii="Times New Roman" w:hAnsi="Times New Roman" w:eastAsia="宋体" w:cs="Times New Roman"/>
                <w:color w:val="000000"/>
                <w:spacing w:val="-2"/>
                <w:sz w:val="24"/>
                <w:szCs w:val="24"/>
                <w:highlight w:val="none"/>
                <w:lang w:eastAsia="zh-CN"/>
              </w:rPr>
              <w:t>平方米彩钢结构全封闭煤棚</w:t>
            </w:r>
            <w:r>
              <w:rPr>
                <w:rFonts w:hint="eastAsia" w:cs="Times New Roman"/>
                <w:color w:val="000000"/>
                <w:spacing w:val="-2"/>
                <w:sz w:val="24"/>
                <w:szCs w:val="24"/>
                <w:highlight w:val="none"/>
                <w:lang w:val="en-US" w:eastAsia="zh-CN"/>
              </w:rPr>
              <w:t>5</w:t>
            </w:r>
            <w:r>
              <w:rPr>
                <w:rFonts w:hint="default" w:ascii="Times New Roman" w:hAnsi="Times New Roman" w:eastAsia="宋体" w:cs="Times New Roman"/>
                <w:color w:val="000000"/>
                <w:spacing w:val="-2"/>
                <w:sz w:val="24"/>
                <w:szCs w:val="24"/>
                <w:highlight w:val="none"/>
                <w:lang w:eastAsia="zh-CN"/>
              </w:rPr>
              <w:t>座、150吨地磅一台，洗车平台一套20m×4m、配备3台配煤机，依托</w:t>
            </w:r>
            <w:r>
              <w:rPr>
                <w:rFonts w:hint="eastAsia" w:ascii="Times New Roman" w:hAnsi="Times New Roman" w:eastAsia="宋体" w:cs="Times New Roman"/>
                <w:color w:val="000000"/>
                <w:spacing w:val="-2"/>
                <w:sz w:val="24"/>
                <w:szCs w:val="24"/>
                <w:highlight w:val="none"/>
                <w:lang w:val="en-US" w:eastAsia="zh-CN"/>
              </w:rPr>
              <w:t>新疆鼎嘉隆新型墙材股份有限公司</w:t>
            </w:r>
            <w:r>
              <w:rPr>
                <w:rFonts w:hint="default" w:ascii="Times New Roman" w:hAnsi="Times New Roman" w:eastAsia="宋体" w:cs="Times New Roman"/>
                <w:color w:val="000000"/>
                <w:spacing w:val="-2"/>
                <w:sz w:val="24"/>
                <w:szCs w:val="24"/>
                <w:highlight w:val="none"/>
                <w:lang w:eastAsia="zh-CN"/>
              </w:rPr>
              <w:t>办公室，作为职工办公，临时休息使用，年储运煤炭5万吨。项目主要建设内容详见</w:t>
            </w:r>
            <w:r>
              <w:rPr>
                <w:rFonts w:hint="eastAsia" w:ascii="Times New Roman" w:hAnsi="Times New Roman" w:eastAsia="宋体" w:cs="Times New Roman"/>
                <w:color w:val="000000"/>
                <w:spacing w:val="-2"/>
                <w:sz w:val="24"/>
                <w:szCs w:val="24"/>
                <w:highlight w:val="none"/>
                <w:lang w:val="en-US" w:eastAsia="zh-CN"/>
              </w:rPr>
              <w:t>表2-1</w:t>
            </w:r>
            <w:r>
              <w:rPr>
                <w:rFonts w:hint="default" w:ascii="Times New Roman" w:hAnsi="Times New Roman" w:eastAsia="宋体" w:cs="Times New Roman"/>
                <w:color w:val="000000"/>
                <w:spacing w:val="-2"/>
                <w:sz w:val="24"/>
                <w:szCs w:val="24"/>
                <w:highlight w:val="none"/>
                <w:lang w:eastAsia="zh-CN"/>
              </w:rPr>
              <w:t>，</w:t>
            </w:r>
            <w:r>
              <w:rPr>
                <w:rFonts w:hint="default" w:ascii="Times New Roman" w:hAnsi="Times New Roman" w:eastAsia="宋体" w:cs="Times New Roman"/>
                <w:color w:val="000000"/>
                <w:spacing w:val="-2"/>
                <w:sz w:val="24"/>
                <w:szCs w:val="24"/>
                <w:highlight w:val="none"/>
                <w:lang w:val="en-US" w:eastAsia="zh-CN"/>
              </w:rPr>
              <w:t>主要生产设备见表</w:t>
            </w:r>
            <w:r>
              <w:rPr>
                <w:rFonts w:hint="eastAsia" w:ascii="Times New Roman" w:hAnsi="Times New Roman" w:eastAsia="宋体" w:cs="Times New Roman"/>
                <w:color w:val="000000"/>
                <w:spacing w:val="-2"/>
                <w:sz w:val="24"/>
                <w:szCs w:val="24"/>
                <w:highlight w:val="none"/>
                <w:lang w:val="en-US" w:eastAsia="zh-CN"/>
              </w:rPr>
              <w:t>2-2</w:t>
            </w:r>
            <w:r>
              <w:rPr>
                <w:rFonts w:hint="default" w:ascii="Times New Roman" w:hAnsi="Times New Roman" w:eastAsia="宋体" w:cs="Times New Roman"/>
                <w:color w:val="000000"/>
                <w:spacing w:val="-2"/>
                <w:sz w:val="24"/>
                <w:szCs w:val="24"/>
                <w:highlight w:val="none"/>
                <w:lang w:val="en-US" w:eastAsia="zh-CN"/>
              </w:rPr>
              <w:t>。</w:t>
            </w:r>
          </w:p>
          <w:p w14:paraId="6D5A80B2">
            <w:pPr>
              <w:bidi w:val="0"/>
              <w:jc w:val="center"/>
              <w:rPr>
                <w:rFonts w:hint="default"/>
                <w:lang w:val="en-US" w:eastAsia="zh-CN"/>
              </w:rPr>
            </w:pPr>
            <w:r>
              <w:rPr>
                <w:rFonts w:hint="eastAsia"/>
                <w:b/>
                <w:bCs/>
                <w:lang w:val="en-US" w:eastAsia="zh-CN"/>
              </w:rPr>
              <w:t>表2-1 项目组成一览表</w:t>
            </w:r>
          </w:p>
          <w:tbl>
            <w:tblPr>
              <w:tblStyle w:val="25"/>
              <w:tblW w:w="495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198"/>
              <w:gridCol w:w="5016"/>
              <w:gridCol w:w="644"/>
              <w:gridCol w:w="236"/>
            </w:tblGrid>
            <w:tr w14:paraId="6D194D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50" w:type="pct"/>
                <w:trHeight w:val="23" w:hRule="atLeast"/>
                <w:jc w:val="center"/>
              </w:trPr>
              <w:tc>
                <w:tcPr>
                  <w:tcW w:w="490" w:type="pct"/>
                  <w:tcBorders>
                    <w:tl2br w:val="nil"/>
                    <w:tr2bl w:val="nil"/>
                  </w:tcBorders>
                  <w:noWrap w:val="0"/>
                  <w:vAlign w:val="center"/>
                </w:tcPr>
                <w:p w14:paraId="01E9D09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项目</w:t>
                  </w:r>
                </w:p>
              </w:tc>
              <w:tc>
                <w:tcPr>
                  <w:tcW w:w="761" w:type="pct"/>
                  <w:tcBorders>
                    <w:tl2br w:val="nil"/>
                    <w:tr2bl w:val="nil"/>
                  </w:tcBorders>
                  <w:noWrap w:val="0"/>
                  <w:vAlign w:val="center"/>
                </w:tcPr>
                <w:p w14:paraId="3BD00D5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建设名称</w:t>
                  </w:r>
                </w:p>
              </w:tc>
              <w:tc>
                <w:tcPr>
                  <w:tcW w:w="3188" w:type="pct"/>
                  <w:tcBorders>
                    <w:tl2br w:val="nil"/>
                    <w:tr2bl w:val="nil"/>
                  </w:tcBorders>
                  <w:noWrap w:val="0"/>
                  <w:vAlign w:val="center"/>
                </w:tcPr>
                <w:p w14:paraId="2FF8C96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工程内容</w:t>
                  </w:r>
                </w:p>
              </w:tc>
              <w:tc>
                <w:tcPr>
                  <w:tcW w:w="409" w:type="pct"/>
                  <w:tcBorders>
                    <w:tl2br w:val="nil"/>
                    <w:tr2bl w:val="nil"/>
                  </w:tcBorders>
                  <w:noWrap w:val="0"/>
                  <w:vAlign w:val="center"/>
                </w:tcPr>
                <w:p w14:paraId="076D271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备注</w:t>
                  </w:r>
                </w:p>
              </w:tc>
            </w:tr>
            <w:tr w14:paraId="5FED17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50" w:type="pct"/>
                <w:trHeight w:val="232" w:hRule="atLeast"/>
                <w:jc w:val="center"/>
              </w:trPr>
              <w:tc>
                <w:tcPr>
                  <w:tcW w:w="490" w:type="pct"/>
                  <w:vMerge w:val="restart"/>
                  <w:tcBorders>
                    <w:tl2br w:val="nil"/>
                    <w:tr2bl w:val="nil"/>
                  </w:tcBorders>
                  <w:noWrap w:val="0"/>
                  <w:vAlign w:val="center"/>
                </w:tcPr>
                <w:p w14:paraId="3E2A0A4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主体工程</w:t>
                  </w:r>
                </w:p>
              </w:tc>
              <w:tc>
                <w:tcPr>
                  <w:tcW w:w="761" w:type="pct"/>
                  <w:tcBorders>
                    <w:tl2br w:val="nil"/>
                    <w:tr2bl w:val="nil"/>
                  </w:tcBorders>
                  <w:noWrap w:val="0"/>
                  <w:vAlign w:val="center"/>
                </w:tcPr>
                <w:p w14:paraId="4FB8EF4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1#</w:t>
                  </w:r>
                  <w:r>
                    <w:rPr>
                      <w:rFonts w:hint="eastAsia" w:ascii="Times New Roman" w:hAnsi="Times New Roman" w:eastAsia="宋体" w:cs="Times New Roman"/>
                      <w:color w:val="000000"/>
                      <w:sz w:val="21"/>
                      <w:szCs w:val="21"/>
                      <w:highlight w:val="none"/>
                      <w:lang w:val="en-US" w:eastAsia="zh-CN"/>
                    </w:rPr>
                    <w:t>煤棚</w:t>
                  </w:r>
                </w:p>
              </w:tc>
              <w:tc>
                <w:tcPr>
                  <w:tcW w:w="3188" w:type="pct"/>
                  <w:tcBorders>
                    <w:tl2br w:val="nil"/>
                    <w:tr2bl w:val="nil"/>
                  </w:tcBorders>
                  <w:noWrap w:val="0"/>
                  <w:vAlign w:val="center"/>
                </w:tcPr>
                <w:p w14:paraId="2BA0FF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占地</w:t>
                  </w:r>
                  <w:r>
                    <w:rPr>
                      <w:rFonts w:hint="eastAsia" w:cs="Times New Roman"/>
                      <w:color w:val="000000"/>
                      <w:kern w:val="2"/>
                      <w:sz w:val="21"/>
                      <w:szCs w:val="21"/>
                      <w:highlight w:val="none"/>
                      <w:lang w:val="en-US" w:eastAsia="zh-CN" w:bidi="ar-SA"/>
                    </w:rPr>
                    <w:t>2500</w:t>
                  </w:r>
                  <w:r>
                    <w:rPr>
                      <w:rFonts w:hint="default" w:ascii="Times New Roman" w:hAnsi="Times New Roman" w:eastAsia="宋体" w:cs="Times New Roman"/>
                      <w:color w:val="000000"/>
                      <w:kern w:val="2"/>
                      <w:sz w:val="21"/>
                      <w:szCs w:val="21"/>
                      <w:highlight w:val="none"/>
                      <w:lang w:val="en-US" w:eastAsia="zh-CN" w:bidi="ar-SA"/>
                    </w:rPr>
                    <w:t>m</w:t>
                  </w:r>
                  <w:r>
                    <w:rPr>
                      <w:rFonts w:hint="default" w:ascii="Times New Roman" w:hAnsi="Times New Roman" w:eastAsia="宋体" w:cs="Times New Roman"/>
                      <w:color w:val="000000"/>
                      <w:kern w:val="2"/>
                      <w:sz w:val="21"/>
                      <w:szCs w:val="21"/>
                      <w:highlight w:val="none"/>
                      <w:vertAlign w:val="superscript"/>
                      <w:lang w:val="en-US" w:eastAsia="zh-CN" w:bidi="ar-SA"/>
                    </w:rPr>
                    <w:t>2</w:t>
                  </w:r>
                  <w:r>
                    <w:rPr>
                      <w:rFonts w:hint="eastAsia" w:ascii="Times New Roman" w:hAnsi="Times New Roman" w:eastAsia="宋体" w:cs="Times New Roman"/>
                      <w:color w:val="000000"/>
                      <w:kern w:val="2"/>
                      <w:sz w:val="21"/>
                      <w:szCs w:val="21"/>
                      <w:highlight w:val="none"/>
                      <w:lang w:val="en-US" w:eastAsia="zh-CN" w:bidi="ar-SA"/>
                    </w:rPr>
                    <w:t>，地上1层，彩钢结构</w:t>
                  </w:r>
                  <w:r>
                    <w:rPr>
                      <w:rFonts w:hint="eastAsia" w:cs="Times New Roman"/>
                      <w:color w:val="000000"/>
                      <w:kern w:val="2"/>
                      <w:sz w:val="21"/>
                      <w:szCs w:val="21"/>
                      <w:highlight w:val="none"/>
                      <w:lang w:val="en-US" w:eastAsia="zh-CN" w:bidi="ar-SA"/>
                    </w:rPr>
                    <w:t>。</w:t>
                  </w:r>
                </w:p>
              </w:tc>
              <w:tc>
                <w:tcPr>
                  <w:tcW w:w="409" w:type="pct"/>
                  <w:tcBorders>
                    <w:tl2br w:val="nil"/>
                    <w:tr2bl w:val="nil"/>
                  </w:tcBorders>
                  <w:noWrap w:val="0"/>
                  <w:vAlign w:val="center"/>
                </w:tcPr>
                <w:p w14:paraId="194705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已建</w:t>
                  </w:r>
                </w:p>
              </w:tc>
            </w:tr>
            <w:tr w14:paraId="04F41C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50" w:type="pct"/>
                <w:trHeight w:val="23" w:hRule="atLeast"/>
                <w:jc w:val="center"/>
              </w:trPr>
              <w:tc>
                <w:tcPr>
                  <w:tcW w:w="490" w:type="pct"/>
                  <w:vMerge w:val="continue"/>
                  <w:tcBorders>
                    <w:tl2br w:val="nil"/>
                    <w:tr2bl w:val="nil"/>
                  </w:tcBorders>
                  <w:noWrap w:val="0"/>
                  <w:vAlign w:val="center"/>
                </w:tcPr>
                <w:p w14:paraId="07C1AE6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rPr>
                  </w:pPr>
                </w:p>
              </w:tc>
              <w:tc>
                <w:tcPr>
                  <w:tcW w:w="761" w:type="pct"/>
                  <w:tcBorders>
                    <w:tl2br w:val="nil"/>
                    <w:tr2bl w:val="nil"/>
                  </w:tcBorders>
                  <w:noWrap w:val="0"/>
                  <w:vAlign w:val="center"/>
                </w:tcPr>
                <w:p w14:paraId="5313211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2#</w:t>
                  </w:r>
                  <w:r>
                    <w:rPr>
                      <w:rFonts w:hint="eastAsia" w:ascii="Times New Roman" w:hAnsi="Times New Roman" w:eastAsia="宋体" w:cs="Times New Roman"/>
                      <w:color w:val="000000"/>
                      <w:sz w:val="21"/>
                      <w:szCs w:val="21"/>
                      <w:highlight w:val="none"/>
                      <w:lang w:val="en-US" w:eastAsia="zh-CN"/>
                    </w:rPr>
                    <w:t>煤棚</w:t>
                  </w:r>
                </w:p>
              </w:tc>
              <w:tc>
                <w:tcPr>
                  <w:tcW w:w="3188" w:type="pct"/>
                  <w:tcBorders>
                    <w:tl2br w:val="nil"/>
                    <w:tr2bl w:val="nil"/>
                  </w:tcBorders>
                  <w:noWrap w:val="0"/>
                  <w:vAlign w:val="center"/>
                </w:tcPr>
                <w:p w14:paraId="7E4E23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占地</w:t>
                  </w:r>
                  <w:r>
                    <w:rPr>
                      <w:rFonts w:hint="eastAsia" w:cs="Times New Roman"/>
                      <w:color w:val="000000"/>
                      <w:kern w:val="2"/>
                      <w:sz w:val="21"/>
                      <w:szCs w:val="21"/>
                      <w:highlight w:val="none"/>
                      <w:lang w:val="en-US" w:eastAsia="zh-CN" w:bidi="ar-SA"/>
                    </w:rPr>
                    <w:t>3000</w:t>
                  </w:r>
                  <w:r>
                    <w:rPr>
                      <w:rFonts w:hint="default" w:ascii="Times New Roman" w:hAnsi="Times New Roman" w:eastAsia="宋体" w:cs="Times New Roman"/>
                      <w:color w:val="000000"/>
                      <w:kern w:val="2"/>
                      <w:sz w:val="21"/>
                      <w:szCs w:val="21"/>
                      <w:highlight w:val="none"/>
                      <w:lang w:val="en-US" w:eastAsia="zh-CN" w:bidi="ar-SA"/>
                    </w:rPr>
                    <w:t>m</w:t>
                  </w:r>
                  <w:r>
                    <w:rPr>
                      <w:rFonts w:hint="default" w:ascii="Times New Roman" w:hAnsi="Times New Roman" w:eastAsia="宋体" w:cs="Times New Roman"/>
                      <w:color w:val="000000"/>
                      <w:kern w:val="2"/>
                      <w:sz w:val="21"/>
                      <w:szCs w:val="21"/>
                      <w:highlight w:val="none"/>
                      <w:vertAlign w:val="superscript"/>
                      <w:lang w:val="en-US" w:eastAsia="zh-CN" w:bidi="ar-SA"/>
                    </w:rPr>
                    <w:t>2</w:t>
                  </w:r>
                  <w:r>
                    <w:rPr>
                      <w:rFonts w:hint="eastAsia" w:ascii="Times New Roman" w:hAnsi="Times New Roman" w:eastAsia="宋体" w:cs="Times New Roman"/>
                      <w:color w:val="000000"/>
                      <w:kern w:val="2"/>
                      <w:sz w:val="21"/>
                      <w:szCs w:val="21"/>
                      <w:highlight w:val="none"/>
                      <w:lang w:val="en-US" w:eastAsia="zh-CN" w:bidi="ar-SA"/>
                    </w:rPr>
                    <w:t>，地上1层，彩钢结构</w:t>
                  </w:r>
                  <w:r>
                    <w:rPr>
                      <w:rFonts w:hint="eastAsia" w:cs="Times New Roman"/>
                      <w:color w:val="000000"/>
                      <w:kern w:val="2"/>
                      <w:sz w:val="21"/>
                      <w:szCs w:val="21"/>
                      <w:highlight w:val="none"/>
                      <w:lang w:val="en-US" w:eastAsia="zh-CN" w:bidi="ar-SA"/>
                    </w:rPr>
                    <w:t>。</w:t>
                  </w:r>
                </w:p>
              </w:tc>
              <w:tc>
                <w:tcPr>
                  <w:tcW w:w="409" w:type="pct"/>
                  <w:tcBorders>
                    <w:tl2br w:val="nil"/>
                    <w:tr2bl w:val="nil"/>
                  </w:tcBorders>
                  <w:noWrap w:val="0"/>
                  <w:vAlign w:val="center"/>
                </w:tcPr>
                <w:p w14:paraId="0B1B6B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未</w:t>
                  </w:r>
                  <w:r>
                    <w:rPr>
                      <w:rFonts w:hint="eastAsia" w:ascii="Times New Roman" w:hAnsi="Times New Roman" w:eastAsia="宋体" w:cs="Times New Roman"/>
                      <w:color w:val="000000"/>
                      <w:kern w:val="2"/>
                      <w:sz w:val="21"/>
                      <w:szCs w:val="21"/>
                      <w:highlight w:val="none"/>
                      <w:lang w:val="en-US" w:eastAsia="zh-CN" w:bidi="ar-SA"/>
                    </w:rPr>
                    <w:t>建</w:t>
                  </w:r>
                </w:p>
              </w:tc>
            </w:tr>
            <w:tr w14:paraId="3F895F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50" w:type="pct"/>
                <w:trHeight w:val="23" w:hRule="atLeast"/>
                <w:jc w:val="center"/>
              </w:trPr>
              <w:tc>
                <w:tcPr>
                  <w:tcW w:w="490" w:type="pct"/>
                  <w:vMerge w:val="continue"/>
                  <w:tcBorders>
                    <w:tl2br w:val="nil"/>
                    <w:tr2bl w:val="nil"/>
                  </w:tcBorders>
                  <w:noWrap w:val="0"/>
                  <w:vAlign w:val="center"/>
                </w:tcPr>
                <w:p w14:paraId="7C6AB35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rPr>
                  </w:pPr>
                </w:p>
              </w:tc>
              <w:tc>
                <w:tcPr>
                  <w:tcW w:w="761" w:type="pct"/>
                  <w:tcBorders>
                    <w:tl2br w:val="nil"/>
                    <w:tr2bl w:val="nil"/>
                  </w:tcBorders>
                  <w:noWrap w:val="0"/>
                  <w:vAlign w:val="center"/>
                </w:tcPr>
                <w:p w14:paraId="7FC3E16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3#</w:t>
                  </w:r>
                  <w:r>
                    <w:rPr>
                      <w:rFonts w:hint="eastAsia" w:ascii="Times New Roman" w:hAnsi="Times New Roman" w:eastAsia="宋体" w:cs="Times New Roman"/>
                      <w:color w:val="000000"/>
                      <w:sz w:val="21"/>
                      <w:szCs w:val="21"/>
                      <w:highlight w:val="none"/>
                      <w:lang w:val="en-US" w:eastAsia="zh-CN"/>
                    </w:rPr>
                    <w:t>煤棚</w:t>
                  </w:r>
                </w:p>
              </w:tc>
              <w:tc>
                <w:tcPr>
                  <w:tcW w:w="3188" w:type="pct"/>
                  <w:tcBorders>
                    <w:tl2br w:val="nil"/>
                    <w:tr2bl w:val="nil"/>
                  </w:tcBorders>
                  <w:noWrap w:val="0"/>
                  <w:vAlign w:val="center"/>
                </w:tcPr>
                <w:p w14:paraId="4D731D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占地</w:t>
                  </w:r>
                  <w:r>
                    <w:rPr>
                      <w:rFonts w:hint="eastAsia" w:cs="Times New Roman"/>
                      <w:color w:val="000000"/>
                      <w:kern w:val="2"/>
                      <w:sz w:val="21"/>
                      <w:szCs w:val="21"/>
                      <w:highlight w:val="none"/>
                      <w:lang w:val="en-US" w:eastAsia="zh-CN" w:bidi="ar-SA"/>
                    </w:rPr>
                    <w:t>3000</w:t>
                  </w:r>
                  <w:r>
                    <w:rPr>
                      <w:rFonts w:hint="default" w:ascii="Times New Roman" w:hAnsi="Times New Roman" w:eastAsia="宋体" w:cs="Times New Roman"/>
                      <w:color w:val="000000"/>
                      <w:kern w:val="2"/>
                      <w:sz w:val="21"/>
                      <w:szCs w:val="21"/>
                      <w:highlight w:val="none"/>
                      <w:lang w:val="en-US" w:eastAsia="zh-CN" w:bidi="ar-SA"/>
                    </w:rPr>
                    <w:t>m</w:t>
                  </w:r>
                  <w:r>
                    <w:rPr>
                      <w:rFonts w:hint="default" w:ascii="Times New Roman" w:hAnsi="Times New Roman" w:eastAsia="宋体" w:cs="Times New Roman"/>
                      <w:color w:val="000000"/>
                      <w:kern w:val="2"/>
                      <w:sz w:val="21"/>
                      <w:szCs w:val="21"/>
                      <w:highlight w:val="none"/>
                      <w:vertAlign w:val="superscript"/>
                      <w:lang w:val="en-US" w:eastAsia="zh-CN" w:bidi="ar-SA"/>
                    </w:rPr>
                    <w:t>2</w:t>
                  </w:r>
                  <w:r>
                    <w:rPr>
                      <w:rFonts w:hint="eastAsia" w:ascii="Times New Roman" w:hAnsi="Times New Roman" w:eastAsia="宋体" w:cs="Times New Roman"/>
                      <w:color w:val="000000"/>
                      <w:kern w:val="2"/>
                      <w:sz w:val="21"/>
                      <w:szCs w:val="21"/>
                      <w:highlight w:val="none"/>
                      <w:lang w:val="en-US" w:eastAsia="zh-CN" w:bidi="ar-SA"/>
                    </w:rPr>
                    <w:t>，地上1层，彩钢结构</w:t>
                  </w:r>
                  <w:r>
                    <w:rPr>
                      <w:rFonts w:hint="eastAsia" w:cs="Times New Roman"/>
                      <w:color w:val="000000"/>
                      <w:kern w:val="2"/>
                      <w:sz w:val="21"/>
                      <w:szCs w:val="21"/>
                      <w:highlight w:val="none"/>
                      <w:lang w:val="en-US" w:eastAsia="zh-CN" w:bidi="ar-SA"/>
                    </w:rPr>
                    <w:t>。</w:t>
                  </w:r>
                </w:p>
              </w:tc>
              <w:tc>
                <w:tcPr>
                  <w:tcW w:w="409" w:type="pct"/>
                  <w:tcBorders>
                    <w:tl2br w:val="nil"/>
                    <w:tr2bl w:val="nil"/>
                  </w:tcBorders>
                  <w:noWrap w:val="0"/>
                  <w:vAlign w:val="center"/>
                </w:tcPr>
                <w:p w14:paraId="2E0E78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未</w:t>
                  </w:r>
                  <w:r>
                    <w:rPr>
                      <w:rFonts w:hint="eastAsia" w:ascii="Times New Roman" w:hAnsi="Times New Roman" w:eastAsia="宋体" w:cs="Times New Roman"/>
                      <w:color w:val="000000"/>
                      <w:kern w:val="2"/>
                      <w:sz w:val="21"/>
                      <w:szCs w:val="21"/>
                      <w:highlight w:val="none"/>
                      <w:lang w:val="en-US" w:eastAsia="zh-CN" w:bidi="ar-SA"/>
                    </w:rPr>
                    <w:t>建</w:t>
                  </w:r>
                </w:p>
              </w:tc>
            </w:tr>
            <w:tr w14:paraId="5A70ED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50" w:type="pct"/>
                <w:trHeight w:val="23" w:hRule="atLeast"/>
                <w:jc w:val="center"/>
              </w:trPr>
              <w:tc>
                <w:tcPr>
                  <w:tcW w:w="490" w:type="pct"/>
                  <w:vMerge w:val="continue"/>
                  <w:tcBorders>
                    <w:tl2br w:val="nil"/>
                    <w:tr2bl w:val="nil"/>
                  </w:tcBorders>
                  <w:noWrap w:val="0"/>
                  <w:vAlign w:val="center"/>
                </w:tcPr>
                <w:p w14:paraId="007C662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rPr>
                  </w:pPr>
                </w:p>
              </w:tc>
              <w:tc>
                <w:tcPr>
                  <w:tcW w:w="761" w:type="pct"/>
                  <w:tcBorders>
                    <w:tl2br w:val="nil"/>
                    <w:tr2bl w:val="nil"/>
                  </w:tcBorders>
                  <w:noWrap w:val="0"/>
                  <w:vAlign w:val="center"/>
                </w:tcPr>
                <w:p w14:paraId="2E7F73E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4#</w:t>
                  </w:r>
                  <w:r>
                    <w:rPr>
                      <w:rFonts w:hint="eastAsia" w:ascii="Times New Roman" w:hAnsi="Times New Roman" w:eastAsia="宋体" w:cs="Times New Roman"/>
                      <w:color w:val="000000"/>
                      <w:sz w:val="21"/>
                      <w:szCs w:val="21"/>
                      <w:highlight w:val="none"/>
                      <w:lang w:val="en-US" w:eastAsia="zh-CN"/>
                    </w:rPr>
                    <w:t>煤棚</w:t>
                  </w:r>
                </w:p>
              </w:tc>
              <w:tc>
                <w:tcPr>
                  <w:tcW w:w="3188" w:type="pct"/>
                  <w:tcBorders>
                    <w:tl2br w:val="nil"/>
                    <w:tr2bl w:val="nil"/>
                  </w:tcBorders>
                  <w:shd w:val="clear" w:color="auto" w:fill="auto"/>
                  <w:noWrap w:val="0"/>
                  <w:vAlign w:val="center"/>
                </w:tcPr>
                <w:p w14:paraId="126572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占地</w:t>
                  </w:r>
                  <w:r>
                    <w:rPr>
                      <w:rFonts w:hint="eastAsia" w:cs="Times New Roman"/>
                      <w:color w:val="000000"/>
                      <w:kern w:val="2"/>
                      <w:sz w:val="21"/>
                      <w:szCs w:val="21"/>
                      <w:highlight w:val="none"/>
                      <w:lang w:val="en-US" w:eastAsia="zh-CN" w:bidi="ar-SA"/>
                    </w:rPr>
                    <w:t>1000</w:t>
                  </w:r>
                  <w:r>
                    <w:rPr>
                      <w:rFonts w:hint="default" w:ascii="Times New Roman" w:hAnsi="Times New Roman" w:eastAsia="宋体" w:cs="Times New Roman"/>
                      <w:color w:val="000000"/>
                      <w:kern w:val="2"/>
                      <w:sz w:val="21"/>
                      <w:szCs w:val="21"/>
                      <w:highlight w:val="none"/>
                      <w:lang w:val="en-US" w:eastAsia="zh-CN" w:bidi="ar-SA"/>
                    </w:rPr>
                    <w:t>m</w:t>
                  </w:r>
                  <w:r>
                    <w:rPr>
                      <w:rFonts w:hint="default" w:ascii="Times New Roman" w:hAnsi="Times New Roman" w:eastAsia="宋体" w:cs="Times New Roman"/>
                      <w:color w:val="000000"/>
                      <w:kern w:val="2"/>
                      <w:sz w:val="21"/>
                      <w:szCs w:val="21"/>
                      <w:highlight w:val="none"/>
                      <w:vertAlign w:val="superscript"/>
                      <w:lang w:val="en-US" w:eastAsia="zh-CN" w:bidi="ar-SA"/>
                    </w:rPr>
                    <w:t>2</w:t>
                  </w:r>
                  <w:r>
                    <w:rPr>
                      <w:rFonts w:hint="eastAsia" w:ascii="Times New Roman" w:hAnsi="Times New Roman" w:eastAsia="宋体" w:cs="Times New Roman"/>
                      <w:color w:val="000000"/>
                      <w:kern w:val="2"/>
                      <w:sz w:val="21"/>
                      <w:szCs w:val="21"/>
                      <w:highlight w:val="none"/>
                      <w:lang w:val="en-US" w:eastAsia="zh-CN" w:bidi="ar-SA"/>
                    </w:rPr>
                    <w:t>，地上1层，彩钢结构</w:t>
                  </w:r>
                  <w:r>
                    <w:rPr>
                      <w:rFonts w:hint="eastAsia" w:cs="Times New Roman"/>
                      <w:color w:val="000000"/>
                      <w:kern w:val="2"/>
                      <w:sz w:val="21"/>
                      <w:szCs w:val="21"/>
                      <w:highlight w:val="none"/>
                      <w:lang w:val="en-US" w:eastAsia="zh-CN" w:bidi="ar-SA"/>
                    </w:rPr>
                    <w:t>。</w:t>
                  </w:r>
                </w:p>
              </w:tc>
              <w:tc>
                <w:tcPr>
                  <w:tcW w:w="409" w:type="pct"/>
                  <w:tcBorders>
                    <w:tl2br w:val="nil"/>
                    <w:tr2bl w:val="nil"/>
                  </w:tcBorders>
                  <w:shd w:val="clear" w:color="auto" w:fill="auto"/>
                  <w:noWrap w:val="0"/>
                  <w:vAlign w:val="center"/>
                </w:tcPr>
                <w:p w14:paraId="0F64AA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未</w:t>
                  </w:r>
                  <w:r>
                    <w:rPr>
                      <w:rFonts w:hint="eastAsia" w:ascii="Times New Roman" w:hAnsi="Times New Roman" w:eastAsia="宋体" w:cs="Times New Roman"/>
                      <w:color w:val="000000"/>
                      <w:kern w:val="2"/>
                      <w:sz w:val="21"/>
                      <w:szCs w:val="21"/>
                      <w:highlight w:val="none"/>
                      <w:lang w:val="en-US" w:eastAsia="zh-CN" w:bidi="ar-SA"/>
                    </w:rPr>
                    <w:t>建</w:t>
                  </w:r>
                </w:p>
              </w:tc>
            </w:tr>
            <w:tr w14:paraId="649089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50" w:type="pct"/>
                <w:trHeight w:val="23" w:hRule="atLeast"/>
                <w:jc w:val="center"/>
              </w:trPr>
              <w:tc>
                <w:tcPr>
                  <w:tcW w:w="490" w:type="pct"/>
                  <w:vMerge w:val="continue"/>
                  <w:tcBorders>
                    <w:tl2br w:val="nil"/>
                    <w:tr2bl w:val="nil"/>
                  </w:tcBorders>
                  <w:noWrap w:val="0"/>
                  <w:vAlign w:val="center"/>
                </w:tcPr>
                <w:p w14:paraId="21BD913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rPr>
                  </w:pPr>
                </w:p>
              </w:tc>
              <w:tc>
                <w:tcPr>
                  <w:tcW w:w="761" w:type="pct"/>
                  <w:tcBorders>
                    <w:tl2br w:val="nil"/>
                    <w:tr2bl w:val="nil"/>
                  </w:tcBorders>
                  <w:noWrap w:val="0"/>
                  <w:vAlign w:val="center"/>
                </w:tcPr>
                <w:p w14:paraId="21501A2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5#</w:t>
                  </w:r>
                  <w:r>
                    <w:rPr>
                      <w:rFonts w:hint="eastAsia" w:ascii="Times New Roman" w:hAnsi="Times New Roman" w:eastAsia="宋体" w:cs="Times New Roman"/>
                      <w:color w:val="000000"/>
                      <w:sz w:val="21"/>
                      <w:szCs w:val="21"/>
                      <w:highlight w:val="none"/>
                      <w:lang w:val="en-US" w:eastAsia="zh-CN"/>
                    </w:rPr>
                    <w:t>煤棚</w:t>
                  </w:r>
                </w:p>
              </w:tc>
              <w:tc>
                <w:tcPr>
                  <w:tcW w:w="3188" w:type="pct"/>
                  <w:tcBorders>
                    <w:tl2br w:val="nil"/>
                    <w:tr2bl w:val="nil"/>
                  </w:tcBorders>
                  <w:shd w:val="clear" w:color="auto" w:fill="auto"/>
                  <w:noWrap w:val="0"/>
                  <w:vAlign w:val="center"/>
                </w:tcPr>
                <w:p w14:paraId="657822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占地</w:t>
                  </w:r>
                  <w:r>
                    <w:rPr>
                      <w:rFonts w:hint="eastAsia" w:cs="Times New Roman"/>
                      <w:color w:val="000000"/>
                      <w:kern w:val="2"/>
                      <w:sz w:val="21"/>
                      <w:szCs w:val="21"/>
                      <w:highlight w:val="none"/>
                      <w:lang w:val="en-US" w:eastAsia="zh-CN" w:bidi="ar-SA"/>
                    </w:rPr>
                    <w:t>1000</w:t>
                  </w:r>
                  <w:r>
                    <w:rPr>
                      <w:rFonts w:hint="default" w:ascii="Times New Roman" w:hAnsi="Times New Roman" w:eastAsia="宋体" w:cs="Times New Roman"/>
                      <w:color w:val="000000"/>
                      <w:kern w:val="2"/>
                      <w:sz w:val="21"/>
                      <w:szCs w:val="21"/>
                      <w:highlight w:val="none"/>
                      <w:lang w:val="en-US" w:eastAsia="zh-CN" w:bidi="ar-SA"/>
                    </w:rPr>
                    <w:t>m</w:t>
                  </w:r>
                  <w:r>
                    <w:rPr>
                      <w:rFonts w:hint="default" w:ascii="Times New Roman" w:hAnsi="Times New Roman" w:eastAsia="宋体" w:cs="Times New Roman"/>
                      <w:color w:val="000000"/>
                      <w:kern w:val="2"/>
                      <w:sz w:val="21"/>
                      <w:szCs w:val="21"/>
                      <w:highlight w:val="none"/>
                      <w:vertAlign w:val="superscript"/>
                      <w:lang w:val="en-US" w:eastAsia="zh-CN" w:bidi="ar-SA"/>
                    </w:rPr>
                    <w:t>2</w:t>
                  </w:r>
                  <w:r>
                    <w:rPr>
                      <w:rFonts w:hint="eastAsia" w:ascii="Times New Roman" w:hAnsi="Times New Roman" w:eastAsia="宋体" w:cs="Times New Roman"/>
                      <w:color w:val="000000"/>
                      <w:kern w:val="2"/>
                      <w:sz w:val="21"/>
                      <w:szCs w:val="21"/>
                      <w:highlight w:val="none"/>
                      <w:lang w:val="en-US" w:eastAsia="zh-CN" w:bidi="ar-SA"/>
                    </w:rPr>
                    <w:t>，地上1层，彩钢结构</w:t>
                  </w:r>
                  <w:r>
                    <w:rPr>
                      <w:rFonts w:hint="eastAsia" w:cs="Times New Roman"/>
                      <w:color w:val="000000"/>
                      <w:kern w:val="2"/>
                      <w:sz w:val="21"/>
                      <w:szCs w:val="21"/>
                      <w:highlight w:val="none"/>
                      <w:lang w:val="en-US" w:eastAsia="zh-CN" w:bidi="ar-SA"/>
                    </w:rPr>
                    <w:t>。</w:t>
                  </w:r>
                </w:p>
              </w:tc>
              <w:tc>
                <w:tcPr>
                  <w:tcW w:w="409" w:type="pct"/>
                  <w:tcBorders>
                    <w:tl2br w:val="nil"/>
                    <w:tr2bl w:val="nil"/>
                  </w:tcBorders>
                  <w:shd w:val="clear" w:color="auto" w:fill="auto"/>
                  <w:noWrap w:val="0"/>
                  <w:vAlign w:val="center"/>
                </w:tcPr>
                <w:p w14:paraId="24D149D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未</w:t>
                  </w:r>
                  <w:r>
                    <w:rPr>
                      <w:rFonts w:hint="eastAsia" w:ascii="Times New Roman" w:hAnsi="Times New Roman" w:eastAsia="宋体" w:cs="Times New Roman"/>
                      <w:color w:val="000000"/>
                      <w:kern w:val="2"/>
                      <w:sz w:val="21"/>
                      <w:szCs w:val="21"/>
                      <w:highlight w:val="none"/>
                      <w:lang w:val="en-US" w:eastAsia="zh-CN" w:bidi="ar-SA"/>
                    </w:rPr>
                    <w:t>建</w:t>
                  </w:r>
                </w:p>
              </w:tc>
            </w:tr>
            <w:tr w14:paraId="751E57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50" w:type="pct"/>
                <w:trHeight w:val="23" w:hRule="atLeast"/>
                <w:jc w:val="center"/>
              </w:trPr>
              <w:tc>
                <w:tcPr>
                  <w:tcW w:w="490" w:type="pct"/>
                  <w:vMerge w:val="restart"/>
                  <w:tcBorders>
                    <w:tl2br w:val="nil"/>
                    <w:tr2bl w:val="nil"/>
                  </w:tcBorders>
                  <w:noWrap w:val="0"/>
                  <w:vAlign w:val="center"/>
                </w:tcPr>
                <w:p w14:paraId="04908DB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辅助工程</w:t>
                  </w:r>
                </w:p>
              </w:tc>
              <w:tc>
                <w:tcPr>
                  <w:tcW w:w="761" w:type="pct"/>
                  <w:tcBorders>
                    <w:tl2br w:val="nil"/>
                    <w:tr2bl w:val="nil"/>
                  </w:tcBorders>
                  <w:noWrap w:val="0"/>
                  <w:vAlign w:val="top"/>
                </w:tcPr>
                <w:p w14:paraId="1FA98E8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napToGrid w:val="0"/>
                      <w:color w:val="000000"/>
                      <w:kern w:val="2"/>
                      <w:sz w:val="21"/>
                      <w:szCs w:val="21"/>
                      <w:lang w:val="en-US" w:eastAsia="zh-CN" w:bidi="ar-SA"/>
                    </w:rPr>
                  </w:pPr>
                  <w:r>
                    <w:rPr>
                      <w:rFonts w:hint="eastAsia" w:ascii="Times New Roman" w:hAnsi="Times New Roman" w:eastAsia="宋体" w:cs="Times New Roman"/>
                      <w:color w:val="000000"/>
                      <w:sz w:val="21"/>
                      <w:szCs w:val="21"/>
                      <w:highlight w:val="none"/>
                      <w:lang w:val="en-US" w:eastAsia="zh-CN"/>
                    </w:rPr>
                    <w:t>地磅</w:t>
                  </w:r>
                </w:p>
              </w:tc>
              <w:tc>
                <w:tcPr>
                  <w:tcW w:w="3188" w:type="pct"/>
                  <w:tcBorders>
                    <w:tl2br w:val="nil"/>
                    <w:tr2bl w:val="nil"/>
                  </w:tcBorders>
                  <w:noWrap w:val="0"/>
                  <w:vAlign w:val="top"/>
                </w:tcPr>
                <w:p w14:paraId="5B9345FF">
                  <w:pPr>
                    <w:pStyle w:val="42"/>
                    <w:spacing w:before="42" w:line="206" w:lineRule="auto"/>
                    <w:ind w:left="1627" w:leftChars="0" w:firstLine="424" w:firstLineChars="200"/>
                    <w:rPr>
                      <w:rFonts w:hint="default" w:ascii="Times New Roman" w:hAnsi="Times New Roman" w:eastAsia="Times New Roman" w:cs="Times New Roman"/>
                      <w:snapToGrid w:val="0"/>
                      <w:color w:val="000000"/>
                      <w:kern w:val="2"/>
                      <w:sz w:val="21"/>
                      <w:szCs w:val="21"/>
                      <w:lang w:val="en-US" w:eastAsia="zh-CN" w:bidi="ar-SA"/>
                    </w:rPr>
                  </w:pPr>
                  <w:r>
                    <w:rPr>
                      <w:spacing w:val="1"/>
                      <w:sz w:val="21"/>
                      <w:szCs w:val="21"/>
                    </w:rPr>
                    <w:t>占地面积</w:t>
                  </w:r>
                  <w:r>
                    <w:rPr>
                      <w:rFonts w:ascii="Times New Roman" w:hAnsi="Times New Roman" w:eastAsia="Times New Roman" w:cs="Times New Roman"/>
                      <w:spacing w:val="1"/>
                      <w:sz w:val="21"/>
                      <w:szCs w:val="21"/>
                    </w:rPr>
                    <w:t>70</w:t>
                  </w:r>
                  <w:r>
                    <w:rPr>
                      <w:rFonts w:hint="default" w:ascii="Times New Roman" w:hAnsi="Times New Roman" w:eastAsia="宋体" w:cs="Times New Roman"/>
                      <w:color w:val="000000"/>
                      <w:kern w:val="2"/>
                      <w:sz w:val="21"/>
                      <w:szCs w:val="21"/>
                      <w:highlight w:val="none"/>
                      <w:lang w:val="en-US" w:eastAsia="zh-CN" w:bidi="ar-SA"/>
                    </w:rPr>
                    <w:t>m</w:t>
                  </w:r>
                  <w:r>
                    <w:rPr>
                      <w:rFonts w:hint="default" w:ascii="Times New Roman" w:hAnsi="Times New Roman" w:eastAsia="宋体" w:cs="Times New Roman"/>
                      <w:color w:val="000000"/>
                      <w:kern w:val="2"/>
                      <w:sz w:val="21"/>
                      <w:szCs w:val="21"/>
                      <w:highlight w:val="none"/>
                      <w:vertAlign w:val="superscript"/>
                      <w:lang w:val="en-US" w:eastAsia="zh-CN" w:bidi="ar-SA"/>
                    </w:rPr>
                    <w:t>2</w:t>
                  </w:r>
                </w:p>
              </w:tc>
              <w:tc>
                <w:tcPr>
                  <w:tcW w:w="409" w:type="pct"/>
                  <w:tcBorders>
                    <w:tl2br w:val="nil"/>
                    <w:tr2bl w:val="nil"/>
                  </w:tcBorders>
                  <w:noWrap w:val="0"/>
                  <w:vAlign w:val="center"/>
                </w:tcPr>
                <w:p w14:paraId="63DBE3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已建</w:t>
                  </w:r>
                </w:p>
              </w:tc>
            </w:tr>
            <w:tr w14:paraId="76F43F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50" w:type="pct"/>
                <w:trHeight w:val="23" w:hRule="atLeast"/>
                <w:jc w:val="center"/>
              </w:trPr>
              <w:tc>
                <w:tcPr>
                  <w:tcW w:w="490" w:type="pct"/>
                  <w:vMerge w:val="continue"/>
                  <w:tcBorders>
                    <w:tl2br w:val="nil"/>
                    <w:tr2bl w:val="nil"/>
                  </w:tcBorders>
                  <w:noWrap w:val="0"/>
                  <w:vAlign w:val="center"/>
                </w:tcPr>
                <w:p w14:paraId="41424C9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lang w:eastAsia="zh-CN"/>
                    </w:rPr>
                  </w:pPr>
                </w:p>
              </w:tc>
              <w:tc>
                <w:tcPr>
                  <w:tcW w:w="761" w:type="pct"/>
                  <w:tcBorders>
                    <w:tl2br w:val="nil"/>
                    <w:tr2bl w:val="nil"/>
                  </w:tcBorders>
                  <w:noWrap w:val="0"/>
                  <w:vAlign w:val="top"/>
                </w:tcPr>
                <w:p w14:paraId="793DFC1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洗车平台</w:t>
                  </w:r>
                </w:p>
              </w:tc>
              <w:tc>
                <w:tcPr>
                  <w:tcW w:w="3188" w:type="pct"/>
                  <w:tcBorders>
                    <w:tl2br w:val="nil"/>
                    <w:tr2bl w:val="nil"/>
                  </w:tcBorders>
                  <w:noWrap w:val="0"/>
                  <w:vAlign w:val="top"/>
                </w:tcPr>
                <w:p w14:paraId="3FB4EC7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占地面积80</w:t>
                  </w:r>
                  <w:r>
                    <w:rPr>
                      <w:rFonts w:hint="default" w:ascii="Times New Roman" w:hAnsi="Times New Roman" w:eastAsia="宋体" w:cs="Times New Roman"/>
                      <w:color w:val="000000"/>
                      <w:kern w:val="2"/>
                      <w:sz w:val="21"/>
                      <w:szCs w:val="21"/>
                      <w:highlight w:val="none"/>
                      <w:lang w:val="en-US" w:eastAsia="zh-CN" w:bidi="ar-SA"/>
                    </w:rPr>
                    <w:t>m</w:t>
                  </w:r>
                  <w:r>
                    <w:rPr>
                      <w:rFonts w:hint="default" w:ascii="Times New Roman" w:hAnsi="Times New Roman" w:eastAsia="宋体" w:cs="Times New Roman"/>
                      <w:color w:val="000000"/>
                      <w:kern w:val="2"/>
                      <w:sz w:val="21"/>
                      <w:szCs w:val="21"/>
                      <w:highlight w:val="none"/>
                      <w:vertAlign w:val="superscript"/>
                      <w:lang w:val="en-US" w:eastAsia="zh-CN" w:bidi="ar-SA"/>
                    </w:rPr>
                    <w:t>2</w:t>
                  </w:r>
                  <w:r>
                    <w:rPr>
                      <w:rFonts w:hint="eastAsia" w:ascii="Times New Roman" w:hAnsi="Times New Roman" w:eastAsia="宋体" w:cs="Times New Roman"/>
                      <w:color w:val="000000"/>
                      <w:kern w:val="2"/>
                      <w:sz w:val="21"/>
                      <w:szCs w:val="21"/>
                      <w:highlight w:val="none"/>
                      <w:lang w:val="en-US" w:eastAsia="zh-CN" w:bidi="ar-SA"/>
                    </w:rPr>
                    <w:t>。</w:t>
                  </w:r>
                </w:p>
              </w:tc>
              <w:tc>
                <w:tcPr>
                  <w:tcW w:w="409" w:type="pct"/>
                  <w:tcBorders>
                    <w:tl2br w:val="nil"/>
                    <w:tr2bl w:val="nil"/>
                  </w:tcBorders>
                  <w:noWrap w:val="0"/>
                  <w:vAlign w:val="center"/>
                </w:tcPr>
                <w:p w14:paraId="339D3B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已建</w:t>
                  </w:r>
                </w:p>
              </w:tc>
            </w:tr>
            <w:tr w14:paraId="447685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50" w:type="pct"/>
                <w:trHeight w:val="23" w:hRule="atLeast"/>
                <w:jc w:val="center"/>
              </w:trPr>
              <w:tc>
                <w:tcPr>
                  <w:tcW w:w="490" w:type="pct"/>
                  <w:vMerge w:val="restart"/>
                  <w:tcBorders>
                    <w:tl2br w:val="nil"/>
                    <w:tr2bl w:val="nil"/>
                  </w:tcBorders>
                  <w:noWrap w:val="0"/>
                  <w:vAlign w:val="center"/>
                </w:tcPr>
                <w:p w14:paraId="07B86F7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依托工程</w:t>
                  </w:r>
                </w:p>
              </w:tc>
              <w:tc>
                <w:tcPr>
                  <w:tcW w:w="761" w:type="pct"/>
                  <w:tcBorders>
                    <w:tl2br w:val="nil"/>
                    <w:tr2bl w:val="nil"/>
                  </w:tcBorders>
                  <w:noWrap w:val="0"/>
                  <w:vAlign w:val="center"/>
                </w:tcPr>
                <w:p w14:paraId="537FB51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办公楼</w:t>
                  </w:r>
                </w:p>
              </w:tc>
              <w:tc>
                <w:tcPr>
                  <w:tcW w:w="3188" w:type="pct"/>
                  <w:tcBorders>
                    <w:tl2br w:val="nil"/>
                    <w:tr2bl w:val="nil"/>
                  </w:tcBorders>
                  <w:noWrap w:val="0"/>
                  <w:vAlign w:val="center"/>
                </w:tcPr>
                <w:p w14:paraId="2D19B1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sz w:val="21"/>
                      <w:szCs w:val="21"/>
                      <w:highlight w:val="none"/>
                      <w:lang w:val="en-US" w:eastAsia="zh-CN"/>
                    </w:rPr>
                    <w:t>占地面积</w:t>
                  </w:r>
                  <w:r>
                    <w:rPr>
                      <w:rFonts w:hint="eastAsia" w:ascii="Times New Roman" w:hAnsi="Times New Roman" w:eastAsia="宋体" w:cs="Times New Roman"/>
                      <w:color w:val="000000"/>
                      <w:kern w:val="2"/>
                      <w:sz w:val="21"/>
                      <w:szCs w:val="21"/>
                      <w:highlight w:val="none"/>
                      <w:lang w:val="en-US" w:eastAsia="zh-CN" w:bidi="ar-SA"/>
                    </w:rPr>
                    <w:t>840</w:t>
                  </w:r>
                  <w:r>
                    <w:rPr>
                      <w:rFonts w:hint="default" w:ascii="Times New Roman" w:hAnsi="Times New Roman" w:eastAsia="宋体" w:cs="Times New Roman"/>
                      <w:color w:val="000000"/>
                      <w:kern w:val="2"/>
                      <w:sz w:val="21"/>
                      <w:szCs w:val="21"/>
                      <w:highlight w:val="none"/>
                      <w:lang w:val="en-US" w:eastAsia="zh-CN" w:bidi="ar-SA"/>
                    </w:rPr>
                    <w:t>m</w:t>
                  </w:r>
                  <w:r>
                    <w:rPr>
                      <w:rFonts w:hint="default" w:ascii="Times New Roman" w:hAnsi="Times New Roman" w:eastAsia="宋体" w:cs="Times New Roman"/>
                      <w:color w:val="000000"/>
                      <w:kern w:val="2"/>
                      <w:sz w:val="21"/>
                      <w:szCs w:val="21"/>
                      <w:highlight w:val="none"/>
                      <w:vertAlign w:val="superscript"/>
                      <w:lang w:val="en-US" w:eastAsia="zh-CN" w:bidi="ar-SA"/>
                    </w:rPr>
                    <w:t>2</w:t>
                  </w:r>
                  <w:r>
                    <w:rPr>
                      <w:rFonts w:hint="eastAsia" w:ascii="Times New Roman" w:hAnsi="Times New Roman" w:eastAsia="宋体" w:cs="Times New Roman"/>
                      <w:color w:val="000000"/>
                      <w:kern w:val="2"/>
                      <w:sz w:val="21"/>
                      <w:szCs w:val="21"/>
                      <w:highlight w:val="none"/>
                      <w:lang w:val="en-US" w:eastAsia="zh-CN" w:bidi="ar-SA"/>
                    </w:rPr>
                    <w:t>，三层，砖混结构</w:t>
                  </w:r>
                  <w:r>
                    <w:rPr>
                      <w:rFonts w:hint="eastAsia" w:cs="Times New Roman"/>
                      <w:color w:val="000000"/>
                      <w:kern w:val="2"/>
                      <w:sz w:val="21"/>
                      <w:szCs w:val="21"/>
                      <w:highlight w:val="none"/>
                      <w:lang w:val="en-US" w:eastAsia="zh-CN" w:bidi="ar-SA"/>
                    </w:rPr>
                    <w:t>。</w:t>
                  </w:r>
                </w:p>
              </w:tc>
              <w:tc>
                <w:tcPr>
                  <w:tcW w:w="409" w:type="pct"/>
                  <w:tcBorders>
                    <w:tl2br w:val="nil"/>
                    <w:tr2bl w:val="nil"/>
                  </w:tcBorders>
                  <w:noWrap w:val="0"/>
                  <w:vAlign w:val="center"/>
                </w:tcPr>
                <w:p w14:paraId="7B0A90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依托</w:t>
                  </w:r>
                </w:p>
              </w:tc>
            </w:tr>
            <w:tr w14:paraId="0A0DD6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50" w:type="pct"/>
                <w:trHeight w:val="23" w:hRule="atLeast"/>
                <w:jc w:val="center"/>
              </w:trPr>
              <w:tc>
                <w:tcPr>
                  <w:tcW w:w="490" w:type="pct"/>
                  <w:vMerge w:val="continue"/>
                  <w:tcBorders>
                    <w:tl2br w:val="nil"/>
                    <w:tr2bl w:val="nil"/>
                  </w:tcBorders>
                  <w:noWrap w:val="0"/>
                  <w:vAlign w:val="center"/>
                </w:tcPr>
                <w:p w14:paraId="15996E7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sz w:val="21"/>
                      <w:szCs w:val="21"/>
                      <w:highlight w:val="none"/>
                      <w:lang w:val="en-US" w:eastAsia="zh-CN"/>
                    </w:rPr>
                  </w:pPr>
                </w:p>
              </w:tc>
              <w:tc>
                <w:tcPr>
                  <w:tcW w:w="761" w:type="pct"/>
                  <w:tcBorders>
                    <w:tl2br w:val="nil"/>
                    <w:tr2bl w:val="nil"/>
                  </w:tcBorders>
                  <w:noWrap w:val="0"/>
                  <w:vAlign w:val="center"/>
                </w:tcPr>
                <w:p w14:paraId="64C29A8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宿舍楼</w:t>
                  </w:r>
                </w:p>
              </w:tc>
              <w:tc>
                <w:tcPr>
                  <w:tcW w:w="3188" w:type="pct"/>
                  <w:tcBorders>
                    <w:tl2br w:val="nil"/>
                    <w:tr2bl w:val="nil"/>
                  </w:tcBorders>
                  <w:noWrap w:val="0"/>
                  <w:vAlign w:val="center"/>
                </w:tcPr>
                <w:p w14:paraId="68BCB3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sz w:val="21"/>
                      <w:szCs w:val="21"/>
                      <w:highlight w:val="none"/>
                      <w:lang w:val="en-US" w:eastAsia="zh-CN"/>
                    </w:rPr>
                    <w:t>占地面积</w:t>
                  </w:r>
                  <w:r>
                    <w:rPr>
                      <w:rFonts w:hint="eastAsia" w:ascii="Times New Roman" w:hAnsi="Times New Roman" w:eastAsia="宋体" w:cs="Times New Roman"/>
                      <w:color w:val="000000"/>
                      <w:kern w:val="2"/>
                      <w:sz w:val="21"/>
                      <w:szCs w:val="21"/>
                      <w:highlight w:val="none"/>
                      <w:lang w:val="en-US" w:eastAsia="zh-CN" w:bidi="ar-SA"/>
                    </w:rPr>
                    <w:t>840</w:t>
                  </w:r>
                  <w:r>
                    <w:rPr>
                      <w:rFonts w:hint="default" w:ascii="Times New Roman" w:hAnsi="Times New Roman" w:eastAsia="宋体" w:cs="Times New Roman"/>
                      <w:color w:val="000000"/>
                      <w:kern w:val="2"/>
                      <w:sz w:val="21"/>
                      <w:szCs w:val="21"/>
                      <w:highlight w:val="none"/>
                      <w:lang w:val="en-US" w:eastAsia="zh-CN" w:bidi="ar-SA"/>
                    </w:rPr>
                    <w:t>m</w:t>
                  </w:r>
                  <w:r>
                    <w:rPr>
                      <w:rFonts w:hint="default" w:ascii="Times New Roman" w:hAnsi="Times New Roman" w:eastAsia="宋体" w:cs="Times New Roman"/>
                      <w:color w:val="000000"/>
                      <w:kern w:val="2"/>
                      <w:sz w:val="21"/>
                      <w:szCs w:val="21"/>
                      <w:highlight w:val="none"/>
                      <w:vertAlign w:val="superscript"/>
                      <w:lang w:val="en-US" w:eastAsia="zh-CN" w:bidi="ar-SA"/>
                    </w:rPr>
                    <w:t>2</w:t>
                  </w:r>
                  <w:r>
                    <w:rPr>
                      <w:rFonts w:hint="eastAsia" w:ascii="Times New Roman" w:hAnsi="Times New Roman" w:eastAsia="宋体" w:cs="Times New Roman"/>
                      <w:color w:val="000000"/>
                      <w:kern w:val="2"/>
                      <w:sz w:val="21"/>
                      <w:szCs w:val="21"/>
                      <w:highlight w:val="none"/>
                      <w:lang w:val="en-US" w:eastAsia="zh-CN" w:bidi="ar-SA"/>
                    </w:rPr>
                    <w:t>，三层，砖混结构</w:t>
                  </w:r>
                  <w:r>
                    <w:rPr>
                      <w:rFonts w:hint="eastAsia" w:cs="Times New Roman"/>
                      <w:color w:val="000000"/>
                      <w:kern w:val="2"/>
                      <w:sz w:val="21"/>
                      <w:szCs w:val="21"/>
                      <w:highlight w:val="none"/>
                      <w:lang w:val="en-US" w:eastAsia="zh-CN" w:bidi="ar-SA"/>
                    </w:rPr>
                    <w:t>。</w:t>
                  </w:r>
                </w:p>
              </w:tc>
              <w:tc>
                <w:tcPr>
                  <w:tcW w:w="409" w:type="pct"/>
                  <w:tcBorders>
                    <w:tl2br w:val="nil"/>
                    <w:tr2bl w:val="nil"/>
                  </w:tcBorders>
                  <w:noWrap w:val="0"/>
                  <w:vAlign w:val="center"/>
                </w:tcPr>
                <w:p w14:paraId="69AFDF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依托</w:t>
                  </w:r>
                </w:p>
              </w:tc>
            </w:tr>
            <w:tr w14:paraId="133F61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50" w:type="pct"/>
                <w:trHeight w:val="23" w:hRule="atLeast"/>
                <w:jc w:val="center"/>
              </w:trPr>
              <w:tc>
                <w:tcPr>
                  <w:tcW w:w="490" w:type="pct"/>
                  <w:vMerge w:val="continue"/>
                  <w:tcBorders>
                    <w:tl2br w:val="nil"/>
                    <w:tr2bl w:val="nil"/>
                  </w:tcBorders>
                  <w:noWrap w:val="0"/>
                  <w:vAlign w:val="center"/>
                </w:tcPr>
                <w:p w14:paraId="23A7E23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sz w:val="21"/>
                      <w:szCs w:val="21"/>
                      <w:highlight w:val="none"/>
                      <w:lang w:val="en-US" w:eastAsia="zh-CN"/>
                    </w:rPr>
                  </w:pPr>
                </w:p>
              </w:tc>
              <w:tc>
                <w:tcPr>
                  <w:tcW w:w="761" w:type="pct"/>
                  <w:tcBorders>
                    <w:tl2br w:val="nil"/>
                    <w:tr2bl w:val="nil"/>
                  </w:tcBorders>
                  <w:noWrap w:val="0"/>
                  <w:vAlign w:val="center"/>
                </w:tcPr>
                <w:p w14:paraId="0E135E2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化粪池</w:t>
                  </w:r>
                </w:p>
              </w:tc>
              <w:tc>
                <w:tcPr>
                  <w:tcW w:w="3188" w:type="pct"/>
                  <w:tcBorders>
                    <w:tl2br w:val="nil"/>
                    <w:tr2bl w:val="nil"/>
                  </w:tcBorders>
                  <w:noWrap w:val="0"/>
                  <w:vAlign w:val="center"/>
                </w:tcPr>
                <w:p w14:paraId="75CEDC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10*5*3</w:t>
                  </w:r>
                  <w:r>
                    <w:rPr>
                      <w:rFonts w:hint="eastAsia" w:cs="Times New Roman"/>
                      <w:color w:val="000000"/>
                      <w:sz w:val="21"/>
                      <w:szCs w:val="21"/>
                      <w:highlight w:val="none"/>
                      <w:lang w:val="en-US" w:eastAsia="zh-CN"/>
                    </w:rPr>
                    <w:t>（</w:t>
                  </w:r>
                  <w:r>
                    <w:rPr>
                      <w:rFonts w:hint="eastAsia" w:ascii="Times New Roman" w:hAnsi="Times New Roman" w:eastAsia="宋体" w:cs="Times New Roman"/>
                      <w:color w:val="000000"/>
                      <w:sz w:val="21"/>
                      <w:szCs w:val="21"/>
                      <w:highlight w:val="none"/>
                      <w:lang w:val="en-US" w:eastAsia="zh-CN"/>
                    </w:rPr>
                    <w:t>150</w:t>
                  </w:r>
                  <w:r>
                    <w:rPr>
                      <w:rFonts w:hint="default" w:ascii="Times New Roman" w:hAnsi="Times New Roman" w:eastAsia="宋体" w:cs="Times New Roman"/>
                      <w:color w:val="000000"/>
                      <w:kern w:val="2"/>
                      <w:sz w:val="21"/>
                      <w:szCs w:val="21"/>
                      <w:highlight w:val="none"/>
                      <w:lang w:val="en-US" w:eastAsia="zh-CN" w:bidi="ar-SA"/>
                    </w:rPr>
                    <w:t>m</w:t>
                  </w:r>
                  <w:r>
                    <w:rPr>
                      <w:rFonts w:hint="eastAsia" w:ascii="Times New Roman" w:hAnsi="Times New Roman" w:eastAsia="宋体" w:cs="Times New Roman"/>
                      <w:color w:val="000000"/>
                      <w:kern w:val="2"/>
                      <w:sz w:val="21"/>
                      <w:szCs w:val="21"/>
                      <w:highlight w:val="none"/>
                      <w:vertAlign w:val="superscript"/>
                      <w:lang w:val="en-US" w:eastAsia="zh-CN" w:bidi="ar-SA"/>
                    </w:rPr>
                    <w:t>3</w:t>
                  </w:r>
                  <w:r>
                    <w:rPr>
                      <w:rFonts w:hint="eastAsia" w:cs="Times New Roman"/>
                      <w:color w:val="000000"/>
                      <w:kern w:val="2"/>
                      <w:sz w:val="21"/>
                      <w:szCs w:val="21"/>
                      <w:highlight w:val="none"/>
                      <w:vertAlign w:val="superscript"/>
                      <w:lang w:val="en-US" w:eastAsia="zh-CN" w:bidi="ar-SA"/>
                    </w:rPr>
                    <w:t>）</w:t>
                  </w:r>
                </w:p>
              </w:tc>
              <w:tc>
                <w:tcPr>
                  <w:tcW w:w="409" w:type="pct"/>
                  <w:tcBorders>
                    <w:tl2br w:val="nil"/>
                    <w:tr2bl w:val="nil"/>
                  </w:tcBorders>
                  <w:noWrap w:val="0"/>
                  <w:vAlign w:val="center"/>
                </w:tcPr>
                <w:p w14:paraId="7469C71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依托</w:t>
                  </w:r>
                </w:p>
              </w:tc>
            </w:tr>
            <w:tr w14:paraId="19C09D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50" w:type="pct"/>
                <w:trHeight w:val="23" w:hRule="atLeast"/>
                <w:jc w:val="center"/>
              </w:trPr>
              <w:tc>
                <w:tcPr>
                  <w:tcW w:w="490" w:type="pct"/>
                  <w:vMerge w:val="restart"/>
                  <w:tcBorders>
                    <w:tl2br w:val="nil"/>
                    <w:tr2bl w:val="nil"/>
                  </w:tcBorders>
                  <w:noWrap w:val="0"/>
                  <w:vAlign w:val="center"/>
                </w:tcPr>
                <w:p w14:paraId="1104761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公用工程</w:t>
                  </w:r>
                </w:p>
              </w:tc>
              <w:tc>
                <w:tcPr>
                  <w:tcW w:w="761" w:type="pct"/>
                  <w:tcBorders>
                    <w:tl2br w:val="nil"/>
                    <w:tr2bl w:val="nil"/>
                  </w:tcBorders>
                  <w:noWrap w:val="0"/>
                  <w:vAlign w:val="top"/>
                </w:tcPr>
                <w:p w14:paraId="2B3F5D38">
                  <w:pPr>
                    <w:pStyle w:val="57"/>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000000"/>
                      <w:sz w:val="21"/>
                      <w:szCs w:val="21"/>
                      <w:highlight w:val="none"/>
                      <w:lang w:val="en-US" w:eastAsia="en-US"/>
                    </w:rPr>
                  </w:pPr>
                  <w:r>
                    <w:rPr>
                      <w:rFonts w:hint="default" w:ascii="Times New Roman" w:hAnsi="Times New Roman" w:eastAsia="宋体" w:cs="Times New Roman"/>
                      <w:color w:val="000000"/>
                      <w:sz w:val="21"/>
                      <w:szCs w:val="21"/>
                      <w:highlight w:val="none"/>
                    </w:rPr>
                    <w:t>供水</w:t>
                  </w:r>
                </w:p>
              </w:tc>
              <w:tc>
                <w:tcPr>
                  <w:tcW w:w="3188" w:type="pct"/>
                  <w:tcBorders>
                    <w:tl2br w:val="nil"/>
                    <w:tr2bl w:val="nil"/>
                  </w:tcBorders>
                  <w:noWrap w:val="0"/>
                  <w:vAlign w:val="center"/>
                </w:tcPr>
                <w:p w14:paraId="12039FD4">
                  <w:pPr>
                    <w:pStyle w:val="57"/>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城镇自来水管网</w:t>
                  </w:r>
                  <w:r>
                    <w:rPr>
                      <w:rFonts w:hint="eastAsia" w:cs="Times New Roman"/>
                      <w:color w:val="000000"/>
                      <w:sz w:val="21"/>
                      <w:szCs w:val="21"/>
                      <w:highlight w:val="none"/>
                      <w:lang w:val="en-US" w:eastAsia="zh-CN"/>
                    </w:rPr>
                    <w:t>。</w:t>
                  </w:r>
                </w:p>
              </w:tc>
              <w:tc>
                <w:tcPr>
                  <w:tcW w:w="409" w:type="pct"/>
                  <w:tcBorders>
                    <w:tl2br w:val="nil"/>
                    <w:tr2bl w:val="nil"/>
                  </w:tcBorders>
                  <w:noWrap w:val="0"/>
                  <w:vAlign w:val="center"/>
                </w:tcPr>
                <w:p w14:paraId="22CF74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eastAsia="zh-CN"/>
                    </w:rPr>
                  </w:pPr>
                  <w:r>
                    <w:rPr>
                      <w:rFonts w:hint="eastAsia" w:ascii="Times New Roman" w:hAnsi="Times New Roman" w:eastAsia="宋体" w:cs="Times New Roman"/>
                      <w:color w:val="000000"/>
                      <w:kern w:val="2"/>
                      <w:sz w:val="21"/>
                      <w:szCs w:val="21"/>
                      <w:highlight w:val="none"/>
                      <w:lang w:val="en-US" w:eastAsia="zh-CN" w:bidi="ar-SA"/>
                    </w:rPr>
                    <w:t>/</w:t>
                  </w:r>
                </w:p>
              </w:tc>
            </w:tr>
            <w:tr w14:paraId="50EDFF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50" w:type="pct"/>
                <w:trHeight w:val="23" w:hRule="atLeast"/>
                <w:jc w:val="center"/>
              </w:trPr>
              <w:tc>
                <w:tcPr>
                  <w:tcW w:w="490" w:type="pct"/>
                  <w:vMerge w:val="continue"/>
                  <w:tcBorders>
                    <w:tl2br w:val="nil"/>
                    <w:tr2bl w:val="nil"/>
                  </w:tcBorders>
                  <w:noWrap w:val="0"/>
                  <w:vAlign w:val="center"/>
                </w:tcPr>
                <w:p w14:paraId="650ABDE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rPr>
                  </w:pPr>
                </w:p>
              </w:tc>
              <w:tc>
                <w:tcPr>
                  <w:tcW w:w="761" w:type="pct"/>
                  <w:tcBorders>
                    <w:tl2br w:val="nil"/>
                    <w:tr2bl w:val="nil"/>
                  </w:tcBorders>
                  <w:noWrap w:val="0"/>
                  <w:vAlign w:val="top"/>
                </w:tcPr>
                <w:p w14:paraId="3F5E6019">
                  <w:pPr>
                    <w:pStyle w:val="57"/>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rPr>
                    <w:t>供电</w:t>
                  </w:r>
                </w:p>
              </w:tc>
              <w:tc>
                <w:tcPr>
                  <w:tcW w:w="3188" w:type="pct"/>
                  <w:tcBorders>
                    <w:tl2br w:val="nil"/>
                    <w:tr2bl w:val="nil"/>
                  </w:tcBorders>
                  <w:noWrap w:val="0"/>
                  <w:vAlign w:val="center"/>
                </w:tcPr>
                <w:p w14:paraId="1ACDE8EC">
                  <w:pPr>
                    <w:pStyle w:val="57"/>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宋体" w:cs="Times New Roman"/>
                      <w:color w:val="000000"/>
                      <w:sz w:val="21"/>
                      <w:szCs w:val="21"/>
                      <w:highlight w:val="none"/>
                      <w:lang w:val="en-US" w:eastAsia="zh-CN"/>
                    </w:rPr>
                  </w:pPr>
                  <w:r>
                    <w:rPr>
                      <w:spacing w:val="6"/>
                      <w:sz w:val="21"/>
                      <w:szCs w:val="21"/>
                    </w:rPr>
                    <w:t>由塔什店镇供电管网引进</w:t>
                  </w:r>
                  <w:r>
                    <w:rPr>
                      <w:rFonts w:hint="eastAsia"/>
                      <w:spacing w:val="6"/>
                      <w:sz w:val="21"/>
                      <w:szCs w:val="21"/>
                      <w:lang w:eastAsia="zh-CN"/>
                    </w:rPr>
                    <w:t>。</w:t>
                  </w:r>
                </w:p>
              </w:tc>
              <w:tc>
                <w:tcPr>
                  <w:tcW w:w="409" w:type="pct"/>
                  <w:tcBorders>
                    <w:tl2br w:val="nil"/>
                    <w:tr2bl w:val="nil"/>
                  </w:tcBorders>
                  <w:noWrap w:val="0"/>
                  <w:vAlign w:val="center"/>
                </w:tcPr>
                <w:p w14:paraId="12A4F39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i w:val="0"/>
                      <w:iCs w:val="0"/>
                      <w:color w:val="000000"/>
                      <w:sz w:val="21"/>
                      <w:szCs w:val="21"/>
                      <w:highlight w:val="none"/>
                      <w:lang w:eastAsia="zh-CN"/>
                    </w:rPr>
                  </w:pPr>
                  <w:r>
                    <w:rPr>
                      <w:rFonts w:hint="eastAsia" w:ascii="Times New Roman" w:hAnsi="Times New Roman" w:eastAsia="宋体" w:cs="Times New Roman"/>
                      <w:color w:val="000000"/>
                      <w:kern w:val="2"/>
                      <w:sz w:val="21"/>
                      <w:szCs w:val="21"/>
                      <w:highlight w:val="none"/>
                      <w:lang w:val="en-US" w:eastAsia="zh-CN" w:bidi="ar-SA"/>
                    </w:rPr>
                    <w:t>/</w:t>
                  </w:r>
                </w:p>
              </w:tc>
            </w:tr>
            <w:tr w14:paraId="21FE5D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50" w:type="pct"/>
                <w:trHeight w:val="23" w:hRule="atLeast"/>
                <w:jc w:val="center"/>
              </w:trPr>
              <w:tc>
                <w:tcPr>
                  <w:tcW w:w="490" w:type="pct"/>
                  <w:vMerge w:val="continue"/>
                  <w:tcBorders>
                    <w:tl2br w:val="nil"/>
                    <w:tr2bl w:val="nil"/>
                  </w:tcBorders>
                  <w:noWrap w:val="0"/>
                  <w:vAlign w:val="center"/>
                </w:tcPr>
                <w:p w14:paraId="3FC5A40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rPr>
                  </w:pPr>
                </w:p>
              </w:tc>
              <w:tc>
                <w:tcPr>
                  <w:tcW w:w="761" w:type="pct"/>
                  <w:tcBorders>
                    <w:tl2br w:val="nil"/>
                    <w:tr2bl w:val="nil"/>
                  </w:tcBorders>
                  <w:noWrap w:val="0"/>
                  <w:vAlign w:val="top"/>
                </w:tcPr>
                <w:p w14:paraId="0920F679">
                  <w:pPr>
                    <w:pStyle w:val="57"/>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000000"/>
                      <w:sz w:val="21"/>
                      <w:szCs w:val="21"/>
                      <w:highlight w:val="none"/>
                      <w:lang w:val="en-US" w:eastAsia="en-US"/>
                    </w:rPr>
                  </w:pPr>
                  <w:r>
                    <w:rPr>
                      <w:rFonts w:hint="default" w:ascii="Times New Roman" w:hAnsi="Times New Roman" w:eastAsia="宋体" w:cs="Times New Roman"/>
                      <w:color w:val="000000"/>
                      <w:sz w:val="21"/>
                      <w:szCs w:val="21"/>
                      <w:highlight w:val="none"/>
                    </w:rPr>
                    <w:t>供暖</w:t>
                  </w:r>
                </w:p>
              </w:tc>
              <w:tc>
                <w:tcPr>
                  <w:tcW w:w="3188" w:type="pct"/>
                  <w:tcBorders>
                    <w:tl2br w:val="nil"/>
                    <w:tr2bl w:val="nil"/>
                  </w:tcBorders>
                  <w:noWrap w:val="0"/>
                  <w:vAlign w:val="center"/>
                </w:tcPr>
                <w:p w14:paraId="365576AD">
                  <w:pPr>
                    <w:pStyle w:val="57"/>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办公室采用电采暖，</w:t>
                  </w:r>
                  <w:r>
                    <w:rPr>
                      <w:spacing w:val="9"/>
                      <w:sz w:val="21"/>
                      <w:szCs w:val="21"/>
                    </w:rPr>
                    <w:t>不建设锅炉</w:t>
                  </w:r>
                  <w:r>
                    <w:rPr>
                      <w:rFonts w:hint="eastAsia"/>
                      <w:spacing w:val="9"/>
                      <w:sz w:val="21"/>
                      <w:szCs w:val="21"/>
                      <w:lang w:eastAsia="zh-CN"/>
                    </w:rPr>
                    <w:t>。</w:t>
                  </w:r>
                </w:p>
              </w:tc>
              <w:tc>
                <w:tcPr>
                  <w:tcW w:w="409" w:type="pct"/>
                  <w:tcBorders>
                    <w:tl2br w:val="nil"/>
                    <w:tr2bl w:val="nil"/>
                  </w:tcBorders>
                  <w:noWrap w:val="0"/>
                  <w:vAlign w:val="center"/>
                </w:tcPr>
                <w:p w14:paraId="625985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eastAsia="zh-CN"/>
                    </w:rPr>
                  </w:pPr>
                  <w:r>
                    <w:rPr>
                      <w:rFonts w:hint="eastAsia" w:ascii="Times New Roman" w:hAnsi="Times New Roman" w:eastAsia="宋体" w:cs="Times New Roman"/>
                      <w:color w:val="000000"/>
                      <w:kern w:val="2"/>
                      <w:sz w:val="21"/>
                      <w:szCs w:val="21"/>
                      <w:highlight w:val="none"/>
                      <w:lang w:val="en-US" w:eastAsia="zh-CN" w:bidi="ar-SA"/>
                    </w:rPr>
                    <w:t>/</w:t>
                  </w:r>
                </w:p>
              </w:tc>
            </w:tr>
            <w:tr w14:paraId="217726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50" w:type="pct"/>
                <w:trHeight w:val="23" w:hRule="atLeast"/>
                <w:jc w:val="center"/>
              </w:trPr>
              <w:tc>
                <w:tcPr>
                  <w:tcW w:w="490" w:type="pct"/>
                  <w:vMerge w:val="continue"/>
                  <w:tcBorders>
                    <w:tl2br w:val="nil"/>
                    <w:tr2bl w:val="nil"/>
                  </w:tcBorders>
                  <w:noWrap w:val="0"/>
                  <w:vAlign w:val="center"/>
                </w:tcPr>
                <w:p w14:paraId="28EAEF7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rPr>
                  </w:pPr>
                </w:p>
              </w:tc>
              <w:tc>
                <w:tcPr>
                  <w:tcW w:w="761" w:type="pct"/>
                  <w:tcBorders>
                    <w:tl2br w:val="nil"/>
                    <w:tr2bl w:val="nil"/>
                  </w:tcBorders>
                  <w:noWrap w:val="0"/>
                  <w:vAlign w:val="top"/>
                </w:tcPr>
                <w:p w14:paraId="3CE42C78">
                  <w:pPr>
                    <w:pStyle w:val="57"/>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000000"/>
                      <w:sz w:val="21"/>
                      <w:szCs w:val="21"/>
                      <w:highlight w:val="none"/>
                      <w:lang w:val="en-US" w:eastAsia="en-US"/>
                    </w:rPr>
                  </w:pPr>
                  <w:r>
                    <w:rPr>
                      <w:rFonts w:hint="default" w:ascii="Times New Roman" w:hAnsi="Times New Roman" w:eastAsia="宋体" w:cs="Times New Roman"/>
                      <w:color w:val="000000"/>
                      <w:sz w:val="21"/>
                      <w:szCs w:val="21"/>
                      <w:highlight w:val="none"/>
                    </w:rPr>
                    <w:t>排水</w:t>
                  </w:r>
                </w:p>
              </w:tc>
              <w:tc>
                <w:tcPr>
                  <w:tcW w:w="3188" w:type="pct"/>
                  <w:tcBorders>
                    <w:tl2br w:val="nil"/>
                    <w:tr2bl w:val="nil"/>
                  </w:tcBorders>
                  <w:noWrap w:val="0"/>
                  <w:vAlign w:val="center"/>
                </w:tcPr>
                <w:p w14:paraId="47ECD984">
                  <w:pPr>
                    <w:pStyle w:val="57"/>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宋体" w:cs="Times New Roman"/>
                      <w:color w:val="000000"/>
                      <w:sz w:val="21"/>
                      <w:szCs w:val="21"/>
                      <w:highlight w:val="none"/>
                      <w:lang w:val="en-US" w:eastAsia="zh-CN"/>
                    </w:rPr>
                  </w:pPr>
                  <w:r>
                    <w:rPr>
                      <w:spacing w:val="9"/>
                      <w:sz w:val="21"/>
                      <w:szCs w:val="21"/>
                    </w:rPr>
                    <w:t>生活污水排入</w:t>
                  </w:r>
                  <w:r>
                    <w:rPr>
                      <w:rFonts w:hint="eastAsia"/>
                      <w:spacing w:val="9"/>
                      <w:sz w:val="21"/>
                      <w:szCs w:val="21"/>
                      <w:lang w:val="en-US" w:eastAsia="zh-CN"/>
                    </w:rPr>
                    <w:t>化粪池，</w:t>
                  </w:r>
                  <w:r>
                    <w:rPr>
                      <w:spacing w:val="9"/>
                      <w:sz w:val="21"/>
                      <w:szCs w:val="21"/>
                    </w:rPr>
                    <w:t>定期清运至焉耆县河北巴州生态产业园污水处理厂处理</w:t>
                  </w:r>
                  <w:r>
                    <w:rPr>
                      <w:rFonts w:hint="eastAsia"/>
                      <w:spacing w:val="9"/>
                      <w:sz w:val="21"/>
                      <w:szCs w:val="21"/>
                      <w:lang w:eastAsia="zh-CN"/>
                    </w:rPr>
                    <w:t>。</w:t>
                  </w:r>
                </w:p>
              </w:tc>
              <w:tc>
                <w:tcPr>
                  <w:tcW w:w="409" w:type="pct"/>
                  <w:tcBorders>
                    <w:tl2br w:val="nil"/>
                    <w:tr2bl w:val="nil"/>
                  </w:tcBorders>
                  <w:noWrap w:val="0"/>
                  <w:vAlign w:val="center"/>
                </w:tcPr>
                <w:p w14:paraId="1E8FCC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kern w:val="2"/>
                      <w:sz w:val="21"/>
                      <w:szCs w:val="21"/>
                      <w:highlight w:val="none"/>
                      <w:lang w:val="en-US" w:eastAsia="zh-CN" w:bidi="ar-SA"/>
                    </w:rPr>
                  </w:pPr>
                </w:p>
              </w:tc>
            </w:tr>
            <w:tr w14:paraId="13C693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50" w:type="pct"/>
                <w:trHeight w:val="23" w:hRule="atLeast"/>
                <w:jc w:val="center"/>
              </w:trPr>
              <w:tc>
                <w:tcPr>
                  <w:tcW w:w="490" w:type="pct"/>
                  <w:vMerge w:val="continue"/>
                  <w:tcBorders>
                    <w:tl2br w:val="nil"/>
                    <w:tr2bl w:val="nil"/>
                  </w:tcBorders>
                  <w:noWrap w:val="0"/>
                  <w:vAlign w:val="center"/>
                </w:tcPr>
                <w:p w14:paraId="01406BB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rPr>
                  </w:pPr>
                </w:p>
              </w:tc>
              <w:tc>
                <w:tcPr>
                  <w:tcW w:w="761" w:type="pct"/>
                  <w:tcBorders>
                    <w:tl2br w:val="nil"/>
                    <w:tr2bl w:val="nil"/>
                  </w:tcBorders>
                  <w:noWrap w:val="0"/>
                  <w:vAlign w:val="top"/>
                </w:tcPr>
                <w:p w14:paraId="6C106B1B">
                  <w:pPr>
                    <w:pStyle w:val="57"/>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rPr>
                    <w:t>照明系统</w:t>
                  </w:r>
                </w:p>
              </w:tc>
              <w:tc>
                <w:tcPr>
                  <w:tcW w:w="3188" w:type="pct"/>
                  <w:tcBorders>
                    <w:tl2br w:val="nil"/>
                    <w:tr2bl w:val="nil"/>
                  </w:tcBorders>
                  <w:noWrap w:val="0"/>
                  <w:vAlign w:val="center"/>
                </w:tcPr>
                <w:p w14:paraId="538F063C">
                  <w:pPr>
                    <w:pStyle w:val="42"/>
                    <w:spacing w:before="50" w:line="226" w:lineRule="auto"/>
                    <w:ind w:left="0" w:leftChars="0" w:firstLine="0" w:firstLineChars="0"/>
                    <w:rPr>
                      <w:rFonts w:hint="default" w:ascii="Times New Roman" w:hAnsi="Times New Roman" w:eastAsia="宋体" w:cs="Times New Roman"/>
                      <w:color w:val="000000"/>
                      <w:sz w:val="21"/>
                      <w:szCs w:val="21"/>
                      <w:highlight w:val="none"/>
                      <w:lang w:val="en-US" w:eastAsia="zh-CN"/>
                    </w:rPr>
                  </w:pPr>
                  <w:r>
                    <w:rPr>
                      <w:spacing w:val="8"/>
                      <w:sz w:val="21"/>
                      <w:szCs w:val="21"/>
                    </w:rPr>
                    <w:t>煤棚设有正常照明和事故照明。正常照明采用防爆型</w:t>
                  </w:r>
                  <w:r>
                    <w:rPr>
                      <w:rFonts w:ascii="Times New Roman" w:hAnsi="Times New Roman" w:eastAsia="Times New Roman" w:cs="Times New Roman"/>
                      <w:sz w:val="21"/>
                      <w:szCs w:val="21"/>
                    </w:rPr>
                    <w:t>LED</w:t>
                  </w:r>
                  <w:r>
                    <w:rPr>
                      <w:spacing w:val="8"/>
                      <w:sz w:val="21"/>
                      <w:szCs w:val="21"/>
                    </w:rPr>
                    <w:t>灯</w:t>
                  </w:r>
                  <w:r>
                    <w:rPr>
                      <w:spacing w:val="7"/>
                      <w:sz w:val="21"/>
                      <w:szCs w:val="21"/>
                    </w:rPr>
                    <w:t>照明方</w:t>
                  </w:r>
                  <w:r>
                    <w:rPr>
                      <w:spacing w:val="8"/>
                      <w:sz w:val="21"/>
                      <w:szCs w:val="21"/>
                    </w:rPr>
                    <w:t>式，同时用自带蓄电池的防爆型</w:t>
                  </w:r>
                  <w:r>
                    <w:rPr>
                      <w:rFonts w:ascii="Times New Roman" w:hAnsi="Times New Roman" w:eastAsia="Times New Roman" w:cs="Times New Roman"/>
                      <w:sz w:val="21"/>
                      <w:szCs w:val="21"/>
                    </w:rPr>
                    <w:t>LED</w:t>
                  </w:r>
                  <w:r>
                    <w:rPr>
                      <w:spacing w:val="8"/>
                      <w:sz w:val="21"/>
                      <w:szCs w:val="21"/>
                    </w:rPr>
                    <w:t>应急灯作为事故</w:t>
                  </w:r>
                  <w:r>
                    <w:rPr>
                      <w:spacing w:val="7"/>
                      <w:sz w:val="21"/>
                      <w:szCs w:val="21"/>
                    </w:rPr>
                    <w:t>照明，放电时</w:t>
                  </w:r>
                  <w:r>
                    <w:rPr>
                      <w:spacing w:val="-1"/>
                      <w:sz w:val="21"/>
                      <w:szCs w:val="21"/>
                    </w:rPr>
                    <w:t>间不小于</w:t>
                  </w:r>
                  <w:r>
                    <w:rPr>
                      <w:rFonts w:ascii="Times New Roman" w:hAnsi="Times New Roman" w:eastAsia="Times New Roman" w:cs="Times New Roman"/>
                      <w:spacing w:val="-1"/>
                      <w:sz w:val="21"/>
                      <w:szCs w:val="21"/>
                    </w:rPr>
                    <w:t>1</w:t>
                  </w:r>
                  <w:r>
                    <w:rPr>
                      <w:spacing w:val="-1"/>
                      <w:sz w:val="21"/>
                      <w:szCs w:val="21"/>
                    </w:rPr>
                    <w:t>小时。</w:t>
                  </w:r>
                </w:p>
              </w:tc>
              <w:tc>
                <w:tcPr>
                  <w:tcW w:w="409" w:type="pct"/>
                  <w:tcBorders>
                    <w:tl2br w:val="nil"/>
                    <w:tr2bl w:val="nil"/>
                  </w:tcBorders>
                  <w:noWrap w:val="0"/>
                  <w:vAlign w:val="center"/>
                </w:tcPr>
                <w:p w14:paraId="31785E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i w:val="0"/>
                      <w:iCs w:val="0"/>
                      <w:color w:val="000000"/>
                      <w:sz w:val="21"/>
                      <w:szCs w:val="21"/>
                      <w:highlight w:val="none"/>
                      <w:lang w:eastAsia="zh-CN"/>
                    </w:rPr>
                  </w:pPr>
                  <w:r>
                    <w:rPr>
                      <w:rFonts w:hint="eastAsia" w:ascii="Times New Roman" w:hAnsi="Times New Roman" w:eastAsia="宋体" w:cs="Times New Roman"/>
                      <w:color w:val="000000"/>
                      <w:kern w:val="2"/>
                      <w:sz w:val="21"/>
                      <w:szCs w:val="21"/>
                      <w:highlight w:val="none"/>
                      <w:lang w:val="en-US" w:eastAsia="zh-CN" w:bidi="ar-SA"/>
                    </w:rPr>
                    <w:t>/</w:t>
                  </w:r>
                </w:p>
              </w:tc>
            </w:tr>
            <w:tr w14:paraId="258B39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vMerge w:val="restart"/>
                  <w:tcBorders>
                    <w:tl2br w:val="nil"/>
                    <w:tr2bl w:val="nil"/>
                  </w:tcBorders>
                  <w:noWrap w:val="0"/>
                  <w:vAlign w:val="center"/>
                </w:tcPr>
                <w:p w14:paraId="2EF46BF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环保工程</w:t>
                  </w:r>
                </w:p>
              </w:tc>
              <w:tc>
                <w:tcPr>
                  <w:tcW w:w="761" w:type="pct"/>
                  <w:tcBorders>
                    <w:tl2br w:val="nil"/>
                    <w:tr2bl w:val="nil"/>
                  </w:tcBorders>
                  <w:noWrap w:val="0"/>
                  <w:vAlign w:val="center"/>
                </w:tcPr>
                <w:p w14:paraId="57E0437D">
                  <w:pPr>
                    <w:pStyle w:val="57"/>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宋体" w:cs="Times New Roman"/>
                      <w:i w:val="0"/>
                      <w:iCs w:val="0"/>
                      <w:color w:val="000000"/>
                      <w:sz w:val="21"/>
                      <w:szCs w:val="21"/>
                      <w:highlight w:val="none"/>
                      <w:lang w:val="en-US" w:eastAsia="zh-CN"/>
                    </w:rPr>
                  </w:pPr>
                  <w:r>
                    <w:rPr>
                      <w:spacing w:val="7"/>
                      <w:sz w:val="21"/>
                      <w:szCs w:val="21"/>
                    </w:rPr>
                    <w:t>废气治理</w:t>
                  </w:r>
                </w:p>
              </w:tc>
              <w:tc>
                <w:tcPr>
                  <w:tcW w:w="3188" w:type="pct"/>
                  <w:tcBorders>
                    <w:tl2br w:val="nil"/>
                    <w:tr2bl w:val="nil"/>
                  </w:tcBorders>
                  <w:noWrap w:val="0"/>
                  <w:vAlign w:val="center"/>
                </w:tcPr>
                <w:p w14:paraId="72752507">
                  <w:pPr>
                    <w:pStyle w:val="57"/>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Times New Roman" w:hAnsi="Times New Roman" w:eastAsia="宋体" w:cs="Times New Roman"/>
                      <w:spacing w:val="9"/>
                      <w:sz w:val="21"/>
                      <w:szCs w:val="21"/>
                    </w:rPr>
                  </w:pPr>
                  <w:r>
                    <w:rPr>
                      <w:rFonts w:ascii="Times New Roman" w:hAnsi="Times New Roman" w:eastAsia="宋体" w:cs="Times New Roman"/>
                      <w:spacing w:val="9"/>
                      <w:sz w:val="21"/>
                      <w:szCs w:val="21"/>
                    </w:rPr>
                    <w:t>煤炭储存区域粉尘：储煤场设置全封闭彩钢结构煤棚进行覆盖，同时采取雾炮机降尘措施，项目区四周设置防尘网；</w:t>
                  </w:r>
                </w:p>
                <w:p w14:paraId="6940DCE2">
                  <w:pPr>
                    <w:pStyle w:val="57"/>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Times New Roman" w:hAnsi="Times New Roman" w:eastAsia="宋体" w:cs="Times New Roman"/>
                      <w:spacing w:val="9"/>
                      <w:sz w:val="21"/>
                      <w:szCs w:val="21"/>
                    </w:rPr>
                  </w:pPr>
                  <w:r>
                    <w:rPr>
                      <w:rFonts w:ascii="Times New Roman" w:hAnsi="Times New Roman" w:eastAsia="宋体" w:cs="Times New Roman"/>
                      <w:spacing w:val="9"/>
                      <w:sz w:val="21"/>
                      <w:szCs w:val="21"/>
                    </w:rPr>
                    <w:t>装卸扬尘：</w:t>
                  </w:r>
                  <w:r>
                    <w:rPr>
                      <w:rFonts w:hint="eastAsia" w:cs="Times New Roman"/>
                      <w:spacing w:val="9"/>
                      <w:sz w:val="21"/>
                      <w:szCs w:val="21"/>
                      <w:lang w:eastAsia="zh-CN"/>
                    </w:rPr>
                    <w:t>洒水</w:t>
                  </w:r>
                  <w:r>
                    <w:rPr>
                      <w:rFonts w:ascii="Times New Roman" w:hAnsi="Times New Roman" w:eastAsia="宋体" w:cs="Times New Roman"/>
                      <w:spacing w:val="9"/>
                      <w:sz w:val="21"/>
                      <w:szCs w:val="21"/>
                    </w:rPr>
                    <w:t>防尘；</w:t>
                  </w:r>
                </w:p>
                <w:p w14:paraId="4023534A">
                  <w:pPr>
                    <w:pStyle w:val="57"/>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i w:val="0"/>
                      <w:iCs w:val="0"/>
                      <w:color w:val="000000"/>
                      <w:sz w:val="21"/>
                      <w:szCs w:val="21"/>
                      <w:highlight w:val="none"/>
                      <w:lang w:val="en-US" w:eastAsia="zh-CN"/>
                    </w:rPr>
                  </w:pPr>
                  <w:r>
                    <w:rPr>
                      <w:rFonts w:ascii="Times New Roman" w:hAnsi="Times New Roman" w:eastAsia="宋体" w:cs="Times New Roman"/>
                      <w:spacing w:val="9"/>
                      <w:sz w:val="21"/>
                      <w:szCs w:val="21"/>
                    </w:rPr>
                    <w:t>运输扬尘：场地内进行硬化</w:t>
                  </w:r>
                  <w:r>
                    <w:rPr>
                      <w:rFonts w:hint="eastAsia" w:cs="Times New Roman"/>
                      <w:spacing w:val="9"/>
                      <w:sz w:val="21"/>
                      <w:szCs w:val="21"/>
                      <w:lang w:eastAsia="zh-CN"/>
                    </w:rPr>
                    <w:t>：</w:t>
                  </w:r>
                  <w:r>
                    <w:rPr>
                      <w:rFonts w:ascii="Times New Roman" w:hAnsi="Times New Roman" w:eastAsia="宋体" w:cs="Times New Roman"/>
                      <w:spacing w:val="9"/>
                      <w:sz w:val="21"/>
                      <w:szCs w:val="21"/>
                    </w:rPr>
                    <w:t>在车辆进出入口设置洗车台对车辆进行冲洗，同时采取</w:t>
                  </w:r>
                  <w:r>
                    <w:rPr>
                      <w:rFonts w:hint="eastAsia" w:cs="Times New Roman"/>
                      <w:spacing w:val="9"/>
                      <w:sz w:val="21"/>
                      <w:szCs w:val="21"/>
                      <w:lang w:eastAsia="zh-CN"/>
                    </w:rPr>
                    <w:t>洒水</w:t>
                  </w:r>
                  <w:r>
                    <w:rPr>
                      <w:rFonts w:ascii="Times New Roman" w:hAnsi="Times New Roman" w:eastAsia="宋体" w:cs="Times New Roman"/>
                      <w:spacing w:val="9"/>
                      <w:sz w:val="21"/>
                      <w:szCs w:val="21"/>
                    </w:rPr>
                    <w:t>防尘。</w:t>
                  </w:r>
                </w:p>
              </w:tc>
              <w:tc>
                <w:tcPr>
                  <w:tcW w:w="559" w:type="pct"/>
                  <w:gridSpan w:val="2"/>
                  <w:tcBorders>
                    <w:tl2br w:val="nil"/>
                    <w:tr2bl w:val="nil"/>
                  </w:tcBorders>
                  <w:noWrap w:val="0"/>
                  <w:vAlign w:val="center"/>
                </w:tcPr>
                <w:p w14:paraId="302BE0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rPr>
                  </w:pPr>
                  <w:r>
                    <w:rPr>
                      <w:rFonts w:hint="eastAsia" w:ascii="Times New Roman" w:hAnsi="Times New Roman" w:eastAsia="宋体" w:cs="Times New Roman"/>
                      <w:color w:val="000000"/>
                      <w:kern w:val="2"/>
                      <w:sz w:val="21"/>
                      <w:szCs w:val="21"/>
                      <w:highlight w:val="none"/>
                      <w:lang w:val="en-US" w:eastAsia="zh-CN" w:bidi="ar-SA"/>
                    </w:rPr>
                    <w:t>/</w:t>
                  </w:r>
                </w:p>
              </w:tc>
            </w:tr>
            <w:tr w14:paraId="3A32EC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vMerge w:val="continue"/>
                  <w:tcBorders>
                    <w:tl2br w:val="nil"/>
                    <w:tr2bl w:val="nil"/>
                  </w:tcBorders>
                  <w:noWrap w:val="0"/>
                  <w:vAlign w:val="center"/>
                </w:tcPr>
                <w:p w14:paraId="2EFF3282">
                  <w:pPr>
                    <w:keepNext w:val="0"/>
                    <w:keepLines w:val="0"/>
                    <w:pageBreakBefore w:val="0"/>
                    <w:widowControl w:val="0"/>
                    <w:kinsoku/>
                    <w:wordWrap/>
                    <w:overflowPunct/>
                    <w:topLinePunct w:val="0"/>
                    <w:bidi w:val="0"/>
                    <w:adjustRightInd w:val="0"/>
                    <w:snapToGrid w:val="0"/>
                    <w:jc w:val="center"/>
                    <w:textAlignment w:val="auto"/>
                    <w:rPr>
                      <w:rFonts w:hint="default" w:ascii="Times New Roman" w:hAnsi="Times New Roman" w:eastAsia="宋体" w:cs="Times New Roman"/>
                      <w:color w:val="000000"/>
                      <w:sz w:val="21"/>
                      <w:szCs w:val="21"/>
                      <w:highlight w:val="none"/>
                    </w:rPr>
                  </w:pPr>
                </w:p>
              </w:tc>
              <w:tc>
                <w:tcPr>
                  <w:tcW w:w="761" w:type="pct"/>
                  <w:tcBorders>
                    <w:tl2br w:val="nil"/>
                    <w:tr2bl w:val="nil"/>
                  </w:tcBorders>
                  <w:noWrap w:val="0"/>
                  <w:vAlign w:val="center"/>
                </w:tcPr>
                <w:p w14:paraId="19A8D3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rPr>
                  </w:pPr>
                  <w:r>
                    <w:rPr>
                      <w:spacing w:val="7"/>
                      <w:sz w:val="21"/>
                      <w:szCs w:val="21"/>
                    </w:rPr>
                    <w:t>废水治理</w:t>
                  </w:r>
                </w:p>
              </w:tc>
              <w:tc>
                <w:tcPr>
                  <w:tcW w:w="3188" w:type="pct"/>
                  <w:tcBorders>
                    <w:tl2br w:val="nil"/>
                    <w:tr2bl w:val="nil"/>
                  </w:tcBorders>
                  <w:noWrap w:val="0"/>
                  <w:vAlign w:val="center"/>
                </w:tcPr>
                <w:p w14:paraId="5F8E01A8">
                  <w:pPr>
                    <w:pStyle w:val="57"/>
                    <w:keepNext w:val="0"/>
                    <w:keepLines w:val="0"/>
                    <w:pageBreakBefore w:val="0"/>
                    <w:widowControl w:val="0"/>
                    <w:kinsoku/>
                    <w:wordWrap/>
                    <w:overflowPunct/>
                    <w:topLinePunct w:val="0"/>
                    <w:autoSpaceDE/>
                    <w:autoSpaceDN/>
                    <w:bidi w:val="0"/>
                    <w:adjustRightInd w:val="0"/>
                    <w:snapToGrid w:val="0"/>
                    <w:spacing w:line="240" w:lineRule="auto"/>
                    <w:textAlignment w:val="auto"/>
                    <w:rPr>
                      <w:spacing w:val="9"/>
                      <w:sz w:val="21"/>
                      <w:szCs w:val="21"/>
                    </w:rPr>
                  </w:pPr>
                  <w:r>
                    <w:rPr>
                      <w:spacing w:val="9"/>
                      <w:sz w:val="21"/>
                      <w:szCs w:val="21"/>
                    </w:rPr>
                    <w:t>生活废水排入化粪池处理，定期清运至焉耆县河北巴州生态产业园污水处理厂处理；</w:t>
                  </w:r>
                </w:p>
                <w:p w14:paraId="05A330AD">
                  <w:pPr>
                    <w:pStyle w:val="57"/>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i w:val="0"/>
                      <w:iCs w:val="0"/>
                      <w:color w:val="000000"/>
                      <w:sz w:val="21"/>
                      <w:szCs w:val="21"/>
                      <w:highlight w:val="none"/>
                      <w:lang w:val="en-US" w:eastAsia="zh-CN"/>
                    </w:rPr>
                  </w:pPr>
                  <w:r>
                    <w:rPr>
                      <w:spacing w:val="9"/>
                      <w:sz w:val="21"/>
                      <w:szCs w:val="21"/>
                    </w:rPr>
                    <w:t>洗车废水经沉淀后回用于车辆清洗，不外排</w:t>
                  </w:r>
                  <w:r>
                    <w:rPr>
                      <w:rFonts w:hint="eastAsia"/>
                      <w:spacing w:val="9"/>
                      <w:sz w:val="21"/>
                      <w:szCs w:val="21"/>
                      <w:lang w:eastAsia="zh-CN"/>
                    </w:rPr>
                    <w:t>，</w:t>
                  </w:r>
                  <w:r>
                    <w:rPr>
                      <w:rFonts w:hint="eastAsia"/>
                      <w:spacing w:val="9"/>
                      <w:sz w:val="21"/>
                      <w:szCs w:val="21"/>
                      <w:lang w:val="en-US" w:eastAsia="zh-CN"/>
                    </w:rPr>
                    <w:t>本项目于北侧设有沉淀池</w:t>
                  </w:r>
                  <w:r>
                    <w:rPr>
                      <w:rFonts w:ascii="Times New Roman" w:hAnsi="Times New Roman" w:eastAsia="Times New Roman" w:cs="Times New Roman"/>
                      <w:spacing w:val="-3"/>
                      <w:sz w:val="21"/>
                      <w:szCs w:val="21"/>
                    </w:rPr>
                    <w:t>5m</w:t>
                  </w:r>
                  <w:r>
                    <w:rPr>
                      <w:rFonts w:ascii="Times New Roman" w:hAnsi="Times New Roman" w:eastAsia="Times New Roman" w:cs="Times New Roman"/>
                      <w:spacing w:val="-3"/>
                      <w:position w:val="8"/>
                      <w:sz w:val="21"/>
                      <w:szCs w:val="21"/>
                      <w:vertAlign w:val="superscript"/>
                    </w:rPr>
                    <w:t>3</w:t>
                  </w:r>
                  <w:r>
                    <w:rPr>
                      <w:spacing w:val="9"/>
                      <w:sz w:val="21"/>
                      <w:szCs w:val="21"/>
                    </w:rPr>
                    <w:t>。</w:t>
                  </w:r>
                </w:p>
              </w:tc>
              <w:tc>
                <w:tcPr>
                  <w:tcW w:w="559" w:type="pct"/>
                  <w:gridSpan w:val="2"/>
                  <w:tcBorders>
                    <w:tl2br w:val="nil"/>
                    <w:tr2bl w:val="nil"/>
                  </w:tcBorders>
                  <w:noWrap w:val="0"/>
                  <w:vAlign w:val="center"/>
                </w:tcPr>
                <w:p w14:paraId="54FE5C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rPr>
                  </w:pPr>
                  <w:r>
                    <w:rPr>
                      <w:rFonts w:hint="eastAsia" w:ascii="Times New Roman" w:hAnsi="Times New Roman" w:eastAsia="宋体" w:cs="Times New Roman"/>
                      <w:color w:val="000000"/>
                      <w:kern w:val="2"/>
                      <w:sz w:val="21"/>
                      <w:szCs w:val="21"/>
                      <w:highlight w:val="none"/>
                      <w:lang w:val="en-US" w:eastAsia="zh-CN" w:bidi="ar-SA"/>
                    </w:rPr>
                    <w:t>/</w:t>
                  </w:r>
                </w:p>
              </w:tc>
            </w:tr>
            <w:tr w14:paraId="559C50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vMerge w:val="continue"/>
                  <w:tcBorders>
                    <w:tl2br w:val="nil"/>
                    <w:tr2bl w:val="nil"/>
                  </w:tcBorders>
                  <w:noWrap w:val="0"/>
                  <w:vAlign w:val="center"/>
                </w:tcPr>
                <w:p w14:paraId="2E1B2BE9">
                  <w:pPr>
                    <w:keepNext w:val="0"/>
                    <w:keepLines w:val="0"/>
                    <w:pageBreakBefore w:val="0"/>
                    <w:widowControl w:val="0"/>
                    <w:kinsoku/>
                    <w:wordWrap/>
                    <w:overflowPunct/>
                    <w:topLinePunct w:val="0"/>
                    <w:bidi w:val="0"/>
                    <w:adjustRightInd w:val="0"/>
                    <w:snapToGrid w:val="0"/>
                    <w:jc w:val="center"/>
                    <w:textAlignment w:val="auto"/>
                    <w:rPr>
                      <w:rFonts w:hint="default" w:ascii="Times New Roman" w:hAnsi="Times New Roman" w:eastAsia="宋体" w:cs="Times New Roman"/>
                      <w:color w:val="000000"/>
                      <w:sz w:val="21"/>
                      <w:szCs w:val="21"/>
                      <w:highlight w:val="none"/>
                    </w:rPr>
                  </w:pPr>
                </w:p>
              </w:tc>
              <w:tc>
                <w:tcPr>
                  <w:tcW w:w="761" w:type="pct"/>
                  <w:tcBorders>
                    <w:tl2br w:val="nil"/>
                    <w:tr2bl w:val="nil"/>
                  </w:tcBorders>
                  <w:noWrap w:val="0"/>
                  <w:vAlign w:val="center"/>
                </w:tcPr>
                <w:p w14:paraId="654607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rPr>
                  </w:pPr>
                  <w:r>
                    <w:rPr>
                      <w:spacing w:val="4"/>
                      <w:sz w:val="21"/>
                      <w:szCs w:val="21"/>
                    </w:rPr>
                    <w:t>噪声治理</w:t>
                  </w:r>
                </w:p>
              </w:tc>
              <w:tc>
                <w:tcPr>
                  <w:tcW w:w="3188" w:type="pct"/>
                  <w:tcBorders>
                    <w:tl2br w:val="nil"/>
                    <w:tr2bl w:val="nil"/>
                  </w:tcBorders>
                  <w:noWrap w:val="0"/>
                  <w:vAlign w:val="center"/>
                </w:tcPr>
                <w:p w14:paraId="79E8A62B">
                  <w:pPr>
                    <w:pStyle w:val="57"/>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000000"/>
                      <w:sz w:val="21"/>
                      <w:szCs w:val="21"/>
                      <w:highlight w:val="none"/>
                      <w:lang w:val="en-US" w:eastAsia="zh-CN"/>
                    </w:rPr>
                  </w:pPr>
                  <w:r>
                    <w:rPr>
                      <w:spacing w:val="9"/>
                      <w:sz w:val="21"/>
                      <w:szCs w:val="21"/>
                    </w:rPr>
                    <w:t>采用低噪声设备、合理布置设备位置，基础</w:t>
                  </w:r>
                  <w:r>
                    <w:rPr>
                      <w:rFonts w:hint="eastAsia"/>
                      <w:spacing w:val="9"/>
                      <w:sz w:val="21"/>
                      <w:szCs w:val="21"/>
                      <w:lang w:eastAsia="zh-CN"/>
                    </w:rPr>
                    <w:t>减振措施。</w:t>
                  </w:r>
                </w:p>
              </w:tc>
              <w:tc>
                <w:tcPr>
                  <w:tcW w:w="559" w:type="pct"/>
                  <w:gridSpan w:val="2"/>
                  <w:tcBorders>
                    <w:tl2br w:val="nil"/>
                    <w:tr2bl w:val="nil"/>
                  </w:tcBorders>
                  <w:noWrap w:val="0"/>
                  <w:vAlign w:val="center"/>
                </w:tcPr>
                <w:p w14:paraId="022E91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rPr>
                  </w:pPr>
                  <w:r>
                    <w:rPr>
                      <w:rFonts w:hint="eastAsia" w:ascii="Times New Roman" w:hAnsi="Times New Roman" w:eastAsia="宋体" w:cs="Times New Roman"/>
                      <w:color w:val="000000"/>
                      <w:kern w:val="2"/>
                      <w:sz w:val="21"/>
                      <w:szCs w:val="21"/>
                      <w:highlight w:val="none"/>
                      <w:lang w:val="en-US" w:eastAsia="zh-CN" w:bidi="ar-SA"/>
                    </w:rPr>
                    <w:t>/</w:t>
                  </w:r>
                </w:p>
              </w:tc>
            </w:tr>
            <w:tr w14:paraId="01C6C1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490" w:type="pct"/>
                  <w:vMerge w:val="continue"/>
                  <w:tcBorders>
                    <w:tl2br w:val="nil"/>
                    <w:tr2bl w:val="nil"/>
                  </w:tcBorders>
                  <w:noWrap w:val="0"/>
                  <w:vAlign w:val="center"/>
                </w:tcPr>
                <w:p w14:paraId="53BA528E">
                  <w:pPr>
                    <w:keepNext w:val="0"/>
                    <w:keepLines w:val="0"/>
                    <w:pageBreakBefore w:val="0"/>
                    <w:widowControl w:val="0"/>
                    <w:kinsoku/>
                    <w:wordWrap/>
                    <w:overflowPunct/>
                    <w:topLinePunct w:val="0"/>
                    <w:bidi w:val="0"/>
                    <w:adjustRightInd w:val="0"/>
                    <w:snapToGrid w:val="0"/>
                    <w:jc w:val="center"/>
                    <w:textAlignment w:val="auto"/>
                    <w:rPr>
                      <w:rFonts w:hint="default" w:ascii="Times New Roman" w:hAnsi="Times New Roman" w:eastAsia="宋体" w:cs="Times New Roman"/>
                      <w:i w:val="0"/>
                      <w:iCs w:val="0"/>
                      <w:color w:val="000000"/>
                      <w:sz w:val="21"/>
                      <w:szCs w:val="21"/>
                      <w:highlight w:val="none"/>
                      <w:lang w:val="en-US" w:eastAsia="zh-CN"/>
                    </w:rPr>
                  </w:pPr>
                </w:p>
              </w:tc>
              <w:tc>
                <w:tcPr>
                  <w:tcW w:w="761" w:type="pct"/>
                  <w:vMerge w:val="restart"/>
                  <w:tcBorders>
                    <w:tl2br w:val="nil"/>
                    <w:tr2bl w:val="nil"/>
                  </w:tcBorders>
                  <w:noWrap w:val="0"/>
                  <w:vAlign w:val="top"/>
                </w:tcPr>
                <w:p w14:paraId="6BE41631">
                  <w:pPr>
                    <w:pStyle w:val="42"/>
                    <w:spacing w:before="55" w:line="247" w:lineRule="auto"/>
                    <w:ind w:left="0" w:leftChars="0" w:right="214" w:rightChars="0" w:firstLine="0" w:firstLineChars="0"/>
                    <w:rPr>
                      <w:rFonts w:hint="default" w:ascii="Times New Roman" w:hAnsi="Times New Roman" w:eastAsia="宋体" w:cs="Times New Roman"/>
                      <w:snapToGrid w:val="0"/>
                      <w:color w:val="000000"/>
                      <w:kern w:val="2"/>
                      <w:sz w:val="21"/>
                      <w:szCs w:val="21"/>
                      <w:lang w:val="en-US" w:eastAsia="zh-CN" w:bidi="ar-SA"/>
                    </w:rPr>
                  </w:pPr>
                  <w:r>
                    <w:rPr>
                      <w:spacing w:val="2"/>
                      <w:sz w:val="21"/>
                      <w:szCs w:val="21"/>
                    </w:rPr>
                    <w:t>固体废物处理</w:t>
                  </w:r>
                </w:p>
              </w:tc>
              <w:tc>
                <w:tcPr>
                  <w:tcW w:w="3188" w:type="pct"/>
                  <w:tcBorders>
                    <w:tl2br w:val="nil"/>
                    <w:tr2bl w:val="nil"/>
                  </w:tcBorders>
                  <w:noWrap w:val="0"/>
                  <w:vAlign w:val="top"/>
                </w:tcPr>
                <w:p w14:paraId="248C9777">
                  <w:pPr>
                    <w:pStyle w:val="42"/>
                    <w:spacing w:before="56" w:line="228" w:lineRule="auto"/>
                    <w:ind w:left="0" w:leftChars="0" w:firstLine="0" w:firstLineChars="0"/>
                    <w:rPr>
                      <w:rFonts w:hint="default" w:ascii="Times New Roman" w:hAnsi="Times New Roman" w:eastAsia="宋体" w:cs="Times New Roman"/>
                      <w:snapToGrid w:val="0"/>
                      <w:color w:val="000000"/>
                      <w:kern w:val="2"/>
                      <w:sz w:val="21"/>
                      <w:szCs w:val="21"/>
                      <w:lang w:val="en-US" w:eastAsia="zh-CN" w:bidi="ar-SA"/>
                    </w:rPr>
                  </w:pPr>
                  <w:r>
                    <w:rPr>
                      <w:spacing w:val="9"/>
                      <w:sz w:val="21"/>
                      <w:szCs w:val="21"/>
                    </w:rPr>
                    <w:t>生活垃圾，集中收集，交由环卫部门统一处理；洗车平台下的沉淀</w:t>
                  </w:r>
                  <w:r>
                    <w:rPr>
                      <w:spacing w:val="8"/>
                      <w:sz w:val="21"/>
                      <w:szCs w:val="21"/>
                    </w:rPr>
                    <w:t>池煤泥，定期清掏后掺入原煤外售。</w:t>
                  </w:r>
                </w:p>
              </w:tc>
              <w:tc>
                <w:tcPr>
                  <w:tcW w:w="559" w:type="pct"/>
                  <w:gridSpan w:val="2"/>
                  <w:tcBorders>
                    <w:tl2br w:val="nil"/>
                    <w:tr2bl w:val="nil"/>
                  </w:tcBorders>
                  <w:noWrap w:val="0"/>
                  <w:vAlign w:val="center"/>
                </w:tcPr>
                <w:p w14:paraId="39E75C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rPr>
                  </w:pPr>
                  <w:r>
                    <w:rPr>
                      <w:rFonts w:hint="eastAsia" w:ascii="Times New Roman" w:hAnsi="Times New Roman" w:eastAsia="宋体" w:cs="Times New Roman"/>
                      <w:color w:val="000000"/>
                      <w:kern w:val="2"/>
                      <w:sz w:val="21"/>
                      <w:szCs w:val="21"/>
                      <w:highlight w:val="none"/>
                      <w:lang w:val="en-US" w:eastAsia="zh-CN" w:bidi="ar-SA"/>
                    </w:rPr>
                    <w:t>/</w:t>
                  </w:r>
                </w:p>
              </w:tc>
            </w:tr>
            <w:tr w14:paraId="4C9E8C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vMerge w:val="continue"/>
                  <w:tcBorders>
                    <w:tl2br w:val="nil"/>
                    <w:tr2bl w:val="nil"/>
                  </w:tcBorders>
                  <w:noWrap w:val="0"/>
                  <w:vAlign w:val="center"/>
                </w:tcPr>
                <w:p w14:paraId="414F38AC">
                  <w:pPr>
                    <w:keepNext w:val="0"/>
                    <w:keepLines w:val="0"/>
                    <w:pageBreakBefore w:val="0"/>
                    <w:widowControl w:val="0"/>
                    <w:kinsoku/>
                    <w:wordWrap/>
                    <w:overflowPunct/>
                    <w:topLinePunct w:val="0"/>
                    <w:bidi w:val="0"/>
                    <w:adjustRightInd w:val="0"/>
                    <w:snapToGrid w:val="0"/>
                    <w:jc w:val="center"/>
                    <w:textAlignment w:val="auto"/>
                    <w:rPr>
                      <w:rFonts w:hint="default" w:ascii="Times New Roman" w:hAnsi="Times New Roman" w:eastAsia="宋体" w:cs="Times New Roman"/>
                      <w:i w:val="0"/>
                      <w:iCs w:val="0"/>
                      <w:color w:val="000000"/>
                      <w:sz w:val="21"/>
                      <w:szCs w:val="21"/>
                      <w:highlight w:val="none"/>
                      <w:lang w:val="en-US" w:eastAsia="zh-CN"/>
                    </w:rPr>
                  </w:pPr>
                </w:p>
              </w:tc>
              <w:tc>
                <w:tcPr>
                  <w:tcW w:w="761" w:type="pct"/>
                  <w:vMerge w:val="continue"/>
                  <w:tcBorders>
                    <w:tl2br w:val="nil"/>
                    <w:tr2bl w:val="nil"/>
                  </w:tcBorders>
                  <w:noWrap w:val="0"/>
                  <w:vAlign w:val="top"/>
                </w:tcPr>
                <w:p w14:paraId="7F820210">
                  <w:pPr>
                    <w:pStyle w:val="42"/>
                    <w:spacing w:before="55" w:line="247" w:lineRule="auto"/>
                    <w:ind w:left="0" w:leftChars="0" w:right="214" w:rightChars="0" w:firstLine="0" w:firstLineChars="0"/>
                    <w:rPr>
                      <w:spacing w:val="2"/>
                      <w:sz w:val="21"/>
                      <w:szCs w:val="21"/>
                    </w:rPr>
                  </w:pPr>
                </w:p>
              </w:tc>
              <w:tc>
                <w:tcPr>
                  <w:tcW w:w="3188" w:type="pct"/>
                  <w:tcBorders>
                    <w:tl2br w:val="nil"/>
                    <w:tr2bl w:val="nil"/>
                  </w:tcBorders>
                  <w:noWrap w:val="0"/>
                  <w:vAlign w:val="top"/>
                </w:tcPr>
                <w:p w14:paraId="36942CBF">
                  <w:pPr>
                    <w:pStyle w:val="42"/>
                    <w:spacing w:before="56" w:line="228" w:lineRule="auto"/>
                    <w:ind w:left="0" w:leftChars="0" w:firstLine="0" w:firstLineChars="0"/>
                    <w:rPr>
                      <w:rFonts w:hint="default" w:eastAsia="宋体"/>
                      <w:spacing w:val="9"/>
                      <w:sz w:val="21"/>
                      <w:szCs w:val="21"/>
                      <w:lang w:val="en-US" w:eastAsia="zh-CN"/>
                    </w:rPr>
                  </w:pPr>
                  <w:r>
                    <w:rPr>
                      <w:rFonts w:hint="eastAsia"/>
                      <w:spacing w:val="9"/>
                      <w:sz w:val="21"/>
                      <w:szCs w:val="21"/>
                      <w:lang w:val="en-US" w:eastAsia="zh-CN"/>
                    </w:rPr>
                    <w:t>本项目委托有专业单位对设备、车辆进行维修保养，产生的废机油等危险废物及时带走，不在厂区暂存</w:t>
                  </w:r>
                  <w:r>
                    <w:rPr>
                      <w:rFonts w:hint="eastAsia" w:cs="Times New Roman"/>
                      <w:color w:val="000000" w:themeColor="text1"/>
                      <w:kern w:val="2"/>
                      <w:sz w:val="21"/>
                      <w:szCs w:val="24"/>
                      <w:highlight w:val="none"/>
                      <w:lang w:val="en-US" w:eastAsia="zh-CN" w:bidi="ar-SA"/>
                      <w14:textFill>
                        <w14:solidFill>
                          <w14:schemeClr w14:val="tx1"/>
                        </w14:solidFill>
                      </w14:textFill>
                    </w:rPr>
                    <w:t>。</w:t>
                  </w:r>
                </w:p>
              </w:tc>
              <w:tc>
                <w:tcPr>
                  <w:tcW w:w="559" w:type="pct"/>
                  <w:gridSpan w:val="2"/>
                  <w:tcBorders>
                    <w:tl2br w:val="nil"/>
                    <w:tr2bl w:val="nil"/>
                  </w:tcBorders>
                  <w:noWrap w:val="0"/>
                  <w:vAlign w:val="center"/>
                </w:tcPr>
                <w:p w14:paraId="388891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w:t>
                  </w:r>
                </w:p>
              </w:tc>
            </w:tr>
          </w:tbl>
          <w:p w14:paraId="6107FDEF">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eastAsia"/>
                <w:b/>
                <w:bCs/>
                <w:sz w:val="24"/>
              </w:rPr>
            </w:pPr>
            <w:r>
              <w:rPr>
                <w:rFonts w:hint="eastAsia"/>
                <w:b/>
                <w:bCs/>
                <w:sz w:val="24"/>
                <w:lang w:val="en-US" w:eastAsia="zh-CN"/>
              </w:rPr>
              <w:t>2.</w:t>
            </w:r>
            <w:r>
              <w:rPr>
                <w:rFonts w:hint="eastAsia"/>
                <w:b/>
                <w:bCs/>
                <w:sz w:val="24"/>
              </w:rPr>
              <w:t>主要生产设施</w:t>
            </w:r>
          </w:p>
          <w:p w14:paraId="7C205B49">
            <w:pPr>
              <w:spacing w:line="360" w:lineRule="auto"/>
              <w:ind w:firstLine="480" w:firstLineChars="200"/>
              <w:rPr>
                <w:rFonts w:hint="eastAsia" w:ascii="宋体" w:hAnsi="宋体" w:cs="宋体"/>
                <w:b/>
                <w:bCs/>
                <w:sz w:val="24"/>
              </w:rPr>
            </w:pPr>
            <w:r>
              <w:rPr>
                <w:rFonts w:hint="eastAsia" w:ascii="宋体" w:hAnsi="宋体" w:cs="宋体"/>
                <w:sz w:val="24"/>
              </w:rPr>
              <w:t>本项目主要生产设施见表</w:t>
            </w:r>
            <w:r>
              <w:rPr>
                <w:rFonts w:hint="eastAsia" w:ascii="宋体" w:hAnsi="宋体" w:cs="宋体"/>
                <w:sz w:val="24"/>
                <w:lang w:val="en-US" w:eastAsia="zh-CN"/>
              </w:rPr>
              <w:t>2-2</w:t>
            </w:r>
            <w:r>
              <w:rPr>
                <w:rFonts w:hint="eastAsia"/>
              </w:rPr>
              <w:t>。</w:t>
            </w:r>
          </w:p>
          <w:p w14:paraId="467B75DD">
            <w:pPr>
              <w:spacing w:line="360" w:lineRule="auto"/>
              <w:ind w:firstLine="422" w:firstLineChars="200"/>
              <w:jc w:val="center"/>
              <w:rPr>
                <w:rFonts w:hint="eastAsia" w:ascii="宋体" w:hAnsi="宋体" w:cs="宋体"/>
                <w:b/>
                <w:bCs/>
                <w:sz w:val="24"/>
              </w:rPr>
            </w:pPr>
            <w:r>
              <w:rPr>
                <w:rFonts w:hint="eastAsia" w:ascii="宋体" w:hAnsi="宋体" w:cs="宋体"/>
                <w:b/>
                <w:bCs/>
                <w:sz w:val="21"/>
                <w:szCs w:val="21"/>
              </w:rPr>
              <w:t>表</w:t>
            </w:r>
            <w:r>
              <w:rPr>
                <w:rFonts w:hint="eastAsia" w:ascii="宋体" w:hAnsi="宋体" w:cs="宋体"/>
                <w:b/>
                <w:bCs/>
                <w:sz w:val="21"/>
                <w:szCs w:val="21"/>
                <w:lang w:val="en-US" w:eastAsia="zh-CN"/>
              </w:rPr>
              <w:t>2-2</w:t>
            </w:r>
            <w:r>
              <w:rPr>
                <w:rFonts w:hint="eastAsia" w:ascii="宋体" w:hAnsi="宋体" w:cs="宋体"/>
                <w:b/>
                <w:bCs/>
                <w:sz w:val="21"/>
                <w:szCs w:val="21"/>
              </w:rPr>
              <w:t xml:space="preserve">  主要生产设施一览表</w:t>
            </w:r>
          </w:p>
          <w:tbl>
            <w:tblPr>
              <w:tblStyle w:val="25"/>
              <w:tblW w:w="495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54"/>
              <w:gridCol w:w="1805"/>
              <w:gridCol w:w="1702"/>
              <w:gridCol w:w="954"/>
              <w:gridCol w:w="1219"/>
              <w:gridCol w:w="1432"/>
            </w:tblGrid>
            <w:tr w14:paraId="4A450A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79" w:type="pct"/>
                  <w:tcBorders>
                    <w:tl2br w:val="nil"/>
                    <w:tr2bl w:val="nil"/>
                  </w:tcBorders>
                  <w:noWrap w:val="0"/>
                  <w:vAlign w:val="center"/>
                </w:tcPr>
                <w:p w14:paraId="729C40C9">
                  <w:pPr>
                    <w:keepNext w:val="0"/>
                    <w:keepLines w:val="0"/>
                    <w:pageBreakBefore w:val="0"/>
                    <w:widowControl w:val="0"/>
                    <w:kinsoku/>
                    <w:wordWrap/>
                    <w:overflowPunct/>
                    <w:topLinePunct w:val="0"/>
                    <w:autoSpaceDE/>
                    <w:autoSpaceDN/>
                    <w:bidi w:val="0"/>
                    <w:adjustRightInd w:val="0"/>
                    <w:snapToGrid w:val="0"/>
                    <w:ind w:right="-1"/>
                    <w:contextualSpacing/>
                    <w:jc w:val="center"/>
                    <w:textAlignment w:val="auto"/>
                    <w:rPr>
                      <w:szCs w:val="21"/>
                    </w:rPr>
                  </w:pPr>
                  <w:r>
                    <w:rPr>
                      <w:szCs w:val="21"/>
                    </w:rPr>
                    <w:t>序号</w:t>
                  </w:r>
                </w:p>
              </w:tc>
              <w:tc>
                <w:tcPr>
                  <w:tcW w:w="1147" w:type="pct"/>
                  <w:tcBorders>
                    <w:tl2br w:val="nil"/>
                    <w:tr2bl w:val="nil"/>
                  </w:tcBorders>
                  <w:noWrap w:val="0"/>
                  <w:vAlign w:val="center"/>
                </w:tcPr>
                <w:p w14:paraId="357AB811">
                  <w:pPr>
                    <w:keepNext w:val="0"/>
                    <w:keepLines w:val="0"/>
                    <w:pageBreakBefore w:val="0"/>
                    <w:widowControl w:val="0"/>
                    <w:kinsoku/>
                    <w:wordWrap/>
                    <w:overflowPunct/>
                    <w:topLinePunct w:val="0"/>
                    <w:autoSpaceDE/>
                    <w:autoSpaceDN/>
                    <w:bidi w:val="0"/>
                    <w:adjustRightInd w:val="0"/>
                    <w:snapToGrid w:val="0"/>
                    <w:ind w:right="-1"/>
                    <w:contextualSpacing/>
                    <w:jc w:val="center"/>
                    <w:textAlignment w:val="auto"/>
                    <w:rPr>
                      <w:szCs w:val="21"/>
                    </w:rPr>
                  </w:pPr>
                  <w:r>
                    <w:rPr>
                      <w:szCs w:val="21"/>
                    </w:rPr>
                    <w:t>名称</w:t>
                  </w:r>
                </w:p>
              </w:tc>
              <w:tc>
                <w:tcPr>
                  <w:tcW w:w="1081" w:type="pct"/>
                  <w:tcBorders>
                    <w:tl2br w:val="nil"/>
                    <w:tr2bl w:val="nil"/>
                  </w:tcBorders>
                  <w:noWrap w:val="0"/>
                  <w:vAlign w:val="center"/>
                </w:tcPr>
                <w:p w14:paraId="547B2DC5">
                  <w:pPr>
                    <w:keepNext w:val="0"/>
                    <w:keepLines w:val="0"/>
                    <w:pageBreakBefore w:val="0"/>
                    <w:widowControl w:val="0"/>
                    <w:kinsoku/>
                    <w:wordWrap/>
                    <w:overflowPunct/>
                    <w:topLinePunct w:val="0"/>
                    <w:autoSpaceDE/>
                    <w:autoSpaceDN/>
                    <w:bidi w:val="0"/>
                    <w:adjustRightInd w:val="0"/>
                    <w:snapToGrid w:val="0"/>
                    <w:ind w:right="-1"/>
                    <w:contextualSpacing/>
                    <w:jc w:val="center"/>
                    <w:textAlignment w:val="auto"/>
                    <w:rPr>
                      <w:rFonts w:hint="default" w:eastAsia="宋体"/>
                      <w:szCs w:val="21"/>
                      <w:lang w:val="en-US" w:eastAsia="zh-CN"/>
                    </w:rPr>
                  </w:pPr>
                  <w:r>
                    <w:rPr>
                      <w:rFonts w:hint="eastAsia"/>
                      <w:szCs w:val="21"/>
                      <w:lang w:val="en-US" w:eastAsia="zh-CN"/>
                    </w:rPr>
                    <w:t>型号</w:t>
                  </w:r>
                </w:p>
              </w:tc>
              <w:tc>
                <w:tcPr>
                  <w:tcW w:w="606" w:type="pct"/>
                  <w:tcBorders>
                    <w:tl2br w:val="nil"/>
                    <w:tr2bl w:val="nil"/>
                  </w:tcBorders>
                  <w:noWrap w:val="0"/>
                  <w:vAlign w:val="center"/>
                </w:tcPr>
                <w:p w14:paraId="1DEDFF42">
                  <w:pPr>
                    <w:keepNext w:val="0"/>
                    <w:keepLines w:val="0"/>
                    <w:pageBreakBefore w:val="0"/>
                    <w:widowControl w:val="0"/>
                    <w:kinsoku/>
                    <w:wordWrap/>
                    <w:overflowPunct/>
                    <w:topLinePunct w:val="0"/>
                    <w:autoSpaceDE/>
                    <w:autoSpaceDN/>
                    <w:bidi w:val="0"/>
                    <w:adjustRightInd w:val="0"/>
                    <w:snapToGrid w:val="0"/>
                    <w:ind w:right="-1"/>
                    <w:contextualSpacing/>
                    <w:jc w:val="center"/>
                    <w:textAlignment w:val="auto"/>
                    <w:rPr>
                      <w:szCs w:val="21"/>
                    </w:rPr>
                  </w:pPr>
                  <w:r>
                    <w:rPr>
                      <w:szCs w:val="21"/>
                    </w:rPr>
                    <w:t>单位</w:t>
                  </w:r>
                </w:p>
              </w:tc>
              <w:tc>
                <w:tcPr>
                  <w:tcW w:w="774" w:type="pct"/>
                  <w:tcBorders>
                    <w:tl2br w:val="nil"/>
                    <w:tr2bl w:val="nil"/>
                  </w:tcBorders>
                  <w:noWrap w:val="0"/>
                  <w:vAlign w:val="center"/>
                </w:tcPr>
                <w:p w14:paraId="62F49044">
                  <w:pPr>
                    <w:keepNext w:val="0"/>
                    <w:keepLines w:val="0"/>
                    <w:pageBreakBefore w:val="0"/>
                    <w:widowControl w:val="0"/>
                    <w:kinsoku/>
                    <w:wordWrap/>
                    <w:overflowPunct/>
                    <w:topLinePunct w:val="0"/>
                    <w:autoSpaceDE/>
                    <w:autoSpaceDN/>
                    <w:bidi w:val="0"/>
                    <w:adjustRightInd w:val="0"/>
                    <w:snapToGrid w:val="0"/>
                    <w:ind w:right="-1"/>
                    <w:contextualSpacing/>
                    <w:jc w:val="center"/>
                    <w:textAlignment w:val="auto"/>
                    <w:rPr>
                      <w:szCs w:val="21"/>
                    </w:rPr>
                  </w:pPr>
                  <w:r>
                    <w:rPr>
                      <w:szCs w:val="21"/>
                    </w:rPr>
                    <w:t>数量</w:t>
                  </w:r>
                </w:p>
              </w:tc>
              <w:tc>
                <w:tcPr>
                  <w:tcW w:w="910" w:type="pct"/>
                  <w:tcBorders>
                    <w:tl2br w:val="nil"/>
                    <w:tr2bl w:val="nil"/>
                  </w:tcBorders>
                  <w:noWrap w:val="0"/>
                  <w:vAlign w:val="center"/>
                </w:tcPr>
                <w:p w14:paraId="79D73314">
                  <w:pPr>
                    <w:keepNext w:val="0"/>
                    <w:keepLines w:val="0"/>
                    <w:pageBreakBefore w:val="0"/>
                    <w:widowControl w:val="0"/>
                    <w:kinsoku/>
                    <w:wordWrap/>
                    <w:overflowPunct/>
                    <w:topLinePunct w:val="0"/>
                    <w:autoSpaceDE/>
                    <w:autoSpaceDN/>
                    <w:bidi w:val="0"/>
                    <w:adjustRightInd w:val="0"/>
                    <w:snapToGrid w:val="0"/>
                    <w:ind w:right="-1"/>
                    <w:contextualSpacing/>
                    <w:jc w:val="center"/>
                    <w:textAlignment w:val="auto"/>
                    <w:rPr>
                      <w:szCs w:val="21"/>
                    </w:rPr>
                  </w:pPr>
                  <w:r>
                    <w:rPr>
                      <w:szCs w:val="21"/>
                    </w:rPr>
                    <w:t>备注</w:t>
                  </w:r>
                </w:p>
              </w:tc>
            </w:tr>
            <w:tr w14:paraId="0FA681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79" w:type="pct"/>
                  <w:tcBorders>
                    <w:tl2br w:val="nil"/>
                    <w:tr2bl w:val="nil"/>
                  </w:tcBorders>
                  <w:noWrap w:val="0"/>
                  <w:vAlign w:val="center"/>
                </w:tcPr>
                <w:p w14:paraId="0E4277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w:t>
                  </w:r>
                </w:p>
              </w:tc>
              <w:tc>
                <w:tcPr>
                  <w:tcW w:w="1147" w:type="pct"/>
                  <w:tcBorders>
                    <w:tl2br w:val="nil"/>
                    <w:tr2bl w:val="nil"/>
                  </w:tcBorders>
                  <w:noWrap w:val="0"/>
                  <w:vAlign w:val="top"/>
                </w:tcPr>
                <w:p w14:paraId="38E2C2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en-US"/>
                    </w:rPr>
                  </w:pPr>
                  <w:r>
                    <w:rPr>
                      <w:rFonts w:hint="eastAsia" w:ascii="Times New Roman" w:hAnsi="Times New Roman" w:eastAsia="宋体" w:cs="Times New Roman"/>
                      <w:color w:val="000000"/>
                      <w:szCs w:val="21"/>
                      <w:lang w:val="en-US" w:eastAsia="zh-CN"/>
                    </w:rPr>
                    <w:t>配煤机</w:t>
                  </w:r>
                </w:p>
              </w:tc>
              <w:tc>
                <w:tcPr>
                  <w:tcW w:w="1081" w:type="pct"/>
                  <w:tcBorders>
                    <w:tl2br w:val="nil"/>
                    <w:tr2bl w:val="nil"/>
                  </w:tcBorders>
                  <w:noWrap w:val="0"/>
                  <w:vAlign w:val="center"/>
                </w:tcPr>
                <w:p w14:paraId="67B57C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1500型</w:t>
                  </w:r>
                </w:p>
              </w:tc>
              <w:tc>
                <w:tcPr>
                  <w:tcW w:w="606" w:type="pct"/>
                  <w:tcBorders>
                    <w:tl2br w:val="nil"/>
                    <w:tr2bl w:val="nil"/>
                  </w:tcBorders>
                  <w:noWrap w:val="0"/>
                  <w:vAlign w:val="top"/>
                </w:tcPr>
                <w:p w14:paraId="2D9A09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台</w:t>
                  </w:r>
                </w:p>
              </w:tc>
              <w:tc>
                <w:tcPr>
                  <w:tcW w:w="774" w:type="pct"/>
                  <w:tcBorders>
                    <w:tl2br w:val="nil"/>
                    <w:tr2bl w:val="nil"/>
                  </w:tcBorders>
                  <w:noWrap w:val="0"/>
                  <w:vAlign w:val="top"/>
                </w:tcPr>
                <w:p w14:paraId="2A8C10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3</w:t>
                  </w:r>
                </w:p>
              </w:tc>
              <w:tc>
                <w:tcPr>
                  <w:tcW w:w="910" w:type="pct"/>
                  <w:tcBorders>
                    <w:tl2br w:val="nil"/>
                    <w:tr2bl w:val="nil"/>
                  </w:tcBorders>
                  <w:noWrap w:val="0"/>
                  <w:vAlign w:val="center"/>
                </w:tcPr>
                <w:p w14:paraId="18470E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p>
              </w:tc>
            </w:tr>
            <w:tr w14:paraId="0552F7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79" w:type="pct"/>
                  <w:tcBorders>
                    <w:tl2br w:val="nil"/>
                    <w:tr2bl w:val="nil"/>
                  </w:tcBorders>
                  <w:noWrap w:val="0"/>
                  <w:vAlign w:val="center"/>
                </w:tcPr>
                <w:p w14:paraId="18DD32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2</w:t>
                  </w:r>
                </w:p>
              </w:tc>
              <w:tc>
                <w:tcPr>
                  <w:tcW w:w="1147" w:type="pct"/>
                  <w:tcBorders>
                    <w:tl2br w:val="nil"/>
                    <w:tr2bl w:val="nil"/>
                  </w:tcBorders>
                  <w:noWrap w:val="0"/>
                  <w:vAlign w:val="top"/>
                </w:tcPr>
                <w:p w14:paraId="772C04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cs="Times New Roman"/>
                      <w:color w:val="000000"/>
                      <w:szCs w:val="21"/>
                      <w:lang w:val="en-US" w:eastAsia="zh-CN"/>
                    </w:rPr>
                    <w:t>筛分机</w:t>
                  </w:r>
                </w:p>
              </w:tc>
              <w:tc>
                <w:tcPr>
                  <w:tcW w:w="1081" w:type="pct"/>
                  <w:tcBorders>
                    <w:tl2br w:val="nil"/>
                    <w:tr2bl w:val="nil"/>
                  </w:tcBorders>
                  <w:noWrap w:val="0"/>
                  <w:vAlign w:val="center"/>
                </w:tcPr>
                <w:p w14:paraId="6523F2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r>
                    <w:rPr>
                      <w:rFonts w:hint="eastAsia" w:cs="Times New Roman"/>
                      <w:color w:val="000000"/>
                      <w:szCs w:val="21"/>
                      <w:lang w:val="en-US" w:eastAsia="zh-CN"/>
                    </w:rPr>
                    <w:t>/</w:t>
                  </w:r>
                </w:p>
              </w:tc>
              <w:tc>
                <w:tcPr>
                  <w:tcW w:w="606" w:type="pct"/>
                  <w:tcBorders>
                    <w:tl2br w:val="nil"/>
                    <w:tr2bl w:val="nil"/>
                  </w:tcBorders>
                  <w:noWrap w:val="0"/>
                  <w:vAlign w:val="top"/>
                </w:tcPr>
                <w:p w14:paraId="764543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台</w:t>
                  </w:r>
                </w:p>
              </w:tc>
              <w:tc>
                <w:tcPr>
                  <w:tcW w:w="774" w:type="pct"/>
                  <w:tcBorders>
                    <w:tl2br w:val="nil"/>
                    <w:tr2bl w:val="nil"/>
                  </w:tcBorders>
                  <w:noWrap w:val="0"/>
                  <w:vAlign w:val="top"/>
                </w:tcPr>
                <w:p w14:paraId="58AF09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cs="Times New Roman"/>
                      <w:color w:val="000000"/>
                      <w:szCs w:val="21"/>
                      <w:lang w:val="en-US" w:eastAsia="zh-CN"/>
                    </w:rPr>
                    <w:t>3</w:t>
                  </w:r>
                </w:p>
              </w:tc>
              <w:tc>
                <w:tcPr>
                  <w:tcW w:w="910" w:type="pct"/>
                  <w:tcBorders>
                    <w:tl2br w:val="nil"/>
                    <w:tr2bl w:val="nil"/>
                  </w:tcBorders>
                  <w:noWrap w:val="0"/>
                  <w:vAlign w:val="center"/>
                </w:tcPr>
                <w:p w14:paraId="520C73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p>
              </w:tc>
            </w:tr>
            <w:tr w14:paraId="0FDBB5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79" w:type="pct"/>
                  <w:tcBorders>
                    <w:tl2br w:val="nil"/>
                    <w:tr2bl w:val="nil"/>
                  </w:tcBorders>
                  <w:noWrap w:val="0"/>
                  <w:vAlign w:val="center"/>
                </w:tcPr>
                <w:p w14:paraId="3B0026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3</w:t>
                  </w:r>
                </w:p>
              </w:tc>
              <w:tc>
                <w:tcPr>
                  <w:tcW w:w="1147" w:type="pct"/>
                  <w:tcBorders>
                    <w:tl2br w:val="nil"/>
                    <w:tr2bl w:val="nil"/>
                  </w:tcBorders>
                  <w:noWrap w:val="0"/>
                  <w:vAlign w:val="top"/>
                </w:tcPr>
                <w:p w14:paraId="5802F6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en-US"/>
                    </w:rPr>
                  </w:pPr>
                  <w:r>
                    <w:rPr>
                      <w:rFonts w:hint="eastAsia" w:ascii="Times New Roman" w:hAnsi="Times New Roman" w:eastAsia="宋体" w:cs="Times New Roman"/>
                      <w:color w:val="000000"/>
                      <w:szCs w:val="21"/>
                      <w:lang w:val="en-US" w:eastAsia="zh-CN"/>
                    </w:rPr>
                    <w:t>地磅</w:t>
                  </w:r>
                </w:p>
              </w:tc>
              <w:tc>
                <w:tcPr>
                  <w:tcW w:w="1081" w:type="pct"/>
                  <w:tcBorders>
                    <w:tl2br w:val="nil"/>
                    <w:tr2bl w:val="nil"/>
                  </w:tcBorders>
                  <w:noWrap w:val="0"/>
                  <w:vAlign w:val="center"/>
                </w:tcPr>
                <w:p w14:paraId="6CC490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w:t>
                  </w:r>
                </w:p>
              </w:tc>
              <w:tc>
                <w:tcPr>
                  <w:tcW w:w="606" w:type="pct"/>
                  <w:tcBorders>
                    <w:tl2br w:val="nil"/>
                    <w:tr2bl w:val="nil"/>
                  </w:tcBorders>
                  <w:noWrap w:val="0"/>
                  <w:vAlign w:val="top"/>
                </w:tcPr>
                <w:p w14:paraId="0C3668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台</w:t>
                  </w:r>
                </w:p>
              </w:tc>
              <w:tc>
                <w:tcPr>
                  <w:tcW w:w="774" w:type="pct"/>
                  <w:tcBorders>
                    <w:tl2br w:val="nil"/>
                    <w:tr2bl w:val="nil"/>
                  </w:tcBorders>
                  <w:noWrap w:val="0"/>
                  <w:vAlign w:val="top"/>
                </w:tcPr>
                <w:p w14:paraId="197F9C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w:t>
                  </w:r>
                </w:p>
              </w:tc>
              <w:tc>
                <w:tcPr>
                  <w:tcW w:w="910" w:type="pct"/>
                  <w:tcBorders>
                    <w:tl2br w:val="nil"/>
                    <w:tr2bl w:val="nil"/>
                  </w:tcBorders>
                  <w:noWrap w:val="0"/>
                  <w:vAlign w:val="center"/>
                </w:tcPr>
                <w:p w14:paraId="07AC9C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p>
              </w:tc>
            </w:tr>
            <w:tr w14:paraId="5D6058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79" w:type="pct"/>
                  <w:tcBorders>
                    <w:tl2br w:val="nil"/>
                    <w:tr2bl w:val="nil"/>
                  </w:tcBorders>
                  <w:noWrap w:val="0"/>
                  <w:vAlign w:val="center"/>
                </w:tcPr>
                <w:p w14:paraId="2E1BBF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4</w:t>
                  </w:r>
                </w:p>
              </w:tc>
              <w:tc>
                <w:tcPr>
                  <w:tcW w:w="1147" w:type="pct"/>
                  <w:tcBorders>
                    <w:tl2br w:val="nil"/>
                    <w:tr2bl w:val="nil"/>
                  </w:tcBorders>
                  <w:noWrap w:val="0"/>
                  <w:vAlign w:val="top"/>
                </w:tcPr>
                <w:p w14:paraId="274A24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en-US"/>
                    </w:rPr>
                  </w:pPr>
                  <w:r>
                    <w:rPr>
                      <w:rFonts w:hint="eastAsia" w:ascii="Times New Roman" w:hAnsi="Times New Roman" w:eastAsia="宋体" w:cs="Times New Roman"/>
                      <w:color w:val="000000"/>
                      <w:szCs w:val="21"/>
                      <w:lang w:val="en-US" w:eastAsia="zh-CN"/>
                    </w:rPr>
                    <w:t>雾炮机</w:t>
                  </w:r>
                </w:p>
              </w:tc>
              <w:tc>
                <w:tcPr>
                  <w:tcW w:w="1081" w:type="pct"/>
                  <w:tcBorders>
                    <w:tl2br w:val="nil"/>
                    <w:tr2bl w:val="nil"/>
                  </w:tcBorders>
                  <w:noWrap w:val="0"/>
                  <w:vAlign w:val="center"/>
                </w:tcPr>
                <w:p w14:paraId="43AF41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w:t>
                  </w:r>
                </w:p>
              </w:tc>
              <w:tc>
                <w:tcPr>
                  <w:tcW w:w="606" w:type="pct"/>
                  <w:tcBorders>
                    <w:tl2br w:val="nil"/>
                    <w:tr2bl w:val="nil"/>
                  </w:tcBorders>
                  <w:noWrap w:val="0"/>
                  <w:vAlign w:val="top"/>
                </w:tcPr>
                <w:p w14:paraId="3DB165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台</w:t>
                  </w:r>
                </w:p>
              </w:tc>
              <w:tc>
                <w:tcPr>
                  <w:tcW w:w="774" w:type="pct"/>
                  <w:tcBorders>
                    <w:tl2br w:val="nil"/>
                    <w:tr2bl w:val="nil"/>
                  </w:tcBorders>
                  <w:noWrap w:val="0"/>
                  <w:vAlign w:val="top"/>
                </w:tcPr>
                <w:p w14:paraId="7FD77B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6</w:t>
                  </w:r>
                </w:p>
              </w:tc>
              <w:tc>
                <w:tcPr>
                  <w:tcW w:w="910" w:type="pct"/>
                  <w:tcBorders>
                    <w:tl2br w:val="nil"/>
                    <w:tr2bl w:val="nil"/>
                  </w:tcBorders>
                  <w:noWrap w:val="0"/>
                  <w:vAlign w:val="center"/>
                </w:tcPr>
                <w:p w14:paraId="2E5A5E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p>
              </w:tc>
            </w:tr>
            <w:tr w14:paraId="1413DF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79" w:type="pct"/>
                  <w:tcBorders>
                    <w:tl2br w:val="nil"/>
                    <w:tr2bl w:val="nil"/>
                  </w:tcBorders>
                  <w:noWrap w:val="0"/>
                  <w:vAlign w:val="center"/>
                </w:tcPr>
                <w:p w14:paraId="043F43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5</w:t>
                  </w:r>
                </w:p>
              </w:tc>
              <w:tc>
                <w:tcPr>
                  <w:tcW w:w="1147" w:type="pct"/>
                  <w:tcBorders>
                    <w:tl2br w:val="nil"/>
                    <w:tr2bl w:val="nil"/>
                  </w:tcBorders>
                  <w:noWrap w:val="0"/>
                  <w:vAlign w:val="top"/>
                </w:tcPr>
                <w:p w14:paraId="2A27D4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en-US"/>
                    </w:rPr>
                  </w:pPr>
                  <w:r>
                    <w:rPr>
                      <w:rFonts w:hint="eastAsia" w:ascii="Times New Roman" w:hAnsi="Times New Roman" w:eastAsia="宋体" w:cs="Times New Roman"/>
                      <w:color w:val="000000"/>
                      <w:szCs w:val="21"/>
                      <w:lang w:val="en-US" w:eastAsia="zh-CN"/>
                    </w:rPr>
                    <w:t>洗车平台</w:t>
                  </w:r>
                </w:p>
              </w:tc>
              <w:tc>
                <w:tcPr>
                  <w:tcW w:w="1081" w:type="pct"/>
                  <w:tcBorders>
                    <w:tl2br w:val="nil"/>
                    <w:tr2bl w:val="nil"/>
                  </w:tcBorders>
                  <w:noWrap w:val="0"/>
                  <w:vAlign w:val="center"/>
                </w:tcPr>
                <w:p w14:paraId="0D9AA2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w:t>
                  </w:r>
                </w:p>
              </w:tc>
              <w:tc>
                <w:tcPr>
                  <w:tcW w:w="606" w:type="pct"/>
                  <w:tcBorders>
                    <w:tl2br w:val="nil"/>
                    <w:tr2bl w:val="nil"/>
                  </w:tcBorders>
                  <w:noWrap w:val="0"/>
                  <w:vAlign w:val="top"/>
                </w:tcPr>
                <w:p w14:paraId="01B7FE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套</w:t>
                  </w:r>
                </w:p>
              </w:tc>
              <w:tc>
                <w:tcPr>
                  <w:tcW w:w="774" w:type="pct"/>
                  <w:tcBorders>
                    <w:tl2br w:val="nil"/>
                    <w:tr2bl w:val="nil"/>
                  </w:tcBorders>
                  <w:noWrap w:val="0"/>
                  <w:vAlign w:val="top"/>
                </w:tcPr>
                <w:p w14:paraId="359960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w:t>
                  </w:r>
                </w:p>
              </w:tc>
              <w:tc>
                <w:tcPr>
                  <w:tcW w:w="910" w:type="pct"/>
                  <w:tcBorders>
                    <w:tl2br w:val="nil"/>
                    <w:tr2bl w:val="nil"/>
                  </w:tcBorders>
                  <w:noWrap w:val="0"/>
                  <w:vAlign w:val="center"/>
                </w:tcPr>
                <w:p w14:paraId="08EC74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p>
              </w:tc>
            </w:tr>
            <w:tr w14:paraId="300A58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79" w:type="pct"/>
                  <w:tcBorders>
                    <w:tl2br w:val="nil"/>
                    <w:tr2bl w:val="nil"/>
                  </w:tcBorders>
                  <w:noWrap w:val="0"/>
                  <w:vAlign w:val="center"/>
                </w:tcPr>
                <w:p w14:paraId="6CFFF5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6</w:t>
                  </w:r>
                </w:p>
              </w:tc>
              <w:tc>
                <w:tcPr>
                  <w:tcW w:w="1147" w:type="pct"/>
                  <w:tcBorders>
                    <w:tl2br w:val="nil"/>
                    <w:tr2bl w:val="nil"/>
                  </w:tcBorders>
                  <w:noWrap w:val="0"/>
                  <w:vAlign w:val="top"/>
                </w:tcPr>
                <w:p w14:paraId="01523E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en-US"/>
                    </w:rPr>
                  </w:pPr>
                  <w:r>
                    <w:rPr>
                      <w:rFonts w:hint="eastAsia" w:ascii="Times New Roman" w:hAnsi="Times New Roman" w:eastAsia="宋体" w:cs="Times New Roman"/>
                      <w:color w:val="000000"/>
                      <w:szCs w:val="21"/>
                      <w:lang w:val="en-US" w:eastAsia="zh-CN"/>
                    </w:rPr>
                    <w:t>铲车</w:t>
                  </w:r>
                </w:p>
              </w:tc>
              <w:tc>
                <w:tcPr>
                  <w:tcW w:w="1081" w:type="pct"/>
                  <w:tcBorders>
                    <w:tl2br w:val="nil"/>
                    <w:tr2bl w:val="nil"/>
                  </w:tcBorders>
                  <w:noWrap w:val="0"/>
                  <w:vAlign w:val="center"/>
                </w:tcPr>
                <w:p w14:paraId="119136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w:t>
                  </w:r>
                </w:p>
              </w:tc>
              <w:tc>
                <w:tcPr>
                  <w:tcW w:w="606" w:type="pct"/>
                  <w:tcBorders>
                    <w:tl2br w:val="nil"/>
                    <w:tr2bl w:val="nil"/>
                  </w:tcBorders>
                  <w:noWrap w:val="0"/>
                  <w:vAlign w:val="top"/>
                </w:tcPr>
                <w:p w14:paraId="26FE7A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辆</w:t>
                  </w:r>
                </w:p>
              </w:tc>
              <w:tc>
                <w:tcPr>
                  <w:tcW w:w="774" w:type="pct"/>
                  <w:tcBorders>
                    <w:tl2br w:val="nil"/>
                    <w:tr2bl w:val="nil"/>
                  </w:tcBorders>
                  <w:noWrap w:val="0"/>
                  <w:vAlign w:val="top"/>
                </w:tcPr>
                <w:p w14:paraId="23CDE5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3</w:t>
                  </w:r>
                </w:p>
              </w:tc>
              <w:tc>
                <w:tcPr>
                  <w:tcW w:w="910" w:type="pct"/>
                  <w:tcBorders>
                    <w:tl2br w:val="nil"/>
                    <w:tr2bl w:val="nil"/>
                  </w:tcBorders>
                  <w:noWrap w:val="0"/>
                  <w:vAlign w:val="center"/>
                </w:tcPr>
                <w:p w14:paraId="1185FA5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p>
              </w:tc>
            </w:tr>
            <w:tr w14:paraId="1ACC43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noWrap w:val="0"/>
                  <w:vAlign w:val="top"/>
                </w:tcPr>
                <w:p w14:paraId="55E6B9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7</w:t>
                  </w:r>
                </w:p>
              </w:tc>
              <w:tc>
                <w:tcPr>
                  <w:tcW w:w="1147" w:type="pct"/>
                  <w:noWrap w:val="0"/>
                  <w:vAlign w:val="top"/>
                </w:tcPr>
                <w:p w14:paraId="4AE769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轮式装载机</w:t>
                  </w:r>
                </w:p>
              </w:tc>
              <w:tc>
                <w:tcPr>
                  <w:tcW w:w="1081" w:type="pct"/>
                  <w:noWrap w:val="0"/>
                  <w:vAlign w:val="top"/>
                </w:tcPr>
                <w:p w14:paraId="2467FF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ZL50E-3</w:t>
                  </w:r>
                </w:p>
              </w:tc>
              <w:tc>
                <w:tcPr>
                  <w:tcW w:w="606" w:type="pct"/>
                  <w:noWrap w:val="0"/>
                  <w:vAlign w:val="top"/>
                </w:tcPr>
                <w:p w14:paraId="450417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辆</w:t>
                  </w:r>
                </w:p>
              </w:tc>
              <w:tc>
                <w:tcPr>
                  <w:tcW w:w="774" w:type="pct"/>
                  <w:noWrap w:val="0"/>
                  <w:vAlign w:val="top"/>
                </w:tcPr>
                <w:p w14:paraId="4AB9C3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w:t>
                  </w:r>
                </w:p>
              </w:tc>
              <w:tc>
                <w:tcPr>
                  <w:tcW w:w="910" w:type="pct"/>
                  <w:noWrap w:val="0"/>
                  <w:vAlign w:val="top"/>
                </w:tcPr>
                <w:p w14:paraId="30597C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p>
              </w:tc>
            </w:tr>
            <w:tr w14:paraId="5428C5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noWrap w:val="0"/>
                  <w:vAlign w:val="top"/>
                </w:tcPr>
                <w:p w14:paraId="005C9E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8</w:t>
                  </w:r>
                </w:p>
              </w:tc>
              <w:tc>
                <w:tcPr>
                  <w:tcW w:w="1147" w:type="pct"/>
                  <w:noWrap w:val="0"/>
                  <w:vAlign w:val="top"/>
                </w:tcPr>
                <w:p w14:paraId="5E782F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轮式装载机</w:t>
                  </w:r>
                </w:p>
              </w:tc>
              <w:tc>
                <w:tcPr>
                  <w:tcW w:w="1081" w:type="pct"/>
                  <w:noWrap w:val="0"/>
                  <w:vAlign w:val="top"/>
                </w:tcPr>
                <w:p w14:paraId="0B1BAC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ZL50CN</w:t>
                  </w:r>
                </w:p>
              </w:tc>
              <w:tc>
                <w:tcPr>
                  <w:tcW w:w="606" w:type="pct"/>
                  <w:noWrap w:val="0"/>
                  <w:vAlign w:val="top"/>
                </w:tcPr>
                <w:p w14:paraId="040601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辆</w:t>
                  </w:r>
                </w:p>
              </w:tc>
              <w:tc>
                <w:tcPr>
                  <w:tcW w:w="774" w:type="pct"/>
                  <w:noWrap w:val="0"/>
                  <w:vAlign w:val="top"/>
                </w:tcPr>
                <w:p w14:paraId="104E40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w:t>
                  </w:r>
                </w:p>
              </w:tc>
              <w:tc>
                <w:tcPr>
                  <w:tcW w:w="910" w:type="pct"/>
                  <w:noWrap w:val="0"/>
                  <w:vAlign w:val="top"/>
                </w:tcPr>
                <w:p w14:paraId="41050C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p>
              </w:tc>
            </w:tr>
            <w:tr w14:paraId="45512A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noWrap w:val="0"/>
                  <w:vAlign w:val="top"/>
                </w:tcPr>
                <w:p w14:paraId="70BE88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9</w:t>
                  </w:r>
                </w:p>
              </w:tc>
              <w:tc>
                <w:tcPr>
                  <w:tcW w:w="1147" w:type="pct"/>
                  <w:noWrap w:val="0"/>
                  <w:vAlign w:val="top"/>
                </w:tcPr>
                <w:p w14:paraId="0C1CD8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装载机</w:t>
                  </w:r>
                </w:p>
              </w:tc>
              <w:tc>
                <w:tcPr>
                  <w:tcW w:w="1081" w:type="pct"/>
                  <w:noWrap w:val="0"/>
                  <w:vAlign w:val="top"/>
                </w:tcPr>
                <w:p w14:paraId="30893B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ZL50C</w:t>
                  </w:r>
                </w:p>
              </w:tc>
              <w:tc>
                <w:tcPr>
                  <w:tcW w:w="606" w:type="pct"/>
                  <w:noWrap w:val="0"/>
                  <w:vAlign w:val="top"/>
                </w:tcPr>
                <w:p w14:paraId="17EF80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辆</w:t>
                  </w:r>
                </w:p>
              </w:tc>
              <w:tc>
                <w:tcPr>
                  <w:tcW w:w="774" w:type="pct"/>
                  <w:noWrap w:val="0"/>
                  <w:vAlign w:val="top"/>
                </w:tcPr>
                <w:p w14:paraId="09B00A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1</w:t>
                  </w:r>
                </w:p>
              </w:tc>
              <w:tc>
                <w:tcPr>
                  <w:tcW w:w="910" w:type="pct"/>
                  <w:noWrap w:val="0"/>
                  <w:vAlign w:val="top"/>
                </w:tcPr>
                <w:p w14:paraId="68BD27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p>
              </w:tc>
            </w:tr>
            <w:tr w14:paraId="4EA82B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noWrap w:val="0"/>
                  <w:vAlign w:val="top"/>
                </w:tcPr>
                <w:p w14:paraId="3071B7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10</w:t>
                  </w:r>
                </w:p>
              </w:tc>
              <w:tc>
                <w:tcPr>
                  <w:tcW w:w="1147" w:type="pct"/>
                  <w:noWrap w:val="0"/>
                  <w:vAlign w:val="top"/>
                </w:tcPr>
                <w:p w14:paraId="759154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轮式装载机</w:t>
                  </w:r>
                </w:p>
              </w:tc>
              <w:tc>
                <w:tcPr>
                  <w:tcW w:w="1081" w:type="pct"/>
                  <w:noWrap w:val="0"/>
                  <w:vAlign w:val="top"/>
                </w:tcPr>
                <w:p w14:paraId="342058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CLG856EMAX</w:t>
                  </w:r>
                </w:p>
              </w:tc>
              <w:tc>
                <w:tcPr>
                  <w:tcW w:w="606" w:type="pct"/>
                  <w:noWrap w:val="0"/>
                  <w:vAlign w:val="top"/>
                </w:tcPr>
                <w:p w14:paraId="015BF3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辆</w:t>
                  </w:r>
                </w:p>
              </w:tc>
              <w:tc>
                <w:tcPr>
                  <w:tcW w:w="774" w:type="pct"/>
                  <w:noWrap w:val="0"/>
                  <w:vAlign w:val="top"/>
                </w:tcPr>
                <w:p w14:paraId="6AB0A3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1</w:t>
                  </w:r>
                </w:p>
              </w:tc>
              <w:tc>
                <w:tcPr>
                  <w:tcW w:w="910" w:type="pct"/>
                  <w:noWrap w:val="0"/>
                  <w:vAlign w:val="top"/>
                </w:tcPr>
                <w:p w14:paraId="3E7388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p>
              </w:tc>
            </w:tr>
            <w:tr w14:paraId="4CC0F9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noWrap w:val="0"/>
                  <w:vAlign w:val="top"/>
                </w:tcPr>
                <w:p w14:paraId="339FCA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11</w:t>
                  </w:r>
                </w:p>
              </w:tc>
              <w:tc>
                <w:tcPr>
                  <w:tcW w:w="1147" w:type="pct"/>
                  <w:noWrap w:val="0"/>
                  <w:vAlign w:val="top"/>
                </w:tcPr>
                <w:p w14:paraId="04CE76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轮式装载机</w:t>
                  </w:r>
                </w:p>
              </w:tc>
              <w:tc>
                <w:tcPr>
                  <w:tcW w:w="1081" w:type="pct"/>
                  <w:noWrap w:val="0"/>
                  <w:vAlign w:val="top"/>
                </w:tcPr>
                <w:p w14:paraId="13A40A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SEM652B</w:t>
                  </w:r>
                </w:p>
              </w:tc>
              <w:tc>
                <w:tcPr>
                  <w:tcW w:w="606" w:type="pct"/>
                  <w:noWrap w:val="0"/>
                  <w:vAlign w:val="top"/>
                </w:tcPr>
                <w:p w14:paraId="7A7BBB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辆</w:t>
                  </w:r>
                </w:p>
              </w:tc>
              <w:tc>
                <w:tcPr>
                  <w:tcW w:w="774" w:type="pct"/>
                  <w:noWrap w:val="0"/>
                  <w:vAlign w:val="top"/>
                </w:tcPr>
                <w:p w14:paraId="292998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1</w:t>
                  </w:r>
                </w:p>
              </w:tc>
              <w:tc>
                <w:tcPr>
                  <w:tcW w:w="910" w:type="pct"/>
                  <w:noWrap w:val="0"/>
                  <w:vAlign w:val="top"/>
                </w:tcPr>
                <w:p w14:paraId="4E3EDD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p>
              </w:tc>
            </w:tr>
            <w:tr w14:paraId="11871F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noWrap w:val="0"/>
                  <w:vAlign w:val="top"/>
                </w:tcPr>
                <w:p w14:paraId="5E3AF2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12</w:t>
                  </w:r>
                </w:p>
              </w:tc>
              <w:tc>
                <w:tcPr>
                  <w:tcW w:w="1147" w:type="pct"/>
                  <w:noWrap w:val="0"/>
                  <w:vAlign w:val="top"/>
                </w:tcPr>
                <w:p w14:paraId="52D256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en-US"/>
                    </w:rPr>
                  </w:pPr>
                  <w:r>
                    <w:rPr>
                      <w:rFonts w:hint="eastAsia" w:ascii="Times New Roman" w:hAnsi="Times New Roman" w:eastAsia="宋体" w:cs="Times New Roman"/>
                      <w:color w:val="000000"/>
                      <w:szCs w:val="21"/>
                      <w:lang w:val="en-US" w:eastAsia="zh-CN"/>
                    </w:rPr>
                    <w:t>洒水车</w:t>
                  </w:r>
                </w:p>
              </w:tc>
              <w:tc>
                <w:tcPr>
                  <w:tcW w:w="1081" w:type="pct"/>
                  <w:noWrap w:val="0"/>
                  <w:vAlign w:val="top"/>
                </w:tcPr>
                <w:p w14:paraId="60F49A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w:t>
                  </w:r>
                </w:p>
              </w:tc>
              <w:tc>
                <w:tcPr>
                  <w:tcW w:w="606" w:type="pct"/>
                  <w:noWrap w:val="0"/>
                  <w:vAlign w:val="top"/>
                </w:tcPr>
                <w:p w14:paraId="3FC9B3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辆</w:t>
                  </w:r>
                </w:p>
              </w:tc>
              <w:tc>
                <w:tcPr>
                  <w:tcW w:w="774" w:type="pct"/>
                  <w:noWrap w:val="0"/>
                  <w:vAlign w:val="top"/>
                </w:tcPr>
                <w:p w14:paraId="181861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w:t>
                  </w:r>
                </w:p>
              </w:tc>
              <w:tc>
                <w:tcPr>
                  <w:tcW w:w="910" w:type="pct"/>
                  <w:noWrap w:val="0"/>
                  <w:vAlign w:val="top"/>
                </w:tcPr>
                <w:p w14:paraId="2CE1C9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Cs w:val="21"/>
                      <w:lang w:val="en-US" w:eastAsia="zh-CN"/>
                    </w:rPr>
                  </w:pPr>
                </w:p>
              </w:tc>
            </w:tr>
          </w:tbl>
          <w:p w14:paraId="61F6F08F">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b/>
                <w:bCs/>
                <w:sz w:val="24"/>
              </w:rPr>
            </w:pPr>
            <w:r>
              <w:rPr>
                <w:rFonts w:hint="eastAsia"/>
                <w:b/>
                <w:bCs/>
                <w:sz w:val="24"/>
                <w:lang w:val="en-US" w:eastAsia="zh-CN"/>
              </w:rPr>
              <w:t>3.</w:t>
            </w:r>
            <w:r>
              <w:rPr>
                <w:rFonts w:hint="eastAsia" w:ascii="宋体" w:hAnsi="宋体" w:eastAsia="宋体" w:cs="宋体"/>
                <w:b/>
                <w:bCs/>
                <w:sz w:val="24"/>
              </w:rPr>
              <w:t>产品方案</w:t>
            </w:r>
          </w:p>
          <w:p w14:paraId="4F916A0D">
            <w:pPr>
              <w:spacing w:line="360" w:lineRule="auto"/>
              <w:ind w:firstLine="480" w:firstLineChars="200"/>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本项目</w:t>
            </w:r>
            <w:r>
              <w:rPr>
                <w:rFonts w:hint="eastAsia" w:ascii="Times New Roman" w:hAnsi="Times New Roman" w:eastAsia="宋体" w:cs="Times New Roman"/>
                <w:sz w:val="24"/>
                <w:lang w:eastAsia="zh-CN"/>
              </w:rPr>
              <w:t>煤棚最大储存量5000吨，计划年储运销售煤炭5万吨，根据客户需求对存储的煤炭进行配煤。具体的产品方案见下表。</w:t>
            </w:r>
          </w:p>
          <w:p w14:paraId="19655A24">
            <w:pPr>
              <w:spacing w:line="360" w:lineRule="auto"/>
              <w:ind w:firstLine="422" w:firstLineChars="200"/>
              <w:jc w:val="center"/>
              <w:rPr>
                <w:b/>
                <w:sz w:val="21"/>
                <w:szCs w:val="21"/>
              </w:rPr>
            </w:pPr>
            <w:r>
              <w:rPr>
                <w:b/>
                <w:sz w:val="21"/>
                <w:szCs w:val="21"/>
              </w:rPr>
              <w:t>表</w:t>
            </w:r>
            <w:r>
              <w:rPr>
                <w:rFonts w:hint="eastAsia"/>
                <w:b/>
                <w:sz w:val="21"/>
                <w:szCs w:val="21"/>
                <w:lang w:val="en-US" w:eastAsia="zh-CN"/>
              </w:rPr>
              <w:t>2-3</w:t>
            </w:r>
            <w:r>
              <w:rPr>
                <w:b/>
                <w:sz w:val="21"/>
                <w:szCs w:val="21"/>
              </w:rPr>
              <w:t>项目产品方案</w:t>
            </w:r>
          </w:p>
          <w:tbl>
            <w:tblPr>
              <w:tblStyle w:val="25"/>
              <w:tblW w:w="4950" w:type="pct"/>
              <w:tblInd w:w="11"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963"/>
              <w:gridCol w:w="1262"/>
              <w:gridCol w:w="2269"/>
              <w:gridCol w:w="1846"/>
            </w:tblGrid>
            <w:tr w14:paraId="09210E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969" w:type="pct"/>
                  <w:tcBorders>
                    <w:tl2br w:val="nil"/>
                    <w:tr2bl w:val="nil"/>
                  </w:tcBorders>
                  <w:noWrap w:val="0"/>
                  <w:vAlign w:val="center"/>
                </w:tcPr>
                <w:p w14:paraId="00A0FD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r>
                    <w:t>产品名称</w:t>
                  </w:r>
                </w:p>
              </w:tc>
              <w:tc>
                <w:tcPr>
                  <w:tcW w:w="612" w:type="pct"/>
                  <w:tcBorders>
                    <w:tl2br w:val="nil"/>
                    <w:tr2bl w:val="nil"/>
                  </w:tcBorders>
                  <w:noWrap w:val="0"/>
                  <w:vAlign w:val="center"/>
                </w:tcPr>
                <w:p w14:paraId="375FC5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r>
                    <w:rPr>
                      <w:spacing w:val="3"/>
                      <w:sz w:val="20"/>
                      <w:szCs w:val="20"/>
                    </w:rPr>
                    <w:t>数量</w:t>
                  </w:r>
                </w:p>
              </w:tc>
              <w:tc>
                <w:tcPr>
                  <w:tcW w:w="802" w:type="pct"/>
                  <w:tcBorders>
                    <w:tl2br w:val="nil"/>
                    <w:tr2bl w:val="nil"/>
                  </w:tcBorders>
                  <w:noWrap w:val="0"/>
                  <w:vAlign w:val="center"/>
                </w:tcPr>
                <w:p w14:paraId="38F223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r>
                    <w:rPr>
                      <w:rFonts w:hint="eastAsia"/>
                      <w:lang w:val="en-US" w:eastAsia="zh-CN"/>
                    </w:rPr>
                    <w:t>单位</w:t>
                  </w:r>
                  <w:r>
                    <w:t>（</w:t>
                  </w:r>
                  <w:r>
                    <w:rPr>
                      <w:rFonts w:hint="eastAsia"/>
                    </w:rPr>
                    <w:t>t</w:t>
                  </w:r>
                  <w:r>
                    <w:t>/a）</w:t>
                  </w:r>
                </w:p>
              </w:tc>
              <w:tc>
                <w:tcPr>
                  <w:tcW w:w="1442" w:type="pct"/>
                  <w:tcBorders>
                    <w:tl2br w:val="nil"/>
                    <w:tr2bl w:val="nil"/>
                  </w:tcBorders>
                  <w:noWrap w:val="0"/>
                  <w:vAlign w:val="center"/>
                </w:tcPr>
                <w:p w14:paraId="06C0C4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r>
                    <w:rPr>
                      <w:spacing w:val="4"/>
                      <w:sz w:val="20"/>
                      <w:szCs w:val="20"/>
                    </w:rPr>
                    <w:t>来源</w:t>
                  </w:r>
                </w:p>
              </w:tc>
              <w:tc>
                <w:tcPr>
                  <w:tcW w:w="1173" w:type="pct"/>
                  <w:tcBorders>
                    <w:tl2br w:val="nil"/>
                    <w:tr2bl w:val="nil"/>
                  </w:tcBorders>
                  <w:noWrap w:val="0"/>
                  <w:vAlign w:val="center"/>
                </w:tcPr>
                <w:p w14:paraId="0C3498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lang w:val="en-US" w:eastAsia="zh-CN"/>
                    </w:rPr>
                  </w:pPr>
                  <w:r>
                    <w:rPr>
                      <w:spacing w:val="4"/>
                      <w:sz w:val="20"/>
                      <w:szCs w:val="20"/>
                    </w:rPr>
                    <w:t>运输</w:t>
                  </w:r>
                  <w:r>
                    <w:rPr>
                      <w:rFonts w:hint="eastAsia"/>
                      <w:spacing w:val="4"/>
                      <w:sz w:val="20"/>
                      <w:szCs w:val="20"/>
                      <w:lang w:val="en-US" w:eastAsia="zh-CN"/>
                    </w:rPr>
                    <w:t>方式</w:t>
                  </w:r>
                </w:p>
              </w:tc>
            </w:tr>
            <w:tr w14:paraId="3B0A3A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969" w:type="pct"/>
                  <w:tcBorders>
                    <w:tl2br w:val="nil"/>
                    <w:tr2bl w:val="nil"/>
                  </w:tcBorders>
                  <w:noWrap w:val="0"/>
                  <w:vAlign w:val="center"/>
                </w:tcPr>
                <w:p w14:paraId="36F177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煤炭（褐煤）</w:t>
                  </w:r>
                </w:p>
              </w:tc>
              <w:tc>
                <w:tcPr>
                  <w:tcW w:w="612" w:type="pct"/>
                  <w:tcBorders>
                    <w:tl2br w:val="nil"/>
                    <w:tr2bl w:val="nil"/>
                  </w:tcBorders>
                  <w:noWrap w:val="0"/>
                  <w:vAlign w:val="center"/>
                </w:tcPr>
                <w:p w14:paraId="3214BB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50000</w:t>
                  </w:r>
                </w:p>
              </w:tc>
              <w:tc>
                <w:tcPr>
                  <w:tcW w:w="802" w:type="pct"/>
                  <w:tcBorders>
                    <w:tl2br w:val="nil"/>
                    <w:tr2bl w:val="nil"/>
                  </w:tcBorders>
                  <w:noWrap w:val="0"/>
                  <w:vAlign w:val="center"/>
                </w:tcPr>
                <w:p w14:paraId="5EA0A6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t</w:t>
                  </w:r>
                </w:p>
              </w:tc>
              <w:tc>
                <w:tcPr>
                  <w:tcW w:w="1442" w:type="pct"/>
                  <w:tcBorders>
                    <w:tl2br w:val="nil"/>
                    <w:tr2bl w:val="nil"/>
                  </w:tcBorders>
                  <w:noWrap w:val="0"/>
                  <w:vAlign w:val="top"/>
                </w:tcPr>
                <w:p w14:paraId="756205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lang w:val="en-US" w:eastAsia="en-US"/>
                    </w:rPr>
                  </w:pPr>
                  <w:r>
                    <w:rPr>
                      <w:rFonts w:hint="eastAsia" w:ascii="Times New Roman" w:hAnsi="Times New Roman" w:eastAsia="宋体" w:cs="Times New Roman"/>
                      <w:lang w:val="en-US" w:eastAsia="zh-CN"/>
                    </w:rPr>
                    <w:t>塔什店镇周边煤矿</w:t>
                  </w:r>
                </w:p>
              </w:tc>
              <w:tc>
                <w:tcPr>
                  <w:tcW w:w="1173" w:type="pct"/>
                  <w:tcBorders>
                    <w:tl2br w:val="nil"/>
                    <w:tr2bl w:val="nil"/>
                  </w:tcBorders>
                  <w:noWrap w:val="0"/>
                  <w:vAlign w:val="top"/>
                </w:tcPr>
                <w:p w14:paraId="438F31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lang w:val="en-US" w:eastAsia="en-US"/>
                    </w:rPr>
                  </w:pPr>
                  <w:r>
                    <w:rPr>
                      <w:rFonts w:hint="eastAsia" w:ascii="Times New Roman" w:hAnsi="Times New Roman" w:eastAsia="宋体" w:cs="Times New Roman"/>
                      <w:lang w:val="en-US" w:eastAsia="zh-CN"/>
                    </w:rPr>
                    <w:t>汽车运输</w:t>
                  </w:r>
                </w:p>
              </w:tc>
            </w:tr>
          </w:tbl>
          <w:p w14:paraId="3263072F">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eastAsia" w:ascii="宋体" w:hAnsi="宋体" w:cs="宋体"/>
                <w:b/>
                <w:bCs/>
                <w:sz w:val="24"/>
              </w:rPr>
            </w:pPr>
            <w:r>
              <w:rPr>
                <w:rFonts w:hint="eastAsia"/>
                <w:b/>
                <w:sz w:val="24"/>
                <w:lang w:val="en-US" w:eastAsia="zh-CN"/>
              </w:rPr>
              <w:t>4.</w:t>
            </w:r>
            <w:r>
              <w:rPr>
                <w:rFonts w:hint="eastAsia" w:ascii="宋体" w:hAnsi="宋体" w:cs="宋体"/>
                <w:b/>
                <w:bCs/>
                <w:sz w:val="24"/>
              </w:rPr>
              <w:t>主要原辅材料</w:t>
            </w:r>
          </w:p>
          <w:p w14:paraId="7915179E">
            <w:pPr>
              <w:spacing w:line="360" w:lineRule="auto"/>
              <w:ind w:firstLine="480" w:firstLineChars="200"/>
              <w:rPr>
                <w:rFonts w:hint="eastAsia" w:ascii="宋体" w:hAnsi="宋体" w:cs="宋体"/>
                <w:sz w:val="24"/>
              </w:rPr>
            </w:pPr>
            <w:r>
              <w:rPr>
                <w:rFonts w:hint="eastAsia" w:ascii="宋体" w:hAnsi="宋体" w:cs="宋体"/>
                <w:sz w:val="24"/>
              </w:rPr>
              <w:t>本</w:t>
            </w:r>
            <w:r>
              <w:rPr>
                <w:rFonts w:hint="eastAsia" w:ascii="宋体" w:hAnsi="宋体" w:eastAsia="宋体" w:cs="宋体"/>
                <w:sz w:val="24"/>
              </w:rPr>
              <w:t>项目煤炭来自塔什店镇周边煤矿，通过汽车运输至本项目场地。所</w:t>
            </w:r>
            <w:r>
              <w:rPr>
                <w:rFonts w:hint="eastAsia" w:ascii="宋体" w:hAnsi="宋体" w:cs="宋体"/>
                <w:sz w:val="24"/>
              </w:rPr>
              <w:t>需主要原辅材料、能源消耗及来源见表</w:t>
            </w:r>
            <w:r>
              <w:rPr>
                <w:rFonts w:hint="eastAsia" w:ascii="宋体" w:hAnsi="宋体" w:cs="宋体"/>
                <w:sz w:val="24"/>
                <w:lang w:val="en-US" w:eastAsia="zh-CN"/>
              </w:rPr>
              <w:t>2-4</w:t>
            </w:r>
            <w:r>
              <w:rPr>
                <w:rFonts w:hint="eastAsia" w:ascii="宋体" w:hAnsi="宋体" w:cs="宋体"/>
                <w:sz w:val="24"/>
              </w:rPr>
              <w:t>。</w:t>
            </w:r>
          </w:p>
          <w:p w14:paraId="5C564CDD">
            <w:pPr>
              <w:pStyle w:val="55"/>
              <w:jc w:val="center"/>
              <w:rPr>
                <w:rFonts w:hint="eastAsia" w:hAnsi="宋体"/>
                <w:b/>
                <w:bCs w:val="0"/>
                <w:color w:val="auto"/>
                <w:sz w:val="21"/>
                <w:szCs w:val="21"/>
              </w:rPr>
            </w:pPr>
            <w:r>
              <w:rPr>
                <w:rFonts w:hint="eastAsia" w:hAnsi="宋体"/>
                <w:b/>
                <w:bCs w:val="0"/>
                <w:color w:val="auto"/>
                <w:sz w:val="21"/>
                <w:szCs w:val="21"/>
              </w:rPr>
              <w:t>表</w:t>
            </w:r>
            <w:r>
              <w:rPr>
                <w:rFonts w:hint="eastAsia" w:hAnsi="宋体"/>
                <w:b/>
                <w:bCs w:val="0"/>
                <w:color w:val="auto"/>
                <w:sz w:val="21"/>
                <w:szCs w:val="21"/>
                <w:lang w:val="en-US" w:eastAsia="zh-CN"/>
              </w:rPr>
              <w:t>2-4</w:t>
            </w:r>
            <w:r>
              <w:rPr>
                <w:rFonts w:hint="eastAsia" w:hAnsi="宋体"/>
                <w:b/>
                <w:bCs w:val="0"/>
                <w:color w:val="auto"/>
                <w:sz w:val="21"/>
                <w:szCs w:val="21"/>
              </w:rPr>
              <w:t xml:space="preserve"> 项目主要原辅材料、能源消耗和来源一览表</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20"/>
              <w:gridCol w:w="1107"/>
              <w:gridCol w:w="1320"/>
              <w:gridCol w:w="1790"/>
              <w:gridCol w:w="1800"/>
            </w:tblGrid>
            <w:tr w14:paraId="52C063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54" w:type="pct"/>
                  <w:tcBorders>
                    <w:tl2br w:val="nil"/>
                    <w:tr2bl w:val="nil"/>
                  </w:tcBorders>
                  <w:noWrap w:val="0"/>
                  <w:vAlign w:val="center"/>
                </w:tcPr>
                <w:p w14:paraId="78DC4952">
                  <w:pPr>
                    <w:pStyle w:val="58"/>
                    <w:keepNext w:val="0"/>
                    <w:keepLines w:val="0"/>
                    <w:pageBreakBefore w:val="0"/>
                    <w:kinsoku/>
                    <w:topLinePunct w:val="0"/>
                    <w:bidi w:val="0"/>
                    <w:adjustRightInd w:val="0"/>
                    <w:snapToGrid w:val="0"/>
                    <w:textAlignment w:val="auto"/>
                    <w:rPr>
                      <w:rFonts w:hint="default" w:ascii="Times New Roman" w:hAnsi="Times New Roman" w:eastAsia="宋体" w:cs="Times New Roman"/>
                      <w:bCs w:val="0"/>
                      <w:color w:val="000000"/>
                      <w:sz w:val="21"/>
                      <w:szCs w:val="21"/>
                      <w:highlight w:val="none"/>
                      <w:lang w:eastAsia="zh-CN"/>
                    </w:rPr>
                  </w:pPr>
                  <w:r>
                    <w:rPr>
                      <w:rFonts w:hint="default" w:ascii="Times New Roman" w:hAnsi="Times New Roman" w:eastAsia="宋体" w:cs="Times New Roman"/>
                      <w:bCs w:val="0"/>
                      <w:color w:val="000000"/>
                      <w:sz w:val="21"/>
                      <w:szCs w:val="21"/>
                      <w:highlight w:val="none"/>
                    </w:rPr>
                    <w:t>序</w:t>
                  </w:r>
                  <w:r>
                    <w:rPr>
                      <w:rFonts w:hint="default" w:ascii="Times New Roman" w:hAnsi="Times New Roman" w:eastAsia="宋体" w:cs="Times New Roman"/>
                      <w:bCs w:val="0"/>
                      <w:color w:val="000000"/>
                      <w:sz w:val="21"/>
                      <w:szCs w:val="21"/>
                      <w:highlight w:val="none"/>
                      <w:lang w:eastAsia="zh-CN"/>
                    </w:rPr>
                    <w:t>号</w:t>
                  </w:r>
                </w:p>
              </w:tc>
              <w:tc>
                <w:tcPr>
                  <w:tcW w:w="956" w:type="pct"/>
                  <w:tcBorders>
                    <w:tl2br w:val="nil"/>
                    <w:tr2bl w:val="nil"/>
                  </w:tcBorders>
                  <w:noWrap w:val="0"/>
                  <w:vAlign w:val="center"/>
                </w:tcPr>
                <w:p w14:paraId="7D4A2F56">
                  <w:pPr>
                    <w:pStyle w:val="58"/>
                    <w:keepNext w:val="0"/>
                    <w:keepLines w:val="0"/>
                    <w:pageBreakBefore w:val="0"/>
                    <w:kinsoku/>
                    <w:topLinePunct w:val="0"/>
                    <w:bidi w:val="0"/>
                    <w:adjustRightInd w:val="0"/>
                    <w:snapToGrid w:val="0"/>
                    <w:textAlignment w:val="auto"/>
                    <w:rPr>
                      <w:rFonts w:hint="default" w:ascii="Times New Roman" w:hAnsi="Times New Roman" w:eastAsia="宋体" w:cs="Times New Roman"/>
                      <w:bCs w:val="0"/>
                      <w:color w:val="000000"/>
                      <w:sz w:val="21"/>
                      <w:szCs w:val="21"/>
                      <w:highlight w:val="none"/>
                      <w:lang w:eastAsia="zh-CN"/>
                    </w:rPr>
                  </w:pPr>
                  <w:r>
                    <w:rPr>
                      <w:rFonts w:hint="default" w:ascii="Times New Roman" w:hAnsi="Times New Roman" w:eastAsia="宋体" w:cs="Times New Roman"/>
                      <w:bCs w:val="0"/>
                      <w:color w:val="000000"/>
                      <w:sz w:val="21"/>
                      <w:szCs w:val="21"/>
                      <w:highlight w:val="none"/>
                      <w:lang w:eastAsia="zh-CN"/>
                    </w:rPr>
                    <w:t>名称</w:t>
                  </w:r>
                </w:p>
              </w:tc>
              <w:tc>
                <w:tcPr>
                  <w:tcW w:w="696" w:type="pct"/>
                  <w:tcBorders>
                    <w:tl2br w:val="nil"/>
                    <w:tr2bl w:val="nil"/>
                  </w:tcBorders>
                  <w:noWrap w:val="0"/>
                  <w:vAlign w:val="center"/>
                </w:tcPr>
                <w:p w14:paraId="2A6AF0B6">
                  <w:pPr>
                    <w:pStyle w:val="58"/>
                    <w:keepNext w:val="0"/>
                    <w:keepLines w:val="0"/>
                    <w:pageBreakBefore w:val="0"/>
                    <w:kinsoku/>
                    <w:topLinePunct w:val="0"/>
                    <w:bidi w:val="0"/>
                    <w:adjustRightInd w:val="0"/>
                    <w:snapToGrid w:val="0"/>
                    <w:textAlignment w:val="auto"/>
                    <w:rPr>
                      <w:rFonts w:hint="default" w:ascii="Times New Roman" w:hAnsi="Times New Roman" w:eastAsia="宋体" w:cs="Times New Roman"/>
                      <w:bCs w:val="0"/>
                      <w:color w:val="000000"/>
                      <w:sz w:val="21"/>
                      <w:szCs w:val="21"/>
                      <w:highlight w:val="none"/>
                    </w:rPr>
                  </w:pPr>
                  <w:r>
                    <w:rPr>
                      <w:rFonts w:hint="default" w:ascii="Times New Roman" w:hAnsi="Times New Roman" w:eastAsia="宋体" w:cs="Times New Roman"/>
                      <w:bCs w:val="0"/>
                      <w:color w:val="000000"/>
                      <w:sz w:val="21"/>
                      <w:szCs w:val="21"/>
                      <w:highlight w:val="none"/>
                    </w:rPr>
                    <w:t>单位</w:t>
                  </w:r>
                </w:p>
              </w:tc>
              <w:tc>
                <w:tcPr>
                  <w:tcW w:w="831" w:type="pct"/>
                  <w:tcBorders>
                    <w:tl2br w:val="nil"/>
                    <w:tr2bl w:val="nil"/>
                  </w:tcBorders>
                  <w:noWrap w:val="0"/>
                  <w:vAlign w:val="center"/>
                </w:tcPr>
                <w:p w14:paraId="1D1B65F2">
                  <w:pPr>
                    <w:pStyle w:val="58"/>
                    <w:keepNext w:val="0"/>
                    <w:keepLines w:val="0"/>
                    <w:pageBreakBefore w:val="0"/>
                    <w:kinsoku/>
                    <w:topLinePunct w:val="0"/>
                    <w:bidi w:val="0"/>
                    <w:adjustRightInd w:val="0"/>
                    <w:snapToGrid w:val="0"/>
                    <w:textAlignment w:val="auto"/>
                    <w:rPr>
                      <w:rFonts w:hint="default" w:ascii="Times New Roman" w:hAnsi="Times New Roman" w:eastAsia="宋体" w:cs="Times New Roman"/>
                      <w:bCs w:val="0"/>
                      <w:color w:val="000000"/>
                      <w:sz w:val="21"/>
                      <w:szCs w:val="21"/>
                      <w:highlight w:val="none"/>
                      <w:lang w:eastAsia="zh-CN"/>
                    </w:rPr>
                  </w:pPr>
                  <w:r>
                    <w:rPr>
                      <w:rFonts w:hint="default" w:ascii="Times New Roman" w:hAnsi="Times New Roman" w:eastAsia="宋体" w:cs="Times New Roman"/>
                      <w:bCs w:val="0"/>
                      <w:color w:val="000000"/>
                      <w:sz w:val="21"/>
                      <w:szCs w:val="21"/>
                      <w:highlight w:val="none"/>
                    </w:rPr>
                    <w:t>年</w:t>
                  </w:r>
                  <w:r>
                    <w:rPr>
                      <w:rFonts w:hint="default" w:ascii="Times New Roman" w:hAnsi="Times New Roman" w:eastAsia="宋体" w:cs="Times New Roman"/>
                      <w:bCs w:val="0"/>
                      <w:color w:val="000000"/>
                      <w:sz w:val="21"/>
                      <w:szCs w:val="21"/>
                      <w:highlight w:val="none"/>
                      <w:lang w:eastAsia="zh-CN"/>
                    </w:rPr>
                    <w:t>用量</w:t>
                  </w:r>
                </w:p>
              </w:tc>
              <w:tc>
                <w:tcPr>
                  <w:tcW w:w="1126" w:type="pct"/>
                  <w:tcBorders>
                    <w:tl2br w:val="nil"/>
                    <w:tr2bl w:val="nil"/>
                  </w:tcBorders>
                  <w:noWrap w:val="0"/>
                  <w:vAlign w:val="center"/>
                </w:tcPr>
                <w:p w14:paraId="05F6152F">
                  <w:pPr>
                    <w:pStyle w:val="58"/>
                    <w:keepNext w:val="0"/>
                    <w:keepLines w:val="0"/>
                    <w:pageBreakBefore w:val="0"/>
                    <w:kinsoku/>
                    <w:topLinePunct w:val="0"/>
                    <w:bidi w:val="0"/>
                    <w:adjustRightInd w:val="0"/>
                    <w:snapToGrid w:val="0"/>
                    <w:textAlignment w:val="auto"/>
                    <w:rPr>
                      <w:rFonts w:hint="default" w:ascii="Times New Roman" w:hAnsi="Times New Roman" w:eastAsia="宋体" w:cs="Times New Roman"/>
                      <w:bCs w:val="0"/>
                      <w:color w:val="000000"/>
                      <w:sz w:val="21"/>
                      <w:szCs w:val="21"/>
                      <w:highlight w:val="none"/>
                      <w:lang w:eastAsia="zh-CN"/>
                    </w:rPr>
                  </w:pPr>
                  <w:r>
                    <w:rPr>
                      <w:rFonts w:hint="default" w:ascii="Times New Roman" w:hAnsi="Times New Roman" w:eastAsia="宋体" w:cs="Times New Roman"/>
                      <w:bCs w:val="0"/>
                      <w:color w:val="000000"/>
                      <w:sz w:val="21"/>
                      <w:szCs w:val="21"/>
                      <w:highlight w:val="none"/>
                      <w:lang w:eastAsia="zh-CN"/>
                    </w:rPr>
                    <w:t>来源</w:t>
                  </w:r>
                </w:p>
              </w:tc>
              <w:tc>
                <w:tcPr>
                  <w:tcW w:w="1133" w:type="pct"/>
                  <w:tcBorders>
                    <w:tl2br w:val="nil"/>
                    <w:tr2bl w:val="nil"/>
                  </w:tcBorders>
                  <w:noWrap w:val="0"/>
                  <w:vAlign w:val="center"/>
                </w:tcPr>
                <w:p w14:paraId="47800EC1">
                  <w:pPr>
                    <w:pStyle w:val="58"/>
                    <w:keepNext w:val="0"/>
                    <w:keepLines w:val="0"/>
                    <w:pageBreakBefore w:val="0"/>
                    <w:kinsoku/>
                    <w:topLinePunct w:val="0"/>
                    <w:bidi w:val="0"/>
                    <w:adjustRightInd w:val="0"/>
                    <w:snapToGrid w:val="0"/>
                    <w:textAlignment w:val="auto"/>
                    <w:rPr>
                      <w:rFonts w:hint="default" w:ascii="Times New Roman" w:hAnsi="Times New Roman" w:eastAsia="宋体" w:cs="Times New Roman"/>
                      <w:bCs w:val="0"/>
                      <w:color w:val="000000"/>
                      <w:sz w:val="21"/>
                      <w:szCs w:val="21"/>
                      <w:highlight w:val="none"/>
                      <w:lang w:eastAsia="zh-CN"/>
                    </w:rPr>
                  </w:pPr>
                  <w:r>
                    <w:rPr>
                      <w:rFonts w:hint="default" w:ascii="Times New Roman" w:hAnsi="Times New Roman" w:eastAsia="宋体" w:cs="Times New Roman"/>
                      <w:bCs w:val="0"/>
                      <w:color w:val="000000"/>
                      <w:sz w:val="21"/>
                      <w:szCs w:val="21"/>
                      <w:highlight w:val="none"/>
                      <w:lang w:eastAsia="zh-CN"/>
                    </w:rPr>
                    <w:t>储存方式</w:t>
                  </w:r>
                </w:p>
              </w:tc>
            </w:tr>
            <w:tr w14:paraId="20F905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5" w:hRule="atLeast"/>
                <w:jc w:val="center"/>
              </w:trPr>
              <w:tc>
                <w:tcPr>
                  <w:tcW w:w="254" w:type="pct"/>
                  <w:tcBorders>
                    <w:tl2br w:val="nil"/>
                    <w:tr2bl w:val="nil"/>
                  </w:tcBorders>
                  <w:noWrap w:val="0"/>
                  <w:vAlign w:val="center"/>
                </w:tcPr>
                <w:p w14:paraId="114E450D">
                  <w:pPr>
                    <w:pStyle w:val="58"/>
                    <w:keepNext w:val="0"/>
                    <w:keepLines w:val="0"/>
                    <w:pageBreakBefore w:val="0"/>
                    <w:kinsoku/>
                    <w:topLinePunct w:val="0"/>
                    <w:bidi w:val="0"/>
                    <w:adjustRightInd w:val="0"/>
                    <w:snapToGrid w:val="0"/>
                    <w:textAlignment w:val="auto"/>
                    <w:rPr>
                      <w:rFonts w:hint="default" w:ascii="Times New Roman" w:hAnsi="Times New Roman" w:eastAsia="宋体" w:cs="Times New Roman"/>
                      <w:bCs w:val="0"/>
                      <w:color w:val="000000"/>
                      <w:sz w:val="21"/>
                      <w:szCs w:val="21"/>
                      <w:highlight w:val="none"/>
                      <w:lang w:val="en-US" w:eastAsia="zh-CN"/>
                    </w:rPr>
                  </w:pPr>
                  <w:r>
                    <w:rPr>
                      <w:rFonts w:hint="default" w:ascii="Times New Roman" w:hAnsi="Times New Roman" w:eastAsia="宋体" w:cs="Times New Roman"/>
                      <w:bCs w:val="0"/>
                      <w:color w:val="000000"/>
                      <w:sz w:val="21"/>
                      <w:szCs w:val="21"/>
                      <w:highlight w:val="none"/>
                      <w:lang w:val="en-US" w:eastAsia="zh-CN"/>
                    </w:rPr>
                    <w:t>1</w:t>
                  </w:r>
                </w:p>
              </w:tc>
              <w:tc>
                <w:tcPr>
                  <w:tcW w:w="956" w:type="pct"/>
                  <w:tcBorders>
                    <w:tl2br w:val="nil"/>
                    <w:tr2bl w:val="nil"/>
                  </w:tcBorders>
                  <w:noWrap w:val="0"/>
                  <w:vAlign w:val="center"/>
                </w:tcPr>
                <w:p w14:paraId="295DDD1D">
                  <w:pPr>
                    <w:pStyle w:val="58"/>
                    <w:keepNext w:val="0"/>
                    <w:keepLines w:val="0"/>
                    <w:pageBreakBefore w:val="0"/>
                    <w:kinsoku/>
                    <w:topLinePunct w:val="0"/>
                    <w:bidi w:val="0"/>
                    <w:adjustRightInd w:val="0"/>
                    <w:snapToGrid w:val="0"/>
                    <w:textAlignment w:val="auto"/>
                    <w:rPr>
                      <w:rFonts w:hint="default" w:ascii="Times New Roman" w:hAnsi="Times New Roman" w:eastAsia="宋体" w:cs="Times New Roman"/>
                      <w:bCs w:val="0"/>
                      <w:color w:val="000000"/>
                      <w:sz w:val="21"/>
                      <w:szCs w:val="21"/>
                      <w:highlight w:val="none"/>
                      <w:lang w:eastAsia="zh-CN"/>
                    </w:rPr>
                  </w:pPr>
                  <w:r>
                    <w:rPr>
                      <w:rFonts w:hint="eastAsia" w:ascii="Times New Roman" w:hAnsi="Times New Roman" w:eastAsia="宋体" w:cs="Times New Roman"/>
                      <w:lang w:val="en-US" w:eastAsia="zh-CN"/>
                    </w:rPr>
                    <w:t>煤炭（褐煤）</w:t>
                  </w:r>
                </w:p>
              </w:tc>
              <w:tc>
                <w:tcPr>
                  <w:tcW w:w="696" w:type="pct"/>
                  <w:tcBorders>
                    <w:tl2br w:val="nil"/>
                    <w:tr2bl w:val="nil"/>
                  </w:tcBorders>
                  <w:noWrap w:val="0"/>
                  <w:vAlign w:val="center"/>
                </w:tcPr>
                <w:p w14:paraId="5169406E">
                  <w:pPr>
                    <w:pStyle w:val="58"/>
                    <w:keepNext w:val="0"/>
                    <w:keepLines w:val="0"/>
                    <w:pageBreakBefore w:val="0"/>
                    <w:kinsoku/>
                    <w:topLinePunct w:val="0"/>
                    <w:bidi w:val="0"/>
                    <w:adjustRightInd w:val="0"/>
                    <w:snapToGrid w:val="0"/>
                    <w:jc w:val="center"/>
                    <w:textAlignment w:val="auto"/>
                    <w:rPr>
                      <w:rFonts w:hint="default" w:ascii="Times New Roman" w:hAnsi="Times New Roman" w:eastAsia="宋体" w:cs="Times New Roman"/>
                      <w:bCs w:val="0"/>
                      <w:color w:val="000000"/>
                      <w:sz w:val="21"/>
                      <w:szCs w:val="21"/>
                      <w:highlight w:val="none"/>
                      <w:lang w:val="en-US" w:eastAsia="zh-CN"/>
                    </w:rPr>
                  </w:pPr>
                  <w:r>
                    <w:rPr>
                      <w:rFonts w:hint="default" w:ascii="Times New Roman" w:hAnsi="Times New Roman" w:eastAsia="宋体" w:cs="Times New Roman"/>
                      <w:bCs w:val="0"/>
                      <w:color w:val="000000"/>
                      <w:sz w:val="21"/>
                      <w:szCs w:val="21"/>
                      <w:highlight w:val="none"/>
                      <w:lang w:val="en-US" w:eastAsia="zh-CN"/>
                    </w:rPr>
                    <w:t>t/a</w:t>
                  </w:r>
                </w:p>
              </w:tc>
              <w:tc>
                <w:tcPr>
                  <w:tcW w:w="831" w:type="pct"/>
                  <w:tcBorders>
                    <w:tl2br w:val="nil"/>
                    <w:tr2bl w:val="nil"/>
                  </w:tcBorders>
                  <w:noWrap w:val="0"/>
                  <w:vAlign w:val="center"/>
                </w:tcPr>
                <w:p w14:paraId="71889BEC">
                  <w:pPr>
                    <w:pStyle w:val="58"/>
                    <w:keepNext w:val="0"/>
                    <w:keepLines w:val="0"/>
                    <w:pageBreakBefore w:val="0"/>
                    <w:kinsoku/>
                    <w:topLinePunct w:val="0"/>
                    <w:bidi w:val="0"/>
                    <w:adjustRightInd w:val="0"/>
                    <w:snapToGrid w:val="0"/>
                    <w:textAlignment w:val="auto"/>
                    <w:rPr>
                      <w:rFonts w:hint="default" w:ascii="Times New Roman" w:hAnsi="Times New Roman" w:eastAsia="宋体" w:cs="Times New Roman"/>
                      <w:bCs w:val="0"/>
                      <w:color w:val="000000"/>
                      <w:sz w:val="21"/>
                      <w:szCs w:val="21"/>
                      <w:highlight w:val="none"/>
                      <w:lang w:val="en-US" w:eastAsia="zh-CN"/>
                    </w:rPr>
                  </w:pPr>
                  <w:r>
                    <w:rPr>
                      <w:rFonts w:hint="eastAsia" w:ascii="Times New Roman" w:hAnsi="Times New Roman" w:eastAsia="宋体" w:cs="Times New Roman"/>
                      <w:bCs w:val="0"/>
                      <w:color w:val="000000"/>
                      <w:sz w:val="21"/>
                      <w:szCs w:val="21"/>
                      <w:highlight w:val="none"/>
                      <w:lang w:val="en-US" w:eastAsia="zh-CN"/>
                    </w:rPr>
                    <w:t>50000</w:t>
                  </w:r>
                </w:p>
              </w:tc>
              <w:tc>
                <w:tcPr>
                  <w:tcW w:w="1126" w:type="pct"/>
                  <w:tcBorders>
                    <w:tl2br w:val="nil"/>
                    <w:tr2bl w:val="nil"/>
                  </w:tcBorders>
                  <w:noWrap w:val="0"/>
                  <w:vAlign w:val="center"/>
                </w:tcPr>
                <w:p w14:paraId="6B139F04">
                  <w:pPr>
                    <w:pStyle w:val="58"/>
                    <w:keepNext w:val="0"/>
                    <w:keepLines w:val="0"/>
                    <w:pageBreakBefore w:val="0"/>
                    <w:kinsoku/>
                    <w:topLinePunct w:val="0"/>
                    <w:bidi w:val="0"/>
                    <w:adjustRightInd w:val="0"/>
                    <w:snapToGrid w:val="0"/>
                    <w:textAlignment w:val="auto"/>
                    <w:rPr>
                      <w:rFonts w:hint="default" w:ascii="Times New Roman" w:hAnsi="Times New Roman" w:eastAsia="宋体" w:cs="Times New Roman"/>
                      <w:bCs w:val="0"/>
                      <w:color w:val="000000"/>
                      <w:sz w:val="21"/>
                      <w:szCs w:val="21"/>
                      <w:highlight w:val="none"/>
                      <w:lang w:eastAsia="zh-CN"/>
                    </w:rPr>
                  </w:pPr>
                  <w:r>
                    <w:rPr>
                      <w:rFonts w:hint="default" w:ascii="Times New Roman" w:hAnsi="Times New Roman" w:eastAsia="宋体" w:cs="Times New Roman"/>
                      <w:bCs w:val="0"/>
                      <w:color w:val="000000"/>
                      <w:sz w:val="21"/>
                      <w:szCs w:val="21"/>
                      <w:highlight w:val="none"/>
                      <w:lang w:val="en-US" w:eastAsia="zh-CN"/>
                    </w:rPr>
                    <w:t>外购</w:t>
                  </w:r>
                </w:p>
              </w:tc>
              <w:tc>
                <w:tcPr>
                  <w:tcW w:w="1133" w:type="pct"/>
                  <w:tcBorders>
                    <w:tl2br w:val="nil"/>
                    <w:tr2bl w:val="nil"/>
                  </w:tcBorders>
                  <w:noWrap w:val="0"/>
                  <w:vAlign w:val="center"/>
                </w:tcPr>
                <w:p w14:paraId="70D895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val="0"/>
                      <w:color w:val="000000"/>
                      <w:sz w:val="21"/>
                      <w:szCs w:val="21"/>
                      <w:highlight w:val="none"/>
                      <w:lang w:val="en-US" w:eastAsia="zh-CN"/>
                    </w:rPr>
                  </w:pPr>
                  <w:r>
                    <w:rPr>
                      <w:rFonts w:hint="eastAsia" w:ascii="Times New Roman" w:hAnsi="Times New Roman" w:eastAsia="宋体" w:cs="Times New Roman"/>
                      <w:bCs w:val="0"/>
                      <w:color w:val="000000"/>
                      <w:sz w:val="21"/>
                      <w:szCs w:val="21"/>
                      <w:highlight w:val="none"/>
                      <w:lang w:val="en-US" w:eastAsia="zh-CN"/>
                    </w:rPr>
                    <w:t>煤棚</w:t>
                  </w:r>
                </w:p>
              </w:tc>
            </w:tr>
            <w:tr w14:paraId="67FCB9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5000" w:type="pct"/>
                  <w:gridSpan w:val="6"/>
                  <w:tcBorders>
                    <w:tl2br w:val="nil"/>
                    <w:tr2bl w:val="nil"/>
                  </w:tcBorders>
                  <w:noWrap w:val="0"/>
                  <w:vAlign w:val="center"/>
                </w:tcPr>
                <w:p w14:paraId="4A37E842">
                  <w:pPr>
                    <w:pStyle w:val="58"/>
                    <w:keepNext w:val="0"/>
                    <w:keepLines w:val="0"/>
                    <w:pageBreakBefore w:val="0"/>
                    <w:kinsoku/>
                    <w:topLinePunct w:val="0"/>
                    <w:bidi w:val="0"/>
                    <w:adjustRightInd w:val="0"/>
                    <w:snapToGrid w:val="0"/>
                    <w:textAlignment w:val="auto"/>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能源</w:t>
                  </w:r>
                </w:p>
              </w:tc>
            </w:tr>
            <w:tr w14:paraId="3A0910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54" w:type="pct"/>
                  <w:tcBorders>
                    <w:tl2br w:val="nil"/>
                    <w:tr2bl w:val="nil"/>
                  </w:tcBorders>
                  <w:noWrap w:val="0"/>
                  <w:vAlign w:val="center"/>
                </w:tcPr>
                <w:p w14:paraId="4D369E2E">
                  <w:pPr>
                    <w:pStyle w:val="58"/>
                    <w:keepNext w:val="0"/>
                    <w:keepLines w:val="0"/>
                    <w:pageBreakBefore w:val="0"/>
                    <w:kinsoku/>
                    <w:topLinePunct w:val="0"/>
                    <w:bidi w:val="0"/>
                    <w:adjustRightInd w:val="0"/>
                    <w:snapToGrid w:val="0"/>
                    <w:textAlignment w:val="auto"/>
                    <w:rPr>
                      <w:rFonts w:hint="default" w:ascii="Times New Roman" w:hAnsi="Times New Roman" w:eastAsia="宋体" w:cs="Times New Roman"/>
                      <w:bCs/>
                      <w:snapToGrid w:val="0"/>
                      <w:color w:val="000000"/>
                      <w:kern w:val="0"/>
                      <w:sz w:val="21"/>
                      <w:szCs w:val="21"/>
                      <w:highlight w:val="none"/>
                      <w:lang w:val="en-US" w:eastAsia="zh-CN" w:bidi="ar-SA"/>
                    </w:rPr>
                  </w:pPr>
                  <w:r>
                    <w:rPr>
                      <w:rFonts w:hint="default" w:ascii="Times New Roman" w:hAnsi="Times New Roman" w:eastAsia="宋体" w:cs="Times New Roman"/>
                      <w:bCs/>
                      <w:snapToGrid w:val="0"/>
                      <w:color w:val="000000"/>
                      <w:kern w:val="0"/>
                      <w:sz w:val="21"/>
                      <w:szCs w:val="21"/>
                      <w:highlight w:val="none"/>
                      <w:lang w:val="en-US" w:eastAsia="zh-CN" w:bidi="ar-SA"/>
                    </w:rPr>
                    <w:t>1</w:t>
                  </w:r>
                </w:p>
              </w:tc>
              <w:tc>
                <w:tcPr>
                  <w:tcW w:w="956" w:type="pct"/>
                  <w:tcBorders>
                    <w:tl2br w:val="nil"/>
                    <w:tr2bl w:val="nil"/>
                  </w:tcBorders>
                  <w:noWrap w:val="0"/>
                  <w:vAlign w:val="center"/>
                </w:tcPr>
                <w:p w14:paraId="680F6FF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用水</w:t>
                  </w:r>
                </w:p>
              </w:tc>
              <w:tc>
                <w:tcPr>
                  <w:tcW w:w="696" w:type="pct"/>
                  <w:tcBorders>
                    <w:tl2br w:val="nil"/>
                    <w:tr2bl w:val="nil"/>
                  </w:tcBorders>
                  <w:noWrap w:val="0"/>
                  <w:vAlign w:val="center"/>
                </w:tcPr>
                <w:p w14:paraId="6AD385B4">
                  <w:pPr>
                    <w:keepNext w:val="0"/>
                    <w:keepLines w:val="0"/>
                    <w:pageBreakBefore w:val="0"/>
                    <w:kinsoku/>
                    <w:topLinePunct w:val="0"/>
                    <w:bidi w:val="0"/>
                    <w:adjustRightInd w:val="0"/>
                    <w:snapToGrid w:val="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m</w:t>
                  </w:r>
                  <w:r>
                    <w:rPr>
                      <w:rFonts w:hint="default" w:ascii="Times New Roman" w:hAnsi="Times New Roman" w:eastAsia="宋体" w:cs="Times New Roman"/>
                      <w:color w:val="000000"/>
                      <w:sz w:val="21"/>
                      <w:szCs w:val="21"/>
                      <w:highlight w:val="none"/>
                      <w:vertAlign w:val="superscript"/>
                      <w:lang w:val="en-US" w:eastAsia="zh-CN"/>
                    </w:rPr>
                    <w:t>3</w:t>
                  </w:r>
                  <w:r>
                    <w:rPr>
                      <w:rFonts w:hint="default" w:ascii="Times New Roman" w:hAnsi="Times New Roman" w:eastAsia="宋体" w:cs="Times New Roman"/>
                      <w:color w:val="000000"/>
                      <w:sz w:val="21"/>
                      <w:szCs w:val="21"/>
                      <w:highlight w:val="none"/>
                      <w:vertAlign w:val="baseline"/>
                      <w:lang w:val="en-US" w:eastAsia="zh-CN"/>
                    </w:rPr>
                    <w:t>/a</w:t>
                  </w:r>
                </w:p>
              </w:tc>
              <w:tc>
                <w:tcPr>
                  <w:tcW w:w="831" w:type="pct"/>
                  <w:tcBorders>
                    <w:tl2br w:val="nil"/>
                    <w:tr2bl w:val="nil"/>
                  </w:tcBorders>
                  <w:noWrap w:val="0"/>
                  <w:vAlign w:val="center"/>
                </w:tcPr>
                <w:p w14:paraId="2D3C2D23">
                  <w:pPr>
                    <w:jc w:val="center"/>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1210</w:t>
                  </w:r>
                </w:p>
              </w:tc>
              <w:tc>
                <w:tcPr>
                  <w:tcW w:w="1126" w:type="pct"/>
                  <w:tcBorders>
                    <w:tl2br w:val="nil"/>
                    <w:tr2bl w:val="nil"/>
                  </w:tcBorders>
                  <w:noWrap w:val="0"/>
                  <w:vAlign w:val="center"/>
                </w:tcPr>
                <w:p w14:paraId="6FADB0D6">
                  <w:pPr>
                    <w:pStyle w:val="58"/>
                    <w:keepNext w:val="0"/>
                    <w:keepLines w:val="0"/>
                    <w:pageBreakBefore w:val="0"/>
                    <w:kinsoku/>
                    <w:topLinePunct w:val="0"/>
                    <w:bidi w:val="0"/>
                    <w:adjustRightInd w:val="0"/>
                    <w:snapToGrid w:val="0"/>
                    <w:textAlignment w:val="auto"/>
                    <w:rPr>
                      <w:rFonts w:hint="default" w:ascii="Times New Roman" w:hAnsi="Times New Roman" w:eastAsia="宋体" w:cs="Times New Roman"/>
                      <w:bCs/>
                      <w:snapToGrid w:val="0"/>
                      <w:color w:val="000000"/>
                      <w:kern w:val="0"/>
                      <w:sz w:val="21"/>
                      <w:szCs w:val="21"/>
                      <w:highlight w:val="none"/>
                      <w:lang w:val="en-US" w:eastAsia="zh-CN" w:bidi="ar-SA"/>
                    </w:rPr>
                  </w:pPr>
                  <w:r>
                    <w:rPr>
                      <w:rFonts w:hint="default" w:ascii="Times New Roman" w:hAnsi="Times New Roman" w:eastAsia="宋体" w:cs="Times New Roman"/>
                      <w:bCs/>
                      <w:snapToGrid w:val="0"/>
                      <w:color w:val="000000"/>
                      <w:kern w:val="0"/>
                      <w:sz w:val="21"/>
                      <w:szCs w:val="21"/>
                      <w:highlight w:val="none"/>
                      <w:lang w:val="en-US" w:eastAsia="zh-CN" w:bidi="ar-SA"/>
                    </w:rPr>
                    <w:t>由市政管网供给</w:t>
                  </w:r>
                </w:p>
              </w:tc>
              <w:tc>
                <w:tcPr>
                  <w:tcW w:w="1133" w:type="pct"/>
                  <w:tcBorders>
                    <w:tl2br w:val="nil"/>
                    <w:tr2bl w:val="nil"/>
                  </w:tcBorders>
                  <w:noWrap w:val="0"/>
                  <w:vAlign w:val="center"/>
                </w:tcPr>
                <w:p w14:paraId="58AF5820">
                  <w:pPr>
                    <w:keepNext w:val="0"/>
                    <w:keepLines w:val="0"/>
                    <w:pageBreakBefore w:val="0"/>
                    <w:kinsoku/>
                    <w:topLinePunct w:val="0"/>
                    <w:bidi w:val="0"/>
                    <w:adjustRightInd w:val="0"/>
                    <w:snapToGrid w:val="0"/>
                    <w:jc w:val="center"/>
                    <w:textAlignment w:val="auto"/>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bCs w:val="0"/>
                      <w:color w:val="000000"/>
                      <w:sz w:val="21"/>
                      <w:szCs w:val="21"/>
                      <w:highlight w:val="none"/>
                      <w:lang w:val="en-US" w:eastAsia="zh-CN"/>
                    </w:rPr>
                    <w:t>/</w:t>
                  </w:r>
                </w:p>
              </w:tc>
            </w:tr>
          </w:tbl>
          <w:p w14:paraId="6B1E5031">
            <w:pPr>
              <w:spacing w:line="360" w:lineRule="auto"/>
              <w:ind w:firstLine="480" w:firstLineChars="200"/>
              <w:rPr>
                <w:rFonts w:hint="eastAsia"/>
                <w:sz w:val="24"/>
              </w:rPr>
            </w:pPr>
            <w:r>
              <w:rPr>
                <w:rFonts w:hint="eastAsia"/>
                <w:sz w:val="24"/>
              </w:rPr>
              <w:t>原辅材料性质：</w:t>
            </w:r>
          </w:p>
          <w:p w14:paraId="5D5EC29D">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kern w:val="0"/>
                <w:sz w:val="24"/>
                <w:szCs w:val="24"/>
                <w:highlight w:val="none"/>
                <w:lang w:val="en-US" w:eastAsia="zh-CN" w:bidi="ar"/>
              </w:rPr>
            </w:pPr>
            <w:r>
              <w:rPr>
                <w:rFonts w:hint="eastAsia" w:ascii="Times New Roman" w:hAnsi="Times New Roman" w:eastAsia="宋体" w:cs="Times New Roman"/>
                <w:color w:val="000000"/>
                <w:kern w:val="0"/>
                <w:sz w:val="24"/>
                <w:szCs w:val="24"/>
                <w:highlight w:val="none"/>
                <w:lang w:val="en-US" w:eastAsia="zh-CN" w:bidi="ar"/>
              </w:rPr>
              <w:t>煤炭（褐煤）</w:t>
            </w:r>
            <w:r>
              <w:rPr>
                <w:rFonts w:hint="default" w:ascii="Times New Roman" w:hAnsi="Times New Roman" w:eastAsia="宋体" w:cs="Times New Roman"/>
                <w:color w:val="000000"/>
                <w:kern w:val="0"/>
                <w:sz w:val="24"/>
                <w:szCs w:val="24"/>
                <w:highlight w:val="none"/>
                <w:lang w:val="en-US" w:eastAsia="zh-CN" w:bidi="ar"/>
              </w:rPr>
              <w:t>：</w:t>
            </w:r>
          </w:p>
          <w:p w14:paraId="58B62885">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kern w:val="0"/>
                <w:sz w:val="24"/>
                <w:szCs w:val="24"/>
                <w:highlight w:val="none"/>
                <w:lang w:val="en-US" w:eastAsia="zh-CN" w:bidi="ar"/>
              </w:rPr>
            </w:pPr>
            <w:r>
              <w:rPr>
                <w:rFonts w:hint="eastAsia" w:ascii="Times New Roman" w:hAnsi="Times New Roman" w:eastAsia="宋体" w:cs="Times New Roman"/>
                <w:color w:val="000000"/>
                <w:kern w:val="0"/>
                <w:sz w:val="24"/>
                <w:szCs w:val="24"/>
                <w:highlight w:val="none"/>
                <w:lang w:val="en-US" w:eastAsia="zh-CN" w:bidi="ar"/>
              </w:rPr>
              <w:t>颜色：</w:t>
            </w:r>
            <w:r>
              <w:rPr>
                <w:rFonts w:hint="default" w:ascii="Times New Roman" w:hAnsi="Times New Roman" w:eastAsia="宋体" w:cs="Times New Roman"/>
                <w:color w:val="000000"/>
                <w:kern w:val="0"/>
                <w:sz w:val="24"/>
                <w:szCs w:val="24"/>
                <w:highlight w:val="none"/>
                <w:lang w:val="en-US" w:eastAsia="zh-CN" w:bidi="ar"/>
              </w:rPr>
              <w:t>褐色、暗褐色至黑褐色，光泽暗淡（无光泽或弱沥青光泽），与烟煤的强玻璃光泽有明显区别。</w:t>
            </w:r>
          </w:p>
          <w:p w14:paraId="065F45A3">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结构：呈疏松多孔状，孔隙率高达</w:t>
            </w:r>
            <w:r>
              <w:rPr>
                <w:rFonts w:hint="eastAsia" w:cs="Times New Roman"/>
                <w:color w:val="000000"/>
                <w:kern w:val="0"/>
                <w:sz w:val="24"/>
                <w:szCs w:val="24"/>
                <w:highlight w:val="none"/>
                <w:lang w:val="en-US" w:eastAsia="zh-CN" w:bidi="ar"/>
              </w:rPr>
              <w:t>40%～60%</w:t>
            </w:r>
            <w:r>
              <w:rPr>
                <w:rFonts w:hint="default" w:ascii="Times New Roman" w:hAnsi="Times New Roman" w:eastAsia="宋体" w:cs="Times New Roman"/>
                <w:color w:val="000000"/>
                <w:kern w:val="0"/>
                <w:sz w:val="24"/>
                <w:szCs w:val="24"/>
                <w:highlight w:val="none"/>
                <w:lang w:val="en-US" w:eastAsia="zh-CN" w:bidi="ar"/>
              </w:rPr>
              <w:t>，质地柔软易碎，用手即可捻成粉末，机械强度极低，运输过程中易产生大量煤尘。</w:t>
            </w:r>
          </w:p>
          <w:p w14:paraId="54E1C8AC">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kern w:val="0"/>
                <w:sz w:val="24"/>
                <w:szCs w:val="24"/>
                <w:highlight w:val="none"/>
                <w:lang w:val="en-US" w:eastAsia="zh-CN" w:bidi="ar"/>
              </w:rPr>
            </w:pPr>
            <w:r>
              <w:rPr>
                <w:rFonts w:ascii="宋体" w:hAnsi="宋体" w:eastAsia="宋体" w:cs="宋体"/>
                <w:sz w:val="24"/>
                <w:szCs w:val="24"/>
              </w:rPr>
              <w:t>密度：真密度为1.2</w:t>
            </w:r>
            <w:r>
              <w:rPr>
                <w:rFonts w:hint="eastAsia" w:ascii="宋体" w:hAnsi="宋体" w:cs="宋体"/>
                <w:sz w:val="24"/>
                <w:szCs w:val="24"/>
                <w:lang w:eastAsia="zh-CN"/>
              </w:rPr>
              <w:t>～</w:t>
            </w:r>
            <w:r>
              <w:rPr>
                <w:rFonts w:ascii="宋体" w:hAnsi="宋体" w:eastAsia="宋体" w:cs="宋体"/>
                <w:sz w:val="24"/>
                <w:szCs w:val="24"/>
              </w:rPr>
              <w:t>1.4g/cm³，堆密度仅0.6</w:t>
            </w:r>
            <w:r>
              <w:rPr>
                <w:rFonts w:hint="eastAsia" w:ascii="宋体" w:hAnsi="宋体" w:cs="宋体"/>
                <w:sz w:val="24"/>
                <w:szCs w:val="24"/>
                <w:lang w:eastAsia="zh-CN"/>
              </w:rPr>
              <w:t>～</w:t>
            </w:r>
            <w:r>
              <w:rPr>
                <w:rFonts w:ascii="宋体" w:hAnsi="宋体" w:eastAsia="宋体" w:cs="宋体"/>
                <w:sz w:val="24"/>
                <w:szCs w:val="24"/>
              </w:rPr>
              <w:t>0.8g/cm³，是所有煤种中密度最小的一类。</w:t>
            </w:r>
          </w:p>
          <w:p w14:paraId="094BAF2A">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内在水分极高：这是褐煤最显著的物理特征，收到基水分（Mar）通常在</w:t>
            </w:r>
            <w:r>
              <w:rPr>
                <w:rFonts w:hint="eastAsia" w:cs="Times New Roman"/>
                <w:color w:val="000000"/>
                <w:kern w:val="0"/>
                <w:sz w:val="24"/>
                <w:szCs w:val="24"/>
                <w:highlight w:val="none"/>
                <w:lang w:val="en-US" w:eastAsia="zh-CN" w:bidi="ar"/>
              </w:rPr>
              <w:t>20%～60%</w:t>
            </w:r>
            <w:r>
              <w:rPr>
                <w:rFonts w:hint="default" w:ascii="Times New Roman" w:hAnsi="Times New Roman" w:eastAsia="宋体" w:cs="Times New Roman"/>
                <w:color w:val="000000"/>
                <w:kern w:val="0"/>
                <w:sz w:val="24"/>
                <w:szCs w:val="24"/>
                <w:highlight w:val="none"/>
                <w:lang w:val="en-US" w:eastAsia="zh-CN" w:bidi="ar"/>
              </w:rPr>
              <w:t>之间，部分年轻褐煤水分甚至超过60%。</w:t>
            </w:r>
          </w:p>
          <w:p w14:paraId="79646B21">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水分赋存状态：大部分水分以游离水形式存在于孔隙中，干燥后孔隙结构易塌陷，再次吸水时复水性强。</w:t>
            </w:r>
          </w:p>
          <w:p w14:paraId="09541CF6">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对应用的影响：高水分导致褐煤燃烧热值大幅降低，且干燥能耗高；储存时水分蒸发会造成重量损失，运输成本也会因水分占比过高而增加。</w:t>
            </w:r>
          </w:p>
          <w:p w14:paraId="13DCC67F">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color w:val="000000"/>
                <w:sz w:val="24"/>
                <w:szCs w:val="24"/>
                <w:highlight w:val="none"/>
                <w:lang w:val="en-US" w:eastAsia="zh-CN"/>
              </w:rPr>
            </w:pPr>
            <w:r>
              <w:rPr>
                <w:rFonts w:hint="eastAsia" w:cs="Times New Roman"/>
                <w:b/>
                <w:bCs/>
                <w:color w:val="000000"/>
                <w:sz w:val="24"/>
                <w:szCs w:val="24"/>
                <w:highlight w:val="none"/>
                <w:lang w:val="en-US" w:eastAsia="zh-CN"/>
              </w:rPr>
              <w:t>5.</w:t>
            </w:r>
            <w:r>
              <w:rPr>
                <w:rFonts w:hint="default" w:ascii="Times New Roman" w:hAnsi="Times New Roman" w:eastAsia="宋体" w:cs="Times New Roman"/>
                <w:b/>
                <w:bCs/>
                <w:color w:val="000000"/>
                <w:sz w:val="24"/>
                <w:szCs w:val="24"/>
                <w:highlight w:val="none"/>
                <w:lang w:val="en-US" w:eastAsia="zh-CN"/>
              </w:rPr>
              <w:t>项目总平面布置</w:t>
            </w:r>
          </w:p>
          <w:p w14:paraId="154EDAAB">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kern w:val="0"/>
                <w:sz w:val="24"/>
                <w:szCs w:val="24"/>
                <w:highlight w:val="none"/>
                <w:lang w:val="en-US" w:eastAsia="zh-CN" w:bidi="ar"/>
              </w:rPr>
              <w:t>项目总用地面积为</w:t>
            </w:r>
            <w:r>
              <w:rPr>
                <w:rFonts w:hint="eastAsia" w:cs="Times New Roman"/>
                <w:color w:val="000000"/>
                <w:kern w:val="0"/>
                <w:sz w:val="24"/>
                <w:szCs w:val="24"/>
                <w:highlight w:val="none"/>
                <w:lang w:val="en-US" w:eastAsia="zh-CN" w:bidi="ar"/>
              </w:rPr>
              <w:t>119032.84</w:t>
            </w:r>
            <w:r>
              <w:rPr>
                <w:rFonts w:hint="default" w:ascii="Times New Roman" w:hAnsi="Times New Roman" w:eastAsia="宋体" w:cs="Times New Roman"/>
                <w:color w:val="000000"/>
                <w:kern w:val="0"/>
                <w:sz w:val="24"/>
                <w:szCs w:val="24"/>
                <w:highlight w:val="none"/>
                <w:lang w:val="en-US" w:eastAsia="zh-CN" w:bidi="ar"/>
              </w:rPr>
              <w:t>m</w:t>
            </w:r>
            <w:r>
              <w:rPr>
                <w:rFonts w:hint="default" w:ascii="Times New Roman" w:hAnsi="Times New Roman" w:eastAsia="宋体" w:cs="Times New Roman"/>
                <w:color w:val="000000"/>
                <w:kern w:val="0"/>
                <w:sz w:val="24"/>
                <w:szCs w:val="24"/>
                <w:highlight w:val="none"/>
                <w:vertAlign w:val="superscript"/>
                <w:lang w:val="en-US" w:eastAsia="zh-CN" w:bidi="ar"/>
              </w:rPr>
              <w:t>2</w:t>
            </w:r>
            <w:r>
              <w:rPr>
                <w:rFonts w:hint="default" w:ascii="Times New Roman" w:hAnsi="Times New Roman" w:eastAsia="宋体" w:cs="Times New Roman"/>
                <w:color w:val="000000"/>
                <w:kern w:val="0"/>
                <w:sz w:val="24"/>
                <w:szCs w:val="24"/>
                <w:highlight w:val="none"/>
                <w:lang w:val="en-US" w:eastAsia="zh-CN" w:bidi="ar"/>
              </w:rPr>
              <w:t>，</w:t>
            </w:r>
            <w:r>
              <w:rPr>
                <w:color w:val="000000"/>
                <w:sz w:val="24"/>
              </w:rPr>
              <w:t>本项目厂区</w:t>
            </w:r>
            <w:r>
              <w:rPr>
                <w:rFonts w:hint="default" w:ascii="Times New Roman" w:hAnsi="Times New Roman" w:eastAsia="宋体" w:cs="Times New Roman"/>
                <w:color w:val="000000"/>
                <w:kern w:val="0"/>
                <w:sz w:val="24"/>
                <w:szCs w:val="24"/>
                <w:highlight w:val="none"/>
                <w:lang w:val="en-US" w:eastAsia="zh-CN" w:bidi="ar"/>
              </w:rPr>
              <w:t>主要分为生活区及生产区，其中生活区位于</w:t>
            </w:r>
            <w:r>
              <w:rPr>
                <w:rFonts w:hint="eastAsia" w:ascii="Times New Roman" w:hAnsi="Times New Roman" w:eastAsia="宋体" w:cs="Times New Roman"/>
                <w:color w:val="000000"/>
                <w:kern w:val="0"/>
                <w:sz w:val="24"/>
                <w:szCs w:val="24"/>
                <w:highlight w:val="none"/>
                <w:lang w:val="en-US" w:eastAsia="zh-CN" w:bidi="ar"/>
              </w:rPr>
              <w:t>项目区东南侧</w:t>
            </w:r>
            <w:r>
              <w:rPr>
                <w:rFonts w:hint="default" w:ascii="Times New Roman" w:hAnsi="Times New Roman" w:eastAsia="宋体" w:cs="Times New Roman"/>
                <w:color w:val="000000"/>
                <w:kern w:val="0"/>
                <w:sz w:val="24"/>
                <w:szCs w:val="24"/>
                <w:highlight w:val="none"/>
                <w:lang w:val="en-US" w:eastAsia="zh-CN" w:bidi="ar"/>
              </w:rPr>
              <w:t>，布置有办公室、宿舍、化粪池等。生产区分为</w:t>
            </w:r>
            <w:r>
              <w:rPr>
                <w:rFonts w:hint="eastAsia" w:ascii="Times New Roman" w:hAnsi="Times New Roman" w:eastAsia="宋体" w:cs="Times New Roman"/>
                <w:color w:val="000000"/>
                <w:kern w:val="0"/>
                <w:sz w:val="24"/>
                <w:szCs w:val="24"/>
                <w:highlight w:val="none"/>
                <w:lang w:val="en-US" w:eastAsia="zh-CN" w:bidi="ar"/>
              </w:rPr>
              <w:t>煤棚、配煤机、地磅。煤棚位于项目区西北侧，配煤机位于煤棚内西侧，地磅位于项目区东北侧，本项目设有两个出入口，主出入口位于南侧，次</w:t>
            </w:r>
            <w:r>
              <w:rPr>
                <w:rFonts w:hint="eastAsia" w:cs="Times New Roman"/>
                <w:color w:val="000000"/>
                <w:kern w:val="0"/>
                <w:sz w:val="24"/>
                <w:szCs w:val="24"/>
                <w:highlight w:val="none"/>
                <w:lang w:val="en-US" w:eastAsia="zh-CN" w:bidi="ar"/>
              </w:rPr>
              <w:t>出入口</w:t>
            </w:r>
            <w:r>
              <w:rPr>
                <w:rFonts w:hint="eastAsia" w:ascii="Times New Roman" w:hAnsi="Times New Roman" w:eastAsia="宋体" w:cs="Times New Roman"/>
                <w:color w:val="000000"/>
                <w:kern w:val="0"/>
                <w:sz w:val="24"/>
                <w:szCs w:val="24"/>
                <w:highlight w:val="none"/>
                <w:lang w:val="en-US" w:eastAsia="zh-CN" w:bidi="ar"/>
              </w:rPr>
              <w:t>位于北侧，主要运输物料。</w:t>
            </w:r>
            <w:r>
              <w:rPr>
                <w:rFonts w:hint="default" w:ascii="Times New Roman" w:hAnsi="Times New Roman" w:eastAsia="宋体" w:cs="Times New Roman"/>
                <w:color w:val="000000"/>
                <w:kern w:val="0"/>
                <w:sz w:val="24"/>
                <w:szCs w:val="24"/>
                <w:highlight w:val="none"/>
                <w:lang w:val="en-US" w:eastAsia="zh-CN" w:bidi="ar"/>
              </w:rPr>
              <w:t>项目布置充分考虑原料及成品运输路径，项目平面布置合理。</w:t>
            </w:r>
            <w:r>
              <w:rPr>
                <w:rFonts w:hint="default" w:ascii="Times New Roman" w:hAnsi="Times New Roman" w:eastAsia="宋体" w:cs="Times New Roman"/>
                <w:color w:val="000000"/>
                <w:sz w:val="24"/>
                <w:szCs w:val="24"/>
                <w:highlight w:val="none"/>
                <w:lang w:eastAsia="zh-CN"/>
              </w:rPr>
              <w:t>项目平面布置图详见附图</w:t>
            </w:r>
            <w:r>
              <w:rPr>
                <w:rFonts w:hint="default" w:ascii="Times New Roman" w:hAnsi="Times New Roman" w:eastAsia="宋体" w:cs="Times New Roman"/>
                <w:color w:val="000000"/>
                <w:sz w:val="24"/>
                <w:szCs w:val="24"/>
                <w:highlight w:val="none"/>
                <w:lang w:val="en-US" w:eastAsia="zh-CN"/>
              </w:rPr>
              <w:t>3</w:t>
            </w:r>
            <w:r>
              <w:rPr>
                <w:rFonts w:hint="default" w:ascii="Times New Roman" w:hAnsi="Times New Roman" w:eastAsia="宋体" w:cs="Times New Roman"/>
                <w:color w:val="000000"/>
                <w:sz w:val="24"/>
                <w:szCs w:val="24"/>
                <w:highlight w:val="none"/>
                <w:lang w:eastAsia="zh-CN"/>
              </w:rPr>
              <w:t>。</w:t>
            </w:r>
          </w:p>
          <w:p w14:paraId="7BD17F92">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default" w:ascii="Times New Roman" w:hAnsi="Times New Roman" w:eastAsia="宋体" w:cs="Times New Roman"/>
                <w:b/>
                <w:bCs/>
                <w:color w:val="000000"/>
                <w:sz w:val="24"/>
                <w:szCs w:val="24"/>
                <w:highlight w:val="none"/>
                <w:lang w:val="en-US" w:eastAsia="zh-CN"/>
              </w:rPr>
            </w:pPr>
            <w:r>
              <w:rPr>
                <w:rFonts w:hint="eastAsia" w:cs="Times New Roman"/>
                <w:b/>
                <w:bCs/>
                <w:color w:val="000000"/>
                <w:sz w:val="24"/>
                <w:szCs w:val="24"/>
                <w:highlight w:val="none"/>
                <w:lang w:val="en-US" w:eastAsia="zh-CN"/>
              </w:rPr>
              <w:t>6.</w:t>
            </w:r>
            <w:r>
              <w:rPr>
                <w:rFonts w:hint="default" w:ascii="Times New Roman" w:hAnsi="Times New Roman" w:eastAsia="宋体" w:cs="Times New Roman"/>
                <w:b/>
                <w:bCs/>
                <w:color w:val="000000"/>
                <w:sz w:val="24"/>
                <w:szCs w:val="24"/>
                <w:highlight w:val="none"/>
                <w:lang w:val="en-US" w:eastAsia="zh-CN"/>
              </w:rPr>
              <w:t>劳动定员及工作制度</w:t>
            </w:r>
          </w:p>
          <w:p w14:paraId="74BD3003">
            <w:pPr>
              <w:bidi w:val="0"/>
              <w:spacing w:line="360" w:lineRule="auto"/>
              <w:ind w:firstLine="480" w:firstLineChars="200"/>
              <w:rPr>
                <w:sz w:val="24"/>
                <w:szCs w:val="32"/>
              </w:rPr>
            </w:pPr>
            <w:r>
              <w:rPr>
                <w:rFonts w:hint="default" w:ascii="Times New Roman" w:hAnsi="Times New Roman" w:eastAsia="宋体" w:cs="Times New Roman"/>
                <w:b w:val="0"/>
                <w:bCs/>
                <w:color w:val="000000"/>
                <w:kern w:val="0"/>
                <w:sz w:val="24"/>
                <w:szCs w:val="24"/>
                <w:highlight w:val="none"/>
                <w:lang w:val="en-US" w:eastAsia="zh-CN"/>
              </w:rPr>
              <w:t>本项目设计劳动定员</w:t>
            </w:r>
            <w:r>
              <w:rPr>
                <w:rFonts w:hint="eastAsia" w:ascii="Times New Roman" w:hAnsi="Times New Roman" w:eastAsia="宋体" w:cs="Times New Roman"/>
                <w:b w:val="0"/>
                <w:bCs/>
                <w:color w:val="000000"/>
                <w:kern w:val="0"/>
                <w:sz w:val="24"/>
                <w:szCs w:val="24"/>
                <w:highlight w:val="none"/>
                <w:lang w:val="en-US" w:eastAsia="zh-CN"/>
              </w:rPr>
              <w:t>10</w:t>
            </w:r>
            <w:r>
              <w:rPr>
                <w:rFonts w:hint="default" w:ascii="Times New Roman" w:hAnsi="Times New Roman" w:eastAsia="宋体" w:cs="Times New Roman"/>
                <w:b w:val="0"/>
                <w:bCs/>
                <w:color w:val="000000"/>
                <w:kern w:val="0"/>
                <w:sz w:val="24"/>
                <w:szCs w:val="24"/>
                <w:highlight w:val="none"/>
                <w:lang w:val="en-US" w:eastAsia="zh-CN"/>
              </w:rPr>
              <w:t>人，每日一班，每班工作8小时，年有效工作天数</w:t>
            </w:r>
            <w:r>
              <w:rPr>
                <w:rFonts w:hint="eastAsia" w:ascii="Times New Roman" w:hAnsi="Times New Roman" w:eastAsia="宋体" w:cs="Times New Roman"/>
                <w:b w:val="0"/>
                <w:bCs/>
                <w:color w:val="000000"/>
                <w:kern w:val="0"/>
                <w:sz w:val="24"/>
                <w:szCs w:val="24"/>
                <w:highlight w:val="none"/>
                <w:lang w:val="en-US" w:eastAsia="zh-CN"/>
              </w:rPr>
              <w:t>300</w:t>
            </w:r>
            <w:r>
              <w:rPr>
                <w:rFonts w:hint="default" w:ascii="Times New Roman" w:hAnsi="Times New Roman" w:eastAsia="宋体" w:cs="Times New Roman"/>
                <w:b w:val="0"/>
                <w:bCs/>
                <w:color w:val="000000"/>
                <w:kern w:val="0"/>
                <w:sz w:val="24"/>
                <w:szCs w:val="24"/>
                <w:highlight w:val="none"/>
                <w:lang w:val="en-US" w:eastAsia="zh-CN"/>
              </w:rPr>
              <w:t>天，</w:t>
            </w:r>
            <w:r>
              <w:rPr>
                <w:rFonts w:hint="eastAsia" w:ascii="Times New Roman" w:hAnsi="Times New Roman" w:eastAsia="宋体" w:cs="Times New Roman"/>
                <w:b w:val="0"/>
                <w:bCs/>
                <w:color w:val="000000"/>
                <w:kern w:val="0"/>
                <w:sz w:val="24"/>
                <w:szCs w:val="24"/>
                <w:highlight w:val="none"/>
                <w:lang w:val="en-US" w:eastAsia="zh-CN"/>
              </w:rPr>
              <w:t>项目区不设置食堂</w:t>
            </w:r>
            <w:r>
              <w:rPr>
                <w:rFonts w:hint="default" w:ascii="Times New Roman" w:hAnsi="Times New Roman" w:eastAsia="宋体" w:cs="Times New Roman"/>
                <w:b w:val="0"/>
                <w:bCs/>
                <w:color w:val="000000"/>
                <w:kern w:val="0"/>
                <w:sz w:val="24"/>
                <w:szCs w:val="24"/>
                <w:highlight w:val="none"/>
                <w:lang w:val="en-US" w:eastAsia="zh-CN"/>
              </w:rPr>
              <w:t>。</w:t>
            </w:r>
          </w:p>
          <w:p w14:paraId="63BA6DA3">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default" w:ascii="Times New Roman" w:hAnsi="Times New Roman" w:eastAsia="宋体" w:cs="Times New Roman"/>
                <w:b/>
                <w:bCs/>
                <w:color w:val="000000"/>
                <w:sz w:val="24"/>
                <w:szCs w:val="24"/>
                <w:highlight w:val="none"/>
                <w:lang w:val="en-US" w:eastAsia="zh-CN"/>
              </w:rPr>
            </w:pPr>
            <w:r>
              <w:rPr>
                <w:rFonts w:hint="eastAsia" w:cs="Times New Roman"/>
                <w:b/>
                <w:bCs/>
                <w:color w:val="000000"/>
                <w:sz w:val="24"/>
                <w:szCs w:val="24"/>
                <w:highlight w:val="none"/>
                <w:lang w:val="en-US" w:eastAsia="zh-CN"/>
              </w:rPr>
              <w:t>7.</w:t>
            </w:r>
            <w:r>
              <w:rPr>
                <w:rFonts w:hint="default" w:ascii="Times New Roman" w:hAnsi="Times New Roman" w:eastAsia="宋体" w:cs="Times New Roman"/>
                <w:b/>
                <w:bCs/>
                <w:color w:val="000000"/>
                <w:sz w:val="24"/>
                <w:szCs w:val="24"/>
                <w:highlight w:val="none"/>
                <w:lang w:val="en-US" w:eastAsia="zh-CN"/>
              </w:rPr>
              <w:t>公用工程</w:t>
            </w:r>
          </w:p>
          <w:p w14:paraId="6A780E58">
            <w:pPr>
              <w:pStyle w:val="55"/>
              <w:keepNext w:val="0"/>
              <w:keepLines w:val="0"/>
              <w:pageBreakBefore w:val="0"/>
              <w:widowControl w:val="0"/>
              <w:kinsoku/>
              <w:wordWrap/>
              <w:overflowPunct/>
              <w:topLinePunct w:val="0"/>
              <w:autoSpaceDE w:val="0"/>
              <w:autoSpaceDN w:val="0"/>
              <w:bidi w:val="0"/>
              <w:adjustRightInd w:val="0"/>
              <w:snapToGrid w:val="0"/>
              <w:spacing w:before="0" w:line="360" w:lineRule="auto"/>
              <w:ind w:left="0" w:firstLine="480" w:firstLineChars="200"/>
              <w:jc w:val="both"/>
              <w:textAlignment w:val="auto"/>
              <w:rPr>
                <w:rFonts w:hint="default" w:ascii="Times New Roman" w:hAnsi="Times New Roman" w:eastAsia="宋体" w:cs="Times New Roman"/>
                <w:b w:val="0"/>
                <w:bCs/>
                <w:color w:val="000000"/>
                <w:kern w:val="2"/>
                <w:sz w:val="24"/>
                <w:szCs w:val="24"/>
                <w:highlight w:val="none"/>
                <w:lang w:val="en-US" w:eastAsia="zh-CN" w:bidi="ar-SA"/>
              </w:rPr>
            </w:pPr>
            <w:r>
              <w:rPr>
                <w:rFonts w:hint="default" w:ascii="Times New Roman" w:hAnsi="Times New Roman" w:eastAsia="宋体" w:cs="Times New Roman"/>
                <w:b w:val="0"/>
                <w:bCs/>
                <w:color w:val="000000"/>
                <w:kern w:val="2"/>
                <w:sz w:val="24"/>
                <w:szCs w:val="24"/>
                <w:highlight w:val="none"/>
                <w:lang w:val="en-US" w:eastAsia="zh-CN" w:bidi="ar-SA"/>
              </w:rPr>
              <w:t>（1）本项目用水</w:t>
            </w:r>
            <w:r>
              <w:rPr>
                <w:rFonts w:hint="eastAsia" w:ascii="Times New Roman" w:hAnsi="Times New Roman" w:eastAsia="宋体" w:cs="Times New Roman"/>
                <w:b w:val="0"/>
                <w:bCs/>
                <w:color w:val="000000"/>
                <w:kern w:val="2"/>
                <w:sz w:val="24"/>
                <w:szCs w:val="24"/>
                <w:highlight w:val="none"/>
                <w:lang w:val="en-US" w:eastAsia="zh-CN" w:bidi="ar-SA"/>
              </w:rPr>
              <w:t>主要为生产用水及生活用水</w:t>
            </w:r>
            <w:r>
              <w:rPr>
                <w:rFonts w:hint="default" w:ascii="Times New Roman" w:hAnsi="Times New Roman" w:eastAsia="宋体" w:cs="Times New Roman"/>
                <w:b w:val="0"/>
                <w:bCs/>
                <w:color w:val="000000"/>
                <w:kern w:val="2"/>
                <w:sz w:val="24"/>
                <w:szCs w:val="24"/>
                <w:highlight w:val="none"/>
                <w:lang w:val="en-US" w:eastAsia="zh-CN" w:bidi="ar-SA"/>
              </w:rPr>
              <w:t>。</w:t>
            </w:r>
          </w:p>
          <w:p w14:paraId="52EEA7FD">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b w:val="0"/>
                <w:bCs/>
                <w:color w:val="000000"/>
                <w:sz w:val="24"/>
                <w:szCs w:val="24"/>
                <w:highlight w:val="none"/>
                <w:lang w:val="en-US" w:eastAsia="zh-CN"/>
              </w:rPr>
              <w:t>①生产用水</w:t>
            </w:r>
          </w:p>
          <w:p w14:paraId="22688C33">
            <w:pPr>
              <w:pStyle w:val="60"/>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Times New Roman" w:hAnsi="Times New Roman" w:eastAsia="宋体" w:cs="Times New Roman"/>
                <w:b w:val="0"/>
                <w:bCs/>
                <w:color w:val="000000"/>
                <w:kern w:val="2"/>
                <w:sz w:val="24"/>
                <w:szCs w:val="24"/>
                <w:highlight w:val="none"/>
                <w:lang w:val="en-US" w:eastAsia="zh-CN" w:bidi="ar-SA"/>
              </w:rPr>
            </w:pPr>
            <w:r>
              <w:rPr>
                <w:rFonts w:hint="eastAsia" w:ascii="Times New Roman" w:hAnsi="Times New Roman" w:eastAsia="宋体" w:cs="Times New Roman"/>
                <w:b w:val="0"/>
                <w:bCs/>
                <w:color w:val="000000"/>
                <w:kern w:val="2"/>
                <w:sz w:val="24"/>
                <w:szCs w:val="24"/>
                <w:highlight w:val="none"/>
                <w:lang w:val="en-US" w:eastAsia="zh-CN" w:bidi="ar-SA"/>
              </w:rPr>
              <w:t>降尘用水：本项目在装卸煤时，均在封闭的煤场内，在装卸的同时，启动雾炮机对产尘部位喷水抑尘，根据业主提供资料，雾炮机每天启动约1小时，本项目配备了6台雾炮机，每台额定耗水量0.5m</w:t>
            </w:r>
            <w:r>
              <w:rPr>
                <w:rFonts w:hint="eastAsia" w:ascii="Times New Roman" w:hAnsi="Times New Roman" w:eastAsia="宋体" w:cs="Times New Roman"/>
                <w:b w:val="0"/>
                <w:bCs/>
                <w:color w:val="000000"/>
                <w:kern w:val="2"/>
                <w:sz w:val="24"/>
                <w:szCs w:val="24"/>
                <w:highlight w:val="none"/>
                <w:vertAlign w:val="superscript"/>
                <w:lang w:val="en-US" w:eastAsia="zh-CN" w:bidi="ar-SA"/>
              </w:rPr>
              <w:t>3</w:t>
            </w:r>
            <w:r>
              <w:rPr>
                <w:rFonts w:hint="eastAsia" w:ascii="Times New Roman" w:hAnsi="Times New Roman" w:eastAsia="宋体" w:cs="Times New Roman"/>
                <w:b w:val="0"/>
                <w:bCs/>
                <w:color w:val="000000"/>
                <w:kern w:val="2"/>
                <w:sz w:val="24"/>
                <w:szCs w:val="24"/>
                <w:highlight w:val="none"/>
                <w:lang w:val="en-US" w:eastAsia="zh-CN" w:bidi="ar-SA"/>
              </w:rPr>
              <w:t>/h，则本项目在装卸煤时，耗水量为3m</w:t>
            </w:r>
            <w:r>
              <w:rPr>
                <w:rFonts w:hint="eastAsia" w:ascii="Times New Roman" w:hAnsi="Times New Roman" w:eastAsia="宋体" w:cs="Times New Roman"/>
                <w:b w:val="0"/>
                <w:bCs/>
                <w:color w:val="000000"/>
                <w:kern w:val="2"/>
                <w:sz w:val="24"/>
                <w:szCs w:val="24"/>
                <w:highlight w:val="none"/>
                <w:vertAlign w:val="superscript"/>
                <w:lang w:val="en-US" w:eastAsia="zh-CN" w:bidi="ar-SA"/>
              </w:rPr>
              <w:t>3</w:t>
            </w:r>
            <w:r>
              <w:rPr>
                <w:rFonts w:hint="eastAsia" w:ascii="Times New Roman" w:hAnsi="Times New Roman" w:eastAsia="宋体" w:cs="Times New Roman"/>
                <w:b w:val="0"/>
                <w:bCs/>
                <w:color w:val="000000"/>
                <w:kern w:val="2"/>
                <w:sz w:val="24"/>
                <w:szCs w:val="24"/>
                <w:highlight w:val="none"/>
                <w:lang w:val="en-US" w:eastAsia="zh-CN" w:bidi="ar-SA"/>
              </w:rPr>
              <w:t>/d，全年耗水量为900m</w:t>
            </w:r>
            <w:r>
              <w:rPr>
                <w:rFonts w:hint="eastAsia" w:ascii="Times New Roman" w:hAnsi="Times New Roman" w:eastAsia="宋体" w:cs="Times New Roman"/>
                <w:b w:val="0"/>
                <w:bCs/>
                <w:color w:val="000000"/>
                <w:kern w:val="2"/>
                <w:sz w:val="24"/>
                <w:szCs w:val="24"/>
                <w:highlight w:val="none"/>
                <w:vertAlign w:val="superscript"/>
                <w:lang w:val="en-US" w:eastAsia="zh-CN" w:bidi="ar-SA"/>
              </w:rPr>
              <w:t>3</w:t>
            </w:r>
            <w:r>
              <w:rPr>
                <w:rFonts w:hint="eastAsia" w:ascii="Times New Roman" w:hAnsi="Times New Roman" w:eastAsia="宋体" w:cs="Times New Roman"/>
                <w:b w:val="0"/>
                <w:bCs/>
                <w:color w:val="000000"/>
                <w:kern w:val="2"/>
                <w:sz w:val="24"/>
                <w:szCs w:val="24"/>
                <w:highlight w:val="none"/>
                <w:lang w:val="en-US" w:eastAsia="zh-CN" w:bidi="ar-SA"/>
              </w:rPr>
              <w:t>/a。雾炮喷水抑尘用水全部被蒸发，不外排。</w:t>
            </w:r>
          </w:p>
          <w:p w14:paraId="4FE5849C">
            <w:pPr>
              <w:spacing w:line="360" w:lineRule="auto"/>
              <w:ind w:firstLine="480" w:firstLineChars="200"/>
              <w:jc w:val="both"/>
              <w:rPr>
                <w:rFonts w:hint="default" w:ascii="Times New Roman" w:hAnsi="Times New Roman" w:eastAsia="宋体" w:cs="Times New Roman"/>
                <w:b w:val="0"/>
                <w:bCs/>
                <w:color w:val="000000"/>
                <w:kern w:val="2"/>
                <w:sz w:val="24"/>
                <w:szCs w:val="24"/>
                <w:highlight w:val="none"/>
                <w:lang w:val="en-US" w:eastAsia="zh-CN" w:bidi="ar-SA"/>
              </w:rPr>
            </w:pPr>
            <w:r>
              <w:rPr>
                <w:rFonts w:hint="eastAsia" w:ascii="Times New Roman" w:hAnsi="Times New Roman" w:eastAsia="宋体" w:cs="Times New Roman"/>
                <w:b w:val="0"/>
                <w:bCs/>
                <w:color w:val="000000"/>
                <w:kern w:val="2"/>
                <w:sz w:val="24"/>
                <w:szCs w:val="24"/>
                <w:highlight w:val="none"/>
                <w:lang w:val="en-US" w:eastAsia="zh-CN" w:bidi="ar-SA"/>
              </w:rPr>
              <w:t>洗车用水：运输车辆在出入场区时，需要对车辆轮胎清洗，建设单位设置有洗车平台，</w:t>
            </w:r>
            <w:r>
              <w:rPr>
                <w:rFonts w:hint="eastAsia" w:cs="Times New Roman"/>
                <w:b w:val="0"/>
                <w:bCs/>
                <w:color w:val="000000"/>
                <w:kern w:val="2"/>
                <w:sz w:val="24"/>
                <w:szCs w:val="24"/>
                <w:highlight w:val="none"/>
                <w:lang w:val="en-US" w:eastAsia="zh-CN" w:bidi="ar-SA"/>
              </w:rPr>
              <w:t>车辆</w:t>
            </w:r>
            <w:r>
              <w:rPr>
                <w:rFonts w:hint="eastAsia" w:ascii="Times New Roman" w:hAnsi="Times New Roman" w:eastAsia="宋体" w:cs="Times New Roman"/>
                <w:b w:val="0"/>
                <w:bCs/>
                <w:color w:val="000000"/>
                <w:kern w:val="2"/>
                <w:sz w:val="24"/>
                <w:szCs w:val="24"/>
                <w:highlight w:val="none"/>
                <w:lang w:val="en-US" w:eastAsia="zh-CN" w:bidi="ar-SA"/>
              </w:rPr>
              <w:t>冲洗用水按200L/（辆</w:t>
            </w:r>
            <w:r>
              <w:rPr>
                <w:rFonts w:hint="eastAsia" w:cs="Times New Roman"/>
                <w:b w:val="0"/>
                <w:bCs/>
                <w:color w:val="000000"/>
                <w:kern w:val="2"/>
                <w:sz w:val="24"/>
                <w:szCs w:val="24"/>
                <w:highlight w:val="none"/>
                <w:lang w:val="en-US" w:eastAsia="zh-CN" w:bidi="ar-SA"/>
              </w:rPr>
              <w:t>·</w:t>
            </w:r>
            <w:r>
              <w:rPr>
                <w:rFonts w:hint="eastAsia" w:ascii="Times New Roman" w:hAnsi="Times New Roman" w:eastAsia="宋体" w:cs="Times New Roman"/>
                <w:b w:val="0"/>
                <w:bCs/>
                <w:color w:val="000000"/>
                <w:kern w:val="2"/>
                <w:sz w:val="24"/>
                <w:szCs w:val="24"/>
                <w:highlight w:val="none"/>
                <w:lang w:val="en-US" w:eastAsia="zh-CN" w:bidi="ar-SA"/>
              </w:rPr>
              <w:t>次）计，根据业主提供资料可知，平均每年需要清洗车辆4000次，则本项目洗车用水量为800m</w:t>
            </w:r>
            <w:r>
              <w:rPr>
                <w:rFonts w:hint="eastAsia" w:ascii="Times New Roman" w:hAnsi="Times New Roman" w:eastAsia="宋体" w:cs="Times New Roman"/>
                <w:b w:val="0"/>
                <w:bCs/>
                <w:color w:val="000000"/>
                <w:kern w:val="2"/>
                <w:sz w:val="24"/>
                <w:szCs w:val="24"/>
                <w:highlight w:val="none"/>
                <w:vertAlign w:val="superscript"/>
                <w:lang w:val="en-US" w:eastAsia="zh-CN" w:bidi="ar-SA"/>
              </w:rPr>
              <w:t>3</w:t>
            </w:r>
            <w:r>
              <w:rPr>
                <w:rFonts w:hint="eastAsia" w:ascii="Times New Roman" w:hAnsi="Times New Roman" w:eastAsia="宋体" w:cs="Times New Roman"/>
                <w:b w:val="0"/>
                <w:bCs/>
                <w:color w:val="000000"/>
                <w:kern w:val="2"/>
                <w:sz w:val="24"/>
                <w:szCs w:val="24"/>
                <w:highlight w:val="none"/>
                <w:lang w:val="en-US" w:eastAsia="zh-CN" w:bidi="ar-SA"/>
              </w:rPr>
              <w:t>/a。建设单位设置有5m</w:t>
            </w:r>
            <w:r>
              <w:rPr>
                <w:rFonts w:hint="eastAsia" w:ascii="Times New Roman" w:hAnsi="Times New Roman" w:eastAsia="宋体" w:cs="Times New Roman"/>
                <w:b w:val="0"/>
                <w:bCs/>
                <w:color w:val="000000"/>
                <w:kern w:val="2"/>
                <w:sz w:val="24"/>
                <w:szCs w:val="24"/>
                <w:highlight w:val="none"/>
                <w:vertAlign w:val="superscript"/>
                <w:lang w:val="en-US" w:eastAsia="zh-CN" w:bidi="ar-SA"/>
              </w:rPr>
              <w:t>3</w:t>
            </w:r>
            <w:r>
              <w:rPr>
                <w:rFonts w:hint="eastAsia" w:ascii="Times New Roman" w:hAnsi="Times New Roman" w:eastAsia="宋体" w:cs="Times New Roman"/>
                <w:b w:val="0"/>
                <w:bCs/>
                <w:color w:val="000000"/>
                <w:kern w:val="2"/>
                <w:sz w:val="24"/>
                <w:szCs w:val="24"/>
                <w:highlight w:val="none"/>
                <w:lang w:val="en-US" w:eastAsia="zh-CN" w:bidi="ar-SA"/>
              </w:rPr>
              <w:t>的沉淀池，洗车废水不外排，经沉淀后回用于车辆清洗，洗车废水回用于车辆清洗时存在损耗，损耗量按用水量的20%计，则本项目洗车用水耗水量为160m</w:t>
            </w:r>
            <w:r>
              <w:rPr>
                <w:rFonts w:hint="eastAsia" w:ascii="Times New Roman" w:hAnsi="Times New Roman" w:eastAsia="宋体" w:cs="Times New Roman"/>
                <w:b w:val="0"/>
                <w:bCs/>
                <w:color w:val="000000"/>
                <w:kern w:val="2"/>
                <w:sz w:val="24"/>
                <w:szCs w:val="24"/>
                <w:highlight w:val="none"/>
                <w:vertAlign w:val="superscript"/>
                <w:lang w:val="en-US" w:eastAsia="zh-CN" w:bidi="ar-SA"/>
              </w:rPr>
              <w:t>3</w:t>
            </w:r>
            <w:r>
              <w:rPr>
                <w:rFonts w:hint="eastAsia" w:ascii="Times New Roman" w:hAnsi="Times New Roman" w:eastAsia="宋体" w:cs="Times New Roman"/>
                <w:b w:val="0"/>
                <w:bCs/>
                <w:color w:val="000000"/>
                <w:kern w:val="2"/>
                <w:sz w:val="24"/>
                <w:szCs w:val="24"/>
                <w:highlight w:val="none"/>
                <w:lang w:val="en-US" w:eastAsia="zh-CN" w:bidi="ar-SA"/>
              </w:rPr>
              <w:t>/a。</w:t>
            </w:r>
          </w:p>
          <w:p w14:paraId="075AEE5A">
            <w:pPr>
              <w:pStyle w:val="60"/>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Times New Roman" w:hAnsi="Times New Roman" w:eastAsia="宋体" w:cs="Times New Roman"/>
                <w:b w:val="0"/>
                <w:bCs/>
                <w:color w:val="000000"/>
                <w:sz w:val="24"/>
                <w:szCs w:val="24"/>
                <w:highlight w:val="none"/>
                <w:lang w:val="en-US" w:eastAsia="zh-CN"/>
              </w:rPr>
            </w:pPr>
            <w:r>
              <w:rPr>
                <w:rFonts w:hint="default" w:ascii="Times New Roman" w:hAnsi="Times New Roman" w:eastAsia="宋体" w:cs="Times New Roman"/>
                <w:b w:val="0"/>
                <w:bCs/>
                <w:color w:val="000000"/>
                <w:sz w:val="24"/>
                <w:szCs w:val="24"/>
                <w:highlight w:val="none"/>
              </w:rPr>
              <w:t>②</w:t>
            </w:r>
            <w:r>
              <w:rPr>
                <w:rFonts w:hint="default" w:ascii="Times New Roman" w:hAnsi="Times New Roman" w:eastAsia="宋体" w:cs="Times New Roman"/>
                <w:b w:val="0"/>
                <w:bCs/>
                <w:color w:val="000000"/>
                <w:sz w:val="24"/>
                <w:szCs w:val="24"/>
                <w:highlight w:val="none"/>
                <w:lang w:val="en-US" w:eastAsia="zh-CN"/>
              </w:rPr>
              <w:t>生活用水</w:t>
            </w:r>
          </w:p>
          <w:p w14:paraId="6C90274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56" w:firstLineChars="200"/>
              <w:textAlignment w:val="auto"/>
              <w:rPr>
                <w:rFonts w:hint="default" w:ascii="Times New Roman" w:hAnsi="Times New Roman" w:eastAsia="宋体" w:cs="Times New Roman"/>
                <w:b w:val="0"/>
                <w:bCs/>
                <w:color w:val="000000"/>
                <w:spacing w:val="-6"/>
                <w:sz w:val="24"/>
                <w:szCs w:val="24"/>
                <w:highlight w:val="none"/>
              </w:rPr>
            </w:pPr>
            <w:r>
              <w:rPr>
                <w:rFonts w:hint="default" w:ascii="Times New Roman" w:hAnsi="Times New Roman" w:eastAsia="宋体" w:cs="Times New Roman"/>
                <w:b w:val="0"/>
                <w:bCs/>
                <w:color w:val="000000"/>
                <w:spacing w:val="-6"/>
                <w:sz w:val="24"/>
                <w:szCs w:val="24"/>
                <w:highlight w:val="none"/>
              </w:rPr>
              <w:t>本项目劳动定员为</w:t>
            </w:r>
            <w:r>
              <w:rPr>
                <w:rFonts w:hint="eastAsia" w:ascii="Times New Roman" w:hAnsi="Times New Roman" w:eastAsia="宋体" w:cs="Times New Roman"/>
                <w:b w:val="0"/>
                <w:bCs/>
                <w:color w:val="000000"/>
                <w:spacing w:val="-6"/>
                <w:sz w:val="24"/>
                <w:szCs w:val="24"/>
                <w:highlight w:val="none"/>
                <w:lang w:val="en-US" w:eastAsia="zh-CN"/>
              </w:rPr>
              <w:t>10</w:t>
            </w:r>
            <w:r>
              <w:rPr>
                <w:rFonts w:hint="default" w:ascii="Times New Roman" w:hAnsi="Times New Roman" w:eastAsia="宋体" w:cs="Times New Roman"/>
                <w:b w:val="0"/>
                <w:bCs/>
                <w:color w:val="000000"/>
                <w:spacing w:val="-6"/>
                <w:sz w:val="24"/>
                <w:szCs w:val="24"/>
                <w:highlight w:val="none"/>
              </w:rPr>
              <w:t>人，不设置</w:t>
            </w:r>
            <w:r>
              <w:rPr>
                <w:rFonts w:hint="eastAsia" w:ascii="Times New Roman" w:hAnsi="Times New Roman" w:eastAsia="宋体" w:cs="Times New Roman"/>
                <w:b w:val="0"/>
                <w:bCs/>
                <w:color w:val="000000"/>
                <w:spacing w:val="-6"/>
                <w:sz w:val="24"/>
                <w:szCs w:val="24"/>
                <w:highlight w:val="none"/>
                <w:lang w:val="en-US" w:eastAsia="zh-CN"/>
              </w:rPr>
              <w:t>食堂，</w:t>
            </w:r>
            <w:r>
              <w:rPr>
                <w:rFonts w:hint="default" w:ascii="Times New Roman" w:hAnsi="Times New Roman" w:eastAsia="宋体" w:cs="Times New Roman"/>
                <w:b w:val="0"/>
                <w:bCs/>
                <w:color w:val="000000"/>
                <w:spacing w:val="-6"/>
                <w:sz w:val="24"/>
                <w:szCs w:val="24"/>
                <w:highlight w:val="none"/>
                <w:lang w:eastAsia="zh-CN"/>
              </w:rPr>
              <w:t>根据《新疆维吾尔自治区生活用水定额》</w:t>
            </w:r>
            <w:r>
              <w:rPr>
                <w:rFonts w:hint="default" w:ascii="Times New Roman" w:hAnsi="Times New Roman" w:eastAsia="宋体" w:cs="Times New Roman"/>
                <w:b w:val="0"/>
                <w:bCs/>
                <w:color w:val="000000"/>
                <w:spacing w:val="-6"/>
                <w:sz w:val="24"/>
                <w:szCs w:val="24"/>
                <w:highlight w:val="none"/>
              </w:rPr>
              <w:t>，用水量按照每人平均</w:t>
            </w:r>
            <w:r>
              <w:rPr>
                <w:rFonts w:hint="eastAsia" w:ascii="Times New Roman" w:hAnsi="Times New Roman" w:eastAsia="宋体" w:cs="Times New Roman"/>
                <w:b w:val="0"/>
                <w:bCs/>
                <w:color w:val="000000"/>
                <w:spacing w:val="-6"/>
                <w:sz w:val="24"/>
                <w:szCs w:val="24"/>
                <w:highlight w:val="none"/>
                <w:lang w:val="en-US" w:eastAsia="zh-CN"/>
              </w:rPr>
              <w:t>70</w:t>
            </w:r>
            <w:r>
              <w:rPr>
                <w:rFonts w:hint="default" w:ascii="Times New Roman" w:hAnsi="Times New Roman" w:eastAsia="宋体" w:cs="Times New Roman"/>
                <w:b w:val="0"/>
                <w:bCs/>
                <w:color w:val="000000"/>
                <w:spacing w:val="-6"/>
                <w:sz w:val="24"/>
                <w:szCs w:val="24"/>
                <w:highlight w:val="none"/>
              </w:rPr>
              <w:t>L/d计算，则厂区生活用水量为</w:t>
            </w:r>
            <w:r>
              <w:rPr>
                <w:rFonts w:hint="eastAsia" w:ascii="Times New Roman" w:hAnsi="Times New Roman" w:eastAsia="宋体" w:cs="Times New Roman"/>
                <w:b w:val="0"/>
                <w:bCs/>
                <w:color w:val="000000"/>
                <w:spacing w:val="-6"/>
                <w:sz w:val="24"/>
                <w:szCs w:val="24"/>
                <w:highlight w:val="none"/>
                <w:lang w:val="en-US" w:eastAsia="zh-CN"/>
              </w:rPr>
              <w:t>0.7</w:t>
            </w:r>
            <w:r>
              <w:rPr>
                <w:rFonts w:hint="default" w:ascii="Times New Roman" w:hAnsi="Times New Roman" w:eastAsia="宋体" w:cs="Times New Roman"/>
                <w:b w:val="0"/>
                <w:bCs/>
                <w:color w:val="000000"/>
                <w:spacing w:val="-6"/>
                <w:sz w:val="24"/>
                <w:szCs w:val="24"/>
                <w:highlight w:val="none"/>
              </w:rPr>
              <w:t>m</w:t>
            </w:r>
            <w:r>
              <w:rPr>
                <w:rFonts w:hint="default" w:ascii="Times New Roman" w:hAnsi="Times New Roman" w:eastAsia="宋体" w:cs="Times New Roman"/>
                <w:b w:val="0"/>
                <w:bCs/>
                <w:color w:val="000000"/>
                <w:spacing w:val="-6"/>
                <w:sz w:val="24"/>
                <w:szCs w:val="24"/>
                <w:highlight w:val="none"/>
                <w:vertAlign w:val="superscript"/>
              </w:rPr>
              <w:t>3</w:t>
            </w:r>
            <w:r>
              <w:rPr>
                <w:rFonts w:hint="default" w:ascii="Times New Roman" w:hAnsi="Times New Roman" w:eastAsia="宋体" w:cs="Times New Roman"/>
                <w:b w:val="0"/>
                <w:bCs/>
                <w:color w:val="000000"/>
                <w:spacing w:val="-6"/>
                <w:sz w:val="24"/>
                <w:szCs w:val="24"/>
                <w:highlight w:val="none"/>
              </w:rPr>
              <w:t>/d，</w:t>
            </w:r>
            <w:r>
              <w:rPr>
                <w:rFonts w:hint="eastAsia" w:ascii="Times New Roman" w:hAnsi="Times New Roman" w:eastAsia="宋体" w:cs="Times New Roman"/>
                <w:b w:val="0"/>
                <w:bCs/>
                <w:color w:val="000000"/>
                <w:spacing w:val="-6"/>
                <w:sz w:val="24"/>
                <w:szCs w:val="24"/>
                <w:highlight w:val="none"/>
                <w:lang w:val="en-US" w:eastAsia="zh-CN"/>
              </w:rPr>
              <w:t>210</w:t>
            </w:r>
            <w:r>
              <w:rPr>
                <w:rFonts w:hint="default" w:ascii="Times New Roman" w:hAnsi="Times New Roman" w:eastAsia="宋体" w:cs="Times New Roman"/>
                <w:b w:val="0"/>
                <w:bCs/>
                <w:color w:val="000000"/>
                <w:spacing w:val="-6"/>
                <w:sz w:val="24"/>
                <w:szCs w:val="24"/>
                <w:highlight w:val="none"/>
              </w:rPr>
              <w:t>m</w:t>
            </w:r>
            <w:r>
              <w:rPr>
                <w:rFonts w:hint="default" w:ascii="Times New Roman" w:hAnsi="Times New Roman" w:eastAsia="宋体" w:cs="Times New Roman"/>
                <w:b w:val="0"/>
                <w:bCs/>
                <w:color w:val="000000"/>
                <w:spacing w:val="-6"/>
                <w:sz w:val="24"/>
                <w:szCs w:val="24"/>
                <w:highlight w:val="none"/>
                <w:vertAlign w:val="superscript"/>
              </w:rPr>
              <w:t>3</w:t>
            </w:r>
            <w:r>
              <w:rPr>
                <w:rFonts w:hint="default" w:ascii="Times New Roman" w:hAnsi="Times New Roman" w:eastAsia="宋体" w:cs="Times New Roman"/>
                <w:b w:val="0"/>
                <w:bCs/>
                <w:color w:val="000000"/>
                <w:spacing w:val="-6"/>
                <w:sz w:val="24"/>
                <w:szCs w:val="24"/>
                <w:highlight w:val="none"/>
              </w:rPr>
              <w:t>/a。</w:t>
            </w:r>
          </w:p>
          <w:p w14:paraId="446D303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color w:val="000000"/>
                <w:sz w:val="24"/>
                <w:szCs w:val="24"/>
                <w:highlight w:val="none"/>
                <w:lang w:eastAsia="zh-CN"/>
              </w:rPr>
              <w:t>（</w:t>
            </w:r>
            <w:r>
              <w:rPr>
                <w:rFonts w:hint="eastAsia" w:ascii="Times New Roman" w:hAnsi="Times New Roman" w:eastAsia="宋体" w:cs="Times New Roman"/>
                <w:b w:val="0"/>
                <w:bCs/>
                <w:color w:val="000000"/>
                <w:sz w:val="24"/>
                <w:szCs w:val="24"/>
                <w:highlight w:val="none"/>
                <w:lang w:val="en-US" w:eastAsia="zh-CN"/>
              </w:rPr>
              <w:t>2）</w:t>
            </w:r>
            <w:r>
              <w:rPr>
                <w:rFonts w:hint="default" w:ascii="Times New Roman" w:hAnsi="Times New Roman" w:eastAsia="宋体" w:cs="Times New Roman"/>
                <w:b w:val="0"/>
                <w:bCs/>
                <w:color w:val="000000"/>
                <w:sz w:val="24"/>
                <w:szCs w:val="24"/>
                <w:highlight w:val="none"/>
              </w:rPr>
              <w:t>排水</w:t>
            </w:r>
            <w:r>
              <w:rPr>
                <w:rFonts w:hint="default" w:ascii="Times New Roman" w:hAnsi="Times New Roman" w:eastAsia="宋体" w:cs="Times New Roman"/>
                <w:b w:val="0"/>
                <w:bCs/>
                <w:color w:val="000000"/>
                <w:sz w:val="24"/>
                <w:szCs w:val="24"/>
                <w:highlight w:val="none"/>
                <w:lang w:eastAsia="zh-CN"/>
              </w:rPr>
              <w:t>：</w:t>
            </w:r>
            <w:r>
              <w:rPr>
                <w:rFonts w:hint="eastAsia" w:cs="Times New Roman"/>
                <w:b w:val="0"/>
                <w:bCs w:val="0"/>
                <w:color w:val="000000"/>
                <w:sz w:val="24"/>
                <w:szCs w:val="24"/>
                <w:highlight w:val="none"/>
                <w:lang w:val="en-US" w:eastAsia="zh-CN"/>
              </w:rPr>
              <w:t>生活污水</w:t>
            </w:r>
            <w:r>
              <w:rPr>
                <w:rFonts w:hint="default" w:ascii="Times New Roman" w:hAnsi="Times New Roman" w:eastAsia="宋体" w:cs="Times New Roman"/>
                <w:b w:val="0"/>
                <w:bCs w:val="0"/>
                <w:color w:val="000000"/>
                <w:sz w:val="24"/>
                <w:szCs w:val="24"/>
                <w:highlight w:val="none"/>
                <w:lang w:val="en-US" w:eastAsia="zh-CN"/>
              </w:rPr>
              <w:t>产污系数以0.8计</w:t>
            </w:r>
            <w:r>
              <w:rPr>
                <w:rFonts w:hint="eastAsia" w:ascii="Times New Roman" w:hAnsi="Times New Roman" w:eastAsia="宋体" w:cs="Times New Roman"/>
                <w:b w:val="0"/>
                <w:bCs w:val="0"/>
                <w:color w:val="000000"/>
                <w:sz w:val="24"/>
                <w:szCs w:val="24"/>
                <w:highlight w:val="none"/>
                <w:lang w:val="en-US" w:eastAsia="zh-CN"/>
              </w:rPr>
              <w:t>，</w:t>
            </w:r>
            <w:r>
              <w:rPr>
                <w:rFonts w:hint="default" w:ascii="Times New Roman" w:hAnsi="Times New Roman" w:eastAsia="宋体" w:cs="Times New Roman"/>
                <w:b w:val="0"/>
                <w:bCs w:val="0"/>
                <w:color w:val="000000"/>
                <w:sz w:val="24"/>
                <w:szCs w:val="24"/>
                <w:highlight w:val="none"/>
                <w:lang w:val="en-US" w:eastAsia="zh-CN"/>
              </w:rPr>
              <w:t>则职工生活污水产生量为</w:t>
            </w:r>
            <w:r>
              <w:rPr>
                <w:rFonts w:hint="eastAsia" w:cs="Times New Roman"/>
                <w:b w:val="0"/>
                <w:bCs w:val="0"/>
                <w:color w:val="000000"/>
                <w:sz w:val="24"/>
                <w:szCs w:val="24"/>
                <w:highlight w:val="none"/>
                <w:lang w:val="en-US" w:eastAsia="zh-CN"/>
              </w:rPr>
              <w:t>0.56</w:t>
            </w:r>
            <w:r>
              <w:rPr>
                <w:rFonts w:hint="default" w:ascii="Times New Roman" w:hAnsi="Times New Roman" w:eastAsia="宋体" w:cs="Times New Roman"/>
                <w:b w:val="0"/>
                <w:bCs w:val="0"/>
                <w:color w:val="000000"/>
                <w:sz w:val="24"/>
                <w:szCs w:val="24"/>
                <w:highlight w:val="none"/>
                <w:lang w:val="en-US" w:eastAsia="zh-CN"/>
              </w:rPr>
              <w:t>m</w:t>
            </w:r>
            <w:r>
              <w:rPr>
                <w:rFonts w:hint="default" w:ascii="Times New Roman" w:hAnsi="Times New Roman" w:eastAsia="宋体" w:cs="Times New Roman"/>
                <w:b w:val="0"/>
                <w:bCs w:val="0"/>
                <w:color w:val="000000"/>
                <w:sz w:val="24"/>
                <w:szCs w:val="24"/>
                <w:highlight w:val="none"/>
                <w:vertAlign w:val="superscript"/>
                <w:lang w:val="en-US" w:eastAsia="zh-CN"/>
              </w:rPr>
              <w:t>3</w:t>
            </w:r>
            <w:r>
              <w:rPr>
                <w:rFonts w:hint="default" w:ascii="Times New Roman" w:hAnsi="Times New Roman" w:eastAsia="宋体" w:cs="Times New Roman"/>
                <w:b w:val="0"/>
                <w:bCs w:val="0"/>
                <w:color w:val="000000"/>
                <w:sz w:val="24"/>
                <w:szCs w:val="24"/>
                <w:highlight w:val="none"/>
                <w:lang w:val="en-US" w:eastAsia="zh-CN"/>
              </w:rPr>
              <w:t>/d（</w:t>
            </w:r>
            <w:r>
              <w:rPr>
                <w:rFonts w:hint="eastAsia" w:cs="Times New Roman"/>
                <w:b w:val="0"/>
                <w:bCs w:val="0"/>
                <w:color w:val="000000"/>
                <w:sz w:val="24"/>
                <w:szCs w:val="24"/>
                <w:highlight w:val="none"/>
                <w:lang w:val="en-US" w:eastAsia="zh-CN"/>
              </w:rPr>
              <w:t>168</w:t>
            </w:r>
            <w:r>
              <w:rPr>
                <w:rFonts w:hint="default" w:ascii="Times New Roman" w:hAnsi="Times New Roman" w:eastAsia="宋体" w:cs="Times New Roman"/>
                <w:b w:val="0"/>
                <w:bCs w:val="0"/>
                <w:color w:val="000000"/>
                <w:sz w:val="24"/>
                <w:szCs w:val="24"/>
                <w:highlight w:val="none"/>
                <w:lang w:val="en-US" w:eastAsia="zh-CN"/>
              </w:rPr>
              <w:t>m</w:t>
            </w:r>
            <w:r>
              <w:rPr>
                <w:rFonts w:hint="default" w:ascii="Times New Roman" w:hAnsi="Times New Roman" w:eastAsia="宋体" w:cs="Times New Roman"/>
                <w:b w:val="0"/>
                <w:bCs w:val="0"/>
                <w:color w:val="000000"/>
                <w:sz w:val="24"/>
                <w:szCs w:val="24"/>
                <w:highlight w:val="none"/>
                <w:vertAlign w:val="superscript"/>
                <w:lang w:val="en-US" w:eastAsia="zh-CN"/>
              </w:rPr>
              <w:t>3</w:t>
            </w:r>
            <w:r>
              <w:rPr>
                <w:rFonts w:hint="default" w:ascii="Times New Roman" w:hAnsi="Times New Roman" w:eastAsia="宋体" w:cs="Times New Roman"/>
                <w:b w:val="0"/>
                <w:bCs w:val="0"/>
                <w:color w:val="000000"/>
                <w:sz w:val="24"/>
                <w:szCs w:val="24"/>
                <w:highlight w:val="none"/>
                <w:lang w:val="en-US" w:eastAsia="zh-CN"/>
              </w:rPr>
              <w:t>/a）</w:t>
            </w:r>
            <w:r>
              <w:rPr>
                <w:rFonts w:hint="eastAsia" w:ascii="Times New Roman" w:hAnsi="Times New Roman" w:eastAsia="宋体" w:cs="Times New Roman"/>
                <w:b w:val="0"/>
                <w:bCs w:val="0"/>
                <w:color w:val="000000"/>
                <w:sz w:val="24"/>
                <w:szCs w:val="24"/>
                <w:highlight w:val="none"/>
                <w:lang w:val="en-US" w:eastAsia="zh-CN"/>
              </w:rPr>
              <w:t>。生活污水经化粪池处理后，定期清运至焉耆县河北巴州生态产业园污水处理厂处理</w:t>
            </w:r>
            <w:r>
              <w:rPr>
                <w:rFonts w:hint="default" w:ascii="Times New Roman" w:hAnsi="Times New Roman" w:eastAsia="宋体" w:cs="Times New Roman"/>
                <w:b w:val="0"/>
                <w:bCs w:val="0"/>
                <w:color w:val="000000"/>
                <w:sz w:val="24"/>
                <w:szCs w:val="24"/>
                <w:highlight w:val="none"/>
                <w:lang w:val="en-US" w:eastAsia="zh-CN"/>
              </w:rPr>
              <w:t>。</w:t>
            </w:r>
          </w:p>
          <w:p w14:paraId="496D099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color w:val="000000"/>
                <w:sz w:val="24"/>
                <w:szCs w:val="24"/>
                <w:highlight w:val="none"/>
              </w:rPr>
            </w:pPr>
            <w:r>
              <w:rPr>
                <w:rFonts w:hint="default" w:ascii="Times New Roman" w:hAnsi="Times New Roman" w:eastAsia="宋体" w:cs="Times New Roman"/>
                <w:b w:val="0"/>
                <w:bCs/>
                <w:color w:val="000000"/>
                <w:sz w:val="24"/>
                <w:szCs w:val="24"/>
                <w:highlight w:val="none"/>
                <w:lang w:eastAsia="zh-CN"/>
              </w:rPr>
              <w:t>（</w:t>
            </w:r>
            <w:r>
              <w:rPr>
                <w:rFonts w:hint="default" w:ascii="Times New Roman" w:hAnsi="Times New Roman" w:eastAsia="宋体" w:cs="Times New Roman"/>
                <w:b w:val="0"/>
                <w:bCs/>
                <w:color w:val="000000"/>
                <w:sz w:val="24"/>
                <w:szCs w:val="24"/>
                <w:highlight w:val="none"/>
                <w:lang w:val="en-US" w:eastAsia="zh-CN"/>
              </w:rPr>
              <w:t>3</w:t>
            </w:r>
            <w:r>
              <w:rPr>
                <w:rFonts w:hint="default" w:ascii="Times New Roman" w:hAnsi="Times New Roman" w:eastAsia="宋体" w:cs="Times New Roman"/>
                <w:b w:val="0"/>
                <w:bCs/>
                <w:color w:val="000000"/>
                <w:sz w:val="24"/>
                <w:szCs w:val="24"/>
                <w:highlight w:val="none"/>
                <w:lang w:eastAsia="zh-CN"/>
              </w:rPr>
              <w:t>）</w:t>
            </w:r>
            <w:r>
              <w:rPr>
                <w:rFonts w:hint="default" w:ascii="Times New Roman" w:hAnsi="Times New Roman" w:eastAsia="宋体" w:cs="Times New Roman"/>
                <w:b w:val="0"/>
                <w:bCs/>
                <w:color w:val="000000"/>
                <w:sz w:val="24"/>
                <w:szCs w:val="24"/>
                <w:highlight w:val="none"/>
              </w:rPr>
              <w:t>供电：</w:t>
            </w:r>
            <w:r>
              <w:rPr>
                <w:rFonts w:hint="default" w:ascii="Times New Roman" w:hAnsi="Times New Roman" w:eastAsia="宋体" w:cs="Times New Roman"/>
                <w:b w:val="0"/>
                <w:bCs/>
                <w:color w:val="000000"/>
                <w:sz w:val="24"/>
                <w:szCs w:val="24"/>
                <w:highlight w:val="none"/>
                <w:lang w:eastAsia="zh-CN"/>
              </w:rPr>
              <w:t>由</w:t>
            </w:r>
            <w:r>
              <w:rPr>
                <w:rFonts w:hint="eastAsia" w:ascii="Times New Roman" w:hAnsi="Times New Roman" w:eastAsia="宋体" w:cs="Times New Roman"/>
                <w:b w:val="0"/>
                <w:bCs/>
                <w:color w:val="000000"/>
                <w:sz w:val="24"/>
                <w:szCs w:val="24"/>
                <w:highlight w:val="none"/>
                <w:lang w:val="en-US" w:eastAsia="zh-CN"/>
              </w:rPr>
              <w:t>市政</w:t>
            </w:r>
            <w:r>
              <w:rPr>
                <w:rFonts w:hint="default" w:ascii="Times New Roman" w:hAnsi="Times New Roman" w:eastAsia="宋体" w:cs="Times New Roman"/>
                <w:b w:val="0"/>
                <w:bCs/>
                <w:color w:val="000000"/>
                <w:sz w:val="24"/>
                <w:szCs w:val="24"/>
                <w:highlight w:val="none"/>
                <w:lang w:eastAsia="zh-CN"/>
              </w:rPr>
              <w:t>供电网络统一</w:t>
            </w:r>
            <w:r>
              <w:rPr>
                <w:rFonts w:hint="default" w:ascii="Times New Roman" w:hAnsi="Times New Roman" w:eastAsia="宋体" w:cs="Times New Roman"/>
                <w:b w:val="0"/>
                <w:bCs/>
                <w:color w:val="000000"/>
                <w:sz w:val="24"/>
                <w:szCs w:val="24"/>
                <w:highlight w:val="none"/>
              </w:rPr>
              <w:t>供给，用电有保障。</w:t>
            </w:r>
          </w:p>
          <w:p w14:paraId="3BBF3E96">
            <w:pPr>
              <w:pStyle w:val="6"/>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sz w:val="24"/>
                <w:szCs w:val="24"/>
                <w:highlight w:val="none"/>
                <w:lang w:eastAsia="zh-CN"/>
              </w:rPr>
            </w:pPr>
            <w:r>
              <w:rPr>
                <w:rFonts w:hint="eastAsia"/>
                <w:sz w:val="24"/>
              </w:rPr>
              <w:drawing>
                <wp:anchor distT="0" distB="0" distL="114300" distR="114300" simplePos="0" relativeHeight="251664384" behindDoc="1" locked="0" layoutInCell="1" allowOverlap="1">
                  <wp:simplePos x="0" y="0"/>
                  <wp:positionH relativeFrom="column">
                    <wp:posOffset>-114300</wp:posOffset>
                  </wp:positionH>
                  <wp:positionV relativeFrom="paragraph">
                    <wp:posOffset>478790</wp:posOffset>
                  </wp:positionV>
                  <wp:extent cx="5010785" cy="2818765"/>
                  <wp:effectExtent l="0" t="0" r="18415" b="635"/>
                  <wp:wrapNone/>
                  <wp:docPr id="4" name="图片 4" descr="图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_01(1)"/>
                          <pic:cNvPicPr>
                            <a:picLocks noChangeAspect="1"/>
                          </pic:cNvPicPr>
                        </pic:nvPicPr>
                        <pic:blipFill>
                          <a:blip r:embed="rId9"/>
                          <a:stretch>
                            <a:fillRect/>
                          </a:stretch>
                        </pic:blipFill>
                        <pic:spPr>
                          <a:xfrm>
                            <a:off x="0" y="0"/>
                            <a:ext cx="5010785" cy="2818765"/>
                          </a:xfrm>
                          <a:prstGeom prst="rect">
                            <a:avLst/>
                          </a:prstGeom>
                        </pic:spPr>
                      </pic:pic>
                    </a:graphicData>
                  </a:graphic>
                </wp:anchor>
              </w:drawing>
            </w:r>
            <w:r>
              <w:rPr>
                <w:rFonts w:hint="default" w:ascii="Times New Roman" w:hAnsi="Times New Roman" w:eastAsia="宋体" w:cs="Times New Roman"/>
                <w:b w:val="0"/>
                <w:bCs/>
                <w:color w:val="000000"/>
                <w:sz w:val="24"/>
                <w:szCs w:val="24"/>
                <w:highlight w:val="none"/>
              </w:rPr>
              <w:t>（4）供</w:t>
            </w:r>
            <w:r>
              <w:rPr>
                <w:rFonts w:hint="default" w:ascii="Times New Roman" w:hAnsi="Times New Roman" w:eastAsia="宋体" w:cs="Times New Roman"/>
                <w:b w:val="0"/>
                <w:bCs/>
                <w:color w:val="000000"/>
                <w:sz w:val="24"/>
                <w:szCs w:val="24"/>
                <w:highlight w:val="none"/>
                <w:lang w:eastAsia="zh-CN"/>
              </w:rPr>
              <w:t>热</w:t>
            </w:r>
            <w:r>
              <w:rPr>
                <w:rFonts w:hint="default" w:ascii="Times New Roman" w:hAnsi="Times New Roman" w:eastAsia="宋体" w:cs="Times New Roman"/>
                <w:b w:val="0"/>
                <w:bCs/>
                <w:color w:val="000000"/>
                <w:sz w:val="24"/>
                <w:szCs w:val="24"/>
                <w:highlight w:val="none"/>
              </w:rPr>
              <w:t>：</w:t>
            </w:r>
            <w:r>
              <w:rPr>
                <w:rFonts w:hint="default" w:ascii="Times New Roman" w:hAnsi="Times New Roman" w:eastAsia="宋体" w:cs="Times New Roman"/>
                <w:b w:val="0"/>
                <w:bCs/>
                <w:color w:val="000000"/>
                <w:sz w:val="24"/>
                <w:szCs w:val="24"/>
                <w:highlight w:val="none"/>
                <w:lang w:eastAsia="zh-CN"/>
              </w:rPr>
              <w:t>本项目冬季不</w:t>
            </w:r>
            <w:r>
              <w:rPr>
                <w:rFonts w:hint="default" w:ascii="Times New Roman" w:hAnsi="Times New Roman" w:eastAsia="宋体" w:cs="Times New Roman"/>
                <w:color w:val="000000"/>
                <w:sz w:val="24"/>
                <w:szCs w:val="24"/>
                <w:highlight w:val="none"/>
                <w:lang w:eastAsia="zh-CN"/>
              </w:rPr>
              <w:t>生产，生产区不设置供暖设施，冬季值班人员采用电暖器采暖。</w:t>
            </w:r>
          </w:p>
          <w:p w14:paraId="41765432">
            <w:pPr>
              <w:spacing w:line="360" w:lineRule="auto"/>
              <w:ind w:firstLine="480" w:firstLineChars="200"/>
              <w:rPr>
                <w:rFonts w:hint="default"/>
                <w:lang w:eastAsia="zh-CN"/>
              </w:rPr>
            </w:pPr>
            <w:r>
              <w:rPr>
                <w:rFonts w:hint="eastAsia"/>
                <w:sz w:val="24"/>
              </w:rPr>
              <w:t>本项目水平衡见图</w:t>
            </w:r>
            <w:r>
              <w:rPr>
                <w:rFonts w:hint="eastAsia"/>
                <w:sz w:val="24"/>
                <w:lang w:val="en-US" w:eastAsia="zh-CN"/>
              </w:rPr>
              <w:t>2-1</w:t>
            </w:r>
            <w:r>
              <w:rPr>
                <w:rFonts w:hint="eastAsia"/>
                <w:sz w:val="24"/>
              </w:rPr>
              <w:t>：</w:t>
            </w:r>
          </w:p>
          <w:p w14:paraId="2B292F6B">
            <w:pPr>
              <w:pStyle w:val="6"/>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val="0"/>
                <w:color w:val="000000"/>
                <w:sz w:val="21"/>
                <w:szCs w:val="21"/>
                <w:highlight w:val="none"/>
                <w:lang w:eastAsia="zh-CN"/>
              </w:rPr>
            </w:pPr>
          </w:p>
          <w:p w14:paraId="2D83CF0D">
            <w:pPr>
              <w:pStyle w:val="6"/>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val="0"/>
                <w:color w:val="000000"/>
                <w:sz w:val="21"/>
                <w:szCs w:val="21"/>
                <w:highlight w:val="none"/>
                <w:lang w:eastAsia="zh-CN"/>
              </w:rPr>
            </w:pPr>
          </w:p>
          <w:p w14:paraId="223A740C">
            <w:pPr>
              <w:pStyle w:val="6"/>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val="0"/>
                <w:color w:val="000000"/>
                <w:sz w:val="21"/>
                <w:szCs w:val="21"/>
                <w:highlight w:val="none"/>
                <w:lang w:eastAsia="zh-CN"/>
              </w:rPr>
            </w:pPr>
          </w:p>
          <w:p w14:paraId="4D5089F5">
            <w:pPr>
              <w:pStyle w:val="6"/>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val="0"/>
                <w:color w:val="000000"/>
                <w:sz w:val="21"/>
                <w:szCs w:val="21"/>
                <w:highlight w:val="none"/>
                <w:lang w:eastAsia="zh-CN"/>
              </w:rPr>
            </w:pPr>
          </w:p>
          <w:p w14:paraId="2EBD3DD9">
            <w:pPr>
              <w:pStyle w:val="6"/>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val="0"/>
                <w:color w:val="000000"/>
                <w:sz w:val="21"/>
                <w:szCs w:val="21"/>
                <w:highlight w:val="none"/>
                <w:lang w:eastAsia="zh-CN"/>
              </w:rPr>
            </w:pPr>
          </w:p>
          <w:p w14:paraId="176C4430">
            <w:pPr>
              <w:pStyle w:val="6"/>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val="0"/>
                <w:color w:val="000000"/>
                <w:sz w:val="21"/>
                <w:szCs w:val="21"/>
                <w:highlight w:val="none"/>
                <w:lang w:eastAsia="zh-CN"/>
              </w:rPr>
            </w:pPr>
          </w:p>
          <w:p w14:paraId="18B0D705">
            <w:pPr>
              <w:pStyle w:val="6"/>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val="0"/>
                <w:color w:val="000000"/>
                <w:sz w:val="21"/>
                <w:szCs w:val="21"/>
                <w:highlight w:val="none"/>
                <w:lang w:eastAsia="zh-CN"/>
              </w:rPr>
            </w:pPr>
          </w:p>
          <w:p w14:paraId="1BA63FB3">
            <w:pPr>
              <w:pStyle w:val="6"/>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val="0"/>
                <w:color w:val="000000"/>
                <w:sz w:val="21"/>
                <w:szCs w:val="21"/>
                <w:highlight w:val="none"/>
                <w:lang w:eastAsia="zh-CN"/>
              </w:rPr>
            </w:pPr>
          </w:p>
          <w:p w14:paraId="15A4545A">
            <w:pPr>
              <w:pStyle w:val="6"/>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val="0"/>
                <w:color w:val="000000"/>
                <w:sz w:val="21"/>
                <w:szCs w:val="21"/>
                <w:highlight w:val="none"/>
                <w:lang w:eastAsia="zh-CN"/>
              </w:rPr>
            </w:pPr>
          </w:p>
          <w:p w14:paraId="24CF3F9C">
            <w:pPr>
              <w:spacing w:line="360" w:lineRule="auto"/>
              <w:jc w:val="center"/>
              <w:rPr>
                <w:rFonts w:ascii="宋体" w:hAnsi="宋体" w:cs="宋体"/>
                <w:bCs/>
                <w:sz w:val="24"/>
                <w:szCs w:val="24"/>
                <w:highlight w:val="none"/>
              </w:rPr>
            </w:pPr>
            <w:r>
              <w:rPr>
                <w:rFonts w:hint="default" w:ascii="Times New Roman" w:hAnsi="Times New Roman" w:eastAsia="宋体" w:cs="Times New Roman"/>
                <w:b/>
                <w:bCs w:val="0"/>
                <w:color w:val="000000"/>
                <w:sz w:val="21"/>
                <w:szCs w:val="21"/>
                <w:highlight w:val="none"/>
                <w:lang w:eastAsia="zh-CN"/>
              </w:rPr>
              <w:t>图</w:t>
            </w:r>
            <w:r>
              <w:rPr>
                <w:rFonts w:hint="eastAsia" w:ascii="Times New Roman" w:hAnsi="Times New Roman" w:eastAsia="宋体" w:cs="Times New Roman"/>
                <w:b/>
                <w:bCs w:val="0"/>
                <w:color w:val="000000"/>
                <w:sz w:val="21"/>
                <w:szCs w:val="21"/>
                <w:highlight w:val="none"/>
                <w:lang w:val="en-US" w:eastAsia="zh-CN"/>
              </w:rPr>
              <w:t>2-</w:t>
            </w:r>
            <w:r>
              <w:rPr>
                <w:rFonts w:hint="default" w:ascii="Times New Roman" w:hAnsi="Times New Roman" w:eastAsia="宋体" w:cs="Times New Roman"/>
                <w:b/>
                <w:bCs w:val="0"/>
                <w:color w:val="000000"/>
                <w:sz w:val="21"/>
                <w:szCs w:val="21"/>
                <w:highlight w:val="none"/>
                <w:lang w:val="en-US" w:eastAsia="zh-CN"/>
              </w:rPr>
              <w:t>1项目水平衡图</w:t>
            </w:r>
            <w:r>
              <w:rPr>
                <w:rFonts w:hint="eastAsia" w:ascii="Times New Roman" w:hAnsi="Times New Roman" w:eastAsia="宋体" w:cs="Times New Roman"/>
                <w:b/>
                <w:bCs w:val="0"/>
                <w:color w:val="000000"/>
                <w:sz w:val="21"/>
                <w:szCs w:val="21"/>
                <w:highlight w:val="none"/>
                <w:lang w:val="en-US" w:eastAsia="zh-CN"/>
              </w:rPr>
              <w:t xml:space="preserve">  </w:t>
            </w:r>
            <w:r>
              <w:rPr>
                <w:rFonts w:hint="default" w:ascii="Times New Roman" w:hAnsi="Times New Roman" w:eastAsia="宋体" w:cs="Times New Roman"/>
                <w:b/>
                <w:bCs w:val="0"/>
                <w:color w:val="000000"/>
                <w:sz w:val="21"/>
                <w:szCs w:val="21"/>
                <w:highlight w:val="none"/>
                <w:lang w:val="en-US" w:eastAsia="zh-CN"/>
              </w:rPr>
              <w:t>单位：m</w:t>
            </w:r>
            <w:r>
              <w:rPr>
                <w:rFonts w:hint="default" w:ascii="Times New Roman" w:hAnsi="Times New Roman" w:eastAsia="宋体" w:cs="Times New Roman"/>
                <w:b/>
                <w:bCs w:val="0"/>
                <w:color w:val="000000"/>
                <w:sz w:val="21"/>
                <w:szCs w:val="21"/>
                <w:highlight w:val="none"/>
                <w:vertAlign w:val="superscript"/>
                <w:lang w:val="en-US" w:eastAsia="zh-CN"/>
              </w:rPr>
              <w:t>3</w:t>
            </w:r>
            <w:r>
              <w:rPr>
                <w:rFonts w:hint="default" w:ascii="Times New Roman" w:hAnsi="Times New Roman" w:eastAsia="宋体" w:cs="Times New Roman"/>
                <w:b/>
                <w:bCs w:val="0"/>
                <w:color w:val="000000"/>
                <w:sz w:val="21"/>
                <w:szCs w:val="21"/>
                <w:highlight w:val="none"/>
                <w:lang w:val="en-US" w:eastAsia="zh-CN"/>
              </w:rPr>
              <w:t>/a</w:t>
            </w:r>
          </w:p>
          <w:p w14:paraId="0D57371E">
            <w:pPr>
              <w:adjustRightInd w:val="0"/>
              <w:snapToGrid w:val="0"/>
              <w:spacing w:line="360" w:lineRule="auto"/>
              <w:rPr>
                <w:b/>
                <w:bCs/>
                <w:kern w:val="0"/>
                <w:sz w:val="24"/>
              </w:rPr>
            </w:pPr>
            <w:r>
              <w:rPr>
                <w:rFonts w:hint="eastAsia"/>
                <w:b/>
                <w:bCs/>
                <w:kern w:val="0"/>
                <w:sz w:val="24"/>
                <w:lang w:val="en-US" w:eastAsia="zh-CN"/>
              </w:rPr>
              <w:t>8.</w:t>
            </w:r>
            <w:r>
              <w:rPr>
                <w:b/>
                <w:bCs/>
                <w:kern w:val="0"/>
                <w:sz w:val="24"/>
              </w:rPr>
              <w:t>项目环保投资估算</w:t>
            </w:r>
          </w:p>
          <w:p w14:paraId="2B8B9239">
            <w:pPr>
              <w:spacing w:line="360" w:lineRule="auto"/>
              <w:ind w:firstLine="480"/>
              <w:rPr>
                <w:sz w:val="24"/>
              </w:rPr>
            </w:pPr>
            <w:r>
              <w:rPr>
                <w:sz w:val="24"/>
              </w:rPr>
              <w:t>本项目总</w:t>
            </w:r>
            <w:r>
              <w:rPr>
                <w:rFonts w:hint="eastAsia"/>
                <w:sz w:val="24"/>
              </w:rPr>
              <w:t>投资</w:t>
            </w:r>
            <w:r>
              <w:rPr>
                <w:rFonts w:hint="eastAsia"/>
                <w:sz w:val="24"/>
                <w:lang w:val="en-US" w:eastAsia="zh-CN"/>
              </w:rPr>
              <w:t>200</w:t>
            </w:r>
            <w:r>
              <w:rPr>
                <w:color w:val="000000"/>
                <w:sz w:val="24"/>
              </w:rPr>
              <w:t>万元，其中环保投资</w:t>
            </w:r>
            <w:r>
              <w:rPr>
                <w:rFonts w:hint="eastAsia"/>
                <w:color w:val="000000"/>
                <w:sz w:val="24"/>
                <w:lang w:val="en-US" w:eastAsia="zh-CN"/>
              </w:rPr>
              <w:t>25</w:t>
            </w:r>
            <w:r>
              <w:rPr>
                <w:rFonts w:hint="eastAsia"/>
                <w:color w:val="000000"/>
                <w:sz w:val="24"/>
              </w:rPr>
              <w:t>万元</w:t>
            </w:r>
            <w:r>
              <w:rPr>
                <w:color w:val="000000"/>
                <w:sz w:val="24"/>
              </w:rPr>
              <w:t>，占投资的</w:t>
            </w:r>
            <w:r>
              <w:rPr>
                <w:rFonts w:hint="eastAsia"/>
                <w:color w:val="000000"/>
                <w:sz w:val="24"/>
                <w:lang w:val="en-US" w:eastAsia="zh-CN"/>
              </w:rPr>
              <w:t>12.5</w:t>
            </w:r>
            <w:r>
              <w:rPr>
                <w:rFonts w:hint="eastAsia"/>
                <w:color w:val="000000"/>
                <w:sz w:val="24"/>
              </w:rPr>
              <w:t>%</w:t>
            </w:r>
            <w:r>
              <w:rPr>
                <w:sz w:val="24"/>
              </w:rPr>
              <w:t>，具体情况</w:t>
            </w:r>
            <w:r>
              <w:rPr>
                <w:rFonts w:hint="eastAsia"/>
                <w:sz w:val="24"/>
              </w:rPr>
              <w:t>见表</w:t>
            </w:r>
            <w:r>
              <w:rPr>
                <w:rFonts w:hint="eastAsia"/>
                <w:sz w:val="24"/>
                <w:lang w:val="en-US" w:eastAsia="zh-CN"/>
              </w:rPr>
              <w:t>2-5</w:t>
            </w:r>
            <w:r>
              <w:rPr>
                <w:sz w:val="24"/>
              </w:rPr>
              <w:t>。</w:t>
            </w:r>
          </w:p>
          <w:p w14:paraId="6502AE82">
            <w:pPr>
              <w:pStyle w:val="61"/>
              <w:adjustRightInd w:val="0"/>
              <w:snapToGrid w:val="0"/>
              <w:spacing w:line="360" w:lineRule="auto"/>
              <w:ind w:firstLine="0" w:firstLineChars="0"/>
              <w:jc w:val="center"/>
              <w:rPr>
                <w:rFonts w:hint="eastAsia" w:ascii="宋体" w:hAnsi="宋体" w:cs="宋体"/>
                <w:sz w:val="21"/>
                <w:szCs w:val="18"/>
              </w:rPr>
            </w:pPr>
            <w:r>
              <w:rPr>
                <w:rFonts w:ascii="Times New Roman" w:hAnsi="Times New Roman"/>
                <w:b/>
                <w:color w:val="000000"/>
                <w:sz w:val="21"/>
                <w:szCs w:val="21"/>
              </w:rPr>
              <w:t>表</w:t>
            </w:r>
            <w:r>
              <w:rPr>
                <w:rFonts w:hint="eastAsia" w:ascii="Times New Roman" w:hAnsi="Times New Roman"/>
                <w:b/>
                <w:color w:val="000000"/>
                <w:sz w:val="21"/>
                <w:szCs w:val="21"/>
                <w:lang w:val="en-US" w:eastAsia="zh-CN"/>
              </w:rPr>
              <w:t>2-5</w:t>
            </w:r>
            <w:r>
              <w:rPr>
                <w:rFonts w:hint="eastAsia" w:ascii="Times New Roman" w:hAnsi="Times New Roman"/>
                <w:b/>
                <w:color w:val="000000"/>
                <w:sz w:val="21"/>
                <w:szCs w:val="21"/>
              </w:rPr>
              <w:t xml:space="preserve"> </w:t>
            </w:r>
            <w:r>
              <w:rPr>
                <w:rFonts w:ascii="Times New Roman" w:hAnsi="Times New Roman"/>
                <w:b/>
                <w:color w:val="000000"/>
                <w:sz w:val="21"/>
                <w:szCs w:val="21"/>
              </w:rPr>
              <w:t>环保设施（措施）及投资估算一览表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44"/>
              <w:gridCol w:w="1117"/>
              <w:gridCol w:w="2015"/>
              <w:gridCol w:w="2775"/>
              <w:gridCol w:w="1294"/>
            </w:tblGrid>
            <w:tr w14:paraId="197A31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pct"/>
                  <w:tcBorders>
                    <w:tl2br w:val="nil"/>
                    <w:tr2bl w:val="nil"/>
                  </w:tcBorders>
                  <w:noWrap w:val="0"/>
                  <w:vAlign w:val="center"/>
                </w:tcPr>
                <w:p w14:paraId="72011DD3">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r>
                    <w:rPr>
                      <w:szCs w:val="21"/>
                    </w:rPr>
                    <w:t>时段</w:t>
                  </w:r>
                </w:p>
              </w:tc>
              <w:tc>
                <w:tcPr>
                  <w:tcW w:w="1971" w:type="pct"/>
                  <w:gridSpan w:val="2"/>
                  <w:tcBorders>
                    <w:tl2br w:val="nil"/>
                    <w:tr2bl w:val="nil"/>
                  </w:tcBorders>
                  <w:noWrap w:val="0"/>
                  <w:vAlign w:val="center"/>
                </w:tcPr>
                <w:p w14:paraId="51A401BD">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r>
                    <w:rPr>
                      <w:caps/>
                      <w:szCs w:val="21"/>
                    </w:rPr>
                    <w:t>项目</w:t>
                  </w:r>
                </w:p>
              </w:tc>
              <w:tc>
                <w:tcPr>
                  <w:tcW w:w="1746" w:type="pct"/>
                  <w:tcBorders>
                    <w:tl2br w:val="nil"/>
                    <w:tr2bl w:val="nil"/>
                  </w:tcBorders>
                  <w:noWrap w:val="0"/>
                  <w:vAlign w:val="center"/>
                </w:tcPr>
                <w:p w14:paraId="2D379C9F">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r>
                    <w:rPr>
                      <w:szCs w:val="21"/>
                    </w:rPr>
                    <w:t>环保措施</w:t>
                  </w:r>
                </w:p>
              </w:tc>
              <w:tc>
                <w:tcPr>
                  <w:tcW w:w="814" w:type="pct"/>
                  <w:tcBorders>
                    <w:tl2br w:val="nil"/>
                    <w:tr2bl w:val="nil"/>
                  </w:tcBorders>
                  <w:noWrap w:val="0"/>
                  <w:vAlign w:val="center"/>
                </w:tcPr>
                <w:p w14:paraId="79E6C3B8">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r>
                    <w:rPr>
                      <w:szCs w:val="21"/>
                    </w:rPr>
                    <w:t>投资（万元）</w:t>
                  </w:r>
                </w:p>
              </w:tc>
            </w:tr>
            <w:tr w14:paraId="35074E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pct"/>
                  <w:vMerge w:val="restart"/>
                  <w:tcBorders>
                    <w:tl2br w:val="nil"/>
                    <w:tr2bl w:val="nil"/>
                  </w:tcBorders>
                  <w:noWrap w:val="0"/>
                  <w:vAlign w:val="center"/>
                </w:tcPr>
                <w:p w14:paraId="0FEA2092">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r>
                    <w:rPr>
                      <w:szCs w:val="21"/>
                    </w:rPr>
                    <w:t>施</w:t>
                  </w:r>
                </w:p>
                <w:p w14:paraId="7AB5BC2E">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r>
                    <w:rPr>
                      <w:szCs w:val="21"/>
                    </w:rPr>
                    <w:t>工</w:t>
                  </w:r>
                </w:p>
                <w:p w14:paraId="79743262">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r>
                    <w:rPr>
                      <w:szCs w:val="21"/>
                    </w:rPr>
                    <w:t>期</w:t>
                  </w:r>
                </w:p>
              </w:tc>
              <w:tc>
                <w:tcPr>
                  <w:tcW w:w="1971" w:type="pct"/>
                  <w:gridSpan w:val="2"/>
                  <w:tcBorders>
                    <w:tl2br w:val="nil"/>
                    <w:tr2bl w:val="nil"/>
                  </w:tcBorders>
                  <w:noWrap w:val="0"/>
                  <w:vAlign w:val="center"/>
                </w:tcPr>
                <w:p w14:paraId="68F2C3FE">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r>
                    <w:rPr>
                      <w:szCs w:val="21"/>
                    </w:rPr>
                    <w:t>扬尘治理</w:t>
                  </w:r>
                </w:p>
              </w:tc>
              <w:tc>
                <w:tcPr>
                  <w:tcW w:w="1746" w:type="pct"/>
                  <w:tcBorders>
                    <w:tl2br w:val="nil"/>
                    <w:tr2bl w:val="nil"/>
                  </w:tcBorders>
                  <w:noWrap w:val="0"/>
                  <w:vAlign w:val="center"/>
                </w:tcPr>
                <w:p w14:paraId="39E201C8">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r>
                    <w:rPr>
                      <w:szCs w:val="21"/>
                    </w:rPr>
                    <w:t>洒水设备</w:t>
                  </w:r>
                </w:p>
              </w:tc>
              <w:tc>
                <w:tcPr>
                  <w:tcW w:w="814" w:type="pct"/>
                  <w:tcBorders>
                    <w:tl2br w:val="nil"/>
                    <w:tr2bl w:val="nil"/>
                  </w:tcBorders>
                  <w:noWrap w:val="0"/>
                  <w:vAlign w:val="center"/>
                </w:tcPr>
                <w:p w14:paraId="0992AB8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szCs w:val="21"/>
                      <w:lang w:val="en-US" w:eastAsia="zh-CN"/>
                    </w:rPr>
                  </w:pPr>
                  <w:r>
                    <w:rPr>
                      <w:rFonts w:hint="eastAsia"/>
                      <w:szCs w:val="21"/>
                      <w:lang w:val="en-US" w:eastAsia="zh-CN"/>
                    </w:rPr>
                    <w:t>1</w:t>
                  </w:r>
                </w:p>
              </w:tc>
            </w:tr>
            <w:tr w14:paraId="0DEAB6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pct"/>
                  <w:vMerge w:val="continue"/>
                  <w:tcBorders>
                    <w:tl2br w:val="nil"/>
                    <w:tr2bl w:val="nil"/>
                  </w:tcBorders>
                  <w:noWrap w:val="0"/>
                  <w:vAlign w:val="center"/>
                </w:tcPr>
                <w:p w14:paraId="6AC526DC">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p>
              </w:tc>
              <w:tc>
                <w:tcPr>
                  <w:tcW w:w="1971" w:type="pct"/>
                  <w:gridSpan w:val="2"/>
                  <w:tcBorders>
                    <w:tl2br w:val="nil"/>
                    <w:tr2bl w:val="nil"/>
                  </w:tcBorders>
                  <w:noWrap w:val="0"/>
                  <w:vAlign w:val="center"/>
                </w:tcPr>
                <w:p w14:paraId="37A3AA4B">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r>
                    <w:rPr>
                      <w:szCs w:val="21"/>
                    </w:rPr>
                    <w:t>废水治理</w:t>
                  </w:r>
                </w:p>
              </w:tc>
              <w:tc>
                <w:tcPr>
                  <w:tcW w:w="1746" w:type="pct"/>
                  <w:tcBorders>
                    <w:tl2br w:val="nil"/>
                    <w:tr2bl w:val="nil"/>
                  </w:tcBorders>
                  <w:noWrap w:val="0"/>
                  <w:vAlign w:val="center"/>
                </w:tcPr>
                <w:p w14:paraId="615AACE0">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r>
                    <w:rPr>
                      <w:szCs w:val="21"/>
                    </w:rPr>
                    <w:t>沉淀池</w:t>
                  </w:r>
                </w:p>
              </w:tc>
              <w:tc>
                <w:tcPr>
                  <w:tcW w:w="814" w:type="pct"/>
                  <w:tcBorders>
                    <w:tl2br w:val="nil"/>
                    <w:tr2bl w:val="nil"/>
                  </w:tcBorders>
                  <w:noWrap w:val="0"/>
                  <w:vAlign w:val="center"/>
                </w:tcPr>
                <w:p w14:paraId="019625C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szCs w:val="21"/>
                      <w:lang w:val="en-US" w:eastAsia="zh-CN"/>
                    </w:rPr>
                  </w:pPr>
                  <w:r>
                    <w:rPr>
                      <w:rFonts w:hint="eastAsia"/>
                      <w:szCs w:val="21"/>
                      <w:lang w:val="en-US" w:eastAsia="zh-CN"/>
                    </w:rPr>
                    <w:t>0.5</w:t>
                  </w:r>
                </w:p>
              </w:tc>
            </w:tr>
            <w:tr w14:paraId="593D67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pct"/>
                  <w:vMerge w:val="continue"/>
                  <w:tcBorders>
                    <w:tl2br w:val="nil"/>
                    <w:tr2bl w:val="nil"/>
                  </w:tcBorders>
                  <w:noWrap w:val="0"/>
                  <w:vAlign w:val="center"/>
                </w:tcPr>
                <w:p w14:paraId="301E3087">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p>
              </w:tc>
              <w:tc>
                <w:tcPr>
                  <w:tcW w:w="1971" w:type="pct"/>
                  <w:gridSpan w:val="2"/>
                  <w:tcBorders>
                    <w:tl2br w:val="nil"/>
                    <w:tr2bl w:val="nil"/>
                  </w:tcBorders>
                  <w:noWrap w:val="0"/>
                  <w:vAlign w:val="center"/>
                </w:tcPr>
                <w:p w14:paraId="36ECA960">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r>
                    <w:rPr>
                      <w:szCs w:val="21"/>
                    </w:rPr>
                    <w:t>噪声治理</w:t>
                  </w:r>
                </w:p>
              </w:tc>
              <w:tc>
                <w:tcPr>
                  <w:tcW w:w="1746" w:type="pct"/>
                  <w:tcBorders>
                    <w:tl2br w:val="nil"/>
                    <w:tr2bl w:val="nil"/>
                  </w:tcBorders>
                  <w:noWrap w:val="0"/>
                  <w:vAlign w:val="center"/>
                </w:tcPr>
                <w:p w14:paraId="1274A698">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r>
                    <w:rPr>
                      <w:szCs w:val="21"/>
                    </w:rPr>
                    <w:t>围墙遮挡、施工设备降噪</w:t>
                  </w:r>
                </w:p>
              </w:tc>
              <w:tc>
                <w:tcPr>
                  <w:tcW w:w="814" w:type="pct"/>
                  <w:tcBorders>
                    <w:tl2br w:val="nil"/>
                    <w:tr2bl w:val="nil"/>
                  </w:tcBorders>
                  <w:noWrap w:val="0"/>
                  <w:vAlign w:val="center"/>
                </w:tcPr>
                <w:p w14:paraId="3E79807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szCs w:val="21"/>
                      <w:lang w:val="en-US" w:eastAsia="zh-CN"/>
                    </w:rPr>
                  </w:pPr>
                  <w:r>
                    <w:rPr>
                      <w:rFonts w:hint="eastAsia"/>
                      <w:szCs w:val="21"/>
                      <w:lang w:val="en-US" w:eastAsia="zh-CN"/>
                    </w:rPr>
                    <w:t>1</w:t>
                  </w:r>
                </w:p>
              </w:tc>
            </w:tr>
            <w:tr w14:paraId="1CB6EF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pct"/>
                  <w:vMerge w:val="continue"/>
                  <w:tcBorders>
                    <w:tl2br w:val="nil"/>
                    <w:tr2bl w:val="nil"/>
                  </w:tcBorders>
                  <w:noWrap w:val="0"/>
                  <w:vAlign w:val="center"/>
                </w:tcPr>
                <w:p w14:paraId="033537C7">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p>
              </w:tc>
              <w:tc>
                <w:tcPr>
                  <w:tcW w:w="3717" w:type="pct"/>
                  <w:gridSpan w:val="3"/>
                  <w:tcBorders>
                    <w:tl2br w:val="nil"/>
                    <w:tr2bl w:val="nil"/>
                  </w:tcBorders>
                  <w:noWrap w:val="0"/>
                  <w:vAlign w:val="center"/>
                </w:tcPr>
                <w:p w14:paraId="30206E07">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r>
                    <w:rPr>
                      <w:szCs w:val="21"/>
                    </w:rPr>
                    <w:t>小计</w:t>
                  </w:r>
                </w:p>
              </w:tc>
              <w:tc>
                <w:tcPr>
                  <w:tcW w:w="814" w:type="pct"/>
                  <w:tcBorders>
                    <w:tl2br w:val="nil"/>
                    <w:tr2bl w:val="nil"/>
                  </w:tcBorders>
                  <w:noWrap w:val="0"/>
                  <w:vAlign w:val="center"/>
                </w:tcPr>
                <w:p w14:paraId="76F45C8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szCs w:val="21"/>
                      <w:lang w:val="en-US" w:eastAsia="zh-CN"/>
                    </w:rPr>
                  </w:pPr>
                  <w:r>
                    <w:rPr>
                      <w:rFonts w:hint="eastAsia" w:eastAsia="宋体"/>
                      <w:szCs w:val="21"/>
                      <w:lang w:val="en-US" w:eastAsia="zh-CN"/>
                    </w:rPr>
                    <w:t>2.5</w:t>
                  </w:r>
                </w:p>
              </w:tc>
            </w:tr>
            <w:tr w14:paraId="77CB01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pct"/>
                  <w:vMerge w:val="restart"/>
                  <w:tcBorders>
                    <w:tl2br w:val="nil"/>
                    <w:tr2bl w:val="nil"/>
                  </w:tcBorders>
                  <w:noWrap w:val="0"/>
                  <w:vAlign w:val="center"/>
                </w:tcPr>
                <w:p w14:paraId="162622E6">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r>
                    <w:rPr>
                      <w:szCs w:val="21"/>
                    </w:rPr>
                    <w:t>运营期</w:t>
                  </w:r>
                </w:p>
              </w:tc>
              <w:tc>
                <w:tcPr>
                  <w:tcW w:w="1971" w:type="pct"/>
                  <w:gridSpan w:val="2"/>
                  <w:tcBorders>
                    <w:tl2br w:val="nil"/>
                    <w:tr2bl w:val="nil"/>
                  </w:tcBorders>
                  <w:noWrap w:val="0"/>
                  <w:vAlign w:val="center"/>
                </w:tcPr>
                <w:p w14:paraId="19FCD32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szCs w:val="21"/>
                      <w:lang w:val="en-US" w:eastAsia="zh-CN"/>
                    </w:rPr>
                  </w:pPr>
                  <w:r>
                    <w:rPr>
                      <w:rFonts w:hint="eastAsia"/>
                      <w:szCs w:val="21"/>
                      <w:lang w:val="en-US" w:eastAsia="zh-CN"/>
                    </w:rPr>
                    <w:t>废气治理</w:t>
                  </w:r>
                </w:p>
              </w:tc>
              <w:tc>
                <w:tcPr>
                  <w:tcW w:w="1746" w:type="pct"/>
                  <w:tcBorders>
                    <w:tl2br w:val="nil"/>
                    <w:tr2bl w:val="nil"/>
                  </w:tcBorders>
                  <w:noWrap w:val="0"/>
                  <w:vAlign w:val="center"/>
                </w:tcPr>
                <w:p w14:paraId="2E5781C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szCs w:val="21"/>
                      <w:lang w:val="en-US" w:eastAsia="zh-CN"/>
                    </w:rPr>
                  </w:pPr>
                  <w:r>
                    <w:rPr>
                      <w:rFonts w:hint="eastAsia"/>
                      <w:szCs w:val="21"/>
                      <w:lang w:val="en-US" w:eastAsia="zh-CN"/>
                    </w:rPr>
                    <w:t>煤棚全封闭覆盖，采用雾炮机降尘措施，项目区四周设置2m防尘网；洒水降尘；场地内硬化，出入口设置洗车台对</w:t>
                  </w:r>
                  <w:r>
                    <w:rPr>
                      <w:rFonts w:ascii="Times New Roman" w:hAnsi="Times New Roman" w:eastAsia="宋体" w:cs="Times New Roman"/>
                      <w:spacing w:val="9"/>
                      <w:sz w:val="20"/>
                      <w:szCs w:val="20"/>
                    </w:rPr>
                    <w:t>车辆进行冲洗，同时采取</w:t>
                  </w:r>
                  <w:r>
                    <w:rPr>
                      <w:rFonts w:hint="eastAsia" w:cs="Times New Roman"/>
                      <w:spacing w:val="9"/>
                      <w:sz w:val="20"/>
                      <w:szCs w:val="20"/>
                      <w:lang w:eastAsia="zh-CN"/>
                    </w:rPr>
                    <w:t>洒水</w:t>
                  </w:r>
                  <w:r>
                    <w:rPr>
                      <w:rFonts w:ascii="Times New Roman" w:hAnsi="Times New Roman" w:eastAsia="宋体" w:cs="Times New Roman"/>
                      <w:spacing w:val="9"/>
                      <w:sz w:val="20"/>
                      <w:szCs w:val="20"/>
                    </w:rPr>
                    <w:t>防尘</w:t>
                  </w:r>
                  <w:r>
                    <w:rPr>
                      <w:rFonts w:hint="eastAsia" w:ascii="Times New Roman" w:hAnsi="Times New Roman" w:eastAsia="宋体" w:cs="Times New Roman"/>
                      <w:spacing w:val="9"/>
                      <w:sz w:val="20"/>
                      <w:szCs w:val="20"/>
                      <w:lang w:eastAsia="zh-CN"/>
                    </w:rPr>
                    <w:t>。</w:t>
                  </w:r>
                </w:p>
              </w:tc>
              <w:tc>
                <w:tcPr>
                  <w:tcW w:w="814" w:type="pct"/>
                  <w:tcBorders>
                    <w:tl2br w:val="nil"/>
                    <w:tr2bl w:val="nil"/>
                  </w:tcBorders>
                  <w:noWrap w:val="0"/>
                  <w:vAlign w:val="center"/>
                </w:tcPr>
                <w:p w14:paraId="3EC43F9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szCs w:val="21"/>
                      <w:lang w:val="en-US" w:eastAsia="zh-CN"/>
                    </w:rPr>
                  </w:pPr>
                  <w:r>
                    <w:rPr>
                      <w:rFonts w:hint="eastAsia"/>
                      <w:szCs w:val="21"/>
                      <w:lang w:val="en-US" w:eastAsia="zh-CN"/>
                    </w:rPr>
                    <w:t>20</w:t>
                  </w:r>
                </w:p>
              </w:tc>
            </w:tr>
            <w:tr w14:paraId="7E975C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pct"/>
                  <w:vMerge w:val="continue"/>
                  <w:tcBorders>
                    <w:tl2br w:val="nil"/>
                    <w:tr2bl w:val="nil"/>
                  </w:tcBorders>
                  <w:noWrap w:val="0"/>
                  <w:vAlign w:val="center"/>
                </w:tcPr>
                <w:p w14:paraId="0F371703">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p>
              </w:tc>
              <w:tc>
                <w:tcPr>
                  <w:tcW w:w="702" w:type="pct"/>
                  <w:tcBorders>
                    <w:tl2br w:val="nil"/>
                    <w:tr2bl w:val="nil"/>
                  </w:tcBorders>
                  <w:noWrap w:val="0"/>
                  <w:vAlign w:val="center"/>
                </w:tcPr>
                <w:p w14:paraId="42A926FA">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r>
                    <w:rPr>
                      <w:szCs w:val="21"/>
                    </w:rPr>
                    <w:t>噪声治理</w:t>
                  </w:r>
                </w:p>
              </w:tc>
              <w:tc>
                <w:tcPr>
                  <w:tcW w:w="1268" w:type="pct"/>
                  <w:tcBorders>
                    <w:tl2br w:val="nil"/>
                    <w:tr2bl w:val="nil"/>
                  </w:tcBorders>
                  <w:noWrap w:val="0"/>
                  <w:vAlign w:val="center"/>
                </w:tcPr>
                <w:p w14:paraId="635A0355">
                  <w:pPr>
                    <w:pStyle w:val="62"/>
                    <w:keepNext w:val="0"/>
                    <w:keepLines w:val="0"/>
                    <w:pageBreakBefore w:val="0"/>
                    <w:widowControl w:val="0"/>
                    <w:kinsoku/>
                    <w:wordWrap/>
                    <w:overflowPunct/>
                    <w:topLinePunct w:val="0"/>
                    <w:autoSpaceDE/>
                    <w:autoSpaceDN/>
                    <w:bidi w:val="0"/>
                    <w:adjustRightInd w:val="0"/>
                    <w:snapToGrid w:val="0"/>
                    <w:textAlignment w:val="auto"/>
                    <w:rPr>
                      <w:szCs w:val="21"/>
                    </w:rPr>
                  </w:pPr>
                  <w:r>
                    <w:rPr>
                      <w:szCs w:val="21"/>
                    </w:rPr>
                    <w:t>设备运行噪声，</w:t>
                  </w:r>
                  <w:r>
                    <w:rPr>
                      <w:rFonts w:hint="eastAsia"/>
                      <w:szCs w:val="21"/>
                    </w:rPr>
                    <w:t>装卸</w:t>
                  </w:r>
                  <w:r>
                    <w:rPr>
                      <w:szCs w:val="21"/>
                    </w:rPr>
                    <w:t>噪声和运输车辆噪声</w:t>
                  </w:r>
                </w:p>
              </w:tc>
              <w:tc>
                <w:tcPr>
                  <w:tcW w:w="1746" w:type="pct"/>
                  <w:tcBorders>
                    <w:tl2br w:val="nil"/>
                    <w:tr2bl w:val="nil"/>
                  </w:tcBorders>
                  <w:noWrap w:val="0"/>
                  <w:vAlign w:val="center"/>
                </w:tcPr>
                <w:p w14:paraId="06E29F48">
                  <w:pPr>
                    <w:pStyle w:val="62"/>
                    <w:keepNext w:val="0"/>
                    <w:keepLines w:val="0"/>
                    <w:pageBreakBefore w:val="0"/>
                    <w:widowControl w:val="0"/>
                    <w:kinsoku/>
                    <w:wordWrap/>
                    <w:overflowPunct/>
                    <w:topLinePunct w:val="0"/>
                    <w:autoSpaceDE/>
                    <w:autoSpaceDN/>
                    <w:bidi w:val="0"/>
                    <w:adjustRightInd w:val="0"/>
                    <w:snapToGrid w:val="0"/>
                    <w:textAlignment w:val="auto"/>
                    <w:rPr>
                      <w:rFonts w:hint="eastAsia"/>
                      <w:szCs w:val="21"/>
                    </w:rPr>
                  </w:pPr>
                  <w:r>
                    <w:rPr>
                      <w:szCs w:val="21"/>
                    </w:rPr>
                    <w:t>减震垫、隔声吸声材料</w:t>
                  </w:r>
                </w:p>
              </w:tc>
              <w:tc>
                <w:tcPr>
                  <w:tcW w:w="814" w:type="pct"/>
                  <w:tcBorders>
                    <w:tl2br w:val="nil"/>
                    <w:tr2bl w:val="nil"/>
                  </w:tcBorders>
                  <w:noWrap w:val="0"/>
                  <w:vAlign w:val="center"/>
                </w:tcPr>
                <w:p w14:paraId="5FB7D6A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szCs w:val="21"/>
                      <w:lang w:val="en-US" w:eastAsia="zh-CN"/>
                    </w:rPr>
                  </w:pPr>
                  <w:r>
                    <w:rPr>
                      <w:rFonts w:hint="eastAsia" w:eastAsia="宋体"/>
                      <w:szCs w:val="21"/>
                      <w:lang w:val="en-US" w:eastAsia="zh-CN"/>
                    </w:rPr>
                    <w:t>0.5</w:t>
                  </w:r>
                </w:p>
              </w:tc>
            </w:tr>
            <w:tr w14:paraId="042328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pct"/>
                  <w:vMerge w:val="continue"/>
                  <w:tcBorders>
                    <w:tl2br w:val="nil"/>
                    <w:tr2bl w:val="nil"/>
                  </w:tcBorders>
                  <w:noWrap w:val="0"/>
                  <w:vAlign w:val="center"/>
                </w:tcPr>
                <w:p w14:paraId="6B732675">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p>
              </w:tc>
              <w:tc>
                <w:tcPr>
                  <w:tcW w:w="702" w:type="pct"/>
                  <w:vMerge w:val="restart"/>
                  <w:tcBorders>
                    <w:tl2br w:val="nil"/>
                    <w:tr2bl w:val="nil"/>
                  </w:tcBorders>
                  <w:noWrap w:val="0"/>
                  <w:vAlign w:val="center"/>
                </w:tcPr>
                <w:p w14:paraId="3DC31CF4">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r>
                    <w:rPr>
                      <w:szCs w:val="21"/>
                    </w:rPr>
                    <w:t>废水治理</w:t>
                  </w:r>
                </w:p>
              </w:tc>
              <w:tc>
                <w:tcPr>
                  <w:tcW w:w="1268" w:type="pct"/>
                  <w:tcBorders>
                    <w:tl2br w:val="nil"/>
                    <w:tr2bl w:val="nil"/>
                  </w:tcBorders>
                  <w:noWrap w:val="0"/>
                  <w:vAlign w:val="center"/>
                </w:tcPr>
                <w:p w14:paraId="4942AD44">
                  <w:pPr>
                    <w:keepNext w:val="0"/>
                    <w:keepLines w:val="0"/>
                    <w:pageBreakBefore w:val="0"/>
                    <w:widowControl w:val="0"/>
                    <w:kinsoku/>
                    <w:wordWrap/>
                    <w:overflowPunct/>
                    <w:topLinePunct w:val="0"/>
                    <w:autoSpaceDE/>
                    <w:autoSpaceDN/>
                    <w:bidi w:val="0"/>
                    <w:adjustRightInd w:val="0"/>
                    <w:snapToGrid w:val="0"/>
                    <w:jc w:val="center"/>
                    <w:textAlignment w:val="auto"/>
                    <w:rPr>
                      <w:spacing w:val="-2"/>
                      <w:szCs w:val="21"/>
                    </w:rPr>
                  </w:pPr>
                  <w:r>
                    <w:rPr>
                      <w:spacing w:val="-2"/>
                      <w:szCs w:val="21"/>
                    </w:rPr>
                    <w:t>生活污水</w:t>
                  </w:r>
                </w:p>
              </w:tc>
              <w:tc>
                <w:tcPr>
                  <w:tcW w:w="1746" w:type="pct"/>
                  <w:tcBorders>
                    <w:tl2br w:val="nil"/>
                    <w:tr2bl w:val="nil"/>
                  </w:tcBorders>
                  <w:noWrap w:val="0"/>
                  <w:vAlign w:val="center"/>
                </w:tcPr>
                <w:p w14:paraId="0683B9DF">
                  <w:pPr>
                    <w:keepNext w:val="0"/>
                    <w:keepLines w:val="0"/>
                    <w:pageBreakBefore w:val="0"/>
                    <w:widowControl w:val="0"/>
                    <w:kinsoku/>
                    <w:wordWrap/>
                    <w:overflowPunct/>
                    <w:topLinePunct w:val="0"/>
                    <w:autoSpaceDE/>
                    <w:autoSpaceDN/>
                    <w:bidi w:val="0"/>
                    <w:adjustRightInd w:val="0"/>
                    <w:snapToGrid w:val="0"/>
                    <w:jc w:val="center"/>
                    <w:textAlignment w:val="auto"/>
                    <w:rPr>
                      <w:spacing w:val="-2"/>
                      <w:szCs w:val="21"/>
                    </w:rPr>
                  </w:pPr>
                  <w:r>
                    <w:rPr>
                      <w:rStyle w:val="63"/>
                      <w:sz w:val="21"/>
                      <w:szCs w:val="21"/>
                    </w:rPr>
                    <w:t>经</w:t>
                  </w:r>
                  <w:r>
                    <w:rPr>
                      <w:rStyle w:val="63"/>
                      <w:rFonts w:hint="eastAsia"/>
                      <w:sz w:val="21"/>
                      <w:szCs w:val="21"/>
                      <w:lang w:val="en-US" w:eastAsia="zh-CN"/>
                    </w:rPr>
                    <w:t>150</w:t>
                  </w:r>
                  <w:r>
                    <w:rPr>
                      <w:rStyle w:val="63"/>
                      <w:sz w:val="21"/>
                      <w:szCs w:val="21"/>
                    </w:rPr>
                    <w:t>m</w:t>
                  </w:r>
                  <w:r>
                    <w:rPr>
                      <w:rStyle w:val="63"/>
                      <w:sz w:val="21"/>
                      <w:szCs w:val="21"/>
                      <w:vertAlign w:val="superscript"/>
                    </w:rPr>
                    <w:t>3</w:t>
                  </w:r>
                  <w:r>
                    <w:rPr>
                      <w:rStyle w:val="63"/>
                      <w:sz w:val="21"/>
                      <w:szCs w:val="21"/>
                    </w:rPr>
                    <w:t>化粪池收集</w:t>
                  </w:r>
                  <w:r>
                    <w:rPr>
                      <w:rStyle w:val="63"/>
                      <w:rFonts w:hint="eastAsia"/>
                      <w:sz w:val="21"/>
                      <w:szCs w:val="21"/>
                    </w:rPr>
                    <w:t>后</w:t>
                  </w:r>
                  <w:r>
                    <w:rPr>
                      <w:rStyle w:val="63"/>
                      <w:sz w:val="21"/>
                      <w:szCs w:val="21"/>
                    </w:rPr>
                    <w:t>定期清掏拉运</w:t>
                  </w:r>
                </w:p>
              </w:tc>
              <w:tc>
                <w:tcPr>
                  <w:tcW w:w="814" w:type="pct"/>
                  <w:tcBorders>
                    <w:tl2br w:val="nil"/>
                    <w:tr2bl w:val="nil"/>
                  </w:tcBorders>
                  <w:noWrap w:val="0"/>
                  <w:vAlign w:val="center"/>
                </w:tcPr>
                <w:p w14:paraId="5AA1830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szCs w:val="21"/>
                      <w:lang w:val="en-US" w:eastAsia="zh-CN"/>
                    </w:rPr>
                  </w:pPr>
                  <w:r>
                    <w:rPr>
                      <w:rFonts w:hint="eastAsia" w:eastAsia="宋体"/>
                      <w:szCs w:val="21"/>
                      <w:lang w:val="en-US" w:eastAsia="zh-CN"/>
                    </w:rPr>
                    <w:t>1</w:t>
                  </w:r>
                </w:p>
              </w:tc>
            </w:tr>
            <w:tr w14:paraId="14D733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pct"/>
                  <w:vMerge w:val="continue"/>
                  <w:tcBorders>
                    <w:tl2br w:val="nil"/>
                    <w:tr2bl w:val="nil"/>
                  </w:tcBorders>
                  <w:noWrap w:val="0"/>
                  <w:vAlign w:val="center"/>
                </w:tcPr>
                <w:p w14:paraId="248638A3">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p>
              </w:tc>
              <w:tc>
                <w:tcPr>
                  <w:tcW w:w="702" w:type="pct"/>
                  <w:vMerge w:val="continue"/>
                  <w:tcBorders>
                    <w:tl2br w:val="nil"/>
                    <w:tr2bl w:val="nil"/>
                  </w:tcBorders>
                  <w:noWrap w:val="0"/>
                  <w:vAlign w:val="center"/>
                </w:tcPr>
                <w:p w14:paraId="0B7CDA18">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p>
              </w:tc>
              <w:tc>
                <w:tcPr>
                  <w:tcW w:w="1268" w:type="pct"/>
                  <w:tcBorders>
                    <w:tl2br w:val="nil"/>
                    <w:tr2bl w:val="nil"/>
                  </w:tcBorders>
                  <w:noWrap w:val="0"/>
                  <w:vAlign w:val="center"/>
                </w:tcPr>
                <w:p w14:paraId="1A362E7C">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spacing w:val="-2"/>
                      <w:szCs w:val="21"/>
                    </w:rPr>
                  </w:pPr>
                  <w:r>
                    <w:rPr>
                      <w:rFonts w:hint="eastAsia" w:ascii="Times New Roman" w:hAnsi="Times New Roman" w:eastAsia="宋体" w:cs="Times New Roman"/>
                      <w:spacing w:val="-2"/>
                      <w:szCs w:val="21"/>
                      <w:lang w:val="en-US" w:eastAsia="zh-CN"/>
                    </w:rPr>
                    <w:t>设备及车辆</w:t>
                  </w:r>
                  <w:r>
                    <w:rPr>
                      <w:rFonts w:hint="eastAsia" w:ascii="Times New Roman" w:hAnsi="Times New Roman" w:eastAsia="宋体" w:cs="Times New Roman"/>
                      <w:spacing w:val="-2"/>
                      <w:szCs w:val="21"/>
                      <w:lang w:eastAsia="zh-CN"/>
                    </w:rPr>
                    <w:t>冲洗水</w:t>
                  </w:r>
                </w:p>
              </w:tc>
              <w:tc>
                <w:tcPr>
                  <w:tcW w:w="1746" w:type="pct"/>
                  <w:tcBorders>
                    <w:tl2br w:val="nil"/>
                    <w:tr2bl w:val="nil"/>
                  </w:tcBorders>
                  <w:noWrap w:val="0"/>
                  <w:vAlign w:val="center"/>
                </w:tcPr>
                <w:p w14:paraId="64E488B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pacing w:val="-2"/>
                      <w:szCs w:val="21"/>
                      <w:lang w:val="en-US" w:eastAsia="zh-CN"/>
                    </w:rPr>
                  </w:pPr>
                  <w:r>
                    <w:rPr>
                      <w:rFonts w:hint="eastAsia" w:ascii="Times New Roman" w:hAnsi="Times New Roman" w:eastAsia="宋体" w:cs="Times New Roman"/>
                      <w:spacing w:val="-2"/>
                      <w:szCs w:val="21"/>
                      <w:highlight w:val="none"/>
                      <w:lang w:val="en-US" w:eastAsia="zh-CN"/>
                    </w:rPr>
                    <w:t>5m</w:t>
                  </w:r>
                  <w:r>
                    <w:rPr>
                      <w:rFonts w:hint="eastAsia" w:ascii="Times New Roman" w:hAnsi="Times New Roman" w:eastAsia="宋体" w:cs="Times New Roman"/>
                      <w:spacing w:val="-2"/>
                      <w:szCs w:val="21"/>
                      <w:highlight w:val="none"/>
                      <w:vertAlign w:val="superscript"/>
                      <w:lang w:val="en-US" w:eastAsia="zh-CN"/>
                    </w:rPr>
                    <w:t>3</w:t>
                  </w:r>
                  <w:r>
                    <w:rPr>
                      <w:rFonts w:hint="eastAsia" w:ascii="Times New Roman" w:hAnsi="Times New Roman" w:eastAsia="宋体" w:cs="Times New Roman"/>
                      <w:spacing w:val="-2"/>
                      <w:szCs w:val="21"/>
                      <w:highlight w:val="none"/>
                      <w:lang w:val="en-US" w:eastAsia="zh-CN"/>
                    </w:rPr>
                    <w:t>沉</w:t>
                  </w:r>
                  <w:r>
                    <w:rPr>
                      <w:rFonts w:hint="eastAsia" w:ascii="Times New Roman" w:hAnsi="Times New Roman" w:eastAsia="宋体" w:cs="Times New Roman"/>
                      <w:spacing w:val="-2"/>
                      <w:szCs w:val="21"/>
                      <w:lang w:val="en-US" w:eastAsia="zh-CN"/>
                    </w:rPr>
                    <w:t>淀池处理后循环利用</w:t>
                  </w:r>
                </w:p>
              </w:tc>
              <w:tc>
                <w:tcPr>
                  <w:tcW w:w="814" w:type="pct"/>
                  <w:tcBorders>
                    <w:tl2br w:val="nil"/>
                    <w:tr2bl w:val="nil"/>
                  </w:tcBorders>
                  <w:noWrap w:val="0"/>
                  <w:vAlign w:val="center"/>
                </w:tcPr>
                <w:p w14:paraId="6E223AB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szCs w:val="21"/>
                      <w:lang w:val="en-US" w:eastAsia="zh-CN"/>
                    </w:rPr>
                  </w:pPr>
                  <w:r>
                    <w:rPr>
                      <w:rFonts w:hint="eastAsia" w:eastAsia="宋体"/>
                      <w:szCs w:val="21"/>
                      <w:lang w:val="en-US" w:eastAsia="zh-CN"/>
                    </w:rPr>
                    <w:t>0.5</w:t>
                  </w:r>
                </w:p>
              </w:tc>
            </w:tr>
            <w:tr w14:paraId="4B37E1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pct"/>
                  <w:vMerge w:val="continue"/>
                  <w:tcBorders>
                    <w:tl2br w:val="nil"/>
                    <w:tr2bl w:val="nil"/>
                  </w:tcBorders>
                  <w:noWrap w:val="0"/>
                  <w:vAlign w:val="center"/>
                </w:tcPr>
                <w:p w14:paraId="3FDA0322">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p>
              </w:tc>
              <w:tc>
                <w:tcPr>
                  <w:tcW w:w="702" w:type="pct"/>
                  <w:tcBorders>
                    <w:tl2br w:val="nil"/>
                    <w:tr2bl w:val="nil"/>
                  </w:tcBorders>
                  <w:noWrap w:val="0"/>
                  <w:vAlign w:val="center"/>
                </w:tcPr>
                <w:p w14:paraId="1334E012">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r>
                    <w:rPr>
                      <w:szCs w:val="21"/>
                    </w:rPr>
                    <w:t>固废治理</w:t>
                  </w:r>
                </w:p>
              </w:tc>
              <w:tc>
                <w:tcPr>
                  <w:tcW w:w="1268" w:type="pct"/>
                  <w:tcBorders>
                    <w:tl2br w:val="nil"/>
                    <w:tr2bl w:val="nil"/>
                  </w:tcBorders>
                  <w:noWrap w:val="0"/>
                  <w:vAlign w:val="center"/>
                </w:tcPr>
                <w:p w14:paraId="28F551C8">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r>
                    <w:rPr>
                      <w:szCs w:val="21"/>
                    </w:rPr>
                    <w:t>生活垃圾</w:t>
                  </w:r>
                </w:p>
              </w:tc>
              <w:tc>
                <w:tcPr>
                  <w:tcW w:w="1746" w:type="pct"/>
                  <w:tcBorders>
                    <w:tl2br w:val="nil"/>
                    <w:tr2bl w:val="nil"/>
                  </w:tcBorders>
                  <w:noWrap w:val="0"/>
                  <w:vAlign w:val="center"/>
                </w:tcPr>
                <w:p w14:paraId="5DB9106B">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r>
                    <w:rPr>
                      <w:szCs w:val="21"/>
                    </w:rPr>
                    <w:t>垃圾箱、生活垃圾收集装置</w:t>
                  </w:r>
                </w:p>
              </w:tc>
              <w:tc>
                <w:tcPr>
                  <w:tcW w:w="814" w:type="pct"/>
                  <w:tcBorders>
                    <w:tl2br w:val="nil"/>
                    <w:tr2bl w:val="nil"/>
                  </w:tcBorders>
                  <w:noWrap w:val="0"/>
                  <w:vAlign w:val="center"/>
                </w:tcPr>
                <w:p w14:paraId="3B4A7DD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szCs w:val="21"/>
                      <w:lang w:val="en-US" w:eastAsia="zh-CN"/>
                    </w:rPr>
                  </w:pPr>
                  <w:r>
                    <w:rPr>
                      <w:rFonts w:hint="eastAsia"/>
                      <w:szCs w:val="21"/>
                      <w:lang w:val="en-US" w:eastAsia="zh-CN"/>
                    </w:rPr>
                    <w:t>0.5</w:t>
                  </w:r>
                </w:p>
              </w:tc>
            </w:tr>
            <w:tr w14:paraId="478672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pct"/>
                  <w:vMerge w:val="continue"/>
                  <w:tcBorders>
                    <w:tl2br w:val="nil"/>
                    <w:tr2bl w:val="nil"/>
                  </w:tcBorders>
                  <w:noWrap w:val="0"/>
                  <w:vAlign w:val="center"/>
                </w:tcPr>
                <w:p w14:paraId="5982455E">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p>
              </w:tc>
              <w:tc>
                <w:tcPr>
                  <w:tcW w:w="3717" w:type="pct"/>
                  <w:gridSpan w:val="3"/>
                  <w:tcBorders>
                    <w:tl2br w:val="nil"/>
                    <w:tr2bl w:val="nil"/>
                  </w:tcBorders>
                  <w:noWrap w:val="0"/>
                  <w:vAlign w:val="center"/>
                </w:tcPr>
                <w:p w14:paraId="0BAD2D41">
                  <w:pPr>
                    <w:keepNext w:val="0"/>
                    <w:keepLines w:val="0"/>
                    <w:pageBreakBefore w:val="0"/>
                    <w:widowControl w:val="0"/>
                    <w:kinsoku/>
                    <w:wordWrap/>
                    <w:overflowPunct/>
                    <w:topLinePunct w:val="0"/>
                    <w:autoSpaceDE/>
                    <w:autoSpaceDN/>
                    <w:bidi w:val="0"/>
                    <w:adjustRightInd w:val="0"/>
                    <w:snapToGrid w:val="0"/>
                    <w:jc w:val="center"/>
                    <w:textAlignment w:val="auto"/>
                    <w:rPr>
                      <w:spacing w:val="-2"/>
                      <w:szCs w:val="21"/>
                    </w:rPr>
                  </w:pPr>
                  <w:r>
                    <w:rPr>
                      <w:spacing w:val="-2"/>
                      <w:szCs w:val="21"/>
                    </w:rPr>
                    <w:t>小计</w:t>
                  </w:r>
                </w:p>
              </w:tc>
              <w:tc>
                <w:tcPr>
                  <w:tcW w:w="814" w:type="pct"/>
                  <w:tcBorders>
                    <w:tl2br w:val="nil"/>
                    <w:tr2bl w:val="nil"/>
                  </w:tcBorders>
                  <w:noWrap w:val="0"/>
                  <w:vAlign w:val="center"/>
                </w:tcPr>
                <w:p w14:paraId="7149874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szCs w:val="21"/>
                      <w:lang w:val="en-US" w:eastAsia="zh-CN"/>
                    </w:rPr>
                  </w:pPr>
                  <w:r>
                    <w:rPr>
                      <w:rFonts w:hint="eastAsia"/>
                      <w:szCs w:val="21"/>
                      <w:lang w:val="en-US" w:eastAsia="zh-CN"/>
                    </w:rPr>
                    <w:t>22.5</w:t>
                  </w:r>
                </w:p>
              </w:tc>
            </w:tr>
            <w:tr w14:paraId="24D447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85" w:type="pct"/>
                  <w:gridSpan w:val="4"/>
                  <w:tcBorders>
                    <w:tl2br w:val="nil"/>
                    <w:tr2bl w:val="nil"/>
                  </w:tcBorders>
                  <w:noWrap w:val="0"/>
                  <w:vAlign w:val="center"/>
                </w:tcPr>
                <w:p w14:paraId="3102D24E">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r>
                    <w:rPr>
                      <w:szCs w:val="21"/>
                    </w:rPr>
                    <w:t>合计</w:t>
                  </w:r>
                </w:p>
              </w:tc>
              <w:tc>
                <w:tcPr>
                  <w:tcW w:w="814" w:type="pct"/>
                  <w:tcBorders>
                    <w:tl2br w:val="nil"/>
                    <w:tr2bl w:val="nil"/>
                  </w:tcBorders>
                  <w:noWrap w:val="0"/>
                  <w:vAlign w:val="center"/>
                </w:tcPr>
                <w:p w14:paraId="05D9EE0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szCs w:val="21"/>
                      <w:lang w:val="en-US" w:eastAsia="zh-CN"/>
                    </w:rPr>
                  </w:pPr>
                  <w:r>
                    <w:rPr>
                      <w:rFonts w:hint="eastAsia"/>
                      <w:szCs w:val="21"/>
                      <w:lang w:val="en-US" w:eastAsia="zh-CN"/>
                    </w:rPr>
                    <w:t>25</w:t>
                  </w:r>
                </w:p>
              </w:tc>
            </w:tr>
          </w:tbl>
          <w:p w14:paraId="442EEDDE">
            <w:pPr>
              <w:pStyle w:val="24"/>
              <w:ind w:left="0" w:leftChars="0" w:firstLine="0" w:firstLineChars="0"/>
            </w:pPr>
          </w:p>
        </w:tc>
      </w:tr>
      <w:tr w14:paraId="191550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71" w:hRule="atLeast"/>
          <w:jc w:val="center"/>
        </w:trPr>
        <w:tc>
          <w:tcPr>
            <w:tcW w:w="823" w:type="dxa"/>
            <w:noWrap w:val="0"/>
            <w:vAlign w:val="center"/>
          </w:tcPr>
          <w:p w14:paraId="66DBB907">
            <w:pPr>
              <w:pStyle w:val="21"/>
              <w:adjustRightInd w:val="0"/>
              <w:snapToGrid w:val="0"/>
              <w:spacing w:before="0" w:beforeAutospacing="0" w:after="0" w:afterAutospacing="0"/>
              <w:jc w:val="center"/>
              <w:rPr>
                <w:rFonts w:cs="宋体"/>
                <w:sz w:val="21"/>
                <w:szCs w:val="21"/>
              </w:rPr>
            </w:pPr>
            <w:r>
              <w:rPr>
                <w:rFonts w:hint="eastAsia" w:cs="宋体"/>
                <w:sz w:val="21"/>
                <w:szCs w:val="21"/>
              </w:rPr>
              <w:t>工艺流程和产排污环节</w:t>
            </w:r>
          </w:p>
        </w:tc>
        <w:tc>
          <w:tcPr>
            <w:tcW w:w="8161" w:type="dxa"/>
            <w:noWrap w:val="0"/>
            <w:vAlign w:val="top"/>
          </w:tcPr>
          <w:p w14:paraId="6BD2C58A">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default"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b/>
                <w:bCs/>
                <w:color w:val="000000"/>
                <w:sz w:val="24"/>
                <w:szCs w:val="24"/>
                <w:highlight w:val="none"/>
                <w:lang w:val="en-US" w:eastAsia="zh-CN"/>
              </w:rPr>
              <w:t>1.</w:t>
            </w:r>
            <w:r>
              <w:rPr>
                <w:rFonts w:hint="default" w:ascii="Times New Roman" w:hAnsi="Times New Roman" w:eastAsia="宋体" w:cs="Times New Roman"/>
                <w:b/>
                <w:bCs/>
                <w:color w:val="000000"/>
                <w:sz w:val="24"/>
                <w:szCs w:val="24"/>
                <w:highlight w:val="none"/>
                <w:lang w:val="en-US" w:eastAsia="zh-CN"/>
              </w:rPr>
              <w:t>施工期工艺流程</w:t>
            </w:r>
          </w:p>
          <w:p w14:paraId="5EE146EC">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9"/>
              <w:rPr>
                <w:rFonts w:hint="default" w:ascii="Times New Roman" w:hAnsi="Times New Roman" w:eastAsia="宋体" w:cs="Times New Roman"/>
                <w:b w:val="0"/>
                <w:bCs w:val="0"/>
                <w:color w:val="000000"/>
                <w:sz w:val="24"/>
                <w:highlight w:val="none"/>
              </w:rPr>
            </w:pPr>
            <w:r>
              <w:rPr>
                <w:rFonts w:hint="default" w:ascii="Times New Roman" w:hAnsi="Times New Roman" w:eastAsia="宋体" w:cs="Times New Roman"/>
                <w:b/>
                <w:bCs/>
                <w:color w:val="000000"/>
                <w:sz w:val="24"/>
                <w:szCs w:val="24"/>
                <w:highlight w:val="none"/>
                <w:lang w:eastAsia="zh-CN"/>
              </w:rPr>
              <w:drawing>
                <wp:anchor distT="0" distB="0" distL="114300" distR="114300" simplePos="0" relativeHeight="251663360" behindDoc="0" locked="0" layoutInCell="1" allowOverlap="1">
                  <wp:simplePos x="0" y="0"/>
                  <wp:positionH relativeFrom="column">
                    <wp:posOffset>31115</wp:posOffset>
                  </wp:positionH>
                  <wp:positionV relativeFrom="paragraph">
                    <wp:posOffset>230505</wp:posOffset>
                  </wp:positionV>
                  <wp:extent cx="5041900" cy="1530350"/>
                  <wp:effectExtent l="0" t="0" r="6350" b="12700"/>
                  <wp:wrapNone/>
                  <wp:docPr id="21" name="图片 21" descr="QQ截图20210329164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QQ截图20210329164818"/>
                          <pic:cNvPicPr>
                            <a:picLocks noChangeAspect="1"/>
                          </pic:cNvPicPr>
                        </pic:nvPicPr>
                        <pic:blipFill>
                          <a:blip r:embed="rId10"/>
                          <a:stretch>
                            <a:fillRect/>
                          </a:stretch>
                        </pic:blipFill>
                        <pic:spPr>
                          <a:xfrm>
                            <a:off x="0" y="0"/>
                            <a:ext cx="5041900" cy="1530350"/>
                          </a:xfrm>
                          <a:prstGeom prst="rect">
                            <a:avLst/>
                          </a:prstGeom>
                          <a:noFill/>
                          <a:ln>
                            <a:noFill/>
                          </a:ln>
                        </pic:spPr>
                      </pic:pic>
                    </a:graphicData>
                  </a:graphic>
                </wp:anchor>
              </w:drawing>
            </w:r>
            <w:r>
              <w:rPr>
                <w:rFonts w:hint="default" w:ascii="Times New Roman" w:hAnsi="Times New Roman" w:eastAsia="宋体" w:cs="Times New Roman"/>
                <w:b w:val="0"/>
                <w:bCs w:val="0"/>
                <w:color w:val="000000"/>
                <w:sz w:val="24"/>
                <w:highlight w:val="none"/>
                <w:lang w:val="en-US" w:eastAsia="zh-CN"/>
              </w:rPr>
              <w:t>本项目施工期</w:t>
            </w:r>
            <w:r>
              <w:rPr>
                <w:rFonts w:hint="default" w:ascii="Times New Roman" w:hAnsi="Times New Roman" w:eastAsia="宋体" w:cs="Times New Roman"/>
                <w:b w:val="0"/>
                <w:bCs w:val="0"/>
                <w:color w:val="000000"/>
                <w:sz w:val="24"/>
                <w:highlight w:val="none"/>
              </w:rPr>
              <w:t>工艺流程</w:t>
            </w:r>
            <w:r>
              <w:rPr>
                <w:rFonts w:hint="default" w:ascii="Times New Roman" w:hAnsi="Times New Roman" w:eastAsia="宋体" w:cs="Times New Roman"/>
                <w:b w:val="0"/>
                <w:bCs w:val="0"/>
                <w:color w:val="000000"/>
                <w:sz w:val="24"/>
                <w:highlight w:val="none"/>
                <w:lang w:eastAsia="zh-CN"/>
              </w:rPr>
              <w:t>及产污环节图</w:t>
            </w:r>
            <w:r>
              <w:rPr>
                <w:rFonts w:hint="default" w:ascii="Times New Roman" w:hAnsi="Times New Roman" w:eastAsia="宋体" w:cs="Times New Roman"/>
                <w:b w:val="0"/>
                <w:bCs w:val="0"/>
                <w:color w:val="000000"/>
                <w:sz w:val="24"/>
                <w:highlight w:val="none"/>
              </w:rPr>
              <w:t>：</w:t>
            </w:r>
          </w:p>
          <w:p w14:paraId="6DB99317">
            <w:pPr>
              <w:adjustRightInd w:val="0"/>
              <w:snapToGrid w:val="0"/>
              <w:spacing w:line="360" w:lineRule="auto"/>
              <w:jc w:val="center"/>
              <w:rPr>
                <w:rFonts w:hint="default" w:ascii="Times New Roman" w:hAnsi="Times New Roman" w:eastAsia="宋体" w:cs="Times New Roman"/>
                <w:b/>
                <w:bCs/>
                <w:color w:val="000000"/>
                <w:sz w:val="24"/>
                <w:szCs w:val="24"/>
                <w:highlight w:val="none"/>
                <w:lang w:eastAsia="zh-CN"/>
              </w:rPr>
            </w:pPr>
          </w:p>
          <w:p w14:paraId="4C091F85">
            <w:pPr>
              <w:adjustRightInd w:val="0"/>
              <w:snapToGrid w:val="0"/>
              <w:spacing w:line="360" w:lineRule="auto"/>
              <w:jc w:val="center"/>
              <w:rPr>
                <w:rFonts w:hint="default" w:ascii="Times New Roman" w:hAnsi="Times New Roman" w:eastAsia="宋体" w:cs="Times New Roman"/>
                <w:b/>
                <w:bCs/>
                <w:color w:val="000000"/>
                <w:sz w:val="24"/>
                <w:szCs w:val="24"/>
                <w:highlight w:val="none"/>
              </w:rPr>
            </w:pPr>
            <w:r>
              <w:rPr>
                <w:rFonts w:hint="default" w:ascii="Times New Roman" w:hAnsi="Times New Roman" w:eastAsia="宋体" w:cs="Times New Roman"/>
                <w:b/>
                <w:bCs/>
                <w:color w:val="000000"/>
                <w:sz w:val="24"/>
                <w:szCs w:val="24"/>
                <w:highlight w:val="none"/>
              </w:rPr>
              <w:t>图</w:t>
            </w:r>
            <w:r>
              <w:rPr>
                <w:rFonts w:hint="default" w:ascii="Times New Roman" w:hAnsi="Times New Roman" w:eastAsia="宋体" w:cs="Times New Roman"/>
                <w:b/>
                <w:bCs/>
                <w:color w:val="000000"/>
                <w:sz w:val="24"/>
                <w:szCs w:val="24"/>
                <w:highlight w:val="none"/>
                <w:lang w:val="en-US" w:eastAsia="zh-CN"/>
              </w:rPr>
              <w:t>2</w:t>
            </w:r>
            <w:r>
              <w:rPr>
                <w:rFonts w:hint="default" w:ascii="Times New Roman" w:hAnsi="Times New Roman" w:eastAsia="宋体" w:cs="Times New Roman"/>
                <w:b/>
                <w:bCs/>
                <w:color w:val="000000"/>
                <w:sz w:val="24"/>
                <w:szCs w:val="24"/>
                <w:highlight w:val="none"/>
              </w:rPr>
              <w:t>施工工艺</w:t>
            </w:r>
            <w:r>
              <w:rPr>
                <w:rFonts w:hint="default" w:ascii="Times New Roman" w:hAnsi="Times New Roman" w:eastAsia="宋体" w:cs="Times New Roman"/>
                <w:b/>
                <w:bCs/>
                <w:color w:val="000000"/>
                <w:sz w:val="24"/>
                <w:szCs w:val="24"/>
                <w:highlight w:val="none"/>
                <w:lang w:eastAsia="zh-CN"/>
              </w:rPr>
              <w:t>流程</w:t>
            </w:r>
            <w:r>
              <w:rPr>
                <w:rFonts w:hint="default" w:ascii="Times New Roman" w:hAnsi="Times New Roman" w:eastAsia="宋体" w:cs="Times New Roman"/>
                <w:b/>
                <w:bCs/>
                <w:color w:val="000000"/>
                <w:sz w:val="24"/>
                <w:szCs w:val="24"/>
                <w:highlight w:val="none"/>
              </w:rPr>
              <w:t>及产污环节图</w:t>
            </w:r>
          </w:p>
          <w:p w14:paraId="34C604FA">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default" w:ascii="Times New Roman" w:hAnsi="Times New Roman" w:eastAsia="宋体" w:cs="Times New Roman"/>
                <w:b/>
                <w:bCs/>
                <w:color w:val="000000"/>
                <w:sz w:val="24"/>
                <w:szCs w:val="24"/>
                <w:highlight w:val="none"/>
                <w:lang w:val="en-US" w:eastAsia="zh-CN"/>
              </w:rPr>
            </w:pPr>
          </w:p>
          <w:p w14:paraId="33F68C74">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default" w:ascii="Times New Roman" w:hAnsi="Times New Roman" w:eastAsia="宋体" w:cs="Times New Roman"/>
                <w:b/>
                <w:bCs/>
                <w:color w:val="000000"/>
                <w:sz w:val="24"/>
                <w:szCs w:val="24"/>
                <w:highlight w:val="none"/>
                <w:lang w:val="en-US" w:eastAsia="zh-CN"/>
              </w:rPr>
            </w:pPr>
          </w:p>
          <w:p w14:paraId="4E735E1D">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default" w:ascii="Times New Roman" w:hAnsi="Times New Roman" w:eastAsia="宋体" w:cs="Times New Roman"/>
                <w:b/>
                <w:bCs/>
                <w:color w:val="000000"/>
                <w:sz w:val="24"/>
                <w:szCs w:val="24"/>
                <w:highlight w:val="none"/>
                <w:lang w:val="en-US" w:eastAsia="zh-CN"/>
              </w:rPr>
            </w:pPr>
          </w:p>
          <w:p w14:paraId="4CD13904">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default" w:ascii="Times New Roman" w:hAnsi="Times New Roman" w:eastAsia="宋体" w:cs="Times New Roman"/>
                <w:b/>
                <w:bCs/>
                <w:color w:val="000000"/>
                <w:sz w:val="24"/>
                <w:szCs w:val="24"/>
                <w:highlight w:val="none"/>
                <w:lang w:val="en-US" w:eastAsia="zh-CN"/>
              </w:rPr>
            </w:pPr>
          </w:p>
          <w:p w14:paraId="39E1B25C">
            <w:pPr>
              <w:adjustRightInd w:val="0"/>
              <w:snapToGrid w:val="0"/>
              <w:spacing w:line="360" w:lineRule="auto"/>
              <w:ind w:firstLine="422" w:firstLineChars="200"/>
              <w:jc w:val="center"/>
              <w:rPr>
                <w:rFonts w:hint="default" w:ascii="Times New Roman" w:hAnsi="Times New Roman" w:eastAsia="宋体" w:cs="Times New Roman"/>
                <w:b/>
                <w:bCs/>
                <w:color w:val="000000"/>
                <w:sz w:val="21"/>
                <w:szCs w:val="21"/>
                <w:highlight w:val="none"/>
                <w:lang w:val="en-US" w:eastAsia="zh-CN"/>
              </w:rPr>
            </w:pPr>
            <w:r>
              <w:rPr>
                <w:rFonts w:hint="eastAsia" w:ascii="Times New Roman" w:hAnsi="Times New Roman" w:eastAsia="宋体" w:cs="Times New Roman"/>
                <w:b/>
                <w:bCs/>
                <w:color w:val="000000"/>
                <w:sz w:val="21"/>
                <w:szCs w:val="21"/>
                <w:highlight w:val="none"/>
                <w:lang w:val="en-US" w:eastAsia="zh-CN"/>
              </w:rPr>
              <w:t>图2-2 项目施工期工艺流程及产污环节图</w:t>
            </w:r>
          </w:p>
          <w:p w14:paraId="5A94E85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本项目施工方式及方案为清理整平场地并对场地初步硬化开挖基坑，浇筑</w:t>
            </w:r>
            <w:r>
              <w:rPr>
                <w:rFonts w:hint="eastAsia" w:ascii="Times New Roman" w:hAnsi="Times New Roman" w:eastAsia="宋体" w:cs="Times New Roman"/>
                <w:b w:val="0"/>
                <w:bCs w:val="0"/>
                <w:color w:val="000000"/>
                <w:sz w:val="24"/>
                <w:highlight w:val="none"/>
                <w:lang w:val="en-US" w:eastAsia="zh-CN"/>
              </w:rPr>
              <w:t>搅拌</w:t>
            </w:r>
            <w:r>
              <w:rPr>
                <w:rFonts w:hint="default" w:ascii="Times New Roman" w:hAnsi="Times New Roman" w:eastAsia="宋体" w:cs="Times New Roman"/>
                <w:b w:val="0"/>
                <w:bCs w:val="0"/>
                <w:color w:val="000000"/>
                <w:sz w:val="24"/>
                <w:highlight w:val="none"/>
                <w:lang w:val="en-US" w:eastAsia="zh-CN"/>
              </w:rPr>
              <w:t>设备混凝土基础，设备进场安装，架设安装用电等配套设施。</w:t>
            </w:r>
          </w:p>
          <w:p w14:paraId="58CB7108">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default" w:ascii="Times New Roman" w:hAnsi="Times New Roman" w:eastAsia="宋体" w:cs="Times New Roman"/>
                <w:color w:val="000000"/>
                <w:sz w:val="18"/>
                <w:highlight w:val="none"/>
              </w:rPr>
            </w:pPr>
            <w:r>
              <w:rPr>
                <w:rFonts w:hint="eastAsia" w:ascii="Times New Roman" w:hAnsi="Times New Roman" w:eastAsia="宋体" w:cs="Times New Roman"/>
                <w:b/>
                <w:bCs/>
                <w:color w:val="000000"/>
                <w:sz w:val="24"/>
                <w:szCs w:val="24"/>
                <w:highlight w:val="none"/>
                <w:lang w:val="en-US" w:eastAsia="zh-CN"/>
              </w:rPr>
              <w:t>2.</w:t>
            </w:r>
            <w:r>
              <w:rPr>
                <w:rFonts w:hint="default" w:ascii="Times New Roman" w:hAnsi="Times New Roman" w:eastAsia="宋体" w:cs="Times New Roman"/>
                <w:b/>
                <w:bCs/>
                <w:color w:val="000000"/>
                <w:sz w:val="24"/>
                <w:szCs w:val="24"/>
                <w:highlight w:val="none"/>
                <w:lang w:val="en-US" w:eastAsia="zh-CN"/>
              </w:rPr>
              <w:t>运营期工艺流程</w:t>
            </w:r>
          </w:p>
          <w:p w14:paraId="7A68FBD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本项目只利用厂区对煤炭进行贮存和销售，不破碎。将煤炭以汽车运输方式从产煤地运至项目区经地磅</w:t>
            </w:r>
            <w:r>
              <w:rPr>
                <w:rFonts w:hint="eastAsia" w:cs="Times New Roman"/>
                <w:b w:val="0"/>
                <w:bCs w:val="0"/>
                <w:color w:val="000000"/>
                <w:sz w:val="24"/>
                <w:highlight w:val="none"/>
                <w:lang w:val="en-US" w:eastAsia="zh-CN"/>
              </w:rPr>
              <w:t>过秤</w:t>
            </w:r>
            <w:r>
              <w:rPr>
                <w:rFonts w:hint="default" w:ascii="Times New Roman" w:hAnsi="Times New Roman" w:eastAsia="宋体" w:cs="Times New Roman"/>
                <w:b w:val="0"/>
                <w:bCs w:val="0"/>
                <w:color w:val="000000"/>
                <w:sz w:val="24"/>
                <w:highlight w:val="none"/>
                <w:lang w:val="en-US" w:eastAsia="zh-CN"/>
              </w:rPr>
              <w:t>储存，进厂后在全封闭煤棚里面进行卸车，由铲车堆平，</w:t>
            </w:r>
            <w:r>
              <w:rPr>
                <w:rFonts w:hint="eastAsia" w:cs="Times New Roman"/>
                <w:b w:val="0"/>
                <w:bCs w:val="0"/>
                <w:color w:val="000000"/>
                <w:sz w:val="24"/>
                <w:highlight w:val="none"/>
                <w:lang w:val="en-US" w:eastAsia="zh-CN"/>
              </w:rPr>
              <w:t>然后</w:t>
            </w:r>
            <w:r>
              <w:rPr>
                <w:rFonts w:hint="default" w:ascii="Times New Roman" w:hAnsi="Times New Roman" w:eastAsia="宋体" w:cs="Times New Roman"/>
                <w:b w:val="0"/>
                <w:bCs w:val="0"/>
                <w:color w:val="000000"/>
                <w:sz w:val="24"/>
                <w:highlight w:val="none"/>
                <w:lang w:val="en-US" w:eastAsia="zh-CN"/>
              </w:rPr>
              <w:t>根据客户的需求，对煤炭进行配煤筛分，由铲车装车运输至客户所在地。</w:t>
            </w:r>
          </w:p>
          <w:p w14:paraId="5977C61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eastAsia="宋体" w:cs="Times New Roman"/>
                <w:b w:val="0"/>
                <w:bCs w:val="0"/>
                <w:color w:val="000000"/>
                <w:sz w:val="24"/>
                <w:highlight w:val="none"/>
                <w:lang w:val="en-US" w:eastAsia="zh-CN"/>
              </w:rPr>
            </w:pPr>
          </w:p>
          <w:p w14:paraId="7FFC31DD">
            <w:pPr>
              <w:jc w:val="center"/>
              <w:rPr>
                <w:rFonts w:hint="eastAsia" w:ascii="Times New Roman" w:hAnsi="Times New Roman" w:eastAsia="宋体" w:cs="Times New Roman"/>
                <w:b/>
                <w:bCs/>
                <w:color w:val="000000"/>
                <w:sz w:val="21"/>
                <w:szCs w:val="21"/>
                <w:highlight w:val="none"/>
                <w:lang w:val="en-US" w:eastAsia="zh-CN"/>
              </w:rPr>
            </w:pPr>
          </w:p>
          <w:p w14:paraId="0BC3CEDA">
            <w:pPr>
              <w:jc w:val="center"/>
              <w:rPr>
                <w:rFonts w:hint="eastAsia" w:ascii="Times New Roman" w:hAnsi="Times New Roman" w:eastAsia="宋体" w:cs="Times New Roman"/>
                <w:b/>
                <w:bCs/>
                <w:color w:val="000000"/>
                <w:sz w:val="21"/>
                <w:szCs w:val="21"/>
                <w:highlight w:val="none"/>
                <w:lang w:val="en-US" w:eastAsia="zh-CN"/>
              </w:rPr>
            </w:pPr>
          </w:p>
          <w:p w14:paraId="0B68F0F4">
            <w:pPr>
              <w:jc w:val="center"/>
              <w:rPr>
                <w:rFonts w:hint="eastAsia" w:ascii="Times New Roman" w:hAnsi="Times New Roman" w:eastAsia="宋体" w:cs="Times New Roman"/>
                <w:b/>
                <w:bCs/>
                <w:color w:val="000000"/>
                <w:sz w:val="21"/>
                <w:szCs w:val="21"/>
                <w:highlight w:val="none"/>
                <w:lang w:val="en-US" w:eastAsia="zh-CN"/>
              </w:rPr>
            </w:pPr>
            <w:r>
              <w:rPr>
                <w:rFonts w:hint="eastAsia" w:ascii="Times New Roman" w:hAnsi="Times New Roman" w:eastAsia="宋体" w:cs="Times New Roman"/>
                <w:b w:val="0"/>
                <w:bCs w:val="0"/>
                <w:color w:val="000000"/>
                <w:sz w:val="24"/>
                <w:highlight w:val="none"/>
                <w:lang w:val="en-US" w:eastAsia="zh-CN"/>
              </w:rPr>
              <w:drawing>
                <wp:anchor distT="0" distB="0" distL="114300" distR="114300" simplePos="0" relativeHeight="251662336" behindDoc="1" locked="0" layoutInCell="1" allowOverlap="1">
                  <wp:simplePos x="0" y="0"/>
                  <wp:positionH relativeFrom="column">
                    <wp:posOffset>132080</wp:posOffset>
                  </wp:positionH>
                  <wp:positionV relativeFrom="paragraph">
                    <wp:posOffset>35560</wp:posOffset>
                  </wp:positionV>
                  <wp:extent cx="4853940" cy="1882775"/>
                  <wp:effectExtent l="0" t="0" r="3810" b="3175"/>
                  <wp:wrapNone/>
                  <wp:docPr id="22" name="图片 4" descr="图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descr="图_02"/>
                          <pic:cNvPicPr>
                            <a:picLocks noChangeAspect="1"/>
                          </pic:cNvPicPr>
                        </pic:nvPicPr>
                        <pic:blipFill>
                          <a:blip r:embed="rId11"/>
                          <a:srcRect r="3363" b="33371"/>
                          <a:stretch>
                            <a:fillRect/>
                          </a:stretch>
                        </pic:blipFill>
                        <pic:spPr>
                          <a:xfrm>
                            <a:off x="0" y="0"/>
                            <a:ext cx="4853940" cy="1882775"/>
                          </a:xfrm>
                          <a:prstGeom prst="rect">
                            <a:avLst/>
                          </a:prstGeom>
                          <a:noFill/>
                          <a:ln>
                            <a:noFill/>
                          </a:ln>
                        </pic:spPr>
                      </pic:pic>
                    </a:graphicData>
                  </a:graphic>
                </wp:anchor>
              </w:drawing>
            </w:r>
          </w:p>
          <w:p w14:paraId="542DBC04">
            <w:pPr>
              <w:jc w:val="center"/>
              <w:rPr>
                <w:rFonts w:hint="eastAsia" w:ascii="Times New Roman" w:hAnsi="Times New Roman" w:eastAsia="宋体" w:cs="Times New Roman"/>
                <w:b/>
                <w:bCs/>
                <w:color w:val="000000"/>
                <w:sz w:val="21"/>
                <w:szCs w:val="21"/>
                <w:highlight w:val="none"/>
                <w:lang w:val="en-US" w:eastAsia="zh-CN"/>
              </w:rPr>
            </w:pPr>
          </w:p>
          <w:p w14:paraId="071F9FBA">
            <w:pPr>
              <w:jc w:val="center"/>
              <w:rPr>
                <w:rFonts w:hint="eastAsia" w:ascii="Times New Roman" w:hAnsi="Times New Roman" w:eastAsia="宋体" w:cs="Times New Roman"/>
                <w:b/>
                <w:bCs/>
                <w:color w:val="000000"/>
                <w:sz w:val="21"/>
                <w:szCs w:val="21"/>
                <w:highlight w:val="none"/>
                <w:lang w:val="en-US" w:eastAsia="zh-CN"/>
              </w:rPr>
            </w:pPr>
          </w:p>
          <w:p w14:paraId="36D312D4">
            <w:pPr>
              <w:jc w:val="center"/>
              <w:rPr>
                <w:rFonts w:hint="eastAsia" w:ascii="Times New Roman" w:hAnsi="Times New Roman" w:eastAsia="宋体" w:cs="Times New Roman"/>
                <w:b/>
                <w:bCs/>
                <w:color w:val="000000"/>
                <w:sz w:val="21"/>
                <w:szCs w:val="21"/>
                <w:highlight w:val="none"/>
                <w:lang w:val="en-US" w:eastAsia="zh-CN"/>
              </w:rPr>
            </w:pPr>
          </w:p>
          <w:p w14:paraId="0F46C878">
            <w:pPr>
              <w:jc w:val="center"/>
              <w:rPr>
                <w:rFonts w:hint="eastAsia" w:ascii="Times New Roman" w:hAnsi="Times New Roman" w:eastAsia="宋体" w:cs="Times New Roman"/>
                <w:b/>
                <w:bCs/>
                <w:color w:val="000000"/>
                <w:sz w:val="21"/>
                <w:szCs w:val="21"/>
                <w:highlight w:val="none"/>
                <w:lang w:val="en-US" w:eastAsia="zh-CN"/>
              </w:rPr>
            </w:pPr>
          </w:p>
          <w:p w14:paraId="42127702">
            <w:pPr>
              <w:jc w:val="center"/>
              <w:rPr>
                <w:rFonts w:hint="eastAsia" w:ascii="Times New Roman" w:hAnsi="Times New Roman" w:eastAsia="宋体" w:cs="Times New Roman"/>
                <w:b/>
                <w:bCs/>
                <w:color w:val="000000"/>
                <w:sz w:val="21"/>
                <w:szCs w:val="21"/>
                <w:highlight w:val="none"/>
                <w:lang w:val="en-US" w:eastAsia="zh-CN"/>
              </w:rPr>
            </w:pPr>
          </w:p>
          <w:p w14:paraId="60C4B5E7">
            <w:pPr>
              <w:jc w:val="center"/>
              <w:rPr>
                <w:rFonts w:hint="eastAsia" w:ascii="Times New Roman" w:hAnsi="Times New Roman" w:eastAsia="宋体" w:cs="Times New Roman"/>
                <w:b/>
                <w:bCs/>
                <w:color w:val="000000"/>
                <w:sz w:val="21"/>
                <w:szCs w:val="21"/>
                <w:highlight w:val="none"/>
                <w:lang w:val="en-US" w:eastAsia="zh-CN"/>
              </w:rPr>
            </w:pPr>
          </w:p>
          <w:p w14:paraId="1DB1B6F4">
            <w:pPr>
              <w:jc w:val="center"/>
              <w:rPr>
                <w:rFonts w:hint="eastAsia" w:ascii="Times New Roman" w:hAnsi="Times New Roman" w:eastAsia="宋体" w:cs="Times New Roman"/>
                <w:b/>
                <w:bCs/>
                <w:color w:val="000000"/>
                <w:sz w:val="21"/>
                <w:szCs w:val="21"/>
                <w:highlight w:val="none"/>
                <w:lang w:val="en-US" w:eastAsia="zh-CN"/>
              </w:rPr>
            </w:pPr>
          </w:p>
          <w:p w14:paraId="55402DE8">
            <w:pPr>
              <w:jc w:val="center"/>
              <w:rPr>
                <w:rFonts w:hint="eastAsia" w:ascii="Times New Roman" w:hAnsi="Times New Roman" w:eastAsia="宋体" w:cs="Times New Roman"/>
                <w:b/>
                <w:bCs/>
                <w:color w:val="000000"/>
                <w:sz w:val="21"/>
                <w:szCs w:val="21"/>
                <w:highlight w:val="none"/>
                <w:lang w:val="en-US" w:eastAsia="zh-CN"/>
              </w:rPr>
            </w:pPr>
          </w:p>
          <w:p w14:paraId="5E36B255">
            <w:pPr>
              <w:jc w:val="center"/>
              <w:rPr>
                <w:rFonts w:hint="eastAsia" w:ascii="Times New Roman" w:hAnsi="Times New Roman" w:eastAsia="宋体" w:cs="Times New Roman"/>
                <w:b/>
                <w:bCs/>
                <w:color w:val="000000"/>
                <w:sz w:val="21"/>
                <w:szCs w:val="21"/>
                <w:highlight w:val="none"/>
                <w:lang w:val="en-US" w:eastAsia="zh-CN"/>
              </w:rPr>
            </w:pPr>
          </w:p>
          <w:p w14:paraId="1D4D3895">
            <w:pPr>
              <w:jc w:val="center"/>
              <w:rPr>
                <w:rFonts w:hint="eastAsia" w:ascii="Times New Roman" w:hAnsi="Times New Roman" w:eastAsia="宋体" w:cs="Times New Roman"/>
                <w:b/>
                <w:bCs/>
                <w:color w:val="000000"/>
                <w:sz w:val="21"/>
                <w:szCs w:val="21"/>
                <w:highlight w:val="none"/>
                <w:lang w:val="en-US" w:eastAsia="zh-CN"/>
              </w:rPr>
            </w:pPr>
          </w:p>
          <w:p w14:paraId="18C456C0">
            <w:pPr>
              <w:jc w:val="center"/>
              <w:rPr>
                <w:rFonts w:hint="eastAsia" w:ascii="Times New Roman" w:hAnsi="Times New Roman" w:eastAsia="宋体" w:cs="Times New Roman"/>
                <w:b/>
                <w:bCs/>
                <w:color w:val="000000"/>
                <w:sz w:val="21"/>
                <w:szCs w:val="21"/>
                <w:highlight w:val="none"/>
                <w:lang w:val="en-US" w:eastAsia="zh-CN"/>
              </w:rPr>
            </w:pPr>
          </w:p>
          <w:p w14:paraId="156811C9">
            <w:pPr>
              <w:jc w:val="center"/>
              <w:rPr>
                <w:rFonts w:hint="eastAsia" w:ascii="Times New Roman" w:hAnsi="Times New Roman" w:eastAsia="宋体" w:cs="Times New Roman"/>
                <w:b/>
                <w:bCs/>
                <w:color w:val="000000"/>
                <w:sz w:val="21"/>
                <w:szCs w:val="21"/>
                <w:highlight w:val="none"/>
                <w:lang w:val="en-US" w:eastAsia="zh-CN"/>
              </w:rPr>
            </w:pPr>
          </w:p>
          <w:p w14:paraId="3899C50B">
            <w:pPr>
              <w:jc w:val="center"/>
              <w:rPr>
                <w:rFonts w:hint="eastAsia"/>
                <w:lang w:eastAsia="zh-CN"/>
              </w:rPr>
            </w:pPr>
            <w:r>
              <w:rPr>
                <w:rFonts w:hint="eastAsia" w:ascii="Times New Roman" w:hAnsi="Times New Roman" w:eastAsia="宋体" w:cs="Times New Roman"/>
                <w:b/>
                <w:bCs/>
                <w:color w:val="000000"/>
                <w:sz w:val="21"/>
                <w:szCs w:val="21"/>
                <w:highlight w:val="none"/>
                <w:lang w:val="en-US" w:eastAsia="zh-CN"/>
              </w:rPr>
              <w:t>图2-3 项目运营期工艺流程及产污环节图</w:t>
            </w:r>
          </w:p>
          <w:p w14:paraId="065FA2F1">
            <w:pPr>
              <w:pStyle w:val="24"/>
              <w:keepNext w:val="0"/>
              <w:keepLines w:val="0"/>
              <w:pageBreakBefore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宋体" w:hAnsi="宋体" w:eastAsia="宋体" w:cs="宋体"/>
                <w:kern w:val="0"/>
                <w:sz w:val="24"/>
                <w:lang w:eastAsia="zh-CN"/>
              </w:rPr>
            </w:pPr>
            <w:r>
              <w:rPr>
                <w:rFonts w:hint="eastAsia" w:ascii="宋体" w:hAnsi="宋体" w:eastAsia="宋体" w:cs="宋体"/>
                <w:kern w:val="0"/>
                <w:sz w:val="24"/>
                <w:lang w:eastAsia="zh-CN"/>
              </w:rPr>
              <w:t>运营期项目产排污环节一览表见下表。</w:t>
            </w:r>
          </w:p>
          <w:p w14:paraId="5521C3ED">
            <w:pPr>
              <w:keepNext w:val="0"/>
              <w:keepLines w:val="0"/>
              <w:pageBreakBefore w:val="0"/>
              <w:widowControl/>
              <w:kinsoku/>
              <w:wordWrap/>
              <w:overflowPunct/>
              <w:topLinePunct w:val="0"/>
              <w:autoSpaceDE/>
              <w:autoSpaceDN/>
              <w:bidi w:val="0"/>
              <w:adjustRightInd/>
              <w:snapToGrid/>
              <w:spacing w:line="240" w:lineRule="auto"/>
              <w:ind w:firstLine="422" w:firstLineChars="200"/>
              <w:jc w:val="center"/>
              <w:textAlignment w:val="auto"/>
              <w:rPr>
                <w:rFonts w:hint="eastAsia"/>
                <w:lang w:val="en-US" w:eastAsia="zh-CN"/>
              </w:rPr>
            </w:pPr>
            <w:r>
              <w:rPr>
                <w:rFonts w:ascii="Times New Roman" w:hAnsi="Times New Roman"/>
                <w:b/>
                <w:color w:val="000000"/>
                <w:szCs w:val="24"/>
              </w:rPr>
              <w:t>表</w:t>
            </w:r>
            <w:r>
              <w:rPr>
                <w:rFonts w:hint="eastAsia" w:ascii="Times New Roman" w:hAnsi="Times New Roman"/>
                <w:b/>
                <w:color w:val="000000"/>
                <w:szCs w:val="24"/>
                <w:lang w:val="en-US" w:eastAsia="zh-CN"/>
              </w:rPr>
              <w:t>2-</w:t>
            </w:r>
            <w:r>
              <w:rPr>
                <w:rFonts w:hint="eastAsia"/>
                <w:b/>
                <w:color w:val="000000"/>
                <w:szCs w:val="24"/>
                <w:lang w:val="en-US" w:eastAsia="zh-CN"/>
              </w:rPr>
              <w:t>6</w:t>
            </w:r>
            <w:r>
              <w:rPr>
                <w:rFonts w:hint="eastAsia" w:ascii="Times New Roman" w:hAnsi="Times New Roman"/>
                <w:b/>
                <w:color w:val="000000"/>
                <w:szCs w:val="24"/>
              </w:rPr>
              <w:t xml:space="preserve"> 运营期</w:t>
            </w:r>
            <w:r>
              <w:rPr>
                <w:rFonts w:hint="eastAsia" w:ascii="Times New Roman" w:hAnsi="Times New Roman"/>
                <w:b/>
                <w:color w:val="000000"/>
                <w:szCs w:val="24"/>
                <w:lang w:eastAsia="zh-CN"/>
              </w:rPr>
              <w:t>项目</w:t>
            </w:r>
            <w:r>
              <w:rPr>
                <w:rFonts w:hint="eastAsia" w:ascii="Times New Roman" w:hAnsi="Times New Roman"/>
                <w:b/>
                <w:color w:val="000000"/>
                <w:szCs w:val="24"/>
              </w:rPr>
              <w:t>产排污环节一览表</w:t>
            </w:r>
          </w:p>
          <w:tbl>
            <w:tblPr>
              <w:tblStyle w:val="25"/>
              <w:tblW w:w="4997"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608"/>
              <w:gridCol w:w="1938"/>
              <w:gridCol w:w="3697"/>
            </w:tblGrid>
            <w:tr w14:paraId="0CFE2B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39" w:type="pct"/>
                  <w:tcBorders>
                    <w:tl2br w:val="nil"/>
                    <w:tr2bl w:val="nil"/>
                  </w:tcBorders>
                  <w:noWrap w:val="0"/>
                  <w:vAlign w:val="center"/>
                </w:tcPr>
                <w:p w14:paraId="11FF7E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rPr>
                  </w:pPr>
                  <w:r>
                    <w:rPr>
                      <w:rFonts w:hint="default" w:ascii="Calibri" w:hAnsi="Calibri" w:eastAsia="宋体" w:cs="宋体"/>
                      <w:sz w:val="21"/>
                      <w:szCs w:val="21"/>
                    </w:rPr>
                    <w:t>类别</w:t>
                  </w:r>
                </w:p>
              </w:tc>
              <w:tc>
                <w:tcPr>
                  <w:tcW w:w="1012" w:type="pct"/>
                  <w:tcBorders>
                    <w:tl2br w:val="nil"/>
                    <w:tr2bl w:val="nil"/>
                  </w:tcBorders>
                  <w:noWrap w:val="0"/>
                  <w:vAlign w:val="center"/>
                </w:tcPr>
                <w:p w14:paraId="3D09EA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rPr>
                  </w:pPr>
                  <w:r>
                    <w:rPr>
                      <w:rFonts w:hint="default" w:ascii="Calibri" w:hAnsi="Calibri" w:eastAsia="宋体" w:cs="宋体"/>
                      <w:sz w:val="21"/>
                      <w:szCs w:val="21"/>
                    </w:rPr>
                    <w:t>名称</w:t>
                  </w:r>
                </w:p>
              </w:tc>
              <w:tc>
                <w:tcPr>
                  <w:tcW w:w="1220" w:type="pct"/>
                  <w:tcBorders>
                    <w:tl2br w:val="nil"/>
                    <w:tr2bl w:val="nil"/>
                  </w:tcBorders>
                  <w:noWrap w:val="0"/>
                  <w:vAlign w:val="center"/>
                </w:tcPr>
                <w:p w14:paraId="5E2A38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rPr>
                  </w:pPr>
                  <w:r>
                    <w:rPr>
                      <w:rFonts w:hint="default" w:ascii="Calibri" w:hAnsi="Calibri" w:eastAsia="宋体" w:cs="宋体"/>
                      <w:sz w:val="21"/>
                      <w:szCs w:val="21"/>
                      <w:lang w:eastAsia="zh-CN"/>
                    </w:rPr>
                    <w:t>污染因子</w:t>
                  </w:r>
                </w:p>
              </w:tc>
              <w:tc>
                <w:tcPr>
                  <w:tcW w:w="2327" w:type="pct"/>
                  <w:tcBorders>
                    <w:tl2br w:val="nil"/>
                    <w:tr2bl w:val="nil"/>
                  </w:tcBorders>
                  <w:noWrap w:val="0"/>
                  <w:vAlign w:val="center"/>
                </w:tcPr>
                <w:p w14:paraId="6ED2F7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rPr>
                  </w:pPr>
                  <w:r>
                    <w:rPr>
                      <w:rFonts w:hint="default" w:ascii="Calibri" w:hAnsi="Calibri" w:eastAsia="宋体" w:cs="宋体"/>
                      <w:sz w:val="21"/>
                      <w:szCs w:val="21"/>
                    </w:rPr>
                    <w:t>治理措施</w:t>
                  </w:r>
                </w:p>
              </w:tc>
            </w:tr>
            <w:tr w14:paraId="4A9D69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39" w:type="pct"/>
                  <w:vMerge w:val="restart"/>
                  <w:tcBorders>
                    <w:tl2br w:val="nil"/>
                    <w:tr2bl w:val="nil"/>
                  </w:tcBorders>
                  <w:noWrap w:val="0"/>
                  <w:vAlign w:val="center"/>
                </w:tcPr>
                <w:p w14:paraId="107CE0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rPr>
                  </w:pPr>
                  <w:r>
                    <w:rPr>
                      <w:rFonts w:hint="default" w:ascii="Calibri" w:hAnsi="Calibri" w:eastAsia="宋体" w:cs="宋体"/>
                      <w:sz w:val="21"/>
                      <w:szCs w:val="21"/>
                    </w:rPr>
                    <w:t>废气</w:t>
                  </w:r>
                </w:p>
              </w:tc>
              <w:tc>
                <w:tcPr>
                  <w:tcW w:w="1012" w:type="pct"/>
                  <w:tcBorders>
                    <w:tl2br w:val="nil"/>
                    <w:tr2bl w:val="nil"/>
                  </w:tcBorders>
                  <w:noWrap w:val="0"/>
                  <w:vAlign w:val="center"/>
                </w:tcPr>
                <w:p w14:paraId="49D88E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lang w:val="en-US" w:eastAsia="zh-CN"/>
                    </w:rPr>
                  </w:pPr>
                  <w:r>
                    <w:rPr>
                      <w:rFonts w:hint="eastAsia" w:ascii="Calibri" w:hAnsi="Calibri" w:eastAsia="宋体" w:cs="宋体"/>
                      <w:sz w:val="21"/>
                      <w:szCs w:val="21"/>
                      <w:lang w:val="en-US" w:eastAsia="zh-CN"/>
                    </w:rPr>
                    <w:t>汽车扬尘</w:t>
                  </w:r>
                </w:p>
              </w:tc>
              <w:tc>
                <w:tcPr>
                  <w:tcW w:w="1220" w:type="pct"/>
                  <w:tcBorders>
                    <w:tl2br w:val="nil"/>
                    <w:tr2bl w:val="nil"/>
                  </w:tcBorders>
                  <w:noWrap w:val="0"/>
                  <w:vAlign w:val="center"/>
                </w:tcPr>
                <w:p w14:paraId="2797F1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lang w:val="en-US" w:eastAsia="zh-CN"/>
                    </w:rPr>
                  </w:pPr>
                  <w:r>
                    <w:rPr>
                      <w:rFonts w:hint="eastAsia" w:ascii="Calibri" w:hAnsi="Calibri" w:eastAsia="宋体" w:cs="宋体"/>
                      <w:sz w:val="21"/>
                      <w:szCs w:val="21"/>
                      <w:lang w:val="en-US" w:eastAsia="zh-CN"/>
                    </w:rPr>
                    <w:t>颗粒物</w:t>
                  </w:r>
                </w:p>
              </w:tc>
              <w:tc>
                <w:tcPr>
                  <w:tcW w:w="2327" w:type="pct"/>
                  <w:tcBorders>
                    <w:tl2br w:val="nil"/>
                    <w:tr2bl w:val="nil"/>
                  </w:tcBorders>
                  <w:noWrap w:val="0"/>
                  <w:vAlign w:val="center"/>
                </w:tcPr>
                <w:p w14:paraId="4B864B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lang w:val="en-US" w:eastAsia="zh-CN"/>
                    </w:rPr>
                  </w:pPr>
                  <w:r>
                    <w:rPr>
                      <w:rFonts w:hint="eastAsia" w:ascii="Calibri" w:hAnsi="Calibri" w:eastAsia="宋体" w:cs="宋体"/>
                      <w:sz w:val="21"/>
                      <w:szCs w:val="21"/>
                      <w:lang w:val="en-US" w:eastAsia="zh-CN"/>
                    </w:rPr>
                    <w:t>洒水降尘、出入口设置洗车台，对车辆进行冲洗，</w:t>
                  </w:r>
                  <w:r>
                    <w:rPr>
                      <w:rFonts w:hint="default" w:ascii="Calibri" w:hAnsi="Calibri" w:eastAsia="宋体" w:cs="宋体"/>
                      <w:sz w:val="21"/>
                      <w:szCs w:val="21"/>
                    </w:rPr>
                    <w:t>呈无组织排放</w:t>
                  </w:r>
                  <w:r>
                    <w:rPr>
                      <w:rFonts w:hint="eastAsia" w:ascii="Calibri" w:hAnsi="Calibri" w:eastAsia="宋体" w:cs="宋体"/>
                      <w:sz w:val="21"/>
                      <w:szCs w:val="21"/>
                      <w:lang w:val="en-US" w:eastAsia="zh-CN"/>
                    </w:rPr>
                    <w:t>。</w:t>
                  </w:r>
                </w:p>
              </w:tc>
            </w:tr>
            <w:tr w14:paraId="47BA33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39" w:type="pct"/>
                  <w:vMerge w:val="continue"/>
                  <w:tcBorders>
                    <w:tl2br w:val="nil"/>
                    <w:tr2bl w:val="nil"/>
                  </w:tcBorders>
                  <w:noWrap w:val="0"/>
                  <w:vAlign w:val="center"/>
                </w:tcPr>
                <w:p w14:paraId="22FB9F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rPr>
                  </w:pPr>
                </w:p>
              </w:tc>
              <w:tc>
                <w:tcPr>
                  <w:tcW w:w="1012" w:type="pct"/>
                  <w:tcBorders>
                    <w:tl2br w:val="nil"/>
                    <w:tr2bl w:val="nil"/>
                  </w:tcBorders>
                  <w:noWrap w:val="0"/>
                  <w:vAlign w:val="center"/>
                </w:tcPr>
                <w:p w14:paraId="10DEEA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lang w:val="en-US" w:eastAsia="zh-CN"/>
                    </w:rPr>
                  </w:pPr>
                  <w:r>
                    <w:rPr>
                      <w:rFonts w:hint="eastAsia" w:ascii="Calibri" w:hAnsi="Calibri" w:eastAsia="宋体" w:cs="宋体"/>
                      <w:sz w:val="21"/>
                      <w:szCs w:val="21"/>
                      <w:lang w:val="en-US" w:eastAsia="zh-CN"/>
                    </w:rPr>
                    <w:t>储煤、卸煤</w:t>
                  </w:r>
                  <w:r>
                    <w:rPr>
                      <w:rFonts w:hint="eastAsia" w:ascii="Calibri" w:hAnsi="Calibri" w:cs="宋体"/>
                      <w:sz w:val="21"/>
                      <w:szCs w:val="21"/>
                      <w:lang w:val="en-US" w:eastAsia="zh-CN"/>
                    </w:rPr>
                    <w:t>、筛分、配煤</w:t>
                  </w:r>
                  <w:r>
                    <w:rPr>
                      <w:rFonts w:hint="eastAsia" w:ascii="Calibri" w:hAnsi="Calibri" w:eastAsia="宋体" w:cs="宋体"/>
                      <w:sz w:val="21"/>
                      <w:szCs w:val="21"/>
                      <w:lang w:val="en-US" w:eastAsia="zh-CN"/>
                    </w:rPr>
                    <w:t>粉尘</w:t>
                  </w:r>
                </w:p>
              </w:tc>
              <w:tc>
                <w:tcPr>
                  <w:tcW w:w="1220" w:type="pct"/>
                  <w:tcBorders>
                    <w:tl2br w:val="nil"/>
                    <w:tr2bl w:val="nil"/>
                  </w:tcBorders>
                  <w:noWrap w:val="0"/>
                  <w:vAlign w:val="center"/>
                </w:tcPr>
                <w:p w14:paraId="25E470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lang w:val="en-US" w:eastAsia="zh-CN"/>
                    </w:rPr>
                  </w:pPr>
                  <w:r>
                    <w:rPr>
                      <w:rFonts w:hint="eastAsia" w:ascii="Calibri" w:hAnsi="Calibri" w:eastAsia="宋体" w:cs="宋体"/>
                      <w:sz w:val="21"/>
                      <w:szCs w:val="21"/>
                      <w:lang w:val="en-US" w:eastAsia="zh-CN"/>
                    </w:rPr>
                    <w:t>颗粒物</w:t>
                  </w:r>
                </w:p>
              </w:tc>
              <w:tc>
                <w:tcPr>
                  <w:tcW w:w="2327" w:type="pct"/>
                  <w:tcBorders>
                    <w:tl2br w:val="nil"/>
                    <w:tr2bl w:val="nil"/>
                  </w:tcBorders>
                  <w:noWrap w:val="0"/>
                  <w:vAlign w:val="center"/>
                </w:tcPr>
                <w:p w14:paraId="568803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宋体"/>
                      <w:sz w:val="21"/>
                      <w:szCs w:val="21"/>
                      <w:lang w:eastAsia="zh-CN"/>
                    </w:rPr>
                  </w:pPr>
                  <w:r>
                    <w:rPr>
                      <w:rFonts w:hint="eastAsia" w:ascii="Calibri" w:hAnsi="Calibri" w:eastAsia="宋体" w:cs="宋体"/>
                      <w:sz w:val="21"/>
                      <w:szCs w:val="21"/>
                      <w:lang w:val="en-US" w:eastAsia="zh-CN"/>
                    </w:rPr>
                    <w:t>煤棚</w:t>
                  </w:r>
                  <w:r>
                    <w:rPr>
                      <w:rFonts w:hint="default" w:ascii="Calibri" w:hAnsi="Calibri" w:eastAsia="宋体" w:cs="宋体"/>
                      <w:sz w:val="21"/>
                      <w:szCs w:val="21"/>
                      <w:lang w:eastAsia="zh-CN"/>
                    </w:rPr>
                    <w:t>封闭</w:t>
                  </w:r>
                  <w:r>
                    <w:rPr>
                      <w:rFonts w:hint="eastAsia" w:ascii="Calibri" w:hAnsi="Calibri" w:eastAsia="宋体" w:cs="宋体"/>
                      <w:sz w:val="21"/>
                      <w:szCs w:val="21"/>
                      <w:lang w:eastAsia="zh-CN"/>
                    </w:rPr>
                    <w:t>，</w:t>
                  </w:r>
                  <w:r>
                    <w:rPr>
                      <w:rFonts w:hint="eastAsia" w:ascii="Calibri" w:hAnsi="Calibri" w:eastAsia="宋体" w:cs="宋体"/>
                      <w:sz w:val="21"/>
                      <w:szCs w:val="21"/>
                      <w:lang w:val="en-US" w:eastAsia="zh-CN"/>
                    </w:rPr>
                    <w:t>采取雾炮降尘，</w:t>
                  </w:r>
                  <w:r>
                    <w:rPr>
                      <w:rFonts w:hint="default" w:ascii="Calibri" w:hAnsi="Calibri" w:eastAsia="宋体" w:cs="宋体"/>
                      <w:sz w:val="21"/>
                      <w:szCs w:val="21"/>
                    </w:rPr>
                    <w:t>呈无组织排放</w:t>
                  </w:r>
                  <w:r>
                    <w:rPr>
                      <w:rFonts w:hint="eastAsia" w:ascii="Calibri" w:hAnsi="Calibri" w:eastAsia="宋体" w:cs="宋体"/>
                      <w:sz w:val="21"/>
                      <w:szCs w:val="21"/>
                      <w:lang w:eastAsia="zh-CN"/>
                    </w:rPr>
                    <w:t>。</w:t>
                  </w:r>
                </w:p>
              </w:tc>
            </w:tr>
            <w:tr w14:paraId="297A07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39" w:type="pct"/>
                  <w:vMerge w:val="restart"/>
                  <w:tcBorders>
                    <w:tl2br w:val="nil"/>
                    <w:tr2bl w:val="nil"/>
                  </w:tcBorders>
                  <w:noWrap w:val="0"/>
                  <w:vAlign w:val="center"/>
                </w:tcPr>
                <w:p w14:paraId="0F4981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rPr>
                  </w:pPr>
                  <w:r>
                    <w:rPr>
                      <w:rFonts w:hint="default" w:ascii="Calibri" w:hAnsi="Calibri" w:eastAsia="宋体" w:cs="宋体"/>
                      <w:sz w:val="21"/>
                      <w:szCs w:val="21"/>
                    </w:rPr>
                    <w:t>废水</w:t>
                  </w:r>
                </w:p>
              </w:tc>
              <w:tc>
                <w:tcPr>
                  <w:tcW w:w="1012" w:type="pct"/>
                  <w:tcBorders>
                    <w:tl2br w:val="nil"/>
                    <w:tr2bl w:val="nil"/>
                  </w:tcBorders>
                  <w:noWrap w:val="0"/>
                  <w:vAlign w:val="center"/>
                </w:tcPr>
                <w:p w14:paraId="5D0364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lang w:val="en-US" w:eastAsia="zh-CN"/>
                    </w:rPr>
                  </w:pPr>
                  <w:r>
                    <w:rPr>
                      <w:rFonts w:hint="eastAsia" w:ascii="Calibri" w:hAnsi="Calibri" w:eastAsia="宋体" w:cs="宋体"/>
                      <w:sz w:val="21"/>
                      <w:szCs w:val="21"/>
                      <w:lang w:val="en-US" w:eastAsia="zh-CN"/>
                    </w:rPr>
                    <w:t>车辆冲洗废水</w:t>
                  </w:r>
                </w:p>
              </w:tc>
              <w:tc>
                <w:tcPr>
                  <w:tcW w:w="1220" w:type="pct"/>
                  <w:tcBorders>
                    <w:tl2br w:val="nil"/>
                    <w:tr2bl w:val="nil"/>
                  </w:tcBorders>
                  <w:noWrap w:val="0"/>
                  <w:vAlign w:val="center"/>
                </w:tcPr>
                <w:p w14:paraId="7E2E4B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rPr>
                  </w:pPr>
                  <w:r>
                    <w:rPr>
                      <w:rFonts w:hint="default" w:ascii="Calibri" w:hAnsi="Calibri" w:eastAsia="宋体" w:cs="宋体"/>
                      <w:sz w:val="21"/>
                      <w:szCs w:val="21"/>
                    </w:rPr>
                    <w:t>COD、NH</w:t>
                  </w:r>
                  <w:r>
                    <w:rPr>
                      <w:rFonts w:hint="default" w:ascii="Calibri" w:hAnsi="Calibri" w:eastAsia="宋体" w:cs="宋体"/>
                      <w:sz w:val="21"/>
                      <w:szCs w:val="21"/>
                      <w:vertAlign w:val="subscript"/>
                    </w:rPr>
                    <w:t>3</w:t>
                  </w:r>
                  <w:r>
                    <w:rPr>
                      <w:rFonts w:hint="default" w:ascii="Calibri" w:hAnsi="Calibri" w:eastAsia="宋体" w:cs="宋体"/>
                      <w:sz w:val="21"/>
                      <w:szCs w:val="21"/>
                    </w:rPr>
                    <w:t>-N和SS</w:t>
                  </w:r>
                </w:p>
              </w:tc>
              <w:tc>
                <w:tcPr>
                  <w:tcW w:w="2327" w:type="pct"/>
                  <w:tcBorders>
                    <w:tl2br w:val="nil"/>
                    <w:tr2bl w:val="nil"/>
                  </w:tcBorders>
                  <w:noWrap w:val="0"/>
                  <w:vAlign w:val="center"/>
                </w:tcPr>
                <w:p w14:paraId="49B8D8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lang w:eastAsia="zh-CN"/>
                    </w:rPr>
                  </w:pPr>
                  <w:r>
                    <w:rPr>
                      <w:rFonts w:hint="default" w:ascii="Calibri" w:hAnsi="Calibri" w:eastAsia="宋体" w:cs="宋体"/>
                      <w:sz w:val="21"/>
                      <w:szCs w:val="21"/>
                      <w:lang w:eastAsia="zh-CN"/>
                    </w:rPr>
                    <w:t>沉淀池沉淀后循环利用，不外排</w:t>
                  </w:r>
                </w:p>
              </w:tc>
            </w:tr>
            <w:tr w14:paraId="2B4FC6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39" w:type="pct"/>
                  <w:vMerge w:val="continue"/>
                  <w:tcBorders>
                    <w:tl2br w:val="nil"/>
                    <w:tr2bl w:val="nil"/>
                  </w:tcBorders>
                  <w:noWrap w:val="0"/>
                  <w:vAlign w:val="center"/>
                </w:tcPr>
                <w:p w14:paraId="5FDB88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rPr>
                  </w:pPr>
                </w:p>
              </w:tc>
              <w:tc>
                <w:tcPr>
                  <w:tcW w:w="1012" w:type="pct"/>
                  <w:tcBorders>
                    <w:tl2br w:val="nil"/>
                    <w:tr2bl w:val="nil"/>
                  </w:tcBorders>
                  <w:noWrap w:val="0"/>
                  <w:vAlign w:val="center"/>
                </w:tcPr>
                <w:p w14:paraId="5221FC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rPr>
                  </w:pPr>
                  <w:r>
                    <w:rPr>
                      <w:rFonts w:hint="default" w:ascii="Calibri" w:hAnsi="Calibri" w:eastAsia="宋体" w:cs="宋体"/>
                      <w:sz w:val="21"/>
                      <w:szCs w:val="21"/>
                    </w:rPr>
                    <w:t>员工生活污水</w:t>
                  </w:r>
                </w:p>
              </w:tc>
              <w:tc>
                <w:tcPr>
                  <w:tcW w:w="1220" w:type="pct"/>
                  <w:tcBorders>
                    <w:tl2br w:val="nil"/>
                    <w:tr2bl w:val="nil"/>
                  </w:tcBorders>
                  <w:noWrap w:val="0"/>
                  <w:vAlign w:val="center"/>
                </w:tcPr>
                <w:p w14:paraId="59D047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rPr>
                  </w:pPr>
                  <w:r>
                    <w:rPr>
                      <w:rFonts w:hint="default" w:ascii="Calibri" w:hAnsi="Calibri" w:eastAsia="宋体" w:cs="宋体"/>
                      <w:sz w:val="21"/>
                      <w:szCs w:val="21"/>
                    </w:rPr>
                    <w:t>COD、BOD</w:t>
                  </w:r>
                  <w:r>
                    <w:rPr>
                      <w:rFonts w:hint="default" w:ascii="Calibri" w:hAnsi="Calibri" w:eastAsia="宋体" w:cs="宋体"/>
                      <w:sz w:val="21"/>
                      <w:szCs w:val="21"/>
                      <w:vertAlign w:val="subscript"/>
                    </w:rPr>
                    <w:t>5</w:t>
                  </w:r>
                  <w:r>
                    <w:rPr>
                      <w:rFonts w:hint="default" w:ascii="Calibri" w:hAnsi="Calibri" w:eastAsia="宋体" w:cs="宋体"/>
                      <w:sz w:val="21"/>
                      <w:szCs w:val="21"/>
                    </w:rPr>
                    <w:t>、</w:t>
                  </w:r>
                </w:p>
                <w:p w14:paraId="2E2399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lang w:eastAsia="zh-CN"/>
                    </w:rPr>
                  </w:pPr>
                  <w:r>
                    <w:rPr>
                      <w:rFonts w:hint="default" w:ascii="Calibri" w:hAnsi="Calibri" w:eastAsia="宋体" w:cs="宋体"/>
                      <w:sz w:val="21"/>
                      <w:szCs w:val="21"/>
                    </w:rPr>
                    <w:t>NH</w:t>
                  </w:r>
                  <w:r>
                    <w:rPr>
                      <w:rFonts w:hint="default" w:ascii="Calibri" w:hAnsi="Calibri" w:eastAsia="宋体" w:cs="宋体"/>
                      <w:sz w:val="21"/>
                      <w:szCs w:val="21"/>
                      <w:vertAlign w:val="subscript"/>
                    </w:rPr>
                    <w:t>3</w:t>
                  </w:r>
                  <w:r>
                    <w:rPr>
                      <w:rFonts w:hint="default" w:ascii="Calibri" w:hAnsi="Calibri" w:eastAsia="宋体" w:cs="宋体"/>
                      <w:sz w:val="21"/>
                      <w:szCs w:val="21"/>
                    </w:rPr>
                    <w:t>-N和SS</w:t>
                  </w:r>
                </w:p>
              </w:tc>
              <w:tc>
                <w:tcPr>
                  <w:tcW w:w="2327" w:type="pct"/>
                  <w:tcBorders>
                    <w:tl2br w:val="nil"/>
                    <w:tr2bl w:val="nil"/>
                  </w:tcBorders>
                  <w:noWrap w:val="0"/>
                  <w:vAlign w:val="center"/>
                </w:tcPr>
                <w:p w14:paraId="5B55D3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宋体"/>
                      <w:sz w:val="21"/>
                      <w:szCs w:val="21"/>
                      <w:lang w:eastAsia="zh-CN"/>
                    </w:rPr>
                  </w:pPr>
                  <w:r>
                    <w:rPr>
                      <w:rFonts w:hint="eastAsia" w:ascii="Calibri" w:hAnsi="Calibri" w:eastAsia="宋体" w:cs="宋体"/>
                      <w:sz w:val="21"/>
                      <w:szCs w:val="21"/>
                      <w:lang w:val="en-US" w:eastAsia="zh-CN"/>
                    </w:rPr>
                    <w:t>生活污水</w:t>
                  </w:r>
                  <w:r>
                    <w:rPr>
                      <w:rFonts w:hint="default" w:ascii="Calibri" w:hAnsi="Calibri" w:eastAsia="宋体" w:cs="宋体"/>
                      <w:sz w:val="21"/>
                      <w:szCs w:val="21"/>
                      <w:lang w:eastAsia="zh-CN"/>
                    </w:rPr>
                    <w:t>经</w:t>
                  </w:r>
                  <w:r>
                    <w:rPr>
                      <w:rFonts w:hint="eastAsia" w:ascii="Calibri" w:hAnsi="Calibri" w:eastAsia="宋体" w:cs="宋体"/>
                      <w:sz w:val="21"/>
                      <w:szCs w:val="21"/>
                      <w:lang w:val="en-US" w:eastAsia="zh-CN"/>
                    </w:rPr>
                    <w:t>化粪池</w:t>
                  </w:r>
                  <w:r>
                    <w:rPr>
                      <w:rFonts w:hint="default" w:ascii="Calibri" w:hAnsi="Calibri" w:eastAsia="宋体" w:cs="宋体"/>
                      <w:sz w:val="21"/>
                      <w:szCs w:val="21"/>
                      <w:lang w:eastAsia="zh-CN"/>
                    </w:rPr>
                    <w:t>预处理后</w:t>
                  </w:r>
                  <w:r>
                    <w:rPr>
                      <w:rFonts w:hint="eastAsia" w:ascii="Calibri" w:hAnsi="Calibri" w:eastAsia="宋体" w:cs="宋体"/>
                      <w:sz w:val="21"/>
                      <w:szCs w:val="21"/>
                      <w:lang w:eastAsia="zh-CN"/>
                    </w:rPr>
                    <w:t>，</w:t>
                  </w:r>
                  <w:r>
                    <w:rPr>
                      <w:rFonts w:hint="default" w:ascii="Calibri" w:hAnsi="Calibri" w:eastAsia="宋体" w:cs="宋体"/>
                      <w:sz w:val="21"/>
                      <w:szCs w:val="21"/>
                      <w:lang w:eastAsia="zh-CN"/>
                    </w:rPr>
                    <w:t>定期清运至焉耆县河北巴州生态产业园污水处理厂处理</w:t>
                  </w:r>
                  <w:r>
                    <w:rPr>
                      <w:rFonts w:hint="eastAsia" w:ascii="Calibri" w:hAnsi="Calibri" w:eastAsia="宋体" w:cs="宋体"/>
                      <w:sz w:val="21"/>
                      <w:szCs w:val="21"/>
                      <w:lang w:eastAsia="zh-CN"/>
                    </w:rPr>
                    <w:t>。</w:t>
                  </w:r>
                </w:p>
              </w:tc>
            </w:tr>
            <w:tr w14:paraId="74C0F8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39" w:type="pct"/>
                  <w:tcBorders>
                    <w:tl2br w:val="nil"/>
                    <w:tr2bl w:val="nil"/>
                  </w:tcBorders>
                  <w:noWrap w:val="0"/>
                  <w:vAlign w:val="center"/>
                </w:tcPr>
                <w:p w14:paraId="2BB557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rPr>
                  </w:pPr>
                  <w:r>
                    <w:rPr>
                      <w:rFonts w:hint="default" w:ascii="Calibri" w:hAnsi="Calibri" w:eastAsia="宋体" w:cs="宋体"/>
                      <w:sz w:val="21"/>
                      <w:szCs w:val="21"/>
                    </w:rPr>
                    <w:t>噪声</w:t>
                  </w:r>
                </w:p>
              </w:tc>
              <w:tc>
                <w:tcPr>
                  <w:tcW w:w="1012" w:type="pct"/>
                  <w:tcBorders>
                    <w:tl2br w:val="nil"/>
                    <w:tr2bl w:val="nil"/>
                  </w:tcBorders>
                  <w:noWrap w:val="0"/>
                  <w:vAlign w:val="center"/>
                </w:tcPr>
                <w:p w14:paraId="0EB7FA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lang w:val="en-US" w:eastAsia="zh-CN"/>
                    </w:rPr>
                  </w:pPr>
                  <w:r>
                    <w:rPr>
                      <w:rFonts w:hint="default" w:ascii="Calibri" w:hAnsi="Calibri" w:eastAsia="宋体" w:cs="宋体"/>
                      <w:sz w:val="21"/>
                      <w:szCs w:val="21"/>
                      <w:lang w:eastAsia="zh-CN"/>
                    </w:rPr>
                    <w:t>车辆、</w:t>
                  </w:r>
                  <w:r>
                    <w:rPr>
                      <w:rFonts w:hint="eastAsia" w:ascii="Calibri" w:hAnsi="Calibri" w:eastAsia="宋体" w:cs="宋体"/>
                      <w:sz w:val="21"/>
                      <w:szCs w:val="21"/>
                      <w:lang w:val="en-US" w:eastAsia="zh-CN"/>
                    </w:rPr>
                    <w:t>配煤机</w:t>
                  </w:r>
                </w:p>
              </w:tc>
              <w:tc>
                <w:tcPr>
                  <w:tcW w:w="1220" w:type="pct"/>
                  <w:tcBorders>
                    <w:tl2br w:val="nil"/>
                    <w:tr2bl w:val="nil"/>
                  </w:tcBorders>
                  <w:noWrap w:val="0"/>
                  <w:vAlign w:val="center"/>
                </w:tcPr>
                <w:p w14:paraId="4AD0ABD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rPr>
                  </w:pPr>
                  <w:r>
                    <w:rPr>
                      <w:rFonts w:hint="default" w:ascii="Calibri" w:hAnsi="Calibri" w:eastAsia="宋体" w:cs="宋体"/>
                      <w:sz w:val="21"/>
                      <w:szCs w:val="21"/>
                    </w:rPr>
                    <w:t>—</w:t>
                  </w:r>
                </w:p>
              </w:tc>
              <w:tc>
                <w:tcPr>
                  <w:tcW w:w="2327" w:type="pct"/>
                  <w:tcBorders>
                    <w:tl2br w:val="nil"/>
                    <w:tr2bl w:val="nil"/>
                  </w:tcBorders>
                  <w:noWrap w:val="0"/>
                  <w:vAlign w:val="center"/>
                </w:tcPr>
                <w:p w14:paraId="5EC2C5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宋体"/>
                      <w:sz w:val="21"/>
                      <w:szCs w:val="21"/>
                      <w:lang w:eastAsia="zh-CN"/>
                    </w:rPr>
                  </w:pPr>
                  <w:r>
                    <w:rPr>
                      <w:rFonts w:hint="eastAsia" w:ascii="Calibri" w:hAnsi="Calibri" w:eastAsia="宋体" w:cs="宋体"/>
                      <w:sz w:val="21"/>
                      <w:szCs w:val="21"/>
                      <w:lang w:val="en-US" w:eastAsia="zh-CN"/>
                    </w:rPr>
                    <w:t>选用低噪声设备，车辆</w:t>
                  </w:r>
                  <w:r>
                    <w:rPr>
                      <w:rFonts w:hint="default" w:ascii="Calibri" w:hAnsi="Calibri" w:eastAsia="宋体" w:cs="宋体"/>
                      <w:sz w:val="21"/>
                      <w:szCs w:val="21"/>
                      <w:lang w:eastAsia="zh-CN"/>
                    </w:rPr>
                    <w:t>减速慢行、禁止鸣笛</w:t>
                  </w:r>
                  <w:r>
                    <w:rPr>
                      <w:rFonts w:hint="eastAsia" w:ascii="Calibri" w:hAnsi="Calibri" w:eastAsia="宋体" w:cs="宋体"/>
                      <w:sz w:val="21"/>
                      <w:szCs w:val="21"/>
                      <w:lang w:eastAsia="zh-CN"/>
                    </w:rPr>
                    <w:t>。</w:t>
                  </w:r>
                </w:p>
              </w:tc>
            </w:tr>
            <w:tr w14:paraId="16BC4C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39" w:type="pct"/>
                  <w:tcBorders>
                    <w:tl2br w:val="nil"/>
                    <w:tr2bl w:val="nil"/>
                  </w:tcBorders>
                  <w:noWrap w:val="0"/>
                  <w:vAlign w:val="center"/>
                </w:tcPr>
                <w:p w14:paraId="53BEBF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宋体"/>
                      <w:sz w:val="21"/>
                      <w:szCs w:val="21"/>
                      <w:lang w:val="en-US" w:eastAsia="zh-CN"/>
                    </w:rPr>
                  </w:pPr>
                  <w:r>
                    <w:rPr>
                      <w:rFonts w:hint="eastAsia" w:ascii="Calibri" w:hAnsi="Calibri" w:cs="宋体"/>
                      <w:sz w:val="21"/>
                      <w:szCs w:val="21"/>
                      <w:lang w:val="en-US" w:eastAsia="zh-CN"/>
                    </w:rPr>
                    <w:t>/</w:t>
                  </w:r>
                </w:p>
              </w:tc>
              <w:tc>
                <w:tcPr>
                  <w:tcW w:w="1012" w:type="pct"/>
                  <w:tcBorders>
                    <w:tl2br w:val="nil"/>
                    <w:tr2bl w:val="nil"/>
                  </w:tcBorders>
                  <w:noWrap w:val="0"/>
                  <w:vAlign w:val="center"/>
                </w:tcPr>
                <w:p w14:paraId="4D9179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rPr>
                  </w:pPr>
                  <w:r>
                    <w:rPr>
                      <w:rFonts w:hint="default" w:ascii="Calibri" w:hAnsi="Calibri" w:eastAsia="宋体" w:cs="宋体"/>
                      <w:sz w:val="21"/>
                      <w:szCs w:val="21"/>
                    </w:rPr>
                    <w:t>职工生活</w:t>
                  </w:r>
                </w:p>
              </w:tc>
              <w:tc>
                <w:tcPr>
                  <w:tcW w:w="1220" w:type="pct"/>
                  <w:tcBorders>
                    <w:tl2br w:val="nil"/>
                    <w:tr2bl w:val="nil"/>
                  </w:tcBorders>
                  <w:noWrap w:val="0"/>
                  <w:vAlign w:val="center"/>
                </w:tcPr>
                <w:p w14:paraId="283B94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rPr>
                  </w:pPr>
                  <w:r>
                    <w:rPr>
                      <w:rFonts w:hint="default" w:ascii="Calibri" w:hAnsi="Calibri" w:eastAsia="宋体" w:cs="宋体"/>
                      <w:sz w:val="21"/>
                      <w:szCs w:val="21"/>
                    </w:rPr>
                    <w:t>生活垃圾</w:t>
                  </w:r>
                </w:p>
              </w:tc>
              <w:tc>
                <w:tcPr>
                  <w:tcW w:w="2327" w:type="pct"/>
                  <w:tcBorders>
                    <w:tl2br w:val="nil"/>
                    <w:tr2bl w:val="nil"/>
                  </w:tcBorders>
                  <w:noWrap w:val="0"/>
                  <w:vAlign w:val="center"/>
                </w:tcPr>
                <w:p w14:paraId="2FAFBD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宋体"/>
                      <w:sz w:val="21"/>
                      <w:szCs w:val="21"/>
                      <w:lang w:eastAsia="zh-CN"/>
                    </w:rPr>
                  </w:pPr>
                  <w:r>
                    <w:rPr>
                      <w:rFonts w:hint="default" w:ascii="Calibri" w:hAnsi="Calibri" w:eastAsia="宋体" w:cs="宋体"/>
                      <w:sz w:val="21"/>
                      <w:szCs w:val="21"/>
                      <w:lang w:eastAsia="zh-CN"/>
                    </w:rPr>
                    <w:t>环卫部门定期清运</w:t>
                  </w:r>
                </w:p>
              </w:tc>
            </w:tr>
          </w:tbl>
          <w:p w14:paraId="08998128">
            <w:pPr>
              <w:pStyle w:val="12"/>
              <w:ind w:left="420" w:leftChars="200"/>
              <w:rPr>
                <w:rFonts w:hint="eastAsia"/>
                <w:lang w:eastAsia="zh-CN"/>
              </w:rPr>
            </w:pPr>
          </w:p>
        </w:tc>
      </w:tr>
      <w:tr w14:paraId="0B4AAA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8" w:hRule="atLeast"/>
          <w:jc w:val="center"/>
        </w:trPr>
        <w:tc>
          <w:tcPr>
            <w:tcW w:w="823" w:type="dxa"/>
            <w:noWrap w:val="0"/>
            <w:vAlign w:val="center"/>
          </w:tcPr>
          <w:p w14:paraId="61035CCD">
            <w:pPr>
              <w:pStyle w:val="21"/>
              <w:adjustRightInd w:val="0"/>
              <w:snapToGrid w:val="0"/>
              <w:spacing w:before="0" w:beforeAutospacing="0" w:after="0" w:afterAutospacing="0"/>
              <w:jc w:val="center"/>
              <w:rPr>
                <w:rFonts w:cs="宋体"/>
                <w:sz w:val="21"/>
                <w:szCs w:val="21"/>
              </w:rPr>
            </w:pPr>
            <w:r>
              <w:rPr>
                <w:rFonts w:hint="eastAsia" w:cs="宋体"/>
                <w:bCs/>
                <w:kern w:val="2"/>
                <w:sz w:val="21"/>
                <w:szCs w:val="21"/>
              </w:rPr>
              <w:t>与项目有关的原有环境污染问题</w:t>
            </w:r>
          </w:p>
        </w:tc>
        <w:tc>
          <w:tcPr>
            <w:tcW w:w="8161" w:type="dxa"/>
            <w:noWrap w:val="0"/>
            <w:vAlign w:val="center"/>
          </w:tcPr>
          <w:p w14:paraId="078A601C">
            <w:pPr>
              <w:adjustRightInd w:val="0"/>
              <w:snapToGrid w:val="0"/>
              <w:spacing w:line="360" w:lineRule="auto"/>
              <w:ind w:firstLine="480" w:firstLineChars="200"/>
              <w:rPr>
                <w:rFonts w:hint="default" w:ascii="宋体" w:hAnsi="宋体" w:eastAsia="宋体"/>
                <w:bCs/>
                <w:sz w:val="24"/>
                <w:szCs w:val="24"/>
                <w:lang w:val="en-US" w:eastAsia="zh-CN"/>
              </w:rPr>
            </w:pPr>
            <w:r>
              <w:rPr>
                <w:rFonts w:hint="eastAsia" w:ascii="宋体" w:hAnsi="宋体" w:cs="宋体"/>
                <w:bCs/>
                <w:sz w:val="24"/>
                <w:highlight w:val="none"/>
              </w:rPr>
              <w:t>项目</w:t>
            </w:r>
            <w:r>
              <w:rPr>
                <w:rFonts w:hint="eastAsia" w:ascii="宋体" w:hAnsi="宋体" w:cs="宋体"/>
                <w:bCs/>
                <w:sz w:val="24"/>
                <w:highlight w:val="none"/>
                <w:lang w:val="en-US" w:eastAsia="zh-CN"/>
              </w:rPr>
              <w:t>租赁新疆鼎嘉隆新型墙材股份有限公司土地，租用时项目区有办公楼、宿舍楼，其余皆为空地</w:t>
            </w:r>
            <w:r>
              <w:rPr>
                <w:rFonts w:hint="eastAsia" w:ascii="宋体" w:hAnsi="宋体" w:cs="宋体"/>
                <w:bCs/>
                <w:sz w:val="24"/>
                <w:highlight w:val="none"/>
              </w:rPr>
              <w:t>，</w:t>
            </w:r>
            <w:r>
              <w:rPr>
                <w:rFonts w:hint="eastAsia" w:ascii="宋体" w:hAnsi="宋体" w:cs="宋体"/>
                <w:bCs/>
                <w:sz w:val="24"/>
                <w:highlight w:val="none"/>
                <w:lang w:val="en-US" w:eastAsia="zh-CN"/>
              </w:rPr>
              <w:t>土地用途为工矿仓储用地</w:t>
            </w:r>
            <w:r>
              <w:rPr>
                <w:rFonts w:hint="eastAsia" w:ascii="宋体" w:hAnsi="宋体" w:cs="宋体"/>
                <w:bCs/>
                <w:sz w:val="24"/>
                <w:highlight w:val="none"/>
              </w:rPr>
              <w:t>。</w:t>
            </w:r>
            <w:r>
              <w:rPr>
                <w:rFonts w:hint="eastAsia" w:ascii="宋体" w:hAnsi="宋体"/>
                <w:bCs/>
                <w:sz w:val="24"/>
                <w:highlight w:val="none"/>
                <w:lang w:val="en-US" w:eastAsia="zh-CN"/>
              </w:rPr>
              <w:t>不存在原址污染情况。</w:t>
            </w:r>
          </w:p>
        </w:tc>
      </w:tr>
    </w:tbl>
    <w:p w14:paraId="65E66CBE">
      <w:pPr>
        <w:pStyle w:val="21"/>
        <w:jc w:val="center"/>
        <w:rPr>
          <w:rFonts w:ascii="黑体" w:hAnsi="黑体" w:eastAsia="黑体"/>
          <w:snapToGrid w:val="0"/>
          <w:sz w:val="36"/>
          <w:szCs w:val="36"/>
        </w:rPr>
        <w:sectPr>
          <w:footerReference r:id="rId6"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0DD72B51">
      <w:pPr>
        <w:pStyle w:val="21"/>
        <w:adjustRightInd w:val="0"/>
        <w:snapToGrid w:val="0"/>
        <w:spacing w:before="0" w:beforeAutospacing="0" w:after="0" w:afterAutospacing="0" w:line="14" w:lineRule="auto"/>
        <w:jc w:val="center"/>
        <w:outlineLvl w:val="9"/>
        <w:rPr>
          <w:rFonts w:hint="eastAsia" w:ascii="黑体" w:hAnsi="黑体" w:eastAsia="黑体"/>
          <w:snapToGrid w:val="0"/>
          <w:sz w:val="30"/>
          <w:szCs w:val="30"/>
        </w:rPr>
      </w:pPr>
    </w:p>
    <w:p w14:paraId="21E2564B">
      <w:pPr>
        <w:pStyle w:val="21"/>
        <w:jc w:val="center"/>
        <w:outlineLvl w:val="0"/>
        <w:rPr>
          <w:rFonts w:ascii="黑体" w:hAnsi="黑体" w:eastAsia="黑体"/>
          <w:snapToGrid w:val="0"/>
          <w:sz w:val="30"/>
          <w:szCs w:val="30"/>
        </w:rPr>
      </w:pPr>
      <w:r>
        <w:rPr>
          <w:rFonts w:hint="eastAsia" w:ascii="黑体" w:hAnsi="黑体" w:eastAsia="黑体"/>
          <w:snapToGrid w:val="0"/>
          <w:sz w:val="30"/>
          <w:szCs w:val="30"/>
        </w:rPr>
        <w:t>三、区域环境质量现状、环境保护目标及评价标准</w:t>
      </w:r>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190"/>
      </w:tblGrid>
      <w:tr w14:paraId="6F42DA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06" w:hRule="atLeast"/>
          <w:jc w:val="center"/>
        </w:trPr>
        <w:tc>
          <w:tcPr>
            <w:tcW w:w="800" w:type="dxa"/>
            <w:noWrap w:val="0"/>
            <w:vAlign w:val="center"/>
          </w:tcPr>
          <w:p w14:paraId="16263C86">
            <w:pPr>
              <w:adjustRightInd w:val="0"/>
              <w:snapToGrid w:val="0"/>
              <w:jc w:val="center"/>
              <w:rPr>
                <w:rFonts w:hint="eastAsia" w:ascii="宋体" w:hAnsi="宋体" w:cs="宋体"/>
                <w:kern w:val="0"/>
                <w:szCs w:val="21"/>
              </w:rPr>
            </w:pPr>
            <w:r>
              <w:rPr>
                <w:rFonts w:hint="eastAsia" w:ascii="宋体" w:hAnsi="宋体" w:cs="宋体"/>
                <w:kern w:val="0"/>
                <w:szCs w:val="21"/>
              </w:rPr>
              <w:t>区域</w:t>
            </w:r>
          </w:p>
          <w:p w14:paraId="6DF68B47">
            <w:pPr>
              <w:adjustRightInd w:val="0"/>
              <w:snapToGrid w:val="0"/>
              <w:jc w:val="center"/>
              <w:rPr>
                <w:rFonts w:hint="eastAsia" w:ascii="宋体" w:hAnsi="宋体" w:cs="宋体"/>
                <w:kern w:val="0"/>
                <w:szCs w:val="21"/>
              </w:rPr>
            </w:pPr>
            <w:r>
              <w:rPr>
                <w:rFonts w:hint="eastAsia" w:ascii="宋体" w:hAnsi="宋体" w:cs="宋体"/>
                <w:kern w:val="0"/>
                <w:szCs w:val="21"/>
              </w:rPr>
              <w:t>环境</w:t>
            </w:r>
          </w:p>
          <w:p w14:paraId="40206B35">
            <w:pPr>
              <w:adjustRightInd w:val="0"/>
              <w:snapToGrid w:val="0"/>
              <w:jc w:val="center"/>
              <w:rPr>
                <w:rFonts w:hint="eastAsia" w:ascii="宋体" w:hAnsi="宋体" w:cs="宋体"/>
                <w:kern w:val="0"/>
                <w:szCs w:val="21"/>
              </w:rPr>
            </w:pPr>
            <w:r>
              <w:rPr>
                <w:rFonts w:hint="eastAsia" w:ascii="宋体" w:hAnsi="宋体" w:cs="宋体"/>
                <w:kern w:val="0"/>
                <w:szCs w:val="21"/>
              </w:rPr>
              <w:t>质量</w:t>
            </w:r>
          </w:p>
          <w:p w14:paraId="69783BDC">
            <w:pPr>
              <w:adjustRightInd w:val="0"/>
              <w:snapToGrid w:val="0"/>
              <w:jc w:val="center"/>
              <w:rPr>
                <w:rFonts w:ascii="宋体" w:hAnsi="宋体" w:cs="宋体"/>
                <w:kern w:val="0"/>
                <w:szCs w:val="21"/>
              </w:rPr>
            </w:pPr>
            <w:r>
              <w:rPr>
                <w:rFonts w:hint="eastAsia" w:ascii="宋体" w:hAnsi="宋体" w:cs="宋体"/>
                <w:kern w:val="0"/>
                <w:szCs w:val="21"/>
              </w:rPr>
              <w:t>现状</w:t>
            </w:r>
          </w:p>
        </w:tc>
        <w:tc>
          <w:tcPr>
            <w:tcW w:w="8190" w:type="dxa"/>
            <w:noWrap w:val="0"/>
            <w:vAlign w:val="center"/>
          </w:tcPr>
          <w:p w14:paraId="0C049173">
            <w:pPr>
              <w:spacing w:line="360" w:lineRule="auto"/>
              <w:rPr>
                <w:rFonts w:cs="Arial"/>
                <w:b/>
                <w:bCs/>
                <w:sz w:val="24"/>
              </w:rPr>
            </w:pPr>
            <w:r>
              <w:rPr>
                <w:rFonts w:hint="eastAsia" w:cs="Arial"/>
                <w:b/>
                <w:bCs/>
                <w:sz w:val="24"/>
              </w:rPr>
              <w:t>一、大气环境质量现状</w:t>
            </w:r>
          </w:p>
          <w:p w14:paraId="69CF57A1">
            <w:pPr>
              <w:spacing w:line="360" w:lineRule="auto"/>
              <w:ind w:firstLine="480" w:firstLineChars="200"/>
              <w:rPr>
                <w:rFonts w:hint="eastAsia" w:ascii="宋体" w:hAnsi="宋体" w:eastAsia="宋体" w:cs="宋体"/>
                <w:bCs/>
                <w:sz w:val="24"/>
              </w:rPr>
            </w:pPr>
            <w:r>
              <w:rPr>
                <w:bCs/>
                <w:sz w:val="24"/>
              </w:rPr>
              <w:t>1</w:t>
            </w:r>
            <w:r>
              <w:rPr>
                <w:rFonts w:hint="eastAsia" w:ascii="宋体" w:hAnsi="宋体" w:eastAsia="宋体" w:cs="宋体"/>
                <w:bCs/>
                <w:sz w:val="24"/>
              </w:rPr>
              <w:t>.区域大气环境达标判定</w:t>
            </w:r>
          </w:p>
          <w:p w14:paraId="1F92D309">
            <w:pPr>
              <w:spacing w:line="360" w:lineRule="auto"/>
              <w:ind w:firstLine="480" w:firstLineChars="200"/>
              <w:rPr>
                <w:rFonts w:hint="default" w:ascii="Calibri" w:hAnsi="Calibri" w:eastAsia="宋体" w:cs="宋体"/>
                <w:bCs/>
                <w:sz w:val="24"/>
              </w:rPr>
            </w:pPr>
            <w:r>
              <w:rPr>
                <w:rFonts w:hint="default" w:ascii="Calibri" w:hAnsi="Calibri" w:eastAsia="宋体" w:cs="宋体"/>
                <w:bCs/>
                <w:sz w:val="24"/>
                <w:lang w:val="en-US" w:eastAsia="zh-CN"/>
              </w:rPr>
              <w:t>本工程建设地点位于新疆维吾尔自治区库尔勒市上库综合产业园区，</w:t>
            </w:r>
            <w:r>
              <w:rPr>
                <w:rFonts w:hint="eastAsia" w:ascii="Calibri" w:hAnsi="Calibri" w:cs="宋体"/>
                <w:bCs/>
                <w:sz w:val="24"/>
                <w:lang w:val="en-US" w:eastAsia="zh-CN"/>
              </w:rPr>
              <w:t>因《环境空气质量标准》（GB3095-2026）发布于2026年3月1日，本标准实施后无</w:t>
            </w:r>
            <w:r>
              <w:rPr>
                <w:rFonts w:hint="default" w:ascii="Calibri" w:hAnsi="Calibri" w:eastAsia="宋体" w:cs="宋体"/>
                <w:bCs/>
                <w:sz w:val="24"/>
              </w:rPr>
              <w:t>库尔勒市的环境空气质量数据</w:t>
            </w:r>
            <w:r>
              <w:rPr>
                <w:rFonts w:hint="eastAsia" w:ascii="Calibri" w:hAnsi="Calibri" w:eastAsia="宋体" w:cs="宋体"/>
                <w:bCs/>
                <w:sz w:val="24"/>
                <w:lang w:eastAsia="zh-CN"/>
              </w:rPr>
              <w:t>，</w:t>
            </w:r>
            <w:r>
              <w:rPr>
                <w:rFonts w:hint="eastAsia" w:ascii="Calibri" w:hAnsi="Calibri" w:eastAsia="宋体" w:cs="宋体"/>
                <w:bCs/>
                <w:sz w:val="24"/>
                <w:lang w:val="en-US" w:eastAsia="zh-CN"/>
              </w:rPr>
              <w:t>即</w:t>
            </w:r>
            <w:r>
              <w:rPr>
                <w:rFonts w:hint="default" w:ascii="Calibri" w:hAnsi="Calibri" w:eastAsia="宋体" w:cs="宋体"/>
                <w:bCs/>
                <w:sz w:val="24"/>
              </w:rPr>
              <w:t>本次环境空气质量评价采用自治区生态环境厅公布的《2024年12月和1</w:t>
            </w:r>
            <w:r>
              <w:rPr>
                <w:rFonts w:hint="eastAsia" w:ascii="Calibri" w:hAnsi="Calibri" w:cs="宋体"/>
                <w:bCs/>
                <w:sz w:val="24"/>
                <w:lang w:eastAsia="zh-CN"/>
              </w:rPr>
              <w:t>—</w:t>
            </w:r>
            <w:r>
              <w:rPr>
                <w:rFonts w:hint="default" w:ascii="Calibri" w:hAnsi="Calibri" w:eastAsia="宋体" w:cs="宋体"/>
                <w:bCs/>
                <w:sz w:val="24"/>
              </w:rPr>
              <w:t>12月全区环境空气质量状况及排名》中2024年库尔勒市的环境空气质量数据</w:t>
            </w:r>
            <w:r>
              <w:rPr>
                <w:rFonts w:hint="eastAsia"/>
                <w:sz w:val="24"/>
                <w:szCs w:val="32"/>
                <w:lang w:val="en-US" w:eastAsia="zh-CN"/>
              </w:rPr>
              <w:t>作为环境空气现状评价基本污染物SO</w:t>
            </w:r>
            <w:r>
              <w:rPr>
                <w:rFonts w:hint="eastAsia"/>
                <w:sz w:val="24"/>
                <w:szCs w:val="32"/>
                <w:vertAlign w:val="subscript"/>
                <w:lang w:val="en-US" w:eastAsia="zh-CN"/>
              </w:rPr>
              <w:t>2</w:t>
            </w:r>
            <w:r>
              <w:rPr>
                <w:rFonts w:hint="eastAsia"/>
                <w:sz w:val="24"/>
                <w:szCs w:val="32"/>
                <w:lang w:val="en-US" w:eastAsia="zh-CN"/>
              </w:rPr>
              <w:t>、NO</w:t>
            </w:r>
            <w:r>
              <w:rPr>
                <w:rFonts w:hint="eastAsia"/>
                <w:sz w:val="24"/>
                <w:szCs w:val="32"/>
                <w:vertAlign w:val="subscript"/>
                <w:lang w:val="en-US" w:eastAsia="zh-CN"/>
              </w:rPr>
              <w:t>2</w:t>
            </w:r>
            <w:r>
              <w:rPr>
                <w:rFonts w:hint="eastAsia"/>
                <w:sz w:val="24"/>
                <w:szCs w:val="32"/>
                <w:lang w:val="en-US" w:eastAsia="zh-CN"/>
              </w:rPr>
              <w:t>、PM</w:t>
            </w:r>
            <w:r>
              <w:rPr>
                <w:rFonts w:hint="eastAsia"/>
                <w:sz w:val="24"/>
                <w:szCs w:val="32"/>
                <w:vertAlign w:val="subscript"/>
                <w:lang w:val="en-US" w:eastAsia="zh-CN"/>
              </w:rPr>
              <w:t>10</w:t>
            </w:r>
            <w:r>
              <w:rPr>
                <w:rFonts w:hint="eastAsia"/>
                <w:sz w:val="24"/>
                <w:szCs w:val="32"/>
                <w:lang w:val="en-US" w:eastAsia="zh-CN"/>
              </w:rPr>
              <w:t>、PM</w:t>
            </w:r>
            <w:r>
              <w:rPr>
                <w:rFonts w:hint="eastAsia"/>
                <w:sz w:val="24"/>
                <w:szCs w:val="32"/>
                <w:vertAlign w:val="subscript"/>
                <w:lang w:val="en-US" w:eastAsia="zh-CN"/>
              </w:rPr>
              <w:t>2.5</w:t>
            </w:r>
            <w:r>
              <w:rPr>
                <w:rFonts w:hint="eastAsia"/>
                <w:sz w:val="24"/>
                <w:szCs w:val="32"/>
                <w:lang w:val="en-US" w:eastAsia="zh-CN"/>
              </w:rPr>
              <w:t>、CO和O</w:t>
            </w:r>
            <w:r>
              <w:rPr>
                <w:rFonts w:hint="eastAsia"/>
                <w:sz w:val="24"/>
                <w:szCs w:val="32"/>
                <w:vertAlign w:val="subscript"/>
                <w:lang w:val="en-US" w:eastAsia="zh-CN"/>
              </w:rPr>
              <w:t>3</w:t>
            </w:r>
            <w:r>
              <w:rPr>
                <w:rFonts w:hint="eastAsia"/>
                <w:sz w:val="24"/>
                <w:szCs w:val="32"/>
                <w:lang w:val="en-US" w:eastAsia="zh-CN"/>
              </w:rPr>
              <w:t>的数据来源</w:t>
            </w:r>
            <w:r>
              <w:rPr>
                <w:rFonts w:hint="default" w:ascii="Calibri" w:hAnsi="Calibri" w:eastAsia="宋体" w:cs="宋体"/>
                <w:bCs/>
                <w:sz w:val="24"/>
              </w:rPr>
              <w:t>。基本污染物环境空气质量现状表见表</w:t>
            </w:r>
            <w:r>
              <w:rPr>
                <w:rFonts w:hint="eastAsia" w:ascii="Calibri" w:hAnsi="Calibri" w:eastAsia="宋体" w:cs="宋体"/>
                <w:bCs/>
                <w:sz w:val="24"/>
                <w:lang w:val="en-US" w:eastAsia="zh-CN"/>
              </w:rPr>
              <w:t>3-1</w:t>
            </w:r>
            <w:r>
              <w:rPr>
                <w:rFonts w:hint="default" w:ascii="Calibri" w:hAnsi="Calibri" w:eastAsia="宋体" w:cs="宋体"/>
                <w:bCs/>
                <w:sz w:val="24"/>
              </w:rPr>
              <w:t>。</w:t>
            </w:r>
          </w:p>
          <w:p w14:paraId="26865BC0">
            <w:pPr>
              <w:adjustRightInd w:val="0"/>
              <w:snapToGrid w:val="0"/>
              <w:jc w:val="center"/>
              <w:rPr>
                <w:rFonts w:hint="default" w:ascii="Times New Roman" w:hAnsi="Times New Roman" w:cs="Times New Roman"/>
                <w:b/>
                <w:color w:val="auto"/>
                <w:szCs w:val="21"/>
                <w:highlight w:val="none"/>
              </w:rPr>
            </w:pPr>
            <w:r>
              <w:rPr>
                <w:rFonts w:hint="default" w:ascii="Times New Roman" w:hAnsi="Times New Roman" w:cs="Times New Roman"/>
                <w:b/>
                <w:bCs/>
                <w:color w:val="auto"/>
                <w:szCs w:val="21"/>
                <w:highlight w:val="none"/>
              </w:rPr>
              <w:t>表</w:t>
            </w:r>
            <w:r>
              <w:rPr>
                <w:rFonts w:hint="eastAsia" w:ascii="Times New Roman" w:hAnsi="Times New Roman" w:cs="Times New Roman"/>
                <w:b/>
                <w:bCs/>
                <w:color w:val="auto"/>
                <w:szCs w:val="21"/>
                <w:highlight w:val="none"/>
                <w:lang w:val="en-US" w:eastAsia="zh-CN"/>
              </w:rPr>
              <w:t xml:space="preserve">3-1 </w:t>
            </w:r>
            <w:r>
              <w:rPr>
                <w:rFonts w:hint="default" w:ascii="Times New Roman" w:hAnsi="Times New Roman" w:cs="Times New Roman"/>
                <w:b/>
                <w:bCs/>
                <w:color w:val="auto"/>
                <w:szCs w:val="21"/>
                <w:highlight w:val="none"/>
              </w:rPr>
              <w:t xml:space="preserve"> </w:t>
            </w:r>
            <w:r>
              <w:rPr>
                <w:rFonts w:hint="default" w:ascii="Times New Roman" w:hAnsi="Times New Roman" w:cs="Times New Roman"/>
                <w:b/>
                <w:bCs/>
                <w:color w:val="auto"/>
                <w:szCs w:val="21"/>
                <w:highlight w:val="none"/>
                <w:lang w:val="en-US" w:eastAsia="zh-CN"/>
              </w:rPr>
              <w:t>区域</w:t>
            </w:r>
            <w:r>
              <w:rPr>
                <w:rFonts w:hint="default" w:ascii="Times New Roman" w:hAnsi="Times New Roman" w:cs="Times New Roman"/>
                <w:b/>
                <w:bCs/>
                <w:color w:val="auto"/>
                <w:szCs w:val="21"/>
                <w:highlight w:val="none"/>
              </w:rPr>
              <w:t>环境</w:t>
            </w:r>
            <w:r>
              <w:rPr>
                <w:rFonts w:hint="default" w:ascii="Times New Roman" w:hAnsi="Times New Roman" w:cs="Times New Roman"/>
                <w:b/>
                <w:bCs/>
                <w:color w:val="auto"/>
                <w:szCs w:val="21"/>
                <w:highlight w:val="none"/>
                <w:lang w:val="en-US" w:eastAsia="zh-CN"/>
              </w:rPr>
              <w:t>空气</w:t>
            </w:r>
            <w:r>
              <w:rPr>
                <w:rFonts w:hint="default" w:ascii="Times New Roman" w:hAnsi="Times New Roman" w:cs="Times New Roman"/>
                <w:b/>
                <w:bCs/>
                <w:color w:val="auto"/>
                <w:szCs w:val="21"/>
                <w:highlight w:val="none"/>
              </w:rPr>
              <w:t>质量现状</w:t>
            </w:r>
            <w:r>
              <w:rPr>
                <w:rFonts w:hint="default" w:ascii="Times New Roman" w:hAnsi="Times New Roman" w:cs="Times New Roman"/>
                <w:b/>
                <w:color w:val="auto"/>
                <w:szCs w:val="21"/>
                <w:highlight w:val="none"/>
              </w:rPr>
              <w:t>表</w:t>
            </w:r>
          </w:p>
          <w:tbl>
            <w:tblPr>
              <w:tblStyle w:val="26"/>
              <w:tblW w:w="8094"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787"/>
              <w:gridCol w:w="1250"/>
              <w:gridCol w:w="1275"/>
              <w:gridCol w:w="875"/>
              <w:gridCol w:w="1129"/>
            </w:tblGrid>
            <w:tr w14:paraId="49A561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 w:type="pct"/>
                  <w:tcBorders>
                    <w:tl2br w:val="nil"/>
                    <w:tr2bl w:val="nil"/>
                  </w:tcBorders>
                  <w:vAlign w:val="center"/>
                </w:tcPr>
                <w:p w14:paraId="5B47F750">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污染物</w:t>
                  </w:r>
                </w:p>
              </w:tc>
              <w:tc>
                <w:tcPr>
                  <w:tcW w:w="1721" w:type="pct"/>
                  <w:tcBorders>
                    <w:tl2br w:val="nil"/>
                    <w:tr2bl w:val="nil"/>
                  </w:tcBorders>
                  <w:vAlign w:val="center"/>
                </w:tcPr>
                <w:p w14:paraId="418661BF">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评价项目</w:t>
                  </w:r>
                </w:p>
              </w:tc>
              <w:tc>
                <w:tcPr>
                  <w:tcW w:w="772" w:type="pct"/>
                  <w:tcBorders>
                    <w:tl2br w:val="nil"/>
                    <w:tr2bl w:val="nil"/>
                  </w:tcBorders>
                  <w:vAlign w:val="center"/>
                </w:tcPr>
                <w:p w14:paraId="39B70DAF">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现状浓度</w:t>
                  </w:r>
                </w:p>
                <w:p w14:paraId="58A6E964">
                  <w:pPr>
                    <w:jc w:val="center"/>
                    <w:rPr>
                      <w:rFonts w:hint="eastAsia" w:ascii="Times New Roman"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w:t>
                  </w:r>
                  <w:r>
                    <w:rPr>
                      <w:rFonts w:ascii="Times New Roman"/>
                      <w:color w:val="000000" w:themeColor="text1"/>
                      <w:sz w:val="21"/>
                      <w:szCs w:val="21"/>
                      <w14:textFill>
                        <w14:solidFill>
                          <w14:schemeClr w14:val="tx1"/>
                        </w14:solidFill>
                      </w14:textFill>
                    </w:rPr>
                    <w:t>μ</w:t>
                  </w:r>
                  <w:r>
                    <w:rPr>
                      <w:rFonts w:hint="eastAsia" w:ascii="Times New Roman"/>
                      <w:color w:val="000000" w:themeColor="text1"/>
                      <w:sz w:val="21"/>
                      <w:szCs w:val="21"/>
                      <w14:textFill>
                        <w14:solidFill>
                          <w14:schemeClr w14:val="tx1"/>
                        </w14:solidFill>
                      </w14:textFill>
                    </w:rPr>
                    <w:t>g/m</w:t>
                  </w:r>
                  <w:r>
                    <w:rPr>
                      <w:rFonts w:hint="eastAsia" w:ascii="Times New Roman"/>
                      <w:color w:val="000000" w:themeColor="text1"/>
                      <w:sz w:val="21"/>
                      <w:szCs w:val="21"/>
                      <w:vertAlign w:val="superscript"/>
                      <w14:textFill>
                        <w14:solidFill>
                          <w14:schemeClr w14:val="tx1"/>
                        </w14:solidFill>
                      </w14:textFill>
                    </w:rPr>
                    <w:t>3</w:t>
                  </w:r>
                  <w:r>
                    <w:rPr>
                      <w:rFonts w:hint="eastAsia"/>
                      <w:color w:val="000000" w:themeColor="text1"/>
                      <w:sz w:val="21"/>
                      <w:szCs w:val="21"/>
                      <w:vertAlign w:val="superscript"/>
                      <w:lang w:eastAsia="zh-CN"/>
                      <w14:textFill>
                        <w14:solidFill>
                          <w14:schemeClr w14:val="tx1"/>
                        </w14:solidFill>
                      </w14:textFill>
                    </w:rPr>
                    <w:t>）</w:t>
                  </w:r>
                </w:p>
              </w:tc>
              <w:tc>
                <w:tcPr>
                  <w:tcW w:w="787" w:type="pct"/>
                  <w:tcBorders>
                    <w:tl2br w:val="nil"/>
                    <w:tr2bl w:val="nil"/>
                  </w:tcBorders>
                  <w:vAlign w:val="center"/>
                </w:tcPr>
                <w:p w14:paraId="23D37B1E">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评价标准（</w:t>
                  </w:r>
                  <w:r>
                    <w:rPr>
                      <w:rFonts w:ascii="Times New Roman"/>
                      <w:color w:val="000000" w:themeColor="text1"/>
                      <w:sz w:val="21"/>
                      <w:szCs w:val="21"/>
                      <w14:textFill>
                        <w14:solidFill>
                          <w14:schemeClr w14:val="tx1"/>
                        </w14:solidFill>
                      </w14:textFill>
                    </w:rPr>
                    <w:t>μ</w:t>
                  </w:r>
                  <w:r>
                    <w:rPr>
                      <w:rFonts w:hint="eastAsia" w:ascii="Times New Roman"/>
                      <w:color w:val="000000" w:themeColor="text1"/>
                      <w:sz w:val="21"/>
                      <w:szCs w:val="21"/>
                      <w14:textFill>
                        <w14:solidFill>
                          <w14:schemeClr w14:val="tx1"/>
                        </w14:solidFill>
                      </w14:textFill>
                    </w:rPr>
                    <w:t>g/m</w:t>
                  </w:r>
                  <w:r>
                    <w:rPr>
                      <w:rFonts w:hint="eastAsia" w:ascii="Times New Roman"/>
                      <w:color w:val="000000" w:themeColor="text1"/>
                      <w:sz w:val="21"/>
                      <w:szCs w:val="21"/>
                      <w:vertAlign w:val="superscript"/>
                      <w14:textFill>
                        <w14:solidFill>
                          <w14:schemeClr w14:val="tx1"/>
                        </w14:solidFill>
                      </w14:textFill>
                    </w:rPr>
                    <w:t>3</w:t>
                  </w:r>
                  <w:r>
                    <w:rPr>
                      <w:rFonts w:hint="eastAsia" w:ascii="Times New Roman"/>
                      <w:color w:val="000000" w:themeColor="text1"/>
                      <w:sz w:val="21"/>
                      <w:szCs w:val="21"/>
                      <w14:textFill>
                        <w14:solidFill>
                          <w14:schemeClr w14:val="tx1"/>
                        </w14:solidFill>
                      </w14:textFill>
                    </w:rPr>
                    <w:t>）</w:t>
                  </w:r>
                </w:p>
              </w:tc>
              <w:tc>
                <w:tcPr>
                  <w:tcW w:w="540" w:type="pct"/>
                  <w:tcBorders>
                    <w:tl2br w:val="nil"/>
                    <w:tr2bl w:val="nil"/>
                  </w:tcBorders>
                  <w:vAlign w:val="center"/>
                </w:tcPr>
                <w:p w14:paraId="0CE24C3E">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占标率%</w:t>
                  </w:r>
                </w:p>
              </w:tc>
              <w:tc>
                <w:tcPr>
                  <w:tcW w:w="697" w:type="pct"/>
                  <w:tcBorders>
                    <w:tl2br w:val="nil"/>
                    <w:tr2bl w:val="nil"/>
                  </w:tcBorders>
                  <w:vAlign w:val="center"/>
                </w:tcPr>
                <w:p w14:paraId="4529CB98">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达标情况</w:t>
                  </w:r>
                </w:p>
              </w:tc>
            </w:tr>
            <w:tr w14:paraId="7298F6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0" w:type="pct"/>
                  <w:vMerge w:val="restart"/>
                  <w:tcBorders>
                    <w:tl2br w:val="nil"/>
                    <w:tr2bl w:val="nil"/>
                  </w:tcBorders>
                  <w:vAlign w:val="center"/>
                </w:tcPr>
                <w:p w14:paraId="1D3C4B59">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SO</w:t>
                  </w:r>
                  <w:r>
                    <w:rPr>
                      <w:rFonts w:hint="eastAsia" w:ascii="Times New Roman"/>
                      <w:color w:val="000000" w:themeColor="text1"/>
                      <w:sz w:val="21"/>
                      <w:szCs w:val="21"/>
                      <w:vertAlign w:val="subscript"/>
                      <w14:textFill>
                        <w14:solidFill>
                          <w14:schemeClr w14:val="tx1"/>
                        </w14:solidFill>
                      </w14:textFill>
                    </w:rPr>
                    <w:t>2</w:t>
                  </w:r>
                </w:p>
              </w:tc>
              <w:tc>
                <w:tcPr>
                  <w:tcW w:w="1721" w:type="pct"/>
                  <w:tcBorders>
                    <w:tl2br w:val="nil"/>
                    <w:tr2bl w:val="nil"/>
                  </w:tcBorders>
                  <w:vAlign w:val="center"/>
                </w:tcPr>
                <w:p w14:paraId="52C21483">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年平均</w:t>
                  </w:r>
                </w:p>
              </w:tc>
              <w:tc>
                <w:tcPr>
                  <w:tcW w:w="772" w:type="pct"/>
                  <w:tcBorders>
                    <w:tl2br w:val="nil"/>
                    <w:tr2bl w:val="nil"/>
                  </w:tcBorders>
                  <w:vAlign w:val="center"/>
                </w:tcPr>
                <w:p w14:paraId="74AA9DEC">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4</w:t>
                  </w:r>
                </w:p>
              </w:tc>
              <w:tc>
                <w:tcPr>
                  <w:tcW w:w="787" w:type="pct"/>
                  <w:tcBorders>
                    <w:tl2br w:val="nil"/>
                    <w:tr2bl w:val="nil"/>
                  </w:tcBorders>
                  <w:vAlign w:val="center"/>
                </w:tcPr>
                <w:p w14:paraId="563ABC34">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60</w:t>
                  </w:r>
                </w:p>
              </w:tc>
              <w:tc>
                <w:tcPr>
                  <w:tcW w:w="540" w:type="pct"/>
                  <w:tcBorders>
                    <w:tl2br w:val="nil"/>
                    <w:tr2bl w:val="nil"/>
                  </w:tcBorders>
                  <w:vAlign w:val="center"/>
                </w:tcPr>
                <w:p w14:paraId="3CCBE5A8">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6.7</w:t>
                  </w:r>
                </w:p>
              </w:tc>
              <w:tc>
                <w:tcPr>
                  <w:tcW w:w="697" w:type="pct"/>
                  <w:tcBorders>
                    <w:tl2br w:val="nil"/>
                    <w:tr2bl w:val="nil"/>
                  </w:tcBorders>
                  <w:vAlign w:val="center"/>
                </w:tcPr>
                <w:p w14:paraId="7FA5EE1F">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达标</w:t>
                  </w:r>
                </w:p>
              </w:tc>
            </w:tr>
            <w:tr w14:paraId="68F9B3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 w:type="pct"/>
                  <w:vMerge w:val="continue"/>
                  <w:tcBorders>
                    <w:tl2br w:val="nil"/>
                    <w:tr2bl w:val="nil"/>
                  </w:tcBorders>
                  <w:vAlign w:val="center"/>
                </w:tcPr>
                <w:p w14:paraId="715F572C">
                  <w:pPr>
                    <w:jc w:val="center"/>
                    <w:rPr>
                      <w:rFonts w:ascii="Times New Roman"/>
                      <w:color w:val="000000" w:themeColor="text1"/>
                      <w:sz w:val="21"/>
                      <w:szCs w:val="21"/>
                      <w14:textFill>
                        <w14:solidFill>
                          <w14:schemeClr w14:val="tx1"/>
                        </w14:solidFill>
                      </w14:textFill>
                    </w:rPr>
                  </w:pPr>
                </w:p>
              </w:tc>
              <w:tc>
                <w:tcPr>
                  <w:tcW w:w="1721" w:type="pct"/>
                  <w:tcBorders>
                    <w:tl2br w:val="nil"/>
                    <w:tr2bl w:val="nil"/>
                  </w:tcBorders>
                  <w:vAlign w:val="center"/>
                </w:tcPr>
                <w:p w14:paraId="2DD5A9E4">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24h平均第98百分位数</w:t>
                  </w:r>
                </w:p>
              </w:tc>
              <w:tc>
                <w:tcPr>
                  <w:tcW w:w="772" w:type="pct"/>
                  <w:tcBorders>
                    <w:tl2br w:val="nil"/>
                    <w:tr2bl w:val="nil"/>
                  </w:tcBorders>
                  <w:vAlign w:val="center"/>
                </w:tcPr>
                <w:p w14:paraId="655A02C8">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11</w:t>
                  </w:r>
                </w:p>
              </w:tc>
              <w:tc>
                <w:tcPr>
                  <w:tcW w:w="787" w:type="pct"/>
                  <w:tcBorders>
                    <w:tl2br w:val="nil"/>
                    <w:tr2bl w:val="nil"/>
                  </w:tcBorders>
                  <w:vAlign w:val="center"/>
                </w:tcPr>
                <w:p w14:paraId="43F4FA27">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150</w:t>
                  </w:r>
                </w:p>
              </w:tc>
              <w:tc>
                <w:tcPr>
                  <w:tcW w:w="540" w:type="pct"/>
                  <w:tcBorders>
                    <w:tl2br w:val="nil"/>
                    <w:tr2bl w:val="nil"/>
                  </w:tcBorders>
                  <w:vAlign w:val="center"/>
                </w:tcPr>
                <w:p w14:paraId="1C0C3A3A">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7.3</w:t>
                  </w:r>
                </w:p>
              </w:tc>
              <w:tc>
                <w:tcPr>
                  <w:tcW w:w="697" w:type="pct"/>
                  <w:tcBorders>
                    <w:tl2br w:val="nil"/>
                    <w:tr2bl w:val="nil"/>
                  </w:tcBorders>
                  <w:vAlign w:val="center"/>
                </w:tcPr>
                <w:p w14:paraId="182BAA9A">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达标</w:t>
                  </w:r>
                </w:p>
              </w:tc>
            </w:tr>
            <w:tr w14:paraId="2EBCA6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 w:type="pct"/>
                  <w:vMerge w:val="restart"/>
                  <w:tcBorders>
                    <w:tl2br w:val="nil"/>
                    <w:tr2bl w:val="nil"/>
                  </w:tcBorders>
                  <w:vAlign w:val="center"/>
                </w:tcPr>
                <w:p w14:paraId="12F8974C">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NO</w:t>
                  </w:r>
                  <w:r>
                    <w:rPr>
                      <w:rFonts w:hint="eastAsia" w:ascii="Times New Roman"/>
                      <w:color w:val="000000" w:themeColor="text1"/>
                      <w:sz w:val="21"/>
                      <w:szCs w:val="21"/>
                      <w:vertAlign w:val="subscript"/>
                      <w14:textFill>
                        <w14:solidFill>
                          <w14:schemeClr w14:val="tx1"/>
                        </w14:solidFill>
                      </w14:textFill>
                    </w:rPr>
                    <w:t>2</w:t>
                  </w:r>
                </w:p>
              </w:tc>
              <w:tc>
                <w:tcPr>
                  <w:tcW w:w="1721" w:type="pct"/>
                  <w:tcBorders>
                    <w:tl2br w:val="nil"/>
                    <w:tr2bl w:val="nil"/>
                  </w:tcBorders>
                  <w:vAlign w:val="center"/>
                </w:tcPr>
                <w:p w14:paraId="4EA018D6">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年平均</w:t>
                  </w:r>
                </w:p>
              </w:tc>
              <w:tc>
                <w:tcPr>
                  <w:tcW w:w="772" w:type="pct"/>
                  <w:tcBorders>
                    <w:tl2br w:val="nil"/>
                    <w:tr2bl w:val="nil"/>
                  </w:tcBorders>
                  <w:vAlign w:val="center"/>
                </w:tcPr>
                <w:p w14:paraId="1BF10593">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18</w:t>
                  </w:r>
                </w:p>
              </w:tc>
              <w:tc>
                <w:tcPr>
                  <w:tcW w:w="787" w:type="pct"/>
                  <w:tcBorders>
                    <w:tl2br w:val="nil"/>
                    <w:tr2bl w:val="nil"/>
                  </w:tcBorders>
                  <w:vAlign w:val="center"/>
                </w:tcPr>
                <w:p w14:paraId="7FD21DF2">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40</w:t>
                  </w:r>
                </w:p>
              </w:tc>
              <w:tc>
                <w:tcPr>
                  <w:tcW w:w="540" w:type="pct"/>
                  <w:tcBorders>
                    <w:tl2br w:val="nil"/>
                    <w:tr2bl w:val="nil"/>
                  </w:tcBorders>
                  <w:vAlign w:val="center"/>
                </w:tcPr>
                <w:p w14:paraId="03D7764A">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45.0</w:t>
                  </w:r>
                </w:p>
              </w:tc>
              <w:tc>
                <w:tcPr>
                  <w:tcW w:w="697" w:type="pct"/>
                  <w:tcBorders>
                    <w:tl2br w:val="nil"/>
                    <w:tr2bl w:val="nil"/>
                  </w:tcBorders>
                  <w:vAlign w:val="center"/>
                </w:tcPr>
                <w:p w14:paraId="7A57FE48">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达标</w:t>
                  </w:r>
                </w:p>
              </w:tc>
            </w:tr>
            <w:tr w14:paraId="0D8853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 w:type="pct"/>
                  <w:vMerge w:val="continue"/>
                  <w:tcBorders>
                    <w:tl2br w:val="nil"/>
                    <w:tr2bl w:val="nil"/>
                  </w:tcBorders>
                  <w:vAlign w:val="center"/>
                </w:tcPr>
                <w:p w14:paraId="497D7F3A">
                  <w:pPr>
                    <w:jc w:val="center"/>
                    <w:rPr>
                      <w:rFonts w:ascii="Times New Roman"/>
                      <w:color w:val="000000" w:themeColor="text1"/>
                      <w:sz w:val="21"/>
                      <w:szCs w:val="21"/>
                      <w14:textFill>
                        <w14:solidFill>
                          <w14:schemeClr w14:val="tx1"/>
                        </w14:solidFill>
                      </w14:textFill>
                    </w:rPr>
                  </w:pPr>
                </w:p>
              </w:tc>
              <w:tc>
                <w:tcPr>
                  <w:tcW w:w="1721" w:type="pct"/>
                  <w:tcBorders>
                    <w:tl2br w:val="nil"/>
                    <w:tr2bl w:val="nil"/>
                  </w:tcBorders>
                  <w:vAlign w:val="center"/>
                </w:tcPr>
                <w:p w14:paraId="1B3EA40C">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24h平均第98百分位数</w:t>
                  </w:r>
                </w:p>
              </w:tc>
              <w:tc>
                <w:tcPr>
                  <w:tcW w:w="772" w:type="pct"/>
                  <w:tcBorders>
                    <w:tl2br w:val="nil"/>
                    <w:tr2bl w:val="nil"/>
                  </w:tcBorders>
                  <w:vAlign w:val="center"/>
                </w:tcPr>
                <w:p w14:paraId="63F5F8B7">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49</w:t>
                  </w:r>
                </w:p>
              </w:tc>
              <w:tc>
                <w:tcPr>
                  <w:tcW w:w="787" w:type="pct"/>
                  <w:tcBorders>
                    <w:tl2br w:val="nil"/>
                    <w:tr2bl w:val="nil"/>
                  </w:tcBorders>
                  <w:vAlign w:val="center"/>
                </w:tcPr>
                <w:p w14:paraId="514890F8">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80</w:t>
                  </w:r>
                </w:p>
              </w:tc>
              <w:tc>
                <w:tcPr>
                  <w:tcW w:w="540" w:type="pct"/>
                  <w:tcBorders>
                    <w:tl2br w:val="nil"/>
                    <w:tr2bl w:val="nil"/>
                  </w:tcBorders>
                  <w:vAlign w:val="center"/>
                </w:tcPr>
                <w:p w14:paraId="2F026546">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61.3</w:t>
                  </w:r>
                </w:p>
              </w:tc>
              <w:tc>
                <w:tcPr>
                  <w:tcW w:w="697" w:type="pct"/>
                  <w:tcBorders>
                    <w:tl2br w:val="nil"/>
                    <w:tr2bl w:val="nil"/>
                  </w:tcBorders>
                  <w:vAlign w:val="center"/>
                </w:tcPr>
                <w:p w14:paraId="4A46156B">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达标</w:t>
                  </w:r>
                </w:p>
              </w:tc>
            </w:tr>
            <w:tr w14:paraId="2ECAC9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 w:type="pct"/>
                  <w:tcBorders>
                    <w:tl2br w:val="nil"/>
                    <w:tr2bl w:val="nil"/>
                  </w:tcBorders>
                  <w:vAlign w:val="center"/>
                </w:tcPr>
                <w:p w14:paraId="385A7F05">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CO</w:t>
                  </w:r>
                </w:p>
              </w:tc>
              <w:tc>
                <w:tcPr>
                  <w:tcW w:w="1721" w:type="pct"/>
                  <w:tcBorders>
                    <w:tl2br w:val="nil"/>
                    <w:tr2bl w:val="nil"/>
                  </w:tcBorders>
                  <w:vAlign w:val="center"/>
                </w:tcPr>
                <w:p w14:paraId="2B35B1BA">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24h平均第95百分位数</w:t>
                  </w:r>
                </w:p>
              </w:tc>
              <w:tc>
                <w:tcPr>
                  <w:tcW w:w="772" w:type="pct"/>
                  <w:tcBorders>
                    <w:tl2br w:val="nil"/>
                    <w:tr2bl w:val="nil"/>
                  </w:tcBorders>
                  <w:vAlign w:val="center"/>
                </w:tcPr>
                <w:p w14:paraId="12ADB68F">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2.18mg/m</w:t>
                  </w:r>
                  <w:r>
                    <w:rPr>
                      <w:rFonts w:hint="eastAsia" w:ascii="Times New Roman"/>
                      <w:color w:val="000000" w:themeColor="text1"/>
                      <w:sz w:val="21"/>
                      <w:szCs w:val="21"/>
                      <w:vertAlign w:val="superscript"/>
                      <w14:textFill>
                        <w14:solidFill>
                          <w14:schemeClr w14:val="tx1"/>
                        </w14:solidFill>
                      </w14:textFill>
                    </w:rPr>
                    <w:t>3</w:t>
                  </w:r>
                </w:p>
              </w:tc>
              <w:tc>
                <w:tcPr>
                  <w:tcW w:w="787" w:type="pct"/>
                  <w:tcBorders>
                    <w:tl2br w:val="nil"/>
                    <w:tr2bl w:val="nil"/>
                  </w:tcBorders>
                  <w:vAlign w:val="center"/>
                </w:tcPr>
                <w:p w14:paraId="34EDBAFC">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4mg/m</w:t>
                  </w:r>
                  <w:r>
                    <w:rPr>
                      <w:rFonts w:hint="eastAsia" w:ascii="Times New Roman"/>
                      <w:color w:val="000000" w:themeColor="text1"/>
                      <w:sz w:val="21"/>
                      <w:szCs w:val="21"/>
                      <w:vertAlign w:val="superscript"/>
                      <w14:textFill>
                        <w14:solidFill>
                          <w14:schemeClr w14:val="tx1"/>
                        </w14:solidFill>
                      </w14:textFill>
                    </w:rPr>
                    <w:t>3</w:t>
                  </w:r>
                </w:p>
              </w:tc>
              <w:tc>
                <w:tcPr>
                  <w:tcW w:w="540" w:type="pct"/>
                  <w:tcBorders>
                    <w:tl2br w:val="nil"/>
                    <w:tr2bl w:val="nil"/>
                  </w:tcBorders>
                  <w:vAlign w:val="center"/>
                </w:tcPr>
                <w:p w14:paraId="5195CF53">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54.5</w:t>
                  </w:r>
                </w:p>
              </w:tc>
              <w:tc>
                <w:tcPr>
                  <w:tcW w:w="697" w:type="pct"/>
                  <w:tcBorders>
                    <w:tl2br w:val="nil"/>
                    <w:tr2bl w:val="nil"/>
                  </w:tcBorders>
                  <w:vAlign w:val="center"/>
                </w:tcPr>
                <w:p w14:paraId="1A3F29A4">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达标</w:t>
                  </w:r>
                </w:p>
              </w:tc>
            </w:tr>
            <w:tr w14:paraId="6F8768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 w:type="pct"/>
                  <w:tcBorders>
                    <w:tl2br w:val="nil"/>
                    <w:tr2bl w:val="nil"/>
                  </w:tcBorders>
                  <w:vAlign w:val="center"/>
                </w:tcPr>
                <w:p w14:paraId="4E3622BB">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O</w:t>
                  </w:r>
                  <w:r>
                    <w:rPr>
                      <w:rFonts w:hint="eastAsia" w:ascii="Times New Roman"/>
                      <w:color w:val="000000" w:themeColor="text1"/>
                      <w:sz w:val="21"/>
                      <w:szCs w:val="21"/>
                      <w:vertAlign w:val="subscript"/>
                      <w14:textFill>
                        <w14:solidFill>
                          <w14:schemeClr w14:val="tx1"/>
                        </w14:solidFill>
                      </w14:textFill>
                    </w:rPr>
                    <w:t>3</w:t>
                  </w:r>
                </w:p>
              </w:tc>
              <w:tc>
                <w:tcPr>
                  <w:tcW w:w="1721" w:type="pct"/>
                  <w:tcBorders>
                    <w:tl2br w:val="nil"/>
                    <w:tr2bl w:val="nil"/>
                  </w:tcBorders>
                  <w:vAlign w:val="center"/>
                </w:tcPr>
                <w:p w14:paraId="7B77EDD3">
                  <w:pPr>
                    <w:jc w:val="center"/>
                    <w:rPr>
                      <w:rFonts w:ascii="Times New Roman"/>
                      <w:color w:val="000000" w:themeColor="text1"/>
                      <w:sz w:val="21"/>
                      <w:szCs w:val="21"/>
                      <w14:textFill>
                        <w14:solidFill>
                          <w14:schemeClr w14:val="tx1"/>
                        </w14:solidFill>
                      </w14:textFill>
                    </w:rPr>
                  </w:pPr>
                  <w:r>
                    <w:rPr>
                      <w:rFonts w:ascii="Times New Roman"/>
                      <w:color w:val="000000" w:themeColor="text1"/>
                      <w:sz w:val="21"/>
                      <w:szCs w:val="21"/>
                      <w14:textFill>
                        <w14:solidFill>
                          <w14:schemeClr w14:val="tx1"/>
                        </w14:solidFill>
                      </w14:textFill>
                    </w:rPr>
                    <w:t>最大8小时滑动平均值的第90百分位数</w:t>
                  </w:r>
                </w:p>
              </w:tc>
              <w:tc>
                <w:tcPr>
                  <w:tcW w:w="772" w:type="pct"/>
                  <w:tcBorders>
                    <w:tl2br w:val="nil"/>
                    <w:tr2bl w:val="nil"/>
                  </w:tcBorders>
                  <w:vAlign w:val="center"/>
                </w:tcPr>
                <w:p w14:paraId="06B46972">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85</w:t>
                  </w:r>
                </w:p>
              </w:tc>
              <w:tc>
                <w:tcPr>
                  <w:tcW w:w="787" w:type="pct"/>
                  <w:tcBorders>
                    <w:tl2br w:val="nil"/>
                    <w:tr2bl w:val="nil"/>
                  </w:tcBorders>
                  <w:vAlign w:val="center"/>
                </w:tcPr>
                <w:p w14:paraId="5A03CE60">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160</w:t>
                  </w:r>
                </w:p>
              </w:tc>
              <w:tc>
                <w:tcPr>
                  <w:tcW w:w="540" w:type="pct"/>
                  <w:tcBorders>
                    <w:tl2br w:val="nil"/>
                    <w:tr2bl w:val="nil"/>
                  </w:tcBorders>
                  <w:vAlign w:val="center"/>
                </w:tcPr>
                <w:p w14:paraId="4B5A1A32">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53.1</w:t>
                  </w:r>
                </w:p>
              </w:tc>
              <w:tc>
                <w:tcPr>
                  <w:tcW w:w="697" w:type="pct"/>
                  <w:tcBorders>
                    <w:tl2br w:val="nil"/>
                    <w:tr2bl w:val="nil"/>
                  </w:tcBorders>
                  <w:vAlign w:val="center"/>
                </w:tcPr>
                <w:p w14:paraId="6EAAE330">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达标</w:t>
                  </w:r>
                </w:p>
              </w:tc>
            </w:tr>
            <w:tr w14:paraId="7A1701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 w:type="pct"/>
                  <w:vMerge w:val="restart"/>
                  <w:tcBorders>
                    <w:tl2br w:val="nil"/>
                    <w:tr2bl w:val="nil"/>
                  </w:tcBorders>
                  <w:vAlign w:val="center"/>
                </w:tcPr>
                <w:p w14:paraId="5D206392">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PM</w:t>
                  </w:r>
                  <w:r>
                    <w:rPr>
                      <w:rFonts w:hint="eastAsia" w:ascii="Times New Roman"/>
                      <w:color w:val="000000" w:themeColor="text1"/>
                      <w:sz w:val="21"/>
                      <w:szCs w:val="21"/>
                      <w:vertAlign w:val="subscript"/>
                      <w14:textFill>
                        <w14:solidFill>
                          <w14:schemeClr w14:val="tx1"/>
                        </w14:solidFill>
                      </w14:textFill>
                    </w:rPr>
                    <w:t>10</w:t>
                  </w:r>
                </w:p>
              </w:tc>
              <w:tc>
                <w:tcPr>
                  <w:tcW w:w="1721" w:type="pct"/>
                  <w:tcBorders>
                    <w:tl2br w:val="nil"/>
                    <w:tr2bl w:val="nil"/>
                  </w:tcBorders>
                  <w:vAlign w:val="center"/>
                </w:tcPr>
                <w:p w14:paraId="656FD32A">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年平均</w:t>
                  </w:r>
                </w:p>
              </w:tc>
              <w:tc>
                <w:tcPr>
                  <w:tcW w:w="772" w:type="pct"/>
                  <w:tcBorders>
                    <w:tl2br w:val="nil"/>
                    <w:tr2bl w:val="nil"/>
                  </w:tcBorders>
                  <w:vAlign w:val="center"/>
                </w:tcPr>
                <w:p w14:paraId="5FBEA0B9">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95</w:t>
                  </w:r>
                </w:p>
              </w:tc>
              <w:tc>
                <w:tcPr>
                  <w:tcW w:w="787" w:type="pct"/>
                  <w:tcBorders>
                    <w:tl2br w:val="nil"/>
                    <w:tr2bl w:val="nil"/>
                  </w:tcBorders>
                  <w:vAlign w:val="center"/>
                </w:tcPr>
                <w:p w14:paraId="3C9F8E89">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70</w:t>
                  </w:r>
                </w:p>
              </w:tc>
              <w:tc>
                <w:tcPr>
                  <w:tcW w:w="540" w:type="pct"/>
                  <w:tcBorders>
                    <w:tl2br w:val="nil"/>
                    <w:tr2bl w:val="nil"/>
                  </w:tcBorders>
                  <w:vAlign w:val="center"/>
                </w:tcPr>
                <w:p w14:paraId="4CA02B04">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135.7</w:t>
                  </w:r>
                </w:p>
              </w:tc>
              <w:tc>
                <w:tcPr>
                  <w:tcW w:w="697" w:type="pct"/>
                  <w:tcBorders>
                    <w:tl2br w:val="nil"/>
                    <w:tr2bl w:val="nil"/>
                  </w:tcBorders>
                  <w:vAlign w:val="center"/>
                </w:tcPr>
                <w:p w14:paraId="369F2C5B">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不达标</w:t>
                  </w:r>
                </w:p>
              </w:tc>
            </w:tr>
            <w:tr w14:paraId="321377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 w:type="pct"/>
                  <w:vMerge w:val="continue"/>
                  <w:tcBorders>
                    <w:tl2br w:val="nil"/>
                    <w:tr2bl w:val="nil"/>
                  </w:tcBorders>
                  <w:vAlign w:val="center"/>
                </w:tcPr>
                <w:p w14:paraId="77F098E9">
                  <w:pPr>
                    <w:jc w:val="center"/>
                    <w:rPr>
                      <w:rFonts w:ascii="Times New Roman"/>
                      <w:color w:val="000000" w:themeColor="text1"/>
                      <w:sz w:val="21"/>
                      <w:szCs w:val="21"/>
                      <w14:textFill>
                        <w14:solidFill>
                          <w14:schemeClr w14:val="tx1"/>
                        </w14:solidFill>
                      </w14:textFill>
                    </w:rPr>
                  </w:pPr>
                </w:p>
              </w:tc>
              <w:tc>
                <w:tcPr>
                  <w:tcW w:w="1721" w:type="pct"/>
                  <w:tcBorders>
                    <w:tl2br w:val="nil"/>
                    <w:tr2bl w:val="nil"/>
                  </w:tcBorders>
                  <w:vAlign w:val="center"/>
                </w:tcPr>
                <w:p w14:paraId="6999A1EF">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24h平均第95百分位数</w:t>
                  </w:r>
                </w:p>
              </w:tc>
              <w:tc>
                <w:tcPr>
                  <w:tcW w:w="772" w:type="pct"/>
                  <w:tcBorders>
                    <w:tl2br w:val="nil"/>
                    <w:tr2bl w:val="nil"/>
                  </w:tcBorders>
                  <w:vAlign w:val="center"/>
                </w:tcPr>
                <w:p w14:paraId="734E6694">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378</w:t>
                  </w:r>
                </w:p>
              </w:tc>
              <w:tc>
                <w:tcPr>
                  <w:tcW w:w="787" w:type="pct"/>
                  <w:tcBorders>
                    <w:tl2br w:val="nil"/>
                    <w:tr2bl w:val="nil"/>
                  </w:tcBorders>
                  <w:vAlign w:val="center"/>
                </w:tcPr>
                <w:p w14:paraId="6409E2EE">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150</w:t>
                  </w:r>
                </w:p>
              </w:tc>
              <w:tc>
                <w:tcPr>
                  <w:tcW w:w="540" w:type="pct"/>
                  <w:tcBorders>
                    <w:tl2br w:val="nil"/>
                    <w:tr2bl w:val="nil"/>
                  </w:tcBorders>
                  <w:vAlign w:val="center"/>
                </w:tcPr>
                <w:p w14:paraId="410778F5">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252.0</w:t>
                  </w:r>
                </w:p>
              </w:tc>
              <w:tc>
                <w:tcPr>
                  <w:tcW w:w="697" w:type="pct"/>
                  <w:tcBorders>
                    <w:tl2br w:val="nil"/>
                    <w:tr2bl w:val="nil"/>
                  </w:tcBorders>
                  <w:vAlign w:val="center"/>
                </w:tcPr>
                <w:p w14:paraId="65562D64">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不达标</w:t>
                  </w:r>
                </w:p>
              </w:tc>
            </w:tr>
            <w:tr w14:paraId="2B7A56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 w:type="pct"/>
                  <w:vMerge w:val="restart"/>
                  <w:tcBorders>
                    <w:tl2br w:val="nil"/>
                    <w:tr2bl w:val="nil"/>
                  </w:tcBorders>
                  <w:vAlign w:val="center"/>
                </w:tcPr>
                <w:p w14:paraId="2CEF21D1">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PM</w:t>
                  </w:r>
                  <w:r>
                    <w:rPr>
                      <w:rFonts w:hint="eastAsia" w:ascii="Times New Roman"/>
                      <w:color w:val="000000" w:themeColor="text1"/>
                      <w:sz w:val="21"/>
                      <w:szCs w:val="21"/>
                      <w:vertAlign w:val="subscript"/>
                      <w14:textFill>
                        <w14:solidFill>
                          <w14:schemeClr w14:val="tx1"/>
                        </w14:solidFill>
                      </w14:textFill>
                    </w:rPr>
                    <w:t>2.5</w:t>
                  </w:r>
                </w:p>
              </w:tc>
              <w:tc>
                <w:tcPr>
                  <w:tcW w:w="1721" w:type="pct"/>
                  <w:tcBorders>
                    <w:tl2br w:val="nil"/>
                    <w:tr2bl w:val="nil"/>
                  </w:tcBorders>
                  <w:vAlign w:val="center"/>
                </w:tcPr>
                <w:p w14:paraId="1C86A511">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年平均</w:t>
                  </w:r>
                </w:p>
              </w:tc>
              <w:tc>
                <w:tcPr>
                  <w:tcW w:w="772" w:type="pct"/>
                  <w:tcBorders>
                    <w:tl2br w:val="nil"/>
                    <w:tr2bl w:val="nil"/>
                  </w:tcBorders>
                  <w:vAlign w:val="center"/>
                </w:tcPr>
                <w:p w14:paraId="1BC343DF">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43</w:t>
                  </w:r>
                </w:p>
              </w:tc>
              <w:tc>
                <w:tcPr>
                  <w:tcW w:w="787" w:type="pct"/>
                  <w:tcBorders>
                    <w:tl2br w:val="nil"/>
                    <w:tr2bl w:val="nil"/>
                  </w:tcBorders>
                  <w:vAlign w:val="center"/>
                </w:tcPr>
                <w:p w14:paraId="053588EA">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35</w:t>
                  </w:r>
                </w:p>
              </w:tc>
              <w:tc>
                <w:tcPr>
                  <w:tcW w:w="540" w:type="pct"/>
                  <w:tcBorders>
                    <w:tl2br w:val="nil"/>
                    <w:tr2bl w:val="nil"/>
                  </w:tcBorders>
                  <w:vAlign w:val="center"/>
                </w:tcPr>
                <w:p w14:paraId="347F68D2">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122.9</w:t>
                  </w:r>
                </w:p>
              </w:tc>
              <w:tc>
                <w:tcPr>
                  <w:tcW w:w="697" w:type="pct"/>
                  <w:tcBorders>
                    <w:tl2br w:val="nil"/>
                    <w:tr2bl w:val="nil"/>
                  </w:tcBorders>
                  <w:vAlign w:val="center"/>
                </w:tcPr>
                <w:p w14:paraId="298AFCB1">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不达标</w:t>
                  </w:r>
                </w:p>
              </w:tc>
            </w:tr>
            <w:tr w14:paraId="243A71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 w:type="pct"/>
                  <w:vMerge w:val="continue"/>
                  <w:tcBorders>
                    <w:tl2br w:val="nil"/>
                    <w:tr2bl w:val="nil"/>
                  </w:tcBorders>
                  <w:vAlign w:val="center"/>
                </w:tcPr>
                <w:p w14:paraId="14502014">
                  <w:pPr>
                    <w:jc w:val="center"/>
                    <w:rPr>
                      <w:rFonts w:ascii="Times New Roman"/>
                      <w:color w:val="000000" w:themeColor="text1"/>
                      <w:sz w:val="21"/>
                      <w:szCs w:val="21"/>
                      <w14:textFill>
                        <w14:solidFill>
                          <w14:schemeClr w14:val="tx1"/>
                        </w14:solidFill>
                      </w14:textFill>
                    </w:rPr>
                  </w:pPr>
                </w:p>
              </w:tc>
              <w:tc>
                <w:tcPr>
                  <w:tcW w:w="1721" w:type="pct"/>
                  <w:tcBorders>
                    <w:tl2br w:val="nil"/>
                    <w:tr2bl w:val="nil"/>
                  </w:tcBorders>
                  <w:vAlign w:val="center"/>
                </w:tcPr>
                <w:p w14:paraId="600F1083">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24h平均第95百分位数</w:t>
                  </w:r>
                </w:p>
              </w:tc>
              <w:tc>
                <w:tcPr>
                  <w:tcW w:w="772" w:type="pct"/>
                  <w:tcBorders>
                    <w:tl2br w:val="nil"/>
                    <w:tr2bl w:val="nil"/>
                  </w:tcBorders>
                  <w:vAlign w:val="center"/>
                </w:tcPr>
                <w:p w14:paraId="5F7E8D8C">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118</w:t>
                  </w:r>
                </w:p>
              </w:tc>
              <w:tc>
                <w:tcPr>
                  <w:tcW w:w="787" w:type="pct"/>
                  <w:tcBorders>
                    <w:tl2br w:val="nil"/>
                    <w:tr2bl w:val="nil"/>
                  </w:tcBorders>
                  <w:vAlign w:val="center"/>
                </w:tcPr>
                <w:p w14:paraId="3FDB1834">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75</w:t>
                  </w:r>
                </w:p>
              </w:tc>
              <w:tc>
                <w:tcPr>
                  <w:tcW w:w="540" w:type="pct"/>
                  <w:tcBorders>
                    <w:tl2br w:val="nil"/>
                    <w:tr2bl w:val="nil"/>
                  </w:tcBorders>
                  <w:vAlign w:val="center"/>
                </w:tcPr>
                <w:p w14:paraId="3FFB127A">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157.3</w:t>
                  </w:r>
                </w:p>
              </w:tc>
              <w:tc>
                <w:tcPr>
                  <w:tcW w:w="697" w:type="pct"/>
                  <w:tcBorders>
                    <w:tl2br w:val="nil"/>
                    <w:tr2bl w:val="nil"/>
                  </w:tcBorders>
                  <w:vAlign w:val="center"/>
                </w:tcPr>
                <w:p w14:paraId="7D076C60">
                  <w:pPr>
                    <w:jc w:val="center"/>
                    <w:rPr>
                      <w:rFonts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不达标</w:t>
                  </w:r>
                </w:p>
              </w:tc>
            </w:tr>
          </w:tbl>
          <w:p w14:paraId="6E03ACB0">
            <w:pPr>
              <w:spacing w:line="360" w:lineRule="auto"/>
              <w:ind w:firstLine="480" w:firstLineChars="200"/>
              <w:rPr>
                <w:rFonts w:hint="eastAsia" w:ascii="Times New Roman" w:hAnsi="Times New Roman" w:eastAsia="宋体" w:cs="Times New Roman"/>
                <w:b w:val="0"/>
                <w:bCs/>
                <w:color w:val="auto"/>
                <w:sz w:val="24"/>
                <w:szCs w:val="24"/>
                <w:highlight w:val="none"/>
                <w:lang w:eastAsia="zh-CN"/>
              </w:rPr>
            </w:pPr>
            <w:r>
              <w:rPr>
                <w:rFonts w:hint="default" w:ascii="Times New Roman" w:hAnsi="Times New Roman" w:eastAsia="宋体" w:cs="Times New Roman"/>
                <w:b w:val="0"/>
                <w:bCs/>
                <w:color w:val="auto"/>
                <w:sz w:val="24"/>
                <w:szCs w:val="24"/>
                <w:highlight w:val="none"/>
              </w:rPr>
              <w:t>根据上表基本</w:t>
            </w:r>
            <w:r>
              <w:rPr>
                <w:rFonts w:hint="eastAsia" w:cs="Times New Roman"/>
                <w:b w:val="0"/>
                <w:bCs/>
                <w:color w:val="auto"/>
                <w:sz w:val="24"/>
                <w:szCs w:val="24"/>
                <w:highlight w:val="none"/>
                <w:lang w:eastAsia="zh-CN"/>
              </w:rPr>
              <w:t>污染物</w:t>
            </w:r>
            <w:r>
              <w:rPr>
                <w:rFonts w:hint="default" w:ascii="Times New Roman" w:hAnsi="Times New Roman" w:eastAsia="宋体" w:cs="Times New Roman"/>
                <w:b w:val="0"/>
                <w:bCs/>
                <w:color w:val="auto"/>
                <w:sz w:val="24"/>
                <w:szCs w:val="24"/>
                <w:highlight w:val="none"/>
              </w:rPr>
              <w:t>年评价指标的分析结果，项目所在区域PM</w:t>
            </w:r>
            <w:r>
              <w:rPr>
                <w:rFonts w:hint="default" w:ascii="Times New Roman" w:hAnsi="Times New Roman" w:eastAsia="宋体" w:cs="Times New Roman"/>
                <w:b w:val="0"/>
                <w:bCs/>
                <w:color w:val="auto"/>
                <w:sz w:val="24"/>
                <w:szCs w:val="24"/>
                <w:highlight w:val="none"/>
                <w:vertAlign w:val="subscript"/>
                <w:lang w:val="en-US" w:eastAsia="zh-CN"/>
              </w:rPr>
              <w:t>2.5</w:t>
            </w:r>
            <w:r>
              <w:rPr>
                <w:rFonts w:hint="default" w:ascii="Times New Roman" w:hAnsi="Times New Roman" w:eastAsia="宋体" w:cs="Times New Roman"/>
                <w:b w:val="0"/>
                <w:bCs/>
                <w:color w:val="auto"/>
                <w:sz w:val="24"/>
                <w:szCs w:val="24"/>
                <w:highlight w:val="none"/>
              </w:rPr>
              <w:t>、PM</w:t>
            </w:r>
            <w:r>
              <w:rPr>
                <w:rFonts w:hint="default" w:ascii="Times New Roman" w:hAnsi="Times New Roman" w:eastAsia="宋体" w:cs="Times New Roman"/>
                <w:b w:val="0"/>
                <w:bCs/>
                <w:color w:val="auto"/>
                <w:sz w:val="24"/>
                <w:szCs w:val="24"/>
                <w:highlight w:val="none"/>
                <w:vertAlign w:val="subscript"/>
                <w:lang w:val="en-US" w:eastAsia="zh-CN"/>
              </w:rPr>
              <w:t>10</w:t>
            </w:r>
            <w:r>
              <w:rPr>
                <w:rFonts w:hint="default" w:ascii="Times New Roman" w:hAnsi="Times New Roman" w:eastAsia="宋体" w:cs="Times New Roman"/>
                <w:b w:val="0"/>
                <w:bCs/>
                <w:color w:val="auto"/>
                <w:sz w:val="24"/>
                <w:szCs w:val="24"/>
                <w:highlight w:val="none"/>
              </w:rPr>
              <w:t>日均浓度和年均浓度均超标，超标原因主要</w:t>
            </w:r>
            <w:r>
              <w:rPr>
                <w:rFonts w:hint="eastAsia" w:cs="Times New Roman"/>
                <w:b w:val="0"/>
                <w:bCs/>
                <w:color w:val="auto"/>
                <w:sz w:val="24"/>
                <w:szCs w:val="24"/>
                <w:highlight w:val="none"/>
                <w:lang w:eastAsia="zh-CN"/>
              </w:rPr>
              <w:t>是</w:t>
            </w:r>
            <w:r>
              <w:rPr>
                <w:rFonts w:hint="eastAsia" w:cs="Times New Roman"/>
                <w:b w:val="0"/>
                <w:bCs/>
                <w:color w:val="auto"/>
                <w:sz w:val="24"/>
                <w:szCs w:val="24"/>
                <w:highlight w:val="none"/>
                <w:lang w:val="en-US" w:eastAsia="zh-CN"/>
              </w:rPr>
              <w:t>季节性沙尘天气对环境空气质量影响很大，是造成空气质量不达标的主要因素。</w:t>
            </w:r>
            <w:r>
              <w:rPr>
                <w:rFonts w:hint="default" w:ascii="Times New Roman" w:hAnsi="Times New Roman" w:eastAsia="宋体" w:cs="Times New Roman"/>
                <w:b w:val="0"/>
                <w:bCs/>
                <w:color w:val="auto"/>
                <w:sz w:val="24"/>
                <w:szCs w:val="24"/>
                <w:highlight w:val="none"/>
              </w:rPr>
              <w:t>因此，项目所在区域为不达标区域</w:t>
            </w:r>
            <w:r>
              <w:rPr>
                <w:rFonts w:hint="eastAsia" w:ascii="Times New Roman" w:hAnsi="Times New Roman" w:eastAsia="宋体" w:cs="Times New Roman"/>
                <w:b w:val="0"/>
                <w:bCs/>
                <w:color w:val="auto"/>
                <w:sz w:val="24"/>
                <w:szCs w:val="24"/>
                <w:highlight w:val="none"/>
                <w:lang w:eastAsia="zh-CN"/>
              </w:rPr>
              <w:t>。</w:t>
            </w:r>
          </w:p>
          <w:p w14:paraId="15698164">
            <w:pPr>
              <w:spacing w:line="360" w:lineRule="auto"/>
              <w:ind w:firstLine="480" w:firstLineChars="200"/>
              <w:rPr>
                <w:sz w:val="24"/>
              </w:rPr>
            </w:pPr>
            <w:r>
              <w:rPr>
                <w:rFonts w:hint="eastAsia"/>
                <w:sz w:val="24"/>
                <w:lang w:val="en-US" w:eastAsia="zh-CN"/>
              </w:rPr>
              <w:t>2</w:t>
            </w:r>
            <w:r>
              <w:rPr>
                <w:rFonts w:hint="eastAsia"/>
                <w:sz w:val="24"/>
                <w:lang w:eastAsia="zh-CN"/>
              </w:rPr>
              <w:t>.</w:t>
            </w:r>
            <w:r>
              <w:rPr>
                <w:sz w:val="24"/>
              </w:rPr>
              <w:t>特征污染物补充监测</w:t>
            </w:r>
          </w:p>
          <w:p w14:paraId="5B72658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bCs/>
                <w:color w:val="auto"/>
                <w:sz w:val="24"/>
                <w:highlight w:val="none"/>
                <w:lang w:val="en-US" w:eastAsia="zh-CN"/>
              </w:rPr>
            </w:pPr>
            <w:r>
              <w:rPr>
                <w:rFonts w:hint="eastAsia" w:eastAsia="宋体" w:cs="Times New Roman"/>
                <w:b w:val="0"/>
                <w:bCs w:val="0"/>
                <w:color w:val="auto"/>
                <w:sz w:val="24"/>
                <w:szCs w:val="24"/>
                <w:highlight w:val="none"/>
                <w:lang w:eastAsia="zh-CN"/>
              </w:rPr>
              <w:t>根据《建设项目环境影响报告表编制技术指南（污染影响类）（试行）》要求，</w:t>
            </w:r>
            <w:r>
              <w:rPr>
                <w:rFonts w:hint="eastAsia" w:eastAsia="宋体" w:cs="Times New Roman"/>
                <w:b w:val="0"/>
                <w:bCs w:val="0"/>
                <w:color w:val="auto"/>
                <w:sz w:val="24"/>
                <w:szCs w:val="24"/>
                <w:highlight w:val="none"/>
                <w:lang w:val="en-US" w:eastAsia="zh-CN"/>
              </w:rPr>
              <w:t>需要对本项目特征污染物总悬浮颗粒物</w:t>
            </w:r>
            <w:r>
              <w:rPr>
                <w:rFonts w:hint="eastAsia" w:eastAsia="宋体" w:cs="Times New Roman"/>
                <w:b w:val="0"/>
                <w:bCs w:val="0"/>
                <w:color w:val="auto"/>
                <w:sz w:val="24"/>
                <w:szCs w:val="24"/>
                <w:highlight w:val="none"/>
                <w:lang w:eastAsia="zh-CN"/>
              </w:rPr>
              <w:t>进行补充监测</w:t>
            </w:r>
            <w:r>
              <w:rPr>
                <w:rFonts w:hint="default" w:ascii="Times New Roman" w:hAnsi="Times New Roman" w:eastAsia="宋体" w:cs="Times New Roman"/>
                <w:b w:val="0"/>
                <w:bCs w:val="0"/>
                <w:color w:val="auto"/>
                <w:sz w:val="24"/>
                <w:szCs w:val="24"/>
                <w:highlight w:val="none"/>
                <w:lang w:eastAsia="zh-CN"/>
              </w:rPr>
              <w:t>。</w:t>
            </w:r>
            <w:r>
              <w:rPr>
                <w:rFonts w:hint="eastAsia" w:ascii="Times New Roman" w:hAnsi="Times New Roman" w:eastAsia="宋体" w:cs="Times New Roman"/>
                <w:b w:val="0"/>
                <w:bCs w:val="0"/>
                <w:color w:val="auto"/>
                <w:sz w:val="24"/>
                <w:szCs w:val="24"/>
                <w:highlight w:val="none"/>
                <w:lang w:val="en-US" w:eastAsia="zh-CN"/>
              </w:rPr>
              <w:t>本项目引用新疆中测测试有限责任公司于2024年4月5日至4月7日连续3日对巴州图南建材有限公司年产1000</w:t>
            </w:r>
            <w:r>
              <w:rPr>
                <w:rFonts w:hint="default" w:ascii="Times New Roman" w:hAnsi="Times New Roman" w:eastAsia="宋体" w:cs="Times New Roman"/>
                <w:b w:val="0"/>
                <w:bCs w:val="0"/>
                <w:color w:val="000000"/>
                <w:sz w:val="24"/>
                <w:szCs w:val="24"/>
                <w:highlight w:val="none"/>
                <w:lang w:val="en-US" w:eastAsia="zh-CN"/>
              </w:rPr>
              <w:t>m</w:t>
            </w:r>
            <w:r>
              <w:rPr>
                <w:rFonts w:hint="eastAsia" w:ascii="Times New Roman" w:hAnsi="Times New Roman" w:eastAsia="宋体" w:cs="Times New Roman"/>
                <w:b w:val="0"/>
                <w:bCs w:val="0"/>
                <w:color w:val="000000"/>
                <w:sz w:val="24"/>
                <w:szCs w:val="24"/>
                <w:highlight w:val="none"/>
                <w:vertAlign w:val="superscript"/>
                <w:lang w:val="en-US" w:eastAsia="zh-CN"/>
              </w:rPr>
              <w:t>3</w:t>
            </w:r>
            <w:r>
              <w:rPr>
                <w:rFonts w:hint="eastAsia" w:ascii="Times New Roman" w:hAnsi="Times New Roman" w:eastAsia="宋体" w:cs="Times New Roman"/>
                <w:b w:val="0"/>
                <w:bCs w:val="0"/>
                <w:color w:val="000000"/>
                <w:sz w:val="24"/>
                <w:szCs w:val="24"/>
                <w:highlight w:val="none"/>
                <w:vertAlign w:val="baseline"/>
                <w:lang w:val="en-US" w:eastAsia="zh-CN"/>
              </w:rPr>
              <w:t>砼结构混凝土制品扩建项目</w:t>
            </w:r>
            <w:r>
              <w:rPr>
                <w:rFonts w:hint="eastAsia" w:ascii="Times New Roman" w:hAnsi="Times New Roman" w:eastAsia="宋体" w:cs="Times New Roman"/>
                <w:b w:val="0"/>
                <w:bCs w:val="0"/>
                <w:color w:val="auto"/>
                <w:sz w:val="24"/>
                <w:szCs w:val="24"/>
                <w:highlight w:val="none"/>
                <w:lang w:val="en-US" w:eastAsia="zh-CN"/>
              </w:rPr>
              <w:t>的</w:t>
            </w:r>
            <w:r>
              <w:rPr>
                <w:rFonts w:hint="eastAsia" w:ascii="Times New Roman" w:hAnsi="Times New Roman" w:eastAsia="宋体" w:cs="Times New Roman"/>
                <w:b w:val="0"/>
                <w:bCs w:val="0"/>
                <w:color w:val="000000"/>
                <w:sz w:val="24"/>
                <w:szCs w:val="24"/>
                <w:highlight w:val="none"/>
                <w:vertAlign w:val="baseline"/>
                <w:lang w:val="en-US" w:eastAsia="zh-CN"/>
              </w:rPr>
              <w:t>监测数据，该项目现状监测点位于本项目西侧4.34km，具体检测结果如下：</w:t>
            </w:r>
          </w:p>
          <w:p w14:paraId="15BD0C09">
            <w:pPr>
              <w:jc w:val="center"/>
              <w:rPr>
                <w:rFonts w:ascii="Times New Roman"/>
                <w:b/>
                <w:bCs/>
                <w:kern w:val="2"/>
                <w:sz w:val="21"/>
                <w:szCs w:val="21"/>
              </w:rPr>
            </w:pPr>
            <w:r>
              <w:rPr>
                <w:rFonts w:ascii="Times New Roman"/>
                <w:b/>
                <w:bCs/>
                <w:kern w:val="2"/>
                <w:sz w:val="21"/>
                <w:szCs w:val="21"/>
              </w:rPr>
              <w:t>表3-</w:t>
            </w:r>
            <w:r>
              <w:rPr>
                <w:rFonts w:hint="eastAsia" w:ascii="Times New Roman"/>
                <w:b/>
                <w:bCs/>
                <w:kern w:val="2"/>
                <w:sz w:val="21"/>
                <w:szCs w:val="21"/>
              </w:rPr>
              <w:t>2</w:t>
            </w:r>
            <w:r>
              <w:rPr>
                <w:rFonts w:ascii="Times New Roman"/>
                <w:b/>
                <w:bCs/>
                <w:kern w:val="2"/>
                <w:sz w:val="21"/>
                <w:szCs w:val="21"/>
              </w:rPr>
              <w:t xml:space="preserve"> </w:t>
            </w:r>
            <w:r>
              <w:rPr>
                <w:rFonts w:hint="eastAsia" w:ascii="Times New Roman"/>
                <w:b/>
                <w:bCs/>
                <w:kern w:val="2"/>
                <w:sz w:val="21"/>
                <w:szCs w:val="21"/>
                <w:lang w:val="en-US" w:eastAsia="zh-CN"/>
              </w:rPr>
              <w:t>总悬浮颗粒物</w:t>
            </w:r>
            <w:r>
              <w:rPr>
                <w:rFonts w:hint="eastAsia" w:ascii="Times New Roman"/>
                <w:b/>
                <w:bCs/>
                <w:kern w:val="2"/>
                <w:sz w:val="21"/>
                <w:szCs w:val="21"/>
              </w:rPr>
              <w:t>监测点位基本信息</w:t>
            </w:r>
            <w:r>
              <w:rPr>
                <w:rFonts w:ascii="Times New Roman"/>
                <w:b/>
                <w:bCs/>
                <w:kern w:val="2"/>
                <w:sz w:val="21"/>
                <w:szCs w:val="21"/>
              </w:rPr>
              <w:t>表</w:t>
            </w:r>
          </w:p>
          <w:tbl>
            <w:tblPr>
              <w:tblStyle w:val="26"/>
              <w:tblW w:w="7974"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16"/>
              <w:gridCol w:w="1051"/>
              <w:gridCol w:w="1050"/>
              <w:gridCol w:w="1139"/>
              <w:gridCol w:w="1479"/>
              <w:gridCol w:w="878"/>
              <w:gridCol w:w="1061"/>
            </w:tblGrid>
            <w:tr w14:paraId="57920E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1316" w:type="dxa"/>
                  <w:vMerge w:val="restart"/>
                  <w:tcBorders>
                    <w:tl2br w:val="nil"/>
                    <w:tr2bl w:val="nil"/>
                  </w:tcBorders>
                  <w:vAlign w:val="center"/>
                </w:tcPr>
                <w:p w14:paraId="67583C65">
                  <w:pPr>
                    <w:spacing w:line="0" w:lineRule="atLeast"/>
                    <w:jc w:val="center"/>
                    <w:rPr>
                      <w:rFonts w:ascii="Times New Roman" w:eastAsiaTheme="minorEastAsia"/>
                      <w:color w:val="000000"/>
                      <w:sz w:val="21"/>
                      <w:szCs w:val="21"/>
                    </w:rPr>
                  </w:pPr>
                  <w:r>
                    <w:rPr>
                      <w:rFonts w:hint="eastAsia" w:ascii="Times New Roman" w:eastAsiaTheme="minorEastAsia"/>
                      <w:color w:val="000000"/>
                      <w:sz w:val="21"/>
                      <w:szCs w:val="21"/>
                    </w:rPr>
                    <w:t>监测点名称</w:t>
                  </w:r>
                </w:p>
              </w:tc>
              <w:tc>
                <w:tcPr>
                  <w:tcW w:w="2101" w:type="dxa"/>
                  <w:gridSpan w:val="2"/>
                  <w:tcBorders>
                    <w:tl2br w:val="nil"/>
                    <w:tr2bl w:val="nil"/>
                  </w:tcBorders>
                  <w:vAlign w:val="center"/>
                </w:tcPr>
                <w:p w14:paraId="10915EB6">
                  <w:pPr>
                    <w:spacing w:line="0" w:lineRule="atLeast"/>
                    <w:jc w:val="center"/>
                    <w:rPr>
                      <w:rFonts w:ascii="Times New Roman" w:eastAsiaTheme="minorEastAsia"/>
                      <w:color w:val="000000"/>
                      <w:sz w:val="21"/>
                      <w:szCs w:val="21"/>
                    </w:rPr>
                  </w:pPr>
                  <w:r>
                    <w:rPr>
                      <w:rFonts w:hint="eastAsia" w:ascii="Times New Roman" w:eastAsiaTheme="minorEastAsia"/>
                      <w:color w:val="000000"/>
                      <w:sz w:val="21"/>
                      <w:szCs w:val="21"/>
                    </w:rPr>
                    <w:t>监测点坐标</w:t>
                  </w:r>
                </w:p>
              </w:tc>
              <w:tc>
                <w:tcPr>
                  <w:tcW w:w="1139" w:type="dxa"/>
                  <w:vMerge w:val="restart"/>
                  <w:tcBorders>
                    <w:tl2br w:val="nil"/>
                    <w:tr2bl w:val="nil"/>
                  </w:tcBorders>
                  <w:vAlign w:val="center"/>
                </w:tcPr>
                <w:p w14:paraId="55582A9F">
                  <w:pPr>
                    <w:spacing w:line="0" w:lineRule="atLeast"/>
                    <w:jc w:val="center"/>
                    <w:rPr>
                      <w:rFonts w:ascii="Times New Roman" w:eastAsiaTheme="minorEastAsia"/>
                      <w:color w:val="000000"/>
                      <w:sz w:val="21"/>
                      <w:szCs w:val="21"/>
                    </w:rPr>
                  </w:pPr>
                  <w:r>
                    <w:rPr>
                      <w:rFonts w:hint="eastAsia" w:ascii="Times New Roman" w:eastAsiaTheme="minorEastAsia"/>
                      <w:color w:val="000000"/>
                      <w:sz w:val="21"/>
                      <w:szCs w:val="21"/>
                    </w:rPr>
                    <w:t>监测因子</w:t>
                  </w:r>
                </w:p>
              </w:tc>
              <w:tc>
                <w:tcPr>
                  <w:tcW w:w="1479" w:type="dxa"/>
                  <w:vMerge w:val="restart"/>
                  <w:tcBorders>
                    <w:tl2br w:val="nil"/>
                    <w:tr2bl w:val="nil"/>
                  </w:tcBorders>
                  <w:vAlign w:val="center"/>
                </w:tcPr>
                <w:p w14:paraId="5F4840F2">
                  <w:pPr>
                    <w:spacing w:line="0" w:lineRule="atLeast"/>
                    <w:jc w:val="center"/>
                    <w:rPr>
                      <w:rFonts w:ascii="Times New Roman" w:eastAsiaTheme="minorEastAsia"/>
                      <w:color w:val="000000"/>
                      <w:sz w:val="21"/>
                      <w:szCs w:val="21"/>
                    </w:rPr>
                  </w:pPr>
                  <w:r>
                    <w:rPr>
                      <w:rFonts w:hint="eastAsia" w:ascii="Times New Roman" w:eastAsiaTheme="minorEastAsia"/>
                      <w:color w:val="000000"/>
                      <w:sz w:val="21"/>
                      <w:szCs w:val="21"/>
                    </w:rPr>
                    <w:t>监测时段</w:t>
                  </w:r>
                </w:p>
              </w:tc>
              <w:tc>
                <w:tcPr>
                  <w:tcW w:w="878" w:type="dxa"/>
                  <w:vMerge w:val="restart"/>
                  <w:tcBorders>
                    <w:tl2br w:val="nil"/>
                    <w:tr2bl w:val="nil"/>
                  </w:tcBorders>
                  <w:vAlign w:val="center"/>
                </w:tcPr>
                <w:p w14:paraId="4271B4DB">
                  <w:pPr>
                    <w:spacing w:line="0" w:lineRule="atLeast"/>
                    <w:jc w:val="center"/>
                    <w:rPr>
                      <w:rFonts w:ascii="Times New Roman" w:eastAsiaTheme="minorEastAsia"/>
                      <w:color w:val="000000"/>
                      <w:sz w:val="21"/>
                      <w:szCs w:val="21"/>
                    </w:rPr>
                  </w:pPr>
                  <w:r>
                    <w:rPr>
                      <w:rFonts w:hint="eastAsia" w:ascii="Times New Roman" w:eastAsiaTheme="minorEastAsia"/>
                      <w:color w:val="000000"/>
                      <w:sz w:val="21"/>
                      <w:szCs w:val="21"/>
                    </w:rPr>
                    <w:t>相对厂址方位</w:t>
                  </w:r>
                </w:p>
              </w:tc>
              <w:tc>
                <w:tcPr>
                  <w:tcW w:w="1061" w:type="dxa"/>
                  <w:vMerge w:val="restart"/>
                  <w:tcBorders>
                    <w:tl2br w:val="nil"/>
                    <w:tr2bl w:val="nil"/>
                  </w:tcBorders>
                  <w:vAlign w:val="center"/>
                </w:tcPr>
                <w:p w14:paraId="0410FE53">
                  <w:pPr>
                    <w:spacing w:line="0" w:lineRule="atLeast"/>
                    <w:jc w:val="center"/>
                    <w:rPr>
                      <w:rFonts w:ascii="Times New Roman" w:eastAsiaTheme="minorEastAsia"/>
                      <w:color w:val="000000"/>
                      <w:sz w:val="21"/>
                      <w:szCs w:val="21"/>
                    </w:rPr>
                  </w:pPr>
                  <w:r>
                    <w:rPr>
                      <w:rFonts w:hint="eastAsia" w:ascii="Times New Roman" w:eastAsiaTheme="minorEastAsia"/>
                      <w:color w:val="000000"/>
                      <w:sz w:val="21"/>
                      <w:szCs w:val="21"/>
                    </w:rPr>
                    <w:t>相对厂址距离/m</w:t>
                  </w:r>
                </w:p>
              </w:tc>
            </w:tr>
            <w:tr w14:paraId="797F6A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16" w:type="dxa"/>
                  <w:vMerge w:val="continue"/>
                  <w:tcBorders>
                    <w:tl2br w:val="nil"/>
                    <w:tr2bl w:val="nil"/>
                  </w:tcBorders>
                  <w:vAlign w:val="center"/>
                </w:tcPr>
                <w:p w14:paraId="559F0374">
                  <w:pPr>
                    <w:spacing w:line="0" w:lineRule="atLeast"/>
                    <w:jc w:val="center"/>
                    <w:rPr>
                      <w:rFonts w:ascii="Times New Roman" w:eastAsiaTheme="minorEastAsia"/>
                      <w:color w:val="000000"/>
                      <w:sz w:val="21"/>
                      <w:szCs w:val="21"/>
                    </w:rPr>
                  </w:pPr>
                </w:p>
              </w:tc>
              <w:tc>
                <w:tcPr>
                  <w:tcW w:w="1051" w:type="dxa"/>
                  <w:tcBorders>
                    <w:tl2br w:val="nil"/>
                    <w:tr2bl w:val="nil"/>
                  </w:tcBorders>
                  <w:vAlign w:val="center"/>
                </w:tcPr>
                <w:p w14:paraId="57561B32">
                  <w:pPr>
                    <w:spacing w:line="0" w:lineRule="atLeast"/>
                    <w:jc w:val="center"/>
                    <w:rPr>
                      <w:rFonts w:hint="eastAsia" w:ascii="Times New Roman" w:eastAsiaTheme="minorEastAsia"/>
                      <w:color w:val="000000"/>
                      <w:sz w:val="21"/>
                      <w:szCs w:val="21"/>
                      <w:lang w:eastAsia="zh-CN"/>
                    </w:rPr>
                  </w:pPr>
                  <w:r>
                    <w:rPr>
                      <w:rFonts w:hint="eastAsia" w:eastAsiaTheme="minorEastAsia"/>
                      <w:color w:val="000000"/>
                      <w:sz w:val="21"/>
                      <w:szCs w:val="21"/>
                      <w:lang w:val="en-US" w:eastAsia="zh-CN"/>
                    </w:rPr>
                    <w:t>经度</w:t>
                  </w:r>
                </w:p>
              </w:tc>
              <w:tc>
                <w:tcPr>
                  <w:tcW w:w="1050" w:type="dxa"/>
                  <w:tcBorders>
                    <w:tl2br w:val="nil"/>
                    <w:tr2bl w:val="nil"/>
                  </w:tcBorders>
                  <w:vAlign w:val="center"/>
                </w:tcPr>
                <w:p w14:paraId="5F6D3006">
                  <w:pPr>
                    <w:spacing w:line="0" w:lineRule="atLeast"/>
                    <w:jc w:val="center"/>
                    <w:rPr>
                      <w:rFonts w:hint="default" w:ascii="Times New Roman" w:eastAsiaTheme="minorEastAsia"/>
                      <w:color w:val="000000"/>
                      <w:sz w:val="21"/>
                      <w:szCs w:val="21"/>
                      <w:lang w:val="en-US" w:eastAsia="zh-CN"/>
                    </w:rPr>
                  </w:pPr>
                  <w:r>
                    <w:rPr>
                      <w:rFonts w:hint="eastAsia" w:eastAsiaTheme="minorEastAsia"/>
                      <w:color w:val="000000"/>
                      <w:sz w:val="21"/>
                      <w:szCs w:val="21"/>
                      <w:lang w:val="en-US" w:eastAsia="zh-CN"/>
                    </w:rPr>
                    <w:t>纬度</w:t>
                  </w:r>
                </w:p>
              </w:tc>
              <w:tc>
                <w:tcPr>
                  <w:tcW w:w="1139" w:type="dxa"/>
                  <w:vMerge w:val="continue"/>
                  <w:tcBorders>
                    <w:tl2br w:val="nil"/>
                    <w:tr2bl w:val="nil"/>
                  </w:tcBorders>
                  <w:vAlign w:val="center"/>
                </w:tcPr>
                <w:p w14:paraId="38235F70">
                  <w:pPr>
                    <w:spacing w:line="0" w:lineRule="atLeast"/>
                    <w:jc w:val="center"/>
                    <w:rPr>
                      <w:rFonts w:ascii="Times New Roman" w:eastAsiaTheme="minorEastAsia"/>
                      <w:color w:val="000000"/>
                      <w:sz w:val="21"/>
                      <w:szCs w:val="21"/>
                    </w:rPr>
                  </w:pPr>
                </w:p>
              </w:tc>
              <w:tc>
                <w:tcPr>
                  <w:tcW w:w="1479" w:type="dxa"/>
                  <w:vMerge w:val="continue"/>
                  <w:tcBorders>
                    <w:tl2br w:val="nil"/>
                    <w:tr2bl w:val="nil"/>
                  </w:tcBorders>
                  <w:vAlign w:val="center"/>
                </w:tcPr>
                <w:p w14:paraId="076239AC">
                  <w:pPr>
                    <w:spacing w:line="0" w:lineRule="atLeast"/>
                    <w:jc w:val="center"/>
                    <w:rPr>
                      <w:rFonts w:ascii="Times New Roman" w:eastAsiaTheme="minorEastAsia"/>
                      <w:color w:val="000000"/>
                      <w:sz w:val="21"/>
                      <w:szCs w:val="21"/>
                    </w:rPr>
                  </w:pPr>
                </w:p>
              </w:tc>
              <w:tc>
                <w:tcPr>
                  <w:tcW w:w="878" w:type="dxa"/>
                  <w:vMerge w:val="continue"/>
                  <w:tcBorders>
                    <w:tl2br w:val="nil"/>
                    <w:tr2bl w:val="nil"/>
                  </w:tcBorders>
                  <w:vAlign w:val="center"/>
                </w:tcPr>
                <w:p w14:paraId="124D8D87">
                  <w:pPr>
                    <w:spacing w:line="0" w:lineRule="atLeast"/>
                    <w:jc w:val="center"/>
                    <w:rPr>
                      <w:rFonts w:ascii="Times New Roman" w:eastAsiaTheme="minorEastAsia"/>
                      <w:color w:val="000000"/>
                      <w:sz w:val="21"/>
                      <w:szCs w:val="21"/>
                    </w:rPr>
                  </w:pPr>
                </w:p>
              </w:tc>
              <w:tc>
                <w:tcPr>
                  <w:tcW w:w="1061" w:type="dxa"/>
                  <w:vMerge w:val="continue"/>
                  <w:tcBorders>
                    <w:tl2br w:val="nil"/>
                    <w:tr2bl w:val="nil"/>
                  </w:tcBorders>
                  <w:vAlign w:val="center"/>
                </w:tcPr>
                <w:p w14:paraId="0012B742">
                  <w:pPr>
                    <w:spacing w:line="0" w:lineRule="atLeast"/>
                    <w:jc w:val="center"/>
                    <w:rPr>
                      <w:rFonts w:ascii="Times New Roman" w:eastAsiaTheme="minorEastAsia"/>
                      <w:color w:val="000000"/>
                      <w:sz w:val="21"/>
                      <w:szCs w:val="21"/>
                    </w:rPr>
                  </w:pPr>
                </w:p>
              </w:tc>
            </w:tr>
            <w:tr w14:paraId="7A5268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316" w:type="dxa"/>
                  <w:tcBorders>
                    <w:tl2br w:val="nil"/>
                    <w:tr2bl w:val="nil"/>
                  </w:tcBorders>
                  <w:vAlign w:val="center"/>
                </w:tcPr>
                <w:p w14:paraId="3FBB8BF2">
                  <w:pPr>
                    <w:spacing w:line="0" w:lineRule="atLeast"/>
                    <w:jc w:val="center"/>
                    <w:rPr>
                      <w:rFonts w:hint="default" w:ascii="Times New Roman" w:eastAsiaTheme="minorEastAsia"/>
                      <w:color w:val="000000"/>
                      <w:sz w:val="21"/>
                      <w:szCs w:val="21"/>
                      <w:lang w:val="en-US" w:eastAsia="zh-CN"/>
                    </w:rPr>
                  </w:pPr>
                  <w:r>
                    <w:rPr>
                      <w:rFonts w:hint="eastAsia" w:ascii="Times New Roman" w:eastAsiaTheme="minorEastAsia"/>
                      <w:kern w:val="2"/>
                      <w:sz w:val="21"/>
                      <w:szCs w:val="21"/>
                      <w:lang w:val="en-US" w:eastAsia="zh-CN"/>
                    </w:rPr>
                    <w:t>1</w:t>
                  </w:r>
                  <w:r>
                    <w:rPr>
                      <w:rFonts w:hint="eastAsia" w:ascii="Times New Roman" w:hAnsi="Times New Roman" w:eastAsia="宋体" w:cs="Times New Roman"/>
                      <w:color w:val="000000"/>
                      <w:kern w:val="0"/>
                      <w:sz w:val="21"/>
                      <w:szCs w:val="21"/>
                      <w:highlight w:val="none"/>
                      <w:lang w:val="en-US" w:eastAsia="zh-CN"/>
                    </w:rPr>
                    <w:t>#</w:t>
                  </w:r>
                  <w:r>
                    <w:rPr>
                      <w:rFonts w:hint="eastAsia" w:ascii="Times New Roman" w:eastAsiaTheme="minorEastAsia"/>
                      <w:kern w:val="2"/>
                      <w:sz w:val="21"/>
                      <w:szCs w:val="21"/>
                      <w:lang w:val="en-US" w:eastAsia="zh-CN"/>
                    </w:rPr>
                    <w:t>参照点</w:t>
                  </w:r>
                </w:p>
              </w:tc>
              <w:tc>
                <w:tcPr>
                  <w:tcW w:w="1051" w:type="dxa"/>
                  <w:tcBorders>
                    <w:tl2br w:val="nil"/>
                    <w:tr2bl w:val="nil"/>
                  </w:tcBorders>
                  <w:vAlign w:val="center"/>
                </w:tcPr>
                <w:p w14:paraId="3AD9E9E9">
                  <w:pPr>
                    <w:spacing w:line="0" w:lineRule="atLeast"/>
                    <w:jc w:val="center"/>
                    <w:rPr>
                      <w:rFonts w:hint="default" w:ascii="Times New Roman" w:eastAsiaTheme="minorEastAsia"/>
                      <w:color w:val="000000"/>
                      <w:sz w:val="21"/>
                      <w:szCs w:val="21"/>
                      <w:lang w:val="en-US" w:eastAsia="zh-CN"/>
                    </w:rPr>
                  </w:pPr>
                  <w:r>
                    <w:rPr>
                      <w:rFonts w:hint="eastAsia" w:ascii="Times New Roman" w:eastAsiaTheme="minorEastAsia"/>
                      <w:color w:val="000000"/>
                      <w:sz w:val="21"/>
                      <w:szCs w:val="21"/>
                      <w:lang w:val="en-US" w:eastAsia="zh-CN"/>
                    </w:rPr>
                    <w:t>86.260697</w:t>
                  </w:r>
                </w:p>
              </w:tc>
              <w:tc>
                <w:tcPr>
                  <w:tcW w:w="1050" w:type="dxa"/>
                  <w:tcBorders>
                    <w:tl2br w:val="nil"/>
                    <w:tr2bl w:val="nil"/>
                  </w:tcBorders>
                  <w:vAlign w:val="center"/>
                </w:tcPr>
                <w:p w14:paraId="459CD095">
                  <w:pPr>
                    <w:spacing w:line="0" w:lineRule="atLeast"/>
                    <w:jc w:val="center"/>
                    <w:rPr>
                      <w:rFonts w:hint="default" w:ascii="Times New Roman" w:eastAsiaTheme="minorEastAsia"/>
                      <w:color w:val="000000"/>
                      <w:sz w:val="21"/>
                      <w:szCs w:val="21"/>
                      <w:lang w:val="en-US" w:eastAsia="zh-CN"/>
                    </w:rPr>
                  </w:pPr>
                  <w:r>
                    <w:rPr>
                      <w:rFonts w:hint="eastAsia" w:ascii="Times New Roman" w:eastAsiaTheme="minorEastAsia"/>
                      <w:color w:val="000000"/>
                      <w:sz w:val="21"/>
                      <w:szCs w:val="21"/>
                      <w:lang w:val="en-US" w:eastAsia="zh-CN"/>
                    </w:rPr>
                    <w:t>41.828017</w:t>
                  </w:r>
                </w:p>
              </w:tc>
              <w:tc>
                <w:tcPr>
                  <w:tcW w:w="1139" w:type="dxa"/>
                  <w:tcBorders>
                    <w:tl2br w:val="nil"/>
                    <w:tr2bl w:val="nil"/>
                  </w:tcBorders>
                  <w:vAlign w:val="center"/>
                </w:tcPr>
                <w:p w14:paraId="78EAC016">
                  <w:pPr>
                    <w:spacing w:line="0" w:lineRule="atLeast"/>
                    <w:jc w:val="center"/>
                    <w:rPr>
                      <w:rFonts w:hint="default" w:ascii="Times New Roman" w:eastAsiaTheme="minorEastAsia"/>
                      <w:color w:val="000000"/>
                      <w:sz w:val="21"/>
                      <w:szCs w:val="21"/>
                      <w:lang w:val="en-US" w:eastAsia="zh-CN"/>
                    </w:rPr>
                  </w:pPr>
                  <w:r>
                    <w:rPr>
                      <w:rFonts w:hint="eastAsia" w:ascii="Times New Roman" w:eastAsiaTheme="minorEastAsia"/>
                      <w:kern w:val="2"/>
                      <w:sz w:val="21"/>
                      <w:szCs w:val="21"/>
                      <w:lang w:val="en-US" w:eastAsia="zh-CN"/>
                    </w:rPr>
                    <w:t>总悬浮颗粒物</w:t>
                  </w:r>
                </w:p>
              </w:tc>
              <w:tc>
                <w:tcPr>
                  <w:tcW w:w="1479" w:type="dxa"/>
                  <w:tcBorders>
                    <w:tl2br w:val="nil"/>
                    <w:tr2bl w:val="nil"/>
                  </w:tcBorders>
                  <w:vAlign w:val="center"/>
                </w:tcPr>
                <w:p w14:paraId="5FF40308">
                  <w:pPr>
                    <w:spacing w:line="0" w:lineRule="atLeast"/>
                    <w:jc w:val="center"/>
                    <w:rPr>
                      <w:rFonts w:hint="default" w:ascii="Times New Roman" w:eastAsiaTheme="minorEastAsia"/>
                      <w:color w:val="000000"/>
                      <w:sz w:val="21"/>
                      <w:szCs w:val="21"/>
                      <w:lang w:val="en-US" w:eastAsia="zh-CN"/>
                    </w:rPr>
                  </w:pPr>
                  <w:r>
                    <w:rPr>
                      <w:rFonts w:ascii="Times New Roman" w:eastAsiaTheme="minorEastAsia"/>
                      <w:color w:val="000000"/>
                      <w:sz w:val="21"/>
                      <w:szCs w:val="21"/>
                    </w:rPr>
                    <w:t>202</w:t>
                  </w:r>
                  <w:r>
                    <w:rPr>
                      <w:rFonts w:hint="eastAsia" w:ascii="Times New Roman" w:eastAsiaTheme="minorEastAsia"/>
                      <w:color w:val="000000"/>
                      <w:sz w:val="21"/>
                      <w:szCs w:val="21"/>
                      <w:lang w:val="en-US" w:eastAsia="zh-CN"/>
                    </w:rPr>
                    <w:t>4</w:t>
                  </w:r>
                  <w:r>
                    <w:rPr>
                      <w:rFonts w:ascii="Times New Roman" w:eastAsiaTheme="minorEastAsia"/>
                      <w:color w:val="000000"/>
                      <w:sz w:val="21"/>
                      <w:szCs w:val="21"/>
                    </w:rPr>
                    <w:t>-0</w:t>
                  </w:r>
                  <w:r>
                    <w:rPr>
                      <w:rFonts w:hint="eastAsia" w:ascii="Times New Roman" w:eastAsiaTheme="minorEastAsia"/>
                      <w:color w:val="000000"/>
                      <w:sz w:val="21"/>
                      <w:szCs w:val="21"/>
                      <w:lang w:val="en-US" w:eastAsia="zh-CN"/>
                    </w:rPr>
                    <w:t>4</w:t>
                  </w:r>
                  <w:r>
                    <w:rPr>
                      <w:rFonts w:ascii="Times New Roman" w:eastAsiaTheme="minorEastAsia"/>
                      <w:color w:val="000000"/>
                      <w:sz w:val="21"/>
                      <w:szCs w:val="21"/>
                    </w:rPr>
                    <w:t>-</w:t>
                  </w:r>
                  <w:r>
                    <w:rPr>
                      <w:rFonts w:hint="eastAsia" w:ascii="Times New Roman" w:eastAsiaTheme="minorEastAsia"/>
                      <w:color w:val="000000"/>
                      <w:sz w:val="21"/>
                      <w:szCs w:val="21"/>
                      <w:lang w:val="en-US" w:eastAsia="zh-CN"/>
                    </w:rPr>
                    <w:t>04</w:t>
                  </w:r>
                  <w:r>
                    <w:rPr>
                      <w:rFonts w:hint="eastAsia" w:ascii="Times New Roman" w:eastAsiaTheme="minorEastAsia"/>
                      <w:color w:val="000000"/>
                      <w:sz w:val="21"/>
                      <w:szCs w:val="21"/>
                      <w:lang w:eastAsia="zh-CN"/>
                    </w:rPr>
                    <w:t>~</w:t>
                  </w:r>
                  <w:r>
                    <w:rPr>
                      <w:rFonts w:hint="eastAsia" w:ascii="Times New Roman" w:eastAsiaTheme="minorEastAsia"/>
                      <w:color w:val="000000"/>
                      <w:sz w:val="21"/>
                      <w:szCs w:val="21"/>
                    </w:rPr>
                    <w:t>202</w:t>
                  </w:r>
                  <w:r>
                    <w:rPr>
                      <w:rFonts w:hint="eastAsia" w:ascii="Times New Roman" w:eastAsiaTheme="minorEastAsia"/>
                      <w:color w:val="000000"/>
                      <w:sz w:val="21"/>
                      <w:szCs w:val="21"/>
                      <w:lang w:val="en-US" w:eastAsia="zh-CN"/>
                    </w:rPr>
                    <w:t>4</w:t>
                  </w:r>
                  <w:r>
                    <w:rPr>
                      <w:rFonts w:hint="eastAsia" w:ascii="Times New Roman" w:eastAsiaTheme="minorEastAsia"/>
                      <w:color w:val="000000"/>
                      <w:sz w:val="21"/>
                      <w:szCs w:val="21"/>
                    </w:rPr>
                    <w:t>-</w:t>
                  </w:r>
                  <w:r>
                    <w:rPr>
                      <w:rFonts w:ascii="Times New Roman" w:eastAsiaTheme="minorEastAsia"/>
                      <w:color w:val="000000"/>
                      <w:sz w:val="21"/>
                      <w:szCs w:val="21"/>
                    </w:rPr>
                    <w:t>0</w:t>
                  </w:r>
                  <w:r>
                    <w:rPr>
                      <w:rFonts w:hint="eastAsia" w:ascii="Times New Roman" w:eastAsiaTheme="minorEastAsia"/>
                      <w:color w:val="000000"/>
                      <w:sz w:val="21"/>
                      <w:szCs w:val="21"/>
                      <w:lang w:val="en-US" w:eastAsia="zh-CN"/>
                    </w:rPr>
                    <w:t>4</w:t>
                  </w:r>
                  <w:r>
                    <w:rPr>
                      <w:rFonts w:ascii="Times New Roman" w:eastAsiaTheme="minorEastAsia"/>
                      <w:color w:val="000000"/>
                      <w:sz w:val="21"/>
                      <w:szCs w:val="21"/>
                    </w:rPr>
                    <w:t>-</w:t>
                  </w:r>
                  <w:r>
                    <w:rPr>
                      <w:rFonts w:hint="eastAsia" w:ascii="Times New Roman" w:eastAsiaTheme="minorEastAsia"/>
                      <w:color w:val="000000"/>
                      <w:sz w:val="21"/>
                      <w:szCs w:val="21"/>
                      <w:lang w:val="en-US" w:eastAsia="zh-CN"/>
                    </w:rPr>
                    <w:t>07</w:t>
                  </w:r>
                </w:p>
              </w:tc>
              <w:tc>
                <w:tcPr>
                  <w:tcW w:w="878" w:type="dxa"/>
                  <w:tcBorders>
                    <w:tl2br w:val="nil"/>
                    <w:tr2bl w:val="nil"/>
                  </w:tcBorders>
                  <w:vAlign w:val="center"/>
                </w:tcPr>
                <w:p w14:paraId="42428D59">
                  <w:pPr>
                    <w:spacing w:line="0" w:lineRule="atLeast"/>
                    <w:jc w:val="center"/>
                    <w:rPr>
                      <w:rFonts w:ascii="Times New Roman" w:eastAsiaTheme="minorEastAsia"/>
                      <w:color w:val="000000"/>
                      <w:sz w:val="21"/>
                      <w:szCs w:val="21"/>
                    </w:rPr>
                  </w:pPr>
                  <w:r>
                    <w:rPr>
                      <w:rFonts w:hint="eastAsia" w:ascii="Times New Roman" w:eastAsiaTheme="minorEastAsia"/>
                      <w:color w:val="000000"/>
                      <w:sz w:val="21"/>
                      <w:szCs w:val="21"/>
                    </w:rPr>
                    <w:t>西</w:t>
                  </w:r>
                </w:p>
              </w:tc>
              <w:tc>
                <w:tcPr>
                  <w:tcW w:w="1061" w:type="dxa"/>
                  <w:tcBorders>
                    <w:tl2br w:val="nil"/>
                    <w:tr2bl w:val="nil"/>
                  </w:tcBorders>
                  <w:vAlign w:val="center"/>
                </w:tcPr>
                <w:p w14:paraId="2155D8B5">
                  <w:pPr>
                    <w:spacing w:line="0" w:lineRule="atLeast"/>
                    <w:jc w:val="center"/>
                    <w:rPr>
                      <w:rFonts w:hint="default" w:ascii="Times New Roman" w:eastAsiaTheme="minorEastAsia"/>
                      <w:color w:val="000000"/>
                      <w:sz w:val="21"/>
                      <w:szCs w:val="21"/>
                      <w:lang w:val="en-US" w:eastAsia="zh-CN"/>
                    </w:rPr>
                  </w:pPr>
                  <w:r>
                    <w:rPr>
                      <w:rFonts w:hint="eastAsia" w:ascii="Times New Roman" w:eastAsiaTheme="minorEastAsia"/>
                      <w:color w:val="000000"/>
                      <w:sz w:val="21"/>
                      <w:szCs w:val="21"/>
                      <w:lang w:val="en-US" w:eastAsia="zh-CN"/>
                    </w:rPr>
                    <w:t>4340</w:t>
                  </w:r>
                </w:p>
              </w:tc>
            </w:tr>
          </w:tbl>
          <w:p w14:paraId="6E7944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000000"/>
                <w:sz w:val="21"/>
                <w:szCs w:val="21"/>
                <w:highlight w:val="none"/>
                <w:lang w:val="en-US" w:eastAsia="zh-CN"/>
              </w:rPr>
            </w:pPr>
            <w:r>
              <w:rPr>
                <w:rFonts w:hint="default" w:ascii="Times New Roman" w:hAnsi="Times New Roman" w:eastAsia="宋体" w:cs="Times New Roman"/>
                <w:b/>
                <w:bCs/>
                <w:color w:val="000000"/>
                <w:sz w:val="21"/>
                <w:szCs w:val="21"/>
                <w:highlight w:val="none"/>
                <w:lang w:val="en-US" w:eastAsia="zh-CN"/>
              </w:rPr>
              <w:t>表</w:t>
            </w:r>
            <w:r>
              <w:rPr>
                <w:rFonts w:hint="eastAsia" w:ascii="Times New Roman" w:hAnsi="Times New Roman" w:eastAsia="宋体" w:cs="Times New Roman"/>
                <w:b/>
                <w:bCs/>
                <w:color w:val="000000"/>
                <w:sz w:val="21"/>
                <w:szCs w:val="21"/>
                <w:highlight w:val="none"/>
                <w:lang w:val="en-US" w:eastAsia="zh-CN"/>
              </w:rPr>
              <w:t>3-3 总悬浮颗粒物监测结果</w:t>
            </w:r>
          </w:p>
          <w:tbl>
            <w:tblPr>
              <w:tblStyle w:val="26"/>
              <w:tblW w:w="8097"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46"/>
              <w:gridCol w:w="835"/>
              <w:gridCol w:w="835"/>
              <w:gridCol w:w="700"/>
              <w:gridCol w:w="982"/>
              <w:gridCol w:w="1032"/>
              <w:gridCol w:w="855"/>
              <w:gridCol w:w="906"/>
              <w:gridCol w:w="906"/>
            </w:tblGrid>
            <w:tr w14:paraId="595B47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46" w:type="dxa"/>
                  <w:vMerge w:val="restart"/>
                  <w:tcBorders>
                    <w:tl2br w:val="nil"/>
                    <w:tr2bl w:val="nil"/>
                  </w:tcBorders>
                  <w:vAlign w:val="center"/>
                </w:tcPr>
                <w:p w14:paraId="21C57C76">
                  <w:pPr>
                    <w:spacing w:line="0" w:lineRule="atLeast"/>
                    <w:jc w:val="center"/>
                    <w:rPr>
                      <w:rFonts w:ascii="Times New Roman" w:eastAsiaTheme="minorEastAsia"/>
                      <w:color w:val="000000"/>
                      <w:sz w:val="21"/>
                      <w:szCs w:val="21"/>
                    </w:rPr>
                  </w:pPr>
                  <w:r>
                    <w:rPr>
                      <w:rFonts w:hint="eastAsia" w:ascii="Times New Roman" w:eastAsiaTheme="minorEastAsia"/>
                      <w:color w:val="000000"/>
                      <w:sz w:val="21"/>
                      <w:szCs w:val="21"/>
                    </w:rPr>
                    <w:t>监测点位</w:t>
                  </w:r>
                </w:p>
              </w:tc>
              <w:tc>
                <w:tcPr>
                  <w:tcW w:w="1670" w:type="dxa"/>
                  <w:gridSpan w:val="2"/>
                  <w:tcBorders>
                    <w:tl2br w:val="nil"/>
                    <w:tr2bl w:val="nil"/>
                  </w:tcBorders>
                  <w:vAlign w:val="center"/>
                </w:tcPr>
                <w:p w14:paraId="43F6C8BD">
                  <w:pPr>
                    <w:spacing w:line="0" w:lineRule="atLeast"/>
                    <w:jc w:val="center"/>
                    <w:rPr>
                      <w:rFonts w:ascii="Times New Roman" w:eastAsiaTheme="minorEastAsia"/>
                      <w:color w:val="000000"/>
                      <w:sz w:val="21"/>
                      <w:szCs w:val="21"/>
                    </w:rPr>
                  </w:pPr>
                  <w:r>
                    <w:rPr>
                      <w:rFonts w:hint="eastAsia" w:ascii="Times New Roman" w:eastAsiaTheme="minorEastAsia"/>
                      <w:color w:val="000000"/>
                      <w:sz w:val="21"/>
                      <w:szCs w:val="21"/>
                    </w:rPr>
                    <w:t>监测点坐标</w:t>
                  </w:r>
                </w:p>
              </w:tc>
              <w:tc>
                <w:tcPr>
                  <w:tcW w:w="700" w:type="dxa"/>
                  <w:vMerge w:val="restart"/>
                  <w:tcBorders>
                    <w:tl2br w:val="nil"/>
                    <w:tr2bl w:val="nil"/>
                  </w:tcBorders>
                  <w:vAlign w:val="center"/>
                </w:tcPr>
                <w:p w14:paraId="6511EE73">
                  <w:pPr>
                    <w:spacing w:line="0" w:lineRule="atLeast"/>
                    <w:jc w:val="center"/>
                    <w:rPr>
                      <w:rFonts w:ascii="Times New Roman" w:eastAsiaTheme="minorEastAsia"/>
                      <w:color w:val="000000"/>
                      <w:sz w:val="21"/>
                      <w:szCs w:val="21"/>
                    </w:rPr>
                  </w:pPr>
                  <w:r>
                    <w:rPr>
                      <w:rFonts w:hint="eastAsia" w:ascii="Times New Roman" w:eastAsiaTheme="minorEastAsia"/>
                      <w:color w:val="000000"/>
                      <w:sz w:val="21"/>
                      <w:szCs w:val="21"/>
                    </w:rPr>
                    <w:t>污染物</w:t>
                  </w:r>
                </w:p>
              </w:tc>
              <w:tc>
                <w:tcPr>
                  <w:tcW w:w="982" w:type="dxa"/>
                  <w:vMerge w:val="restart"/>
                  <w:tcBorders>
                    <w:tl2br w:val="nil"/>
                    <w:tr2bl w:val="nil"/>
                  </w:tcBorders>
                  <w:vAlign w:val="center"/>
                </w:tcPr>
                <w:p w14:paraId="6316D4BD">
                  <w:pPr>
                    <w:spacing w:line="0" w:lineRule="atLeast"/>
                    <w:jc w:val="center"/>
                    <w:rPr>
                      <w:rFonts w:hint="eastAsia" w:ascii="Times New Roman" w:eastAsiaTheme="minorEastAsia"/>
                      <w:color w:val="000000"/>
                      <w:sz w:val="21"/>
                      <w:szCs w:val="21"/>
                      <w:lang w:eastAsia="zh-CN"/>
                    </w:rPr>
                  </w:pPr>
                  <w:r>
                    <w:rPr>
                      <w:rFonts w:hint="eastAsia" w:ascii="Times New Roman" w:eastAsiaTheme="minorEastAsia"/>
                      <w:color w:val="000000"/>
                      <w:sz w:val="21"/>
                      <w:szCs w:val="21"/>
                    </w:rPr>
                    <w:t>评价标准/</w:t>
                  </w:r>
                  <w:r>
                    <w:rPr>
                      <w:rFonts w:hint="eastAsia" w:eastAsiaTheme="minorEastAsia"/>
                      <w:color w:val="000000"/>
                      <w:sz w:val="21"/>
                      <w:szCs w:val="21"/>
                      <w:lang w:eastAsia="zh-CN"/>
                    </w:rPr>
                    <w:t>（</w:t>
                  </w:r>
                  <w:r>
                    <w:rPr>
                      <w:rFonts w:hint="eastAsia" w:ascii="Times New Roman" w:eastAsiaTheme="minorEastAsia"/>
                      <w:color w:val="000000"/>
                      <w:sz w:val="21"/>
                      <w:szCs w:val="21"/>
                    </w:rPr>
                    <w:t>ug/m</w:t>
                  </w:r>
                  <w:r>
                    <w:rPr>
                      <w:rFonts w:hint="eastAsia" w:ascii="Times New Roman" w:eastAsiaTheme="minorEastAsia"/>
                      <w:color w:val="000000"/>
                      <w:sz w:val="21"/>
                      <w:szCs w:val="21"/>
                      <w:vertAlign w:val="superscript"/>
                    </w:rPr>
                    <w:t>3</w:t>
                  </w:r>
                  <w:r>
                    <w:rPr>
                      <w:rFonts w:hint="eastAsia" w:eastAsiaTheme="minorEastAsia"/>
                      <w:color w:val="000000"/>
                      <w:sz w:val="21"/>
                      <w:szCs w:val="21"/>
                      <w:lang w:eastAsia="zh-CN"/>
                    </w:rPr>
                    <w:t>）</w:t>
                  </w:r>
                </w:p>
              </w:tc>
              <w:tc>
                <w:tcPr>
                  <w:tcW w:w="1032" w:type="dxa"/>
                  <w:vMerge w:val="restart"/>
                  <w:tcBorders>
                    <w:tl2br w:val="nil"/>
                    <w:tr2bl w:val="nil"/>
                  </w:tcBorders>
                  <w:vAlign w:val="center"/>
                </w:tcPr>
                <w:p w14:paraId="4E87610F">
                  <w:pPr>
                    <w:spacing w:line="0" w:lineRule="atLeast"/>
                    <w:jc w:val="center"/>
                    <w:rPr>
                      <w:rFonts w:hint="eastAsia" w:ascii="Times New Roman" w:eastAsiaTheme="minorEastAsia"/>
                      <w:color w:val="000000"/>
                      <w:sz w:val="21"/>
                      <w:szCs w:val="21"/>
                      <w:lang w:eastAsia="zh-CN"/>
                    </w:rPr>
                  </w:pPr>
                  <w:r>
                    <w:rPr>
                      <w:rFonts w:hint="eastAsia" w:ascii="Times New Roman" w:eastAsiaTheme="minorEastAsia"/>
                      <w:color w:val="000000"/>
                      <w:sz w:val="21"/>
                      <w:szCs w:val="21"/>
                    </w:rPr>
                    <w:t>监测浓度范围/</w:t>
                  </w:r>
                  <w:r>
                    <w:rPr>
                      <w:rFonts w:hint="eastAsia" w:eastAsiaTheme="minorEastAsia"/>
                      <w:color w:val="000000"/>
                      <w:sz w:val="21"/>
                      <w:szCs w:val="21"/>
                      <w:lang w:eastAsia="zh-CN"/>
                    </w:rPr>
                    <w:t>（</w:t>
                  </w:r>
                  <w:r>
                    <w:rPr>
                      <w:rFonts w:hint="eastAsia" w:ascii="Times New Roman" w:eastAsiaTheme="minorEastAsia"/>
                      <w:color w:val="000000"/>
                      <w:sz w:val="21"/>
                      <w:szCs w:val="21"/>
                    </w:rPr>
                    <w:t>ug/m</w:t>
                  </w:r>
                  <w:r>
                    <w:rPr>
                      <w:rFonts w:hint="eastAsia" w:ascii="Times New Roman" w:eastAsiaTheme="minorEastAsia"/>
                      <w:color w:val="000000"/>
                      <w:sz w:val="21"/>
                      <w:szCs w:val="21"/>
                      <w:vertAlign w:val="superscript"/>
                    </w:rPr>
                    <w:t>3</w:t>
                  </w:r>
                  <w:r>
                    <w:rPr>
                      <w:rFonts w:hint="eastAsia" w:eastAsiaTheme="minorEastAsia"/>
                      <w:color w:val="000000"/>
                      <w:sz w:val="21"/>
                      <w:szCs w:val="21"/>
                      <w:lang w:eastAsia="zh-CN"/>
                    </w:rPr>
                    <w:t>）</w:t>
                  </w:r>
                </w:p>
              </w:tc>
              <w:tc>
                <w:tcPr>
                  <w:tcW w:w="855" w:type="dxa"/>
                  <w:vMerge w:val="restart"/>
                  <w:tcBorders>
                    <w:tl2br w:val="nil"/>
                    <w:tr2bl w:val="nil"/>
                  </w:tcBorders>
                  <w:vAlign w:val="center"/>
                </w:tcPr>
                <w:p w14:paraId="22500F77">
                  <w:pPr>
                    <w:spacing w:line="0" w:lineRule="atLeast"/>
                    <w:jc w:val="center"/>
                    <w:rPr>
                      <w:rFonts w:ascii="Times New Roman" w:eastAsiaTheme="minorEastAsia"/>
                      <w:color w:val="000000"/>
                      <w:sz w:val="21"/>
                      <w:szCs w:val="21"/>
                    </w:rPr>
                  </w:pPr>
                  <w:r>
                    <w:rPr>
                      <w:rFonts w:hint="eastAsia" w:ascii="Times New Roman" w:eastAsiaTheme="minorEastAsia"/>
                      <w:color w:val="000000"/>
                      <w:sz w:val="21"/>
                      <w:szCs w:val="21"/>
                    </w:rPr>
                    <w:t>最大浓度占标率/%</w:t>
                  </w:r>
                </w:p>
              </w:tc>
              <w:tc>
                <w:tcPr>
                  <w:tcW w:w="906" w:type="dxa"/>
                  <w:vMerge w:val="restart"/>
                  <w:tcBorders>
                    <w:tl2br w:val="nil"/>
                    <w:tr2bl w:val="nil"/>
                  </w:tcBorders>
                  <w:vAlign w:val="center"/>
                </w:tcPr>
                <w:p w14:paraId="051E135B">
                  <w:pPr>
                    <w:spacing w:line="0" w:lineRule="atLeast"/>
                    <w:jc w:val="center"/>
                    <w:rPr>
                      <w:rFonts w:ascii="Times New Roman" w:eastAsiaTheme="minorEastAsia"/>
                      <w:color w:val="000000"/>
                      <w:sz w:val="21"/>
                      <w:szCs w:val="21"/>
                    </w:rPr>
                  </w:pPr>
                  <w:r>
                    <w:rPr>
                      <w:rFonts w:hint="eastAsia" w:ascii="Times New Roman" w:eastAsiaTheme="minorEastAsia"/>
                      <w:color w:val="000000"/>
                      <w:sz w:val="21"/>
                      <w:szCs w:val="21"/>
                    </w:rPr>
                    <w:t>超标率/%</w:t>
                  </w:r>
                </w:p>
              </w:tc>
              <w:tc>
                <w:tcPr>
                  <w:tcW w:w="906" w:type="dxa"/>
                  <w:vMerge w:val="restart"/>
                  <w:tcBorders>
                    <w:tl2br w:val="nil"/>
                    <w:tr2bl w:val="nil"/>
                  </w:tcBorders>
                  <w:vAlign w:val="center"/>
                </w:tcPr>
                <w:p w14:paraId="2B69026C">
                  <w:pPr>
                    <w:spacing w:line="0" w:lineRule="atLeast"/>
                    <w:jc w:val="center"/>
                    <w:rPr>
                      <w:rFonts w:ascii="Times New Roman" w:eastAsiaTheme="minorEastAsia"/>
                      <w:color w:val="000000"/>
                      <w:sz w:val="21"/>
                      <w:szCs w:val="21"/>
                    </w:rPr>
                  </w:pPr>
                  <w:r>
                    <w:rPr>
                      <w:rFonts w:hint="eastAsia" w:ascii="Times New Roman" w:eastAsiaTheme="minorEastAsia"/>
                      <w:color w:val="000000"/>
                      <w:sz w:val="21"/>
                      <w:szCs w:val="21"/>
                    </w:rPr>
                    <w:t>达标情况</w:t>
                  </w:r>
                </w:p>
              </w:tc>
            </w:tr>
            <w:tr w14:paraId="608394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1046" w:type="dxa"/>
                  <w:vMerge w:val="continue"/>
                  <w:tcBorders>
                    <w:tl2br w:val="nil"/>
                    <w:tr2bl w:val="nil"/>
                  </w:tcBorders>
                  <w:vAlign w:val="center"/>
                </w:tcPr>
                <w:p w14:paraId="1CDAB0F0">
                  <w:pPr>
                    <w:spacing w:line="0" w:lineRule="atLeast"/>
                    <w:jc w:val="center"/>
                    <w:rPr>
                      <w:rFonts w:ascii="Times New Roman" w:eastAsiaTheme="minorEastAsia"/>
                      <w:color w:val="000000"/>
                      <w:sz w:val="21"/>
                      <w:szCs w:val="21"/>
                    </w:rPr>
                  </w:pPr>
                </w:p>
              </w:tc>
              <w:tc>
                <w:tcPr>
                  <w:tcW w:w="835" w:type="dxa"/>
                  <w:tcBorders>
                    <w:tl2br w:val="nil"/>
                    <w:tr2bl w:val="nil"/>
                  </w:tcBorders>
                  <w:shd w:val="clear" w:color="auto" w:fill="auto"/>
                  <w:vAlign w:val="center"/>
                </w:tcPr>
                <w:p w14:paraId="4EDD89E1">
                  <w:pPr>
                    <w:spacing w:line="0" w:lineRule="atLeast"/>
                    <w:jc w:val="center"/>
                    <w:rPr>
                      <w:rFonts w:hint="eastAsia" w:ascii="Times New Roman" w:hAnsi="Times New Roman" w:cs="Times New Roman" w:eastAsiaTheme="minorEastAsia"/>
                      <w:color w:val="000000"/>
                      <w:kern w:val="2"/>
                      <w:sz w:val="21"/>
                      <w:szCs w:val="21"/>
                      <w:lang w:val="en-US" w:eastAsia="zh-CN" w:bidi="ar-SA"/>
                    </w:rPr>
                  </w:pPr>
                  <w:r>
                    <w:rPr>
                      <w:rFonts w:hint="eastAsia" w:eastAsiaTheme="minorEastAsia"/>
                      <w:color w:val="000000"/>
                      <w:sz w:val="21"/>
                      <w:szCs w:val="21"/>
                      <w:lang w:val="en-US" w:eastAsia="zh-CN"/>
                    </w:rPr>
                    <w:t>经度</w:t>
                  </w:r>
                </w:p>
              </w:tc>
              <w:tc>
                <w:tcPr>
                  <w:tcW w:w="835" w:type="dxa"/>
                  <w:tcBorders>
                    <w:tl2br w:val="nil"/>
                    <w:tr2bl w:val="nil"/>
                  </w:tcBorders>
                  <w:shd w:val="clear" w:color="auto" w:fill="auto"/>
                  <w:vAlign w:val="center"/>
                </w:tcPr>
                <w:p w14:paraId="26D2CB34">
                  <w:pPr>
                    <w:spacing w:line="0" w:lineRule="atLeast"/>
                    <w:jc w:val="center"/>
                    <w:rPr>
                      <w:rFonts w:hint="default" w:ascii="Times New Roman" w:hAnsi="Times New Roman" w:cs="Times New Roman" w:eastAsiaTheme="minorEastAsia"/>
                      <w:color w:val="000000"/>
                      <w:kern w:val="2"/>
                      <w:sz w:val="21"/>
                      <w:szCs w:val="21"/>
                      <w:lang w:val="en-US" w:eastAsia="zh-CN" w:bidi="ar-SA"/>
                    </w:rPr>
                  </w:pPr>
                  <w:r>
                    <w:rPr>
                      <w:rFonts w:hint="eastAsia" w:eastAsiaTheme="minorEastAsia"/>
                      <w:color w:val="000000"/>
                      <w:sz w:val="21"/>
                      <w:szCs w:val="21"/>
                      <w:lang w:val="en-US" w:eastAsia="zh-CN"/>
                    </w:rPr>
                    <w:t>纬度</w:t>
                  </w:r>
                </w:p>
              </w:tc>
              <w:tc>
                <w:tcPr>
                  <w:tcW w:w="700" w:type="dxa"/>
                  <w:vMerge w:val="continue"/>
                  <w:tcBorders>
                    <w:tl2br w:val="nil"/>
                    <w:tr2bl w:val="nil"/>
                  </w:tcBorders>
                  <w:vAlign w:val="center"/>
                </w:tcPr>
                <w:p w14:paraId="36248A3A">
                  <w:pPr>
                    <w:spacing w:line="0" w:lineRule="atLeast"/>
                    <w:jc w:val="center"/>
                    <w:rPr>
                      <w:rFonts w:ascii="Times New Roman" w:eastAsiaTheme="minorEastAsia"/>
                      <w:color w:val="000000"/>
                      <w:sz w:val="21"/>
                      <w:szCs w:val="21"/>
                    </w:rPr>
                  </w:pPr>
                </w:p>
              </w:tc>
              <w:tc>
                <w:tcPr>
                  <w:tcW w:w="982" w:type="dxa"/>
                  <w:vMerge w:val="continue"/>
                  <w:tcBorders>
                    <w:tl2br w:val="nil"/>
                    <w:tr2bl w:val="nil"/>
                  </w:tcBorders>
                  <w:vAlign w:val="center"/>
                </w:tcPr>
                <w:p w14:paraId="5698B41A">
                  <w:pPr>
                    <w:spacing w:line="0" w:lineRule="atLeast"/>
                    <w:jc w:val="center"/>
                    <w:rPr>
                      <w:rFonts w:ascii="Times New Roman" w:eastAsiaTheme="minorEastAsia"/>
                      <w:color w:val="000000"/>
                      <w:sz w:val="21"/>
                      <w:szCs w:val="21"/>
                    </w:rPr>
                  </w:pPr>
                </w:p>
              </w:tc>
              <w:tc>
                <w:tcPr>
                  <w:tcW w:w="1032" w:type="dxa"/>
                  <w:vMerge w:val="continue"/>
                  <w:tcBorders>
                    <w:tl2br w:val="nil"/>
                    <w:tr2bl w:val="nil"/>
                  </w:tcBorders>
                  <w:vAlign w:val="center"/>
                </w:tcPr>
                <w:p w14:paraId="41F976AE">
                  <w:pPr>
                    <w:spacing w:line="0" w:lineRule="atLeast"/>
                    <w:jc w:val="center"/>
                    <w:rPr>
                      <w:rFonts w:ascii="Times New Roman" w:eastAsiaTheme="minorEastAsia"/>
                      <w:color w:val="000000"/>
                      <w:sz w:val="21"/>
                      <w:szCs w:val="21"/>
                    </w:rPr>
                  </w:pPr>
                </w:p>
              </w:tc>
              <w:tc>
                <w:tcPr>
                  <w:tcW w:w="855" w:type="dxa"/>
                  <w:vMerge w:val="continue"/>
                  <w:tcBorders>
                    <w:tl2br w:val="nil"/>
                    <w:tr2bl w:val="nil"/>
                  </w:tcBorders>
                  <w:vAlign w:val="center"/>
                </w:tcPr>
                <w:p w14:paraId="1117B4F2">
                  <w:pPr>
                    <w:spacing w:line="0" w:lineRule="atLeast"/>
                    <w:jc w:val="center"/>
                    <w:rPr>
                      <w:rFonts w:ascii="Times New Roman" w:eastAsiaTheme="minorEastAsia"/>
                      <w:color w:val="000000"/>
                      <w:sz w:val="21"/>
                      <w:szCs w:val="21"/>
                    </w:rPr>
                  </w:pPr>
                </w:p>
              </w:tc>
              <w:tc>
                <w:tcPr>
                  <w:tcW w:w="906" w:type="dxa"/>
                  <w:vMerge w:val="continue"/>
                  <w:tcBorders>
                    <w:tl2br w:val="nil"/>
                    <w:tr2bl w:val="nil"/>
                  </w:tcBorders>
                  <w:vAlign w:val="center"/>
                </w:tcPr>
                <w:p w14:paraId="233E9FF0">
                  <w:pPr>
                    <w:spacing w:line="0" w:lineRule="atLeast"/>
                    <w:jc w:val="center"/>
                    <w:rPr>
                      <w:rFonts w:ascii="Times New Roman" w:eastAsiaTheme="minorEastAsia"/>
                      <w:color w:val="000000"/>
                      <w:sz w:val="21"/>
                      <w:szCs w:val="21"/>
                    </w:rPr>
                  </w:pPr>
                </w:p>
              </w:tc>
              <w:tc>
                <w:tcPr>
                  <w:tcW w:w="906" w:type="dxa"/>
                  <w:vMerge w:val="continue"/>
                  <w:tcBorders>
                    <w:tl2br w:val="nil"/>
                    <w:tr2bl w:val="nil"/>
                  </w:tcBorders>
                  <w:vAlign w:val="center"/>
                </w:tcPr>
                <w:p w14:paraId="7D9D4366">
                  <w:pPr>
                    <w:spacing w:line="0" w:lineRule="atLeast"/>
                    <w:jc w:val="center"/>
                    <w:rPr>
                      <w:rFonts w:ascii="Times New Roman" w:eastAsiaTheme="minorEastAsia"/>
                      <w:color w:val="000000"/>
                      <w:sz w:val="21"/>
                      <w:szCs w:val="21"/>
                    </w:rPr>
                  </w:pPr>
                </w:p>
              </w:tc>
            </w:tr>
            <w:tr w14:paraId="310262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46" w:type="dxa"/>
                  <w:tcBorders>
                    <w:tl2br w:val="nil"/>
                    <w:tr2bl w:val="nil"/>
                  </w:tcBorders>
                  <w:vAlign w:val="center"/>
                </w:tcPr>
                <w:p w14:paraId="7F60946A">
                  <w:pPr>
                    <w:spacing w:line="0" w:lineRule="atLeast"/>
                    <w:jc w:val="center"/>
                    <w:rPr>
                      <w:rFonts w:ascii="Times New Roman" w:eastAsiaTheme="minorEastAsia"/>
                      <w:color w:val="000000"/>
                      <w:sz w:val="21"/>
                      <w:szCs w:val="21"/>
                    </w:rPr>
                  </w:pPr>
                  <w:r>
                    <w:rPr>
                      <w:rFonts w:hint="eastAsia" w:ascii="Times New Roman" w:eastAsiaTheme="minorEastAsia"/>
                      <w:kern w:val="2"/>
                      <w:sz w:val="21"/>
                      <w:szCs w:val="21"/>
                      <w:lang w:val="en-US" w:eastAsia="zh-CN"/>
                    </w:rPr>
                    <w:t>1</w:t>
                  </w:r>
                  <w:r>
                    <w:rPr>
                      <w:rFonts w:hint="eastAsia" w:ascii="Times New Roman" w:hAnsi="Times New Roman" w:eastAsia="宋体" w:cs="Times New Roman"/>
                      <w:color w:val="000000"/>
                      <w:kern w:val="0"/>
                      <w:sz w:val="21"/>
                      <w:szCs w:val="21"/>
                      <w:highlight w:val="none"/>
                      <w:lang w:val="en-US" w:eastAsia="zh-CN"/>
                    </w:rPr>
                    <w:t>#</w:t>
                  </w:r>
                  <w:r>
                    <w:rPr>
                      <w:rFonts w:hint="eastAsia" w:ascii="Times New Roman" w:eastAsiaTheme="minorEastAsia"/>
                      <w:kern w:val="2"/>
                      <w:sz w:val="21"/>
                      <w:szCs w:val="21"/>
                      <w:lang w:val="en-US" w:eastAsia="zh-CN"/>
                    </w:rPr>
                    <w:t>参照点</w:t>
                  </w:r>
                </w:p>
              </w:tc>
              <w:tc>
                <w:tcPr>
                  <w:tcW w:w="835" w:type="dxa"/>
                  <w:tcBorders>
                    <w:tl2br w:val="nil"/>
                    <w:tr2bl w:val="nil"/>
                  </w:tcBorders>
                  <w:shd w:val="clear" w:color="auto" w:fill="auto"/>
                  <w:vAlign w:val="center"/>
                </w:tcPr>
                <w:p w14:paraId="473C1662">
                  <w:pPr>
                    <w:spacing w:line="0" w:lineRule="atLeast"/>
                    <w:jc w:val="center"/>
                    <w:rPr>
                      <w:rFonts w:hint="default" w:ascii="Times New Roman" w:eastAsiaTheme="minorEastAsia"/>
                      <w:color w:val="000000"/>
                      <w:kern w:val="2"/>
                      <w:sz w:val="21"/>
                      <w:szCs w:val="21"/>
                      <w:lang w:val="en-US" w:eastAsia="zh-CN" w:bidi="ar-SA"/>
                    </w:rPr>
                  </w:pPr>
                  <w:r>
                    <w:rPr>
                      <w:rFonts w:hint="eastAsia" w:ascii="Times New Roman" w:eastAsiaTheme="minorEastAsia"/>
                      <w:color w:val="000000"/>
                      <w:sz w:val="21"/>
                      <w:szCs w:val="21"/>
                      <w:lang w:val="en-US" w:eastAsia="zh-CN"/>
                    </w:rPr>
                    <w:t>86.260697</w:t>
                  </w:r>
                </w:p>
              </w:tc>
              <w:tc>
                <w:tcPr>
                  <w:tcW w:w="835" w:type="dxa"/>
                  <w:tcBorders>
                    <w:tl2br w:val="nil"/>
                    <w:tr2bl w:val="nil"/>
                  </w:tcBorders>
                  <w:shd w:val="clear" w:color="auto" w:fill="auto"/>
                  <w:vAlign w:val="center"/>
                </w:tcPr>
                <w:p w14:paraId="67EABF56">
                  <w:pPr>
                    <w:spacing w:line="0" w:lineRule="atLeast"/>
                    <w:jc w:val="center"/>
                    <w:rPr>
                      <w:rFonts w:hint="default" w:ascii="Times New Roman" w:eastAsiaTheme="minorEastAsia"/>
                      <w:color w:val="000000"/>
                      <w:kern w:val="2"/>
                      <w:sz w:val="21"/>
                      <w:szCs w:val="21"/>
                      <w:lang w:val="en-US" w:eastAsia="zh-CN" w:bidi="ar-SA"/>
                    </w:rPr>
                  </w:pPr>
                  <w:r>
                    <w:rPr>
                      <w:rFonts w:hint="eastAsia" w:ascii="Times New Roman" w:eastAsiaTheme="minorEastAsia"/>
                      <w:color w:val="000000"/>
                      <w:sz w:val="21"/>
                      <w:szCs w:val="21"/>
                      <w:lang w:val="en-US" w:eastAsia="zh-CN"/>
                    </w:rPr>
                    <w:t>41.828017</w:t>
                  </w:r>
                </w:p>
              </w:tc>
              <w:tc>
                <w:tcPr>
                  <w:tcW w:w="700" w:type="dxa"/>
                  <w:tcBorders>
                    <w:tl2br w:val="nil"/>
                    <w:tr2bl w:val="nil"/>
                  </w:tcBorders>
                  <w:shd w:val="clear" w:color="auto" w:fill="auto"/>
                  <w:vAlign w:val="center"/>
                </w:tcPr>
                <w:p w14:paraId="5DEABB70">
                  <w:pPr>
                    <w:spacing w:line="0" w:lineRule="atLeast"/>
                    <w:jc w:val="center"/>
                    <w:rPr>
                      <w:rFonts w:ascii="Times New Roman"/>
                      <w:kern w:val="2"/>
                      <w:sz w:val="21"/>
                      <w:szCs w:val="21"/>
                      <w:lang w:val="en-US" w:eastAsia="zh-CN" w:bidi="ar-SA"/>
                    </w:rPr>
                  </w:pPr>
                  <w:r>
                    <w:rPr>
                      <w:rFonts w:hint="eastAsia" w:ascii="Times New Roman" w:eastAsiaTheme="minorEastAsia"/>
                      <w:kern w:val="2"/>
                      <w:sz w:val="21"/>
                      <w:szCs w:val="21"/>
                      <w:lang w:val="en-US" w:eastAsia="zh-CN"/>
                    </w:rPr>
                    <w:t>总悬浮颗粒物</w:t>
                  </w:r>
                </w:p>
              </w:tc>
              <w:tc>
                <w:tcPr>
                  <w:tcW w:w="982" w:type="dxa"/>
                  <w:tcBorders>
                    <w:tl2br w:val="nil"/>
                    <w:tr2bl w:val="nil"/>
                  </w:tcBorders>
                  <w:shd w:val="clear" w:color="auto" w:fill="auto"/>
                  <w:vAlign w:val="center"/>
                </w:tcPr>
                <w:p w14:paraId="63BA76F1">
                  <w:pPr>
                    <w:spacing w:line="0" w:lineRule="atLeast"/>
                    <w:jc w:val="center"/>
                    <w:rPr>
                      <w:rFonts w:ascii="Times New Roman" w:eastAsiaTheme="minorEastAsia"/>
                      <w:color w:val="000000"/>
                      <w:kern w:val="2"/>
                      <w:sz w:val="21"/>
                      <w:szCs w:val="21"/>
                      <w:lang w:val="en-US" w:eastAsia="zh-CN" w:bidi="ar-SA"/>
                    </w:rPr>
                  </w:pPr>
                  <w:r>
                    <w:rPr>
                      <w:rFonts w:hint="eastAsia" w:ascii="Times New Roman" w:eastAsiaTheme="minorEastAsia"/>
                      <w:color w:val="000000"/>
                      <w:sz w:val="21"/>
                      <w:szCs w:val="21"/>
                    </w:rPr>
                    <w:t>300</w:t>
                  </w:r>
                </w:p>
              </w:tc>
              <w:tc>
                <w:tcPr>
                  <w:tcW w:w="1032" w:type="dxa"/>
                  <w:tcBorders>
                    <w:tl2br w:val="nil"/>
                    <w:tr2bl w:val="nil"/>
                  </w:tcBorders>
                  <w:shd w:val="clear" w:color="auto" w:fill="auto"/>
                  <w:vAlign w:val="center"/>
                </w:tcPr>
                <w:p w14:paraId="4B0A5C8A">
                  <w:pPr>
                    <w:spacing w:line="0" w:lineRule="atLeast"/>
                    <w:jc w:val="center"/>
                    <w:rPr>
                      <w:rFonts w:hint="default" w:ascii="Times New Roman" w:eastAsiaTheme="minorEastAsia"/>
                      <w:color w:val="000000"/>
                      <w:kern w:val="2"/>
                      <w:sz w:val="21"/>
                      <w:szCs w:val="21"/>
                      <w:lang w:val="en-US" w:eastAsia="zh-CN" w:bidi="ar-SA"/>
                    </w:rPr>
                  </w:pPr>
                  <w:r>
                    <w:rPr>
                      <w:rFonts w:hint="eastAsia" w:ascii="Times New Roman" w:eastAsiaTheme="minorEastAsia"/>
                      <w:color w:val="000000"/>
                      <w:sz w:val="21"/>
                      <w:szCs w:val="21"/>
                      <w:lang w:val="en-US" w:eastAsia="zh-CN"/>
                    </w:rPr>
                    <w:t>187</w:t>
                  </w:r>
                  <w:r>
                    <w:rPr>
                      <w:rFonts w:hint="eastAsia" w:ascii="Times New Roman" w:eastAsiaTheme="minorEastAsia"/>
                      <w:color w:val="000000"/>
                      <w:sz w:val="21"/>
                      <w:szCs w:val="21"/>
                    </w:rPr>
                    <w:t>-2</w:t>
                  </w:r>
                  <w:r>
                    <w:rPr>
                      <w:rFonts w:hint="eastAsia" w:ascii="Times New Roman" w:eastAsiaTheme="minorEastAsia"/>
                      <w:color w:val="000000"/>
                      <w:sz w:val="21"/>
                      <w:szCs w:val="21"/>
                      <w:lang w:val="en-US" w:eastAsia="zh-CN"/>
                    </w:rPr>
                    <w:t>06</w:t>
                  </w:r>
                </w:p>
              </w:tc>
              <w:tc>
                <w:tcPr>
                  <w:tcW w:w="855" w:type="dxa"/>
                  <w:tcBorders>
                    <w:tl2br w:val="nil"/>
                    <w:tr2bl w:val="nil"/>
                  </w:tcBorders>
                  <w:shd w:val="clear" w:color="auto" w:fill="auto"/>
                  <w:vAlign w:val="center"/>
                </w:tcPr>
                <w:p w14:paraId="53A0E3B5">
                  <w:pPr>
                    <w:spacing w:line="0" w:lineRule="atLeast"/>
                    <w:jc w:val="center"/>
                    <w:rPr>
                      <w:rFonts w:hint="default" w:ascii="Times New Roman" w:eastAsiaTheme="minorEastAsia"/>
                      <w:color w:val="000000"/>
                      <w:kern w:val="2"/>
                      <w:sz w:val="21"/>
                      <w:szCs w:val="21"/>
                      <w:lang w:val="en-US" w:eastAsia="zh-CN" w:bidi="ar-SA"/>
                    </w:rPr>
                  </w:pPr>
                  <w:r>
                    <w:rPr>
                      <w:rFonts w:hint="eastAsia" w:ascii="Times New Roman" w:eastAsiaTheme="minorEastAsia"/>
                      <w:color w:val="000000"/>
                      <w:sz w:val="21"/>
                      <w:szCs w:val="21"/>
                      <w:lang w:val="en-US" w:eastAsia="zh-CN"/>
                    </w:rPr>
                    <w:t>68.7</w:t>
                  </w:r>
                </w:p>
              </w:tc>
              <w:tc>
                <w:tcPr>
                  <w:tcW w:w="906" w:type="dxa"/>
                  <w:tcBorders>
                    <w:tl2br w:val="nil"/>
                    <w:tr2bl w:val="nil"/>
                  </w:tcBorders>
                  <w:vAlign w:val="center"/>
                </w:tcPr>
                <w:p w14:paraId="56109B48">
                  <w:pPr>
                    <w:spacing w:line="0" w:lineRule="atLeast"/>
                    <w:jc w:val="center"/>
                    <w:rPr>
                      <w:rFonts w:ascii="Times New Roman" w:eastAsiaTheme="minorEastAsia"/>
                      <w:color w:val="000000"/>
                      <w:sz w:val="21"/>
                      <w:szCs w:val="21"/>
                    </w:rPr>
                  </w:pPr>
                  <w:r>
                    <w:rPr>
                      <w:rFonts w:hint="eastAsia" w:ascii="Times New Roman" w:eastAsiaTheme="minorEastAsia"/>
                      <w:color w:val="000000"/>
                      <w:sz w:val="21"/>
                      <w:szCs w:val="21"/>
                    </w:rPr>
                    <w:t>0</w:t>
                  </w:r>
                </w:p>
              </w:tc>
              <w:tc>
                <w:tcPr>
                  <w:tcW w:w="906" w:type="dxa"/>
                  <w:tcBorders>
                    <w:tl2br w:val="nil"/>
                    <w:tr2bl w:val="nil"/>
                  </w:tcBorders>
                  <w:vAlign w:val="center"/>
                </w:tcPr>
                <w:p w14:paraId="1F76023B">
                  <w:pPr>
                    <w:spacing w:line="0" w:lineRule="atLeast"/>
                    <w:jc w:val="center"/>
                    <w:rPr>
                      <w:rFonts w:ascii="Times New Roman" w:eastAsiaTheme="minorEastAsia"/>
                      <w:color w:val="000000"/>
                      <w:sz w:val="21"/>
                      <w:szCs w:val="21"/>
                    </w:rPr>
                  </w:pPr>
                  <w:r>
                    <w:rPr>
                      <w:rFonts w:hint="eastAsia" w:ascii="Times New Roman" w:eastAsiaTheme="minorEastAsia"/>
                      <w:color w:val="000000"/>
                      <w:sz w:val="21"/>
                      <w:szCs w:val="21"/>
                    </w:rPr>
                    <w:t>达标</w:t>
                  </w:r>
                </w:p>
              </w:tc>
            </w:tr>
          </w:tbl>
          <w:p w14:paraId="0D04C190">
            <w:pPr>
              <w:spacing w:line="360" w:lineRule="auto"/>
              <w:ind w:firstLine="480" w:firstLineChars="200"/>
              <w:rPr>
                <w:rFonts w:hint="eastAsia" w:ascii="Times New Roman" w:hAnsi="Times New Roman" w:eastAsia="宋体" w:cs="Times New Roman"/>
                <w:snapToGrid/>
                <w:color w:val="000000"/>
                <w:kern w:val="0"/>
                <w:sz w:val="24"/>
                <w:szCs w:val="24"/>
                <w:highlight w:val="none"/>
                <w:lang w:val="en-US" w:eastAsia="zh-CN" w:bidi="ar"/>
              </w:rPr>
            </w:pPr>
            <w:r>
              <w:rPr>
                <w:rFonts w:hint="eastAsia" w:cs="Times New Roman"/>
                <w:snapToGrid/>
                <w:color w:val="000000"/>
                <w:kern w:val="0"/>
                <w:sz w:val="24"/>
                <w:szCs w:val="24"/>
                <w:highlight w:val="none"/>
                <w:lang w:val="en-US" w:eastAsia="zh-CN" w:bidi="ar"/>
              </w:rPr>
              <w:t>本项目引用数</w:t>
            </w:r>
            <w:r>
              <w:rPr>
                <w:rFonts w:hint="eastAsia" w:ascii="Times New Roman" w:hAnsi="Times New Roman" w:eastAsia="宋体" w:cs="Times New Roman"/>
                <w:color w:val="000000"/>
                <w:sz w:val="24"/>
                <w:highlight w:val="none"/>
                <w:lang w:val="en-US" w:eastAsia="zh-CN"/>
              </w:rPr>
              <w:t>据</w:t>
            </w:r>
            <w:r>
              <w:rPr>
                <w:rFonts w:hint="eastAsia" w:ascii="Times New Roman" w:hAnsi="Times New Roman" w:eastAsia="宋体" w:cs="Times New Roman"/>
                <w:snapToGrid/>
                <w:color w:val="000000"/>
                <w:kern w:val="0"/>
                <w:sz w:val="24"/>
                <w:szCs w:val="24"/>
                <w:highlight w:val="none"/>
                <w:lang w:val="en-US" w:eastAsia="zh-CN" w:bidi="ar"/>
              </w:rPr>
              <w:t>为2024年4月监测，</w:t>
            </w:r>
            <w:r>
              <w:rPr>
                <w:rFonts w:hint="default" w:ascii="Times New Roman" w:hAnsi="Times New Roman" w:eastAsia="宋体" w:cs="Times New Roman"/>
                <w:snapToGrid/>
                <w:color w:val="000000"/>
                <w:kern w:val="0"/>
                <w:sz w:val="24"/>
                <w:szCs w:val="24"/>
                <w:highlight w:val="none"/>
                <w:lang w:val="en-US" w:eastAsia="zh-CN" w:bidi="ar"/>
              </w:rPr>
              <w:t>《环境空气质量标准》（GB3095-20</w:t>
            </w:r>
            <w:r>
              <w:rPr>
                <w:rFonts w:hint="eastAsia" w:ascii="Times New Roman" w:hAnsi="Times New Roman" w:eastAsia="宋体" w:cs="Times New Roman"/>
                <w:snapToGrid/>
                <w:color w:val="000000"/>
                <w:kern w:val="0"/>
                <w:sz w:val="24"/>
                <w:szCs w:val="24"/>
                <w:highlight w:val="none"/>
                <w:lang w:val="en-US" w:eastAsia="zh-CN" w:bidi="ar"/>
              </w:rPr>
              <w:t>26</w:t>
            </w:r>
            <w:r>
              <w:rPr>
                <w:rFonts w:hint="default" w:ascii="Times New Roman" w:hAnsi="Times New Roman" w:eastAsia="宋体" w:cs="Times New Roman"/>
                <w:snapToGrid/>
                <w:color w:val="000000"/>
                <w:kern w:val="0"/>
                <w:sz w:val="24"/>
                <w:szCs w:val="24"/>
                <w:highlight w:val="none"/>
                <w:lang w:val="en-US" w:eastAsia="zh-CN" w:bidi="ar"/>
              </w:rPr>
              <w:t>）</w:t>
            </w:r>
            <w:r>
              <w:rPr>
                <w:rFonts w:hint="eastAsia" w:ascii="Times New Roman" w:hAnsi="Times New Roman" w:eastAsia="宋体" w:cs="Times New Roman"/>
                <w:snapToGrid/>
                <w:color w:val="000000"/>
                <w:kern w:val="0"/>
                <w:sz w:val="24"/>
                <w:szCs w:val="24"/>
                <w:highlight w:val="none"/>
                <w:lang w:val="en-US" w:eastAsia="zh-CN" w:bidi="ar"/>
              </w:rPr>
              <w:t>未实施，即</w:t>
            </w:r>
            <w:r>
              <w:rPr>
                <w:rFonts w:hint="default" w:ascii="Times New Roman" w:hAnsi="Times New Roman" w:eastAsia="宋体" w:cs="Times New Roman"/>
                <w:snapToGrid/>
                <w:color w:val="000000"/>
                <w:kern w:val="0"/>
                <w:sz w:val="24"/>
                <w:szCs w:val="24"/>
                <w:highlight w:val="none"/>
                <w:lang w:val="en-US" w:eastAsia="zh-CN" w:bidi="ar"/>
              </w:rPr>
              <w:t>从表</w:t>
            </w:r>
            <w:r>
              <w:rPr>
                <w:rFonts w:hint="eastAsia" w:ascii="Times New Roman" w:hAnsi="Times New Roman" w:eastAsia="宋体" w:cs="Times New Roman"/>
                <w:snapToGrid/>
                <w:color w:val="000000"/>
                <w:kern w:val="0"/>
                <w:sz w:val="24"/>
                <w:szCs w:val="24"/>
                <w:highlight w:val="none"/>
                <w:lang w:val="en-US" w:eastAsia="zh-CN" w:bidi="ar"/>
              </w:rPr>
              <w:t>3-3</w:t>
            </w:r>
            <w:r>
              <w:rPr>
                <w:rFonts w:hint="default" w:ascii="Times New Roman" w:hAnsi="Times New Roman" w:eastAsia="宋体" w:cs="Times New Roman"/>
                <w:snapToGrid/>
                <w:color w:val="000000"/>
                <w:kern w:val="0"/>
                <w:sz w:val="24"/>
                <w:szCs w:val="24"/>
                <w:highlight w:val="none"/>
                <w:lang w:val="en-US" w:eastAsia="zh-CN" w:bidi="ar"/>
              </w:rPr>
              <w:t>的分析结果可知，项目所在区域</w:t>
            </w:r>
            <w:r>
              <w:rPr>
                <w:rFonts w:hint="eastAsia" w:ascii="Times New Roman" w:hAnsi="Times New Roman" w:eastAsia="宋体" w:cs="Times New Roman"/>
                <w:snapToGrid/>
                <w:color w:val="000000"/>
                <w:kern w:val="0"/>
                <w:sz w:val="24"/>
                <w:szCs w:val="24"/>
                <w:highlight w:val="none"/>
                <w:lang w:val="en-US" w:eastAsia="zh-CN" w:bidi="ar"/>
              </w:rPr>
              <w:t>总悬浮颗粒物</w:t>
            </w:r>
            <w:r>
              <w:rPr>
                <w:rFonts w:hint="default" w:ascii="Times New Roman" w:hAnsi="Times New Roman" w:eastAsia="宋体" w:cs="Times New Roman"/>
                <w:snapToGrid/>
                <w:color w:val="000000"/>
                <w:kern w:val="0"/>
                <w:sz w:val="24"/>
                <w:szCs w:val="24"/>
                <w:highlight w:val="none"/>
                <w:lang w:val="en-US" w:eastAsia="zh-CN" w:bidi="ar"/>
              </w:rPr>
              <w:t>环境质量现状可满足《环境空气质量标准》（</w:t>
            </w:r>
            <w:r>
              <w:rPr>
                <w:rFonts w:hint="eastAsia" w:cs="Times New Roman"/>
                <w:snapToGrid/>
                <w:color w:val="000000"/>
                <w:kern w:val="0"/>
                <w:sz w:val="24"/>
                <w:szCs w:val="24"/>
                <w:highlight w:val="none"/>
                <w:lang w:val="en-US" w:eastAsia="zh-CN" w:bidi="ar"/>
              </w:rPr>
              <w:t>GB3095-2026</w:t>
            </w:r>
            <w:r>
              <w:rPr>
                <w:rFonts w:hint="default" w:ascii="Times New Roman" w:hAnsi="Times New Roman" w:eastAsia="宋体" w:cs="Times New Roman"/>
                <w:snapToGrid/>
                <w:color w:val="000000"/>
                <w:kern w:val="0"/>
                <w:sz w:val="24"/>
                <w:szCs w:val="24"/>
                <w:highlight w:val="none"/>
                <w:lang w:val="en-US" w:eastAsia="zh-CN" w:bidi="ar"/>
              </w:rPr>
              <w:t>）表2中限值要求。</w:t>
            </w:r>
          </w:p>
          <w:p w14:paraId="0B342E08">
            <w:pPr>
              <w:spacing w:line="360" w:lineRule="auto"/>
              <w:rPr>
                <w:rFonts w:hint="eastAsia"/>
                <w:sz w:val="24"/>
                <w:szCs w:val="24"/>
                <w:lang w:val="en-US" w:eastAsia="zh-CN"/>
              </w:rPr>
            </w:pPr>
            <w:r>
              <w:rPr>
                <w:rFonts w:hint="eastAsia" w:ascii="宋体" w:hAnsi="宋体" w:cs="宋体"/>
                <w:b/>
                <w:sz w:val="24"/>
              </w:rPr>
              <w:t>二、地表水环境质量现状调查与评价</w:t>
            </w:r>
          </w:p>
          <w:p w14:paraId="241F801C">
            <w:pPr>
              <w:keepNext w:val="0"/>
              <w:pageBreakBefore w:val="0"/>
              <w:kinsoku/>
              <w:wordWrap/>
              <w:overflowPunct/>
              <w:topLinePunct w:val="0"/>
              <w:autoSpaceDE/>
              <w:autoSpaceDN/>
              <w:bidi w:val="0"/>
              <w:adjustRightInd w:val="0"/>
              <w:snapToGrid w:val="0"/>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根据《202</w:t>
            </w:r>
            <w:r>
              <w:rPr>
                <w:rFonts w:hint="eastAsia" w:cs="Times New Roman"/>
                <w:sz w:val="24"/>
                <w:szCs w:val="24"/>
                <w:lang w:val="en-US" w:eastAsia="zh-CN"/>
              </w:rPr>
              <w:t>4</w:t>
            </w:r>
            <w:r>
              <w:rPr>
                <w:rFonts w:hint="eastAsia" w:ascii="Times New Roman" w:hAnsi="Times New Roman" w:eastAsia="宋体" w:cs="Times New Roman"/>
                <w:sz w:val="24"/>
                <w:szCs w:val="24"/>
                <w:lang w:val="en-US" w:eastAsia="zh-CN"/>
              </w:rPr>
              <w:t>年巴音郭楞蒙古自治州生态环境状况公报》，我州境内河流及湖泊属内陆水系。全州有大小河流759条，其中主要河流有开都河、孔雀河、塔里木河、车尔臣河、迪那河、黄水沟；主要湖库有博斯腾湖、大石门水库、大西海子水库和西尼尔水库。</w:t>
            </w:r>
          </w:p>
          <w:p w14:paraId="193E1E16">
            <w:pPr>
              <w:keepNext w:val="0"/>
              <w:pageBreakBefore w:val="0"/>
              <w:kinsoku/>
              <w:wordWrap/>
              <w:overflowPunct/>
              <w:topLinePunct w:val="0"/>
              <w:autoSpaceDE/>
              <w:autoSpaceDN/>
              <w:bidi w:val="0"/>
              <w:adjustRightInd w:val="0"/>
              <w:snapToGrid w:val="0"/>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地表水环境质量：2024年，全州地表水监测的31个考核断面（点位）中，Ⅰ~Ⅲ类优良水质断面（点位）占</w:t>
            </w:r>
            <w:r>
              <w:rPr>
                <w:rFonts w:hint="default" w:ascii="Times New Roman" w:hAnsi="Times New Roman" w:eastAsia="宋体" w:cs="Times New Roman"/>
                <w:sz w:val="24"/>
                <w:szCs w:val="24"/>
                <w:lang w:val="en-US" w:eastAsia="zh-CN"/>
              </w:rPr>
              <w:t>比90.3</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，无Ⅳ类水质。6条主要河流19个监测断面中Ⅰ~Ⅲ类优良水质断面占100</w:t>
            </w:r>
            <w:r>
              <w:rPr>
                <w:rFonts w:hint="eastAsia" w:ascii="Times New Roman" w:hAnsi="Times New Roman" w:eastAsia="宋体" w:cs="Times New Roman"/>
                <w:sz w:val="24"/>
                <w:szCs w:val="24"/>
                <w:lang w:val="en-US" w:eastAsia="zh-CN"/>
              </w:rPr>
              <w:t>%。</w:t>
            </w:r>
          </w:p>
          <w:p w14:paraId="369F96A5">
            <w:pPr>
              <w:keepNext w:val="0"/>
              <w:pageBreakBefore w:val="0"/>
              <w:kinsoku/>
              <w:wordWrap/>
              <w:overflowPunct/>
              <w:topLinePunct w:val="0"/>
              <w:autoSpaceDE/>
              <w:autoSpaceDN/>
              <w:bidi w:val="0"/>
              <w:adjustRightInd w:val="0"/>
              <w:snapToGrid w:val="0"/>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本项目区最近的地表水体为南侧0.99km的孔雀河。根据巴州人民政府发布的《202</w:t>
            </w:r>
            <w:r>
              <w:rPr>
                <w:rFonts w:hint="eastAsia" w:cs="Times New Roman"/>
                <w:sz w:val="24"/>
                <w:szCs w:val="24"/>
                <w:lang w:val="en-US" w:eastAsia="zh-CN"/>
              </w:rPr>
              <w:t>4</w:t>
            </w:r>
            <w:r>
              <w:rPr>
                <w:rFonts w:hint="eastAsia" w:ascii="Times New Roman" w:hAnsi="Times New Roman" w:eastAsia="宋体" w:cs="Times New Roman"/>
                <w:sz w:val="24"/>
                <w:szCs w:val="24"/>
                <w:lang w:val="en-US" w:eastAsia="zh-CN"/>
              </w:rPr>
              <w:t>年巴音郭楞蒙古自治州生态环境状况公报》可知，孔雀河水质满足《地表水环境质量标准》（GB3838-2002）Ⅱ类标准限值要求。</w:t>
            </w:r>
          </w:p>
          <w:p w14:paraId="770E2F2D">
            <w:pPr>
              <w:spacing w:line="360" w:lineRule="auto"/>
              <w:rPr>
                <w:rFonts w:hint="eastAsia"/>
                <w:bCs/>
                <w:sz w:val="24"/>
                <w:szCs w:val="20"/>
              </w:rPr>
            </w:pPr>
            <w:r>
              <w:rPr>
                <w:rFonts w:hint="eastAsia" w:ascii="宋体" w:hAnsi="宋体" w:cs="宋体"/>
                <w:b/>
                <w:sz w:val="24"/>
              </w:rPr>
              <w:t>三、地下水环境质量现状调查与评价</w:t>
            </w:r>
          </w:p>
          <w:p w14:paraId="60550EF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eastAsia="宋体" w:cs="Times New Roman"/>
                <w:b w:val="0"/>
                <w:bCs w:val="0"/>
                <w:color w:val="auto"/>
                <w:sz w:val="24"/>
                <w:szCs w:val="24"/>
                <w:highlight w:val="none"/>
                <w:lang w:eastAsia="zh-CN"/>
              </w:rPr>
            </w:pPr>
            <w:r>
              <w:rPr>
                <w:rFonts w:hint="default" w:ascii="Times New Roman" w:hAnsi="Times New Roman" w:eastAsia="宋体" w:cs="Times New Roman"/>
                <w:color w:val="000000"/>
                <w:sz w:val="24"/>
                <w:szCs w:val="24"/>
                <w:highlight w:val="none"/>
              </w:rPr>
              <w:t>根据</w:t>
            </w:r>
            <w:r>
              <w:rPr>
                <w:rFonts w:hint="eastAsia" w:eastAsia="宋体" w:cs="Times New Roman"/>
                <w:b w:val="0"/>
                <w:bCs w:val="0"/>
                <w:color w:val="auto"/>
                <w:sz w:val="24"/>
                <w:szCs w:val="24"/>
                <w:highlight w:val="none"/>
                <w:lang w:eastAsia="zh-CN"/>
              </w:rPr>
              <w:t>《建设项目环境影响报告表编制技术指南（污染影响类）</w:t>
            </w:r>
            <w:r>
              <w:rPr>
                <w:rFonts w:hint="eastAsia" w:cs="Times New Roman"/>
                <w:b w:val="0"/>
                <w:bCs w:val="0"/>
                <w:color w:val="auto"/>
                <w:sz w:val="24"/>
                <w:szCs w:val="24"/>
                <w:highlight w:val="none"/>
                <w:lang w:eastAsia="zh-CN"/>
              </w:rPr>
              <w:t>（试行）》</w:t>
            </w:r>
            <w:r>
              <w:rPr>
                <w:sz w:val="24"/>
                <w:szCs w:val="32"/>
                <w:highlight w:val="none"/>
              </w:rPr>
              <w:t>相关要求</w:t>
            </w:r>
            <w:r>
              <w:rPr>
                <w:rFonts w:hint="eastAsia"/>
                <w:sz w:val="24"/>
                <w:szCs w:val="32"/>
                <w:highlight w:val="none"/>
                <w:lang w:eastAsia="zh-CN"/>
              </w:rPr>
              <w:t>，</w:t>
            </w:r>
            <w:r>
              <w:rPr>
                <w:rFonts w:hint="eastAsia" w:ascii="新宋体" w:hAnsi="新宋体" w:eastAsia="新宋体" w:cs="新宋体"/>
                <w:color w:val="000000"/>
                <w:kern w:val="0"/>
                <w:sz w:val="24"/>
                <w:szCs w:val="20"/>
                <w:highlight w:val="none"/>
              </w:rPr>
              <w:t>原则上不开展环境质量现状调查。建设项目存在土壤、地下水环境污染途径的，应结合污染源、保护目标分布情况开展现状调查以留作背景值。建设项目存在土壤环境污染途径的，应结合污染源、保护目标分布情况开展现状调查以留作背景值。</w:t>
            </w:r>
            <w:r>
              <w:rPr>
                <w:sz w:val="24"/>
                <w:szCs w:val="32"/>
                <w:highlight w:val="none"/>
              </w:rPr>
              <w:t>本项目运营期不存在地下水环境污染途径，不开展现状调查。</w:t>
            </w:r>
          </w:p>
          <w:p w14:paraId="1A53553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sz w:val="24"/>
                <w:szCs w:val="24"/>
                <w:highlight w:val="none"/>
                <w:lang w:eastAsia="zh-CN"/>
              </w:rPr>
            </w:pPr>
            <w:r>
              <w:rPr>
                <w:rFonts w:hint="default" w:ascii="Times New Roman" w:hAnsi="Times New Roman" w:eastAsia="宋体" w:cs="Times New Roman"/>
                <w:color w:val="000000"/>
                <w:sz w:val="24"/>
                <w:szCs w:val="24"/>
                <w:highlight w:val="none"/>
              </w:rPr>
              <w:t>地下水导则附录A《地下水环境影响评价行业分类表》本项目行业类别为：</w:t>
            </w:r>
            <w:r>
              <w:rPr>
                <w:rFonts w:hint="eastAsia" w:ascii="Times New Roman" w:hAnsi="Times New Roman" w:eastAsia="宋体" w:cs="Times New Roman"/>
                <w:color w:val="000000"/>
                <w:sz w:val="24"/>
                <w:szCs w:val="24"/>
                <w:highlight w:val="none"/>
                <w:lang w:val="en-US" w:eastAsia="zh-CN"/>
              </w:rPr>
              <w:t>D煤炭</w:t>
            </w:r>
            <w:r>
              <w:rPr>
                <w:rFonts w:hint="default" w:ascii="Times New Roman" w:hAnsi="Times New Roman" w:eastAsia="宋体" w:cs="Times New Roman"/>
                <w:color w:val="000000"/>
                <w:sz w:val="24"/>
                <w:szCs w:val="24"/>
                <w:highlight w:val="none"/>
                <w:lang w:val="en-US" w:eastAsia="zh-CN"/>
              </w:rPr>
              <w:t>、</w:t>
            </w:r>
            <w:r>
              <w:rPr>
                <w:rFonts w:hint="eastAsia" w:ascii="Times New Roman" w:hAnsi="Times New Roman" w:eastAsia="宋体" w:cs="Times New Roman"/>
                <w:color w:val="000000"/>
                <w:sz w:val="24"/>
                <w:szCs w:val="24"/>
                <w:highlight w:val="none"/>
                <w:lang w:val="en-US" w:eastAsia="zh-CN"/>
              </w:rPr>
              <w:t>29、型煤、水煤浆生产</w:t>
            </w:r>
            <w:r>
              <w:rPr>
                <w:rFonts w:hint="default" w:ascii="Times New Roman" w:hAnsi="Times New Roman" w:eastAsia="宋体"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rPr>
              <w:t>地下水环境影响评价项目类别为Ⅳ类</w:t>
            </w:r>
            <w:r>
              <w:rPr>
                <w:rFonts w:hint="default" w:ascii="Times New Roman" w:hAnsi="Times New Roman" w:eastAsia="宋体" w:cs="Times New Roman"/>
                <w:color w:val="000000"/>
                <w:sz w:val="24"/>
                <w:szCs w:val="24"/>
                <w:highlight w:val="none"/>
                <w:lang w:eastAsia="zh-CN"/>
              </w:rPr>
              <w:t>。</w:t>
            </w:r>
          </w:p>
          <w:p w14:paraId="3C330563">
            <w:pPr>
              <w:spacing w:line="360" w:lineRule="auto"/>
              <w:ind w:firstLine="480" w:firstLineChars="200"/>
              <w:rPr>
                <w:rFonts w:hint="eastAsia" w:ascii="Times New Roman" w:hAnsi="Times New Roman" w:eastAsia="宋体" w:cs="Times New Roman"/>
                <w:bCs/>
                <w:sz w:val="24"/>
                <w:szCs w:val="20"/>
              </w:rPr>
            </w:pPr>
            <w:r>
              <w:rPr>
                <w:rFonts w:hint="default" w:ascii="Times New Roman" w:hAnsi="Times New Roman" w:eastAsia="宋体" w:cs="Times New Roman"/>
                <w:color w:val="000000"/>
                <w:sz w:val="24"/>
                <w:szCs w:val="24"/>
                <w:highlight w:val="none"/>
              </w:rPr>
              <w:t>根据中华人民共和国国家环境保护标准</w:t>
            </w:r>
            <w:r>
              <w:rPr>
                <w:rFonts w:hint="eastAsia" w:ascii="Times New Roman" w:hAnsi="Times New Roman" w:eastAsia="宋体"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HJ610-2016</w:t>
            </w:r>
            <w:r>
              <w:rPr>
                <w:rFonts w:hint="eastAsia" w:ascii="Times New Roman" w:hAnsi="Times New Roman" w:eastAsia="宋体"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《环境影响评价技术导则地下水环境》4.1一般性原则，Ⅳ类建设项目不开展地下水环境影响评价，故本项目不对地下水进行环境影响评价。</w:t>
            </w:r>
          </w:p>
          <w:p w14:paraId="4F8A46BB">
            <w:pPr>
              <w:spacing w:line="360" w:lineRule="auto"/>
              <w:rPr>
                <w:rFonts w:hint="eastAsia"/>
                <w:bCs/>
                <w:sz w:val="24"/>
                <w:szCs w:val="20"/>
              </w:rPr>
            </w:pPr>
            <w:r>
              <w:rPr>
                <w:rFonts w:hint="eastAsia" w:ascii="宋体" w:hAnsi="宋体" w:cs="宋体"/>
                <w:b/>
                <w:sz w:val="24"/>
              </w:rPr>
              <w:t>四、土壤环境质量现状调查与评价</w:t>
            </w:r>
          </w:p>
          <w:p w14:paraId="411E5980">
            <w:pPr>
              <w:spacing w:line="360" w:lineRule="auto"/>
              <w:ind w:firstLine="480" w:firstLineChars="200"/>
              <w:rPr>
                <w:rFonts w:hint="eastAsia" w:ascii="Times New Roman" w:hAnsi="Times New Roman" w:eastAsia="宋体" w:cs="Times New Roman"/>
                <w:bCs/>
                <w:sz w:val="24"/>
                <w:szCs w:val="20"/>
              </w:rPr>
            </w:pPr>
            <w:r>
              <w:rPr>
                <w:rFonts w:hint="default" w:ascii="Times New Roman" w:hAnsi="Times New Roman" w:eastAsia="宋体" w:cs="Times New Roman"/>
                <w:color w:val="000000"/>
                <w:kern w:val="0"/>
                <w:sz w:val="24"/>
                <w:szCs w:val="24"/>
                <w:highlight w:val="none"/>
                <w:lang w:val="en-US" w:eastAsia="zh-CN" w:bidi="ar"/>
              </w:rPr>
              <w:t>本建设项目在采取防渗措施后可杜绝土壤污染途径，</w:t>
            </w:r>
            <w:r>
              <w:rPr>
                <w:rFonts w:hint="eastAsia" w:ascii="Times New Roman" w:hAnsi="Times New Roman" w:eastAsia="宋体" w:cs="Times New Roman"/>
                <w:sz w:val="24"/>
                <w:lang w:eastAsia="zh-CN"/>
              </w:rPr>
              <w:t>根据《建设项目环境影响报告表编制技术指南（污染影响类）（试行）》，</w:t>
            </w:r>
            <w:r>
              <w:rPr>
                <w:rFonts w:hint="default" w:ascii="Times New Roman" w:hAnsi="Times New Roman" w:eastAsia="宋体" w:cs="Times New Roman"/>
                <w:color w:val="000000"/>
                <w:kern w:val="0"/>
                <w:sz w:val="24"/>
                <w:szCs w:val="24"/>
                <w:highlight w:val="none"/>
                <w:lang w:val="en-US" w:eastAsia="zh-CN" w:bidi="ar"/>
              </w:rPr>
              <w:t>并参考《环境影响评价技术导则土壤环境（试行）》（HJ964-2018）</w:t>
            </w:r>
            <w:r>
              <w:rPr>
                <w:rFonts w:hint="default" w:ascii="Times New Roman" w:hAnsi="Times New Roman" w:eastAsia="宋体" w:cs="Times New Roman"/>
                <w:color w:val="000000"/>
                <w:sz w:val="24"/>
                <w:szCs w:val="24"/>
                <w:highlight w:val="none"/>
                <w:lang w:val="en-US" w:eastAsia="zh-CN"/>
              </w:rPr>
              <w:t>中附录A：土壤环境影响评价项目类别可知，本项目属于“</w:t>
            </w:r>
            <w:r>
              <w:rPr>
                <w:rFonts w:hint="eastAsia" w:ascii="Times New Roman" w:hAnsi="Times New Roman" w:eastAsia="宋体" w:cs="Times New Roman"/>
                <w:color w:val="000000"/>
                <w:sz w:val="24"/>
                <w:szCs w:val="24"/>
                <w:highlight w:val="none"/>
                <w:lang w:val="en-US" w:eastAsia="zh-CN"/>
              </w:rPr>
              <w:t>其他行业</w:t>
            </w:r>
            <w:r>
              <w:rPr>
                <w:rFonts w:hint="default" w:ascii="Times New Roman" w:hAnsi="Times New Roman" w:eastAsia="宋体" w:cs="Times New Roman"/>
                <w:color w:val="000000"/>
                <w:sz w:val="24"/>
                <w:szCs w:val="24"/>
                <w:highlight w:val="none"/>
                <w:lang w:val="en-US" w:eastAsia="zh-CN"/>
              </w:rPr>
              <w:t>”项目，项目类别为</w:t>
            </w:r>
            <w:r>
              <w:rPr>
                <w:rFonts w:hint="default" w:ascii="Times New Roman" w:hAnsi="Times New Roman" w:eastAsia="宋体" w:cs="Times New Roman"/>
                <w:color w:val="000000"/>
                <w:sz w:val="24"/>
                <w:szCs w:val="24"/>
                <w:highlight w:val="none"/>
              </w:rPr>
              <w:t>Ⅳ</w:t>
            </w:r>
            <w:r>
              <w:rPr>
                <w:rFonts w:hint="default" w:ascii="Times New Roman" w:hAnsi="Times New Roman" w:eastAsia="宋体" w:cs="Times New Roman"/>
                <w:color w:val="000000"/>
                <w:sz w:val="24"/>
                <w:szCs w:val="24"/>
                <w:highlight w:val="none"/>
                <w:lang w:val="en-US" w:eastAsia="zh-CN"/>
              </w:rPr>
              <w:t>类。根据4.2评价基本任务中4.2.2，</w:t>
            </w:r>
            <w:r>
              <w:rPr>
                <w:rFonts w:hint="default" w:ascii="Times New Roman" w:hAnsi="Times New Roman" w:eastAsia="宋体" w:cs="Times New Roman"/>
                <w:color w:val="000000"/>
                <w:sz w:val="24"/>
                <w:szCs w:val="24"/>
                <w:highlight w:val="none"/>
              </w:rPr>
              <w:t>Ⅳ类建设项目不开展</w:t>
            </w:r>
            <w:r>
              <w:rPr>
                <w:rFonts w:hint="default" w:ascii="Times New Roman" w:hAnsi="Times New Roman" w:eastAsia="宋体" w:cs="Times New Roman"/>
                <w:color w:val="000000"/>
                <w:sz w:val="24"/>
                <w:szCs w:val="24"/>
                <w:highlight w:val="none"/>
                <w:lang w:val="en-US" w:eastAsia="zh-CN"/>
              </w:rPr>
              <w:t>土壤</w:t>
            </w:r>
            <w:r>
              <w:rPr>
                <w:rFonts w:hint="default" w:ascii="Times New Roman" w:hAnsi="Times New Roman" w:eastAsia="宋体" w:cs="Times New Roman"/>
                <w:color w:val="000000"/>
                <w:sz w:val="24"/>
                <w:szCs w:val="24"/>
                <w:highlight w:val="none"/>
              </w:rPr>
              <w:t>环境影响评价，故本项目不对</w:t>
            </w:r>
            <w:r>
              <w:rPr>
                <w:rFonts w:hint="default" w:ascii="Times New Roman" w:hAnsi="Times New Roman" w:eastAsia="宋体" w:cs="Times New Roman"/>
                <w:color w:val="000000"/>
                <w:sz w:val="24"/>
                <w:szCs w:val="24"/>
                <w:highlight w:val="none"/>
                <w:lang w:val="en-US" w:eastAsia="zh-CN"/>
              </w:rPr>
              <w:t>土壤</w:t>
            </w:r>
            <w:r>
              <w:rPr>
                <w:rFonts w:hint="default" w:ascii="Times New Roman" w:hAnsi="Times New Roman" w:eastAsia="宋体" w:cs="Times New Roman"/>
                <w:color w:val="000000"/>
                <w:sz w:val="24"/>
                <w:szCs w:val="24"/>
                <w:highlight w:val="none"/>
              </w:rPr>
              <w:t>进行环境影响评价</w:t>
            </w:r>
            <w:r>
              <w:rPr>
                <w:rFonts w:hint="default" w:ascii="Times New Roman" w:hAnsi="Times New Roman" w:eastAsia="宋体" w:cs="Times New Roman"/>
                <w:b w:val="0"/>
                <w:snapToGrid w:val="0"/>
                <w:color w:val="000000"/>
                <w:kern w:val="0"/>
                <w:sz w:val="24"/>
                <w:szCs w:val="24"/>
                <w:highlight w:val="none"/>
                <w:lang w:val="en-US" w:eastAsia="zh-CN"/>
              </w:rPr>
              <w:t>。</w:t>
            </w:r>
          </w:p>
          <w:p w14:paraId="196715B5">
            <w:pPr>
              <w:spacing w:line="360" w:lineRule="auto"/>
              <w:rPr>
                <w:rFonts w:hint="eastAsia"/>
                <w:bCs/>
                <w:sz w:val="24"/>
                <w:szCs w:val="20"/>
              </w:rPr>
            </w:pPr>
            <w:r>
              <w:rPr>
                <w:rFonts w:hint="eastAsia" w:ascii="宋体" w:hAnsi="宋体" w:cs="宋体"/>
                <w:b/>
                <w:sz w:val="24"/>
                <w:lang w:eastAsia="zh-CN"/>
              </w:rPr>
              <w:t>五</w:t>
            </w:r>
            <w:r>
              <w:rPr>
                <w:rFonts w:hint="eastAsia" w:ascii="宋体" w:hAnsi="宋体" w:cs="宋体"/>
                <w:b/>
                <w:sz w:val="24"/>
              </w:rPr>
              <w:t>、</w:t>
            </w:r>
            <w:r>
              <w:rPr>
                <w:rFonts w:hint="eastAsia" w:ascii="宋体" w:hAnsi="宋体" w:cs="宋体"/>
                <w:b/>
                <w:sz w:val="24"/>
                <w:lang w:eastAsia="zh-CN"/>
              </w:rPr>
              <w:t>声环境</w:t>
            </w:r>
            <w:r>
              <w:rPr>
                <w:rFonts w:hint="eastAsia" w:ascii="宋体" w:hAnsi="宋体" w:cs="宋体"/>
                <w:b/>
                <w:sz w:val="24"/>
              </w:rPr>
              <w:t>质量现状调查与评价</w:t>
            </w:r>
          </w:p>
          <w:p w14:paraId="46FF946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根据《建设项目环境影响报告表编制技术指南（污染影响类）（试行）》声环境要求</w:t>
            </w:r>
            <w:r>
              <w:rPr>
                <w:rFonts w:hint="eastAsia" w:cs="Times New Roman"/>
                <w:sz w:val="24"/>
                <w:lang w:eastAsia="zh-CN"/>
              </w:rPr>
              <w:t>，</w:t>
            </w:r>
            <w:r>
              <w:rPr>
                <w:rFonts w:hint="eastAsia" w:ascii="Times New Roman" w:hAnsi="Times New Roman" w:eastAsia="宋体" w:cs="Times New Roman"/>
                <w:sz w:val="24"/>
                <w:lang w:eastAsia="zh-CN"/>
              </w:rPr>
              <w:t>厂界外周边</w:t>
            </w:r>
            <w:r>
              <w:rPr>
                <w:rFonts w:hint="eastAsia" w:ascii="Times New Roman" w:hAnsi="Times New Roman" w:eastAsia="宋体" w:cs="Times New Roman"/>
                <w:sz w:val="24"/>
                <w:lang w:val="en-US" w:eastAsia="zh-CN"/>
              </w:rPr>
              <w:t>50米范围内存在声环境保护目标的建设项目，应监测保护目标声环境质量现状并评价达标情况，因本项目</w:t>
            </w:r>
            <w:r>
              <w:rPr>
                <w:rFonts w:hint="eastAsia" w:ascii="Times New Roman" w:hAnsi="Times New Roman" w:eastAsia="宋体" w:cs="Times New Roman"/>
                <w:sz w:val="24"/>
              </w:rPr>
              <w:t>厂界外50米范围内无声环境保护目标</w:t>
            </w:r>
            <w:r>
              <w:rPr>
                <w:rFonts w:hint="eastAsia" w:ascii="Times New Roman" w:hAnsi="Times New Roman" w:eastAsia="宋体" w:cs="Times New Roman"/>
                <w:sz w:val="24"/>
                <w:lang w:eastAsia="zh-CN"/>
              </w:rPr>
              <w:t>，故</w:t>
            </w:r>
            <w:r>
              <w:rPr>
                <w:rFonts w:hint="default" w:ascii="Times New Roman" w:hAnsi="Times New Roman" w:eastAsia="宋体" w:cs="Times New Roman"/>
                <w:sz w:val="24"/>
              </w:rPr>
              <w:t>本项目不开展</w:t>
            </w:r>
            <w:r>
              <w:rPr>
                <w:rFonts w:hint="eastAsia" w:ascii="Times New Roman" w:hAnsi="Times New Roman" w:eastAsia="宋体" w:cs="Times New Roman"/>
                <w:sz w:val="24"/>
                <w:lang w:eastAsia="zh-CN"/>
              </w:rPr>
              <w:t>声环境影响</w:t>
            </w:r>
            <w:r>
              <w:rPr>
                <w:rFonts w:hint="default" w:ascii="Times New Roman" w:hAnsi="Times New Roman" w:eastAsia="宋体" w:cs="Times New Roman"/>
                <w:sz w:val="24"/>
              </w:rPr>
              <w:t>评价工作</w:t>
            </w:r>
            <w:r>
              <w:rPr>
                <w:rFonts w:hint="eastAsia" w:ascii="Times New Roman" w:hAnsi="Times New Roman" w:eastAsia="宋体" w:cs="Times New Roman"/>
                <w:sz w:val="24"/>
                <w:lang w:eastAsia="zh-CN"/>
              </w:rPr>
              <w:t>。</w:t>
            </w:r>
          </w:p>
          <w:p w14:paraId="7971695F">
            <w:pPr>
              <w:spacing w:line="360" w:lineRule="auto"/>
              <w:rPr>
                <w:rFonts w:hint="eastAsia" w:ascii="宋体" w:hAnsi="宋体" w:eastAsia="宋体" w:cs="宋体"/>
                <w:b/>
                <w:sz w:val="24"/>
                <w:lang w:eastAsia="zh-CN"/>
              </w:rPr>
            </w:pPr>
            <w:r>
              <w:rPr>
                <w:rFonts w:hint="eastAsia" w:ascii="宋体" w:hAnsi="宋体" w:eastAsia="宋体" w:cs="宋体"/>
                <w:b/>
                <w:sz w:val="24"/>
                <w:lang w:eastAsia="zh-CN"/>
              </w:rPr>
              <w:t>六、生态环境现状评价</w:t>
            </w:r>
          </w:p>
          <w:p w14:paraId="7463D9BA">
            <w:pPr>
              <w:adjustRightInd w:val="0"/>
              <w:snapToGrid w:val="0"/>
              <w:spacing w:line="360" w:lineRule="auto"/>
              <w:ind w:firstLine="480" w:firstLineChars="200"/>
              <w:jc w:val="both"/>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根据现场调查，本项目用地范围内无自然保护区、其他名胜古迹、地质遗迹、地质公园及风景旅游景点，不含生态环境保护目标。根据《建设项目环境影响报告表编制技术指南（污染影响类）（试行）》可知：项目用地范围内不含生态环境保护目标的，无需进行生态现状调查。</w:t>
            </w:r>
          </w:p>
          <w:p w14:paraId="33C91916">
            <w:pPr>
              <w:pStyle w:val="3"/>
              <w:suppressLineNumbers w:val="0"/>
              <w:bidi w:val="0"/>
              <w:spacing w:before="0" w:beforeAutospacing="0" w:after="0" w:afterAutospacing="0"/>
              <w:ind w:left="0" w:right="0"/>
              <w:rPr>
                <w:rFonts w:hint="eastAsia"/>
                <w:lang w:val="en-US" w:eastAsia="zh-CN"/>
              </w:rPr>
            </w:pPr>
            <w:r>
              <w:rPr>
                <w:rFonts w:hint="eastAsia"/>
                <w:lang w:val="en-US" w:eastAsia="zh-CN"/>
              </w:rPr>
              <w:t>七、土地沙化现状</w:t>
            </w:r>
          </w:p>
          <w:p w14:paraId="121D6BEC">
            <w:pPr>
              <w:pStyle w:val="24"/>
              <w:spacing w:line="360" w:lineRule="auto"/>
              <w:ind w:left="0" w:leftChars="0" w:firstLine="480" w:firstLineChars="200"/>
              <w:rPr>
                <w:rFonts w:hint="default"/>
                <w:b/>
                <w:bCs/>
                <w:sz w:val="21"/>
                <w:szCs w:val="21"/>
                <w:lang w:val="en-US" w:eastAsia="zh-CN"/>
              </w:rPr>
            </w:pPr>
            <w:r>
              <w:rPr>
                <w:rFonts w:hint="eastAsia"/>
                <w:lang w:val="en-US" w:eastAsia="zh-CN"/>
              </w:rPr>
              <w:t>根据《新疆维吾尔自治区第六次沙化监测沙化土地分布图》（2021年）及对照《新疆维吾尔自治区防沙治沙规划》（2021-2030）、新疆维吾尔自治区土地沙化程度分布图，项目区属于非沙化土地。详情见附图4。</w:t>
            </w:r>
          </w:p>
        </w:tc>
      </w:tr>
      <w:tr w14:paraId="491768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800" w:type="dxa"/>
            <w:noWrap w:val="0"/>
            <w:vAlign w:val="center"/>
          </w:tcPr>
          <w:p w14:paraId="06674E14">
            <w:pPr>
              <w:adjustRightInd w:val="0"/>
              <w:snapToGrid w:val="0"/>
              <w:jc w:val="center"/>
              <w:rPr>
                <w:rFonts w:hint="eastAsia" w:ascii="宋体" w:hAnsi="宋体" w:cs="宋体"/>
                <w:kern w:val="0"/>
                <w:szCs w:val="21"/>
              </w:rPr>
            </w:pPr>
            <w:r>
              <w:rPr>
                <w:rFonts w:hint="eastAsia" w:ascii="宋体" w:hAnsi="宋体" w:cs="宋体"/>
                <w:kern w:val="0"/>
                <w:szCs w:val="21"/>
              </w:rPr>
              <w:t>环境</w:t>
            </w:r>
          </w:p>
          <w:p w14:paraId="1472AC39">
            <w:pPr>
              <w:adjustRightInd w:val="0"/>
              <w:snapToGrid w:val="0"/>
              <w:jc w:val="center"/>
              <w:rPr>
                <w:rFonts w:hint="eastAsia" w:ascii="宋体" w:hAnsi="宋体" w:cs="宋体"/>
                <w:kern w:val="0"/>
                <w:szCs w:val="21"/>
              </w:rPr>
            </w:pPr>
            <w:r>
              <w:rPr>
                <w:rFonts w:hint="eastAsia" w:ascii="宋体" w:hAnsi="宋体" w:cs="宋体"/>
                <w:kern w:val="0"/>
                <w:szCs w:val="21"/>
              </w:rPr>
              <w:t>保护</w:t>
            </w:r>
          </w:p>
          <w:p w14:paraId="151F247F">
            <w:pPr>
              <w:adjustRightInd w:val="0"/>
              <w:snapToGrid w:val="0"/>
              <w:jc w:val="center"/>
              <w:rPr>
                <w:rFonts w:hint="eastAsia" w:ascii="宋体" w:hAnsi="宋体" w:cs="宋体"/>
                <w:kern w:val="0"/>
                <w:szCs w:val="21"/>
              </w:rPr>
            </w:pPr>
            <w:r>
              <w:rPr>
                <w:rFonts w:hint="eastAsia" w:ascii="宋体" w:hAnsi="宋体" w:cs="宋体"/>
                <w:kern w:val="0"/>
                <w:szCs w:val="21"/>
              </w:rPr>
              <w:t>目标</w:t>
            </w:r>
          </w:p>
        </w:tc>
        <w:tc>
          <w:tcPr>
            <w:tcW w:w="8190" w:type="dxa"/>
            <w:noWrap w:val="0"/>
            <w:vAlign w:val="center"/>
          </w:tcPr>
          <w:p w14:paraId="3D0C8E2F">
            <w:pPr>
              <w:spacing w:line="360" w:lineRule="auto"/>
              <w:rPr>
                <w:rFonts w:hint="eastAsia"/>
                <w:b/>
                <w:sz w:val="24"/>
              </w:rPr>
            </w:pPr>
            <w:r>
              <w:rPr>
                <w:rFonts w:hint="eastAsia"/>
                <w:b/>
                <w:sz w:val="24"/>
                <w:lang w:eastAsia="zh-CN"/>
              </w:rPr>
              <w:t>1.</w:t>
            </w:r>
            <w:r>
              <w:rPr>
                <w:rFonts w:hint="eastAsia"/>
                <w:b/>
                <w:sz w:val="24"/>
              </w:rPr>
              <w:t>大气环境</w:t>
            </w:r>
          </w:p>
          <w:p w14:paraId="514AD4FE">
            <w:pPr>
              <w:spacing w:line="360" w:lineRule="auto"/>
              <w:ind w:firstLine="480" w:firstLineChars="200"/>
              <w:rPr>
                <w:rFonts w:hint="eastAsia"/>
                <w:bCs/>
                <w:sz w:val="24"/>
              </w:rPr>
            </w:pPr>
            <w:r>
              <w:rPr>
                <w:rFonts w:hint="eastAsia" w:ascii="宋体" w:hAnsi="宋体" w:cs="宋体"/>
                <w:sz w:val="24"/>
              </w:rPr>
              <w:t>本项目厂界外500m范围内无自然保护区、风景名胜区、居住区、文化区和农村地区中人群较集中的区域等保护目标</w:t>
            </w:r>
            <w:r>
              <w:rPr>
                <w:rFonts w:ascii="宋体" w:hAnsi="宋体" w:cs="宋体"/>
                <w:sz w:val="24"/>
              </w:rPr>
              <w:t>。</w:t>
            </w:r>
          </w:p>
          <w:p w14:paraId="0E81A681">
            <w:pPr>
              <w:spacing w:line="360" w:lineRule="auto"/>
              <w:rPr>
                <w:rFonts w:hint="eastAsia"/>
                <w:b/>
                <w:sz w:val="24"/>
              </w:rPr>
            </w:pPr>
            <w:r>
              <w:rPr>
                <w:rFonts w:hint="eastAsia"/>
                <w:b/>
                <w:sz w:val="24"/>
                <w:lang w:eastAsia="zh-CN"/>
              </w:rPr>
              <w:t>2.</w:t>
            </w:r>
            <w:r>
              <w:rPr>
                <w:rFonts w:hint="eastAsia"/>
                <w:b/>
                <w:sz w:val="24"/>
              </w:rPr>
              <w:t>声环境</w:t>
            </w:r>
          </w:p>
          <w:p w14:paraId="06762AF3">
            <w:pPr>
              <w:spacing w:line="360" w:lineRule="auto"/>
              <w:ind w:firstLine="480" w:firstLineChars="200"/>
              <w:rPr>
                <w:rFonts w:hint="eastAsia"/>
                <w:bCs/>
                <w:sz w:val="24"/>
              </w:rPr>
            </w:pPr>
            <w:r>
              <w:rPr>
                <w:rFonts w:hint="eastAsia"/>
                <w:bCs/>
                <w:sz w:val="24"/>
              </w:rPr>
              <w:t>本项目厂界外50米范围内无声环境保护目标。</w:t>
            </w:r>
          </w:p>
          <w:p w14:paraId="12E0186F">
            <w:pPr>
              <w:spacing w:line="360" w:lineRule="auto"/>
              <w:rPr>
                <w:rFonts w:hint="eastAsia"/>
                <w:b/>
                <w:sz w:val="24"/>
              </w:rPr>
            </w:pPr>
            <w:r>
              <w:rPr>
                <w:rFonts w:hint="eastAsia"/>
                <w:b/>
                <w:sz w:val="24"/>
                <w:lang w:eastAsia="zh-CN"/>
              </w:rPr>
              <w:t>3.</w:t>
            </w:r>
            <w:r>
              <w:rPr>
                <w:rFonts w:hint="eastAsia"/>
                <w:b/>
                <w:sz w:val="24"/>
              </w:rPr>
              <w:t>地下水环境</w:t>
            </w:r>
          </w:p>
          <w:p w14:paraId="6BDB6701">
            <w:pPr>
              <w:spacing w:line="360" w:lineRule="auto"/>
              <w:ind w:firstLine="480" w:firstLineChars="200"/>
              <w:rPr>
                <w:rFonts w:hint="eastAsia"/>
                <w:bCs/>
                <w:sz w:val="24"/>
              </w:rPr>
            </w:pPr>
            <w:r>
              <w:rPr>
                <w:rFonts w:hint="eastAsia"/>
                <w:bCs/>
                <w:sz w:val="24"/>
              </w:rPr>
              <w:t>本项目厂界外500m范围内无地下水集中式</w:t>
            </w:r>
            <w:r>
              <w:rPr>
                <w:rFonts w:hint="eastAsia"/>
                <w:bCs/>
                <w:sz w:val="24"/>
                <w:lang w:eastAsia="zh-CN"/>
              </w:rPr>
              <w:t>饮用水</w:t>
            </w:r>
            <w:r>
              <w:rPr>
                <w:rFonts w:hint="eastAsia"/>
                <w:bCs/>
                <w:sz w:val="24"/>
              </w:rPr>
              <w:t>水源和热水、矿泉水、温泉等特殊地下水资源。</w:t>
            </w:r>
          </w:p>
          <w:p w14:paraId="40F7CE31">
            <w:pPr>
              <w:spacing w:line="360" w:lineRule="auto"/>
              <w:rPr>
                <w:rFonts w:hint="eastAsia"/>
                <w:b/>
                <w:sz w:val="24"/>
              </w:rPr>
            </w:pPr>
            <w:r>
              <w:rPr>
                <w:rFonts w:hint="eastAsia"/>
                <w:b/>
                <w:sz w:val="24"/>
                <w:lang w:eastAsia="zh-CN"/>
              </w:rPr>
              <w:t>4.</w:t>
            </w:r>
            <w:r>
              <w:rPr>
                <w:rFonts w:hint="eastAsia"/>
                <w:b/>
                <w:sz w:val="24"/>
              </w:rPr>
              <w:t>生态环境</w:t>
            </w:r>
          </w:p>
          <w:p w14:paraId="63D26224">
            <w:pPr>
              <w:adjustRightInd w:val="0"/>
              <w:snapToGrid w:val="0"/>
              <w:spacing w:line="360" w:lineRule="auto"/>
              <w:ind w:firstLine="480" w:firstLineChars="200"/>
              <w:jc w:val="both"/>
              <w:rPr>
                <w:rFonts w:ascii="宋体" w:hAnsi="宋体" w:cs="宋体"/>
                <w:kern w:val="0"/>
                <w:sz w:val="24"/>
                <w:szCs w:val="24"/>
              </w:rPr>
            </w:pPr>
            <w:r>
              <w:rPr>
                <w:rFonts w:hint="eastAsia"/>
                <w:bCs/>
                <w:sz w:val="24"/>
              </w:rPr>
              <w:t>本项目选址于</w:t>
            </w:r>
            <w:r>
              <w:rPr>
                <w:rFonts w:hint="eastAsia"/>
                <w:bCs/>
                <w:sz w:val="24"/>
                <w:lang w:eastAsia="zh-CN"/>
              </w:rPr>
              <w:t>新疆</w:t>
            </w:r>
            <w:r>
              <w:rPr>
                <w:rFonts w:hint="eastAsia"/>
                <w:bCs/>
                <w:sz w:val="24"/>
                <w:lang w:val="en-US" w:eastAsia="zh-CN"/>
              </w:rPr>
              <w:t>库尔勒市</w:t>
            </w:r>
            <w:r>
              <w:rPr>
                <w:rFonts w:hint="eastAsia"/>
                <w:bCs/>
                <w:sz w:val="24"/>
                <w:lang w:eastAsia="zh-CN"/>
              </w:rPr>
              <w:t>塔什店镇内</w:t>
            </w:r>
            <w:r>
              <w:rPr>
                <w:rFonts w:hint="eastAsia"/>
                <w:bCs/>
                <w:sz w:val="24"/>
              </w:rPr>
              <w:t>，项目用地范围内无生态环境保护目标。</w:t>
            </w:r>
          </w:p>
        </w:tc>
      </w:tr>
      <w:tr w14:paraId="0E2F8F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94" w:hRule="atLeast"/>
          <w:jc w:val="center"/>
        </w:trPr>
        <w:tc>
          <w:tcPr>
            <w:tcW w:w="800" w:type="dxa"/>
            <w:noWrap w:val="0"/>
            <w:tcMar>
              <w:left w:w="28" w:type="dxa"/>
              <w:right w:w="28" w:type="dxa"/>
            </w:tcMar>
            <w:vAlign w:val="center"/>
          </w:tcPr>
          <w:p w14:paraId="6FC6525F">
            <w:pPr>
              <w:adjustRightInd w:val="0"/>
              <w:snapToGrid w:val="0"/>
              <w:jc w:val="center"/>
              <w:rPr>
                <w:rFonts w:hint="eastAsia" w:ascii="宋体" w:hAnsi="宋体" w:cs="宋体"/>
                <w:kern w:val="0"/>
                <w:szCs w:val="21"/>
              </w:rPr>
            </w:pPr>
            <w:r>
              <w:rPr>
                <w:rFonts w:hint="eastAsia" w:ascii="宋体" w:hAnsi="宋体" w:cs="宋体"/>
                <w:kern w:val="0"/>
                <w:szCs w:val="21"/>
              </w:rPr>
              <w:t>污染</w:t>
            </w:r>
          </w:p>
          <w:p w14:paraId="02AC87F8">
            <w:pPr>
              <w:adjustRightInd w:val="0"/>
              <w:snapToGrid w:val="0"/>
              <w:jc w:val="center"/>
              <w:rPr>
                <w:rFonts w:hint="eastAsia" w:ascii="宋体" w:hAnsi="宋体" w:cs="宋体"/>
                <w:kern w:val="0"/>
                <w:szCs w:val="21"/>
              </w:rPr>
            </w:pPr>
            <w:r>
              <w:rPr>
                <w:rFonts w:hint="eastAsia" w:ascii="宋体" w:hAnsi="宋体" w:cs="宋体"/>
                <w:kern w:val="0"/>
                <w:szCs w:val="21"/>
              </w:rPr>
              <w:t>物排</w:t>
            </w:r>
          </w:p>
          <w:p w14:paraId="7386FF80">
            <w:pPr>
              <w:adjustRightInd w:val="0"/>
              <w:snapToGrid w:val="0"/>
              <w:jc w:val="center"/>
              <w:rPr>
                <w:rFonts w:hint="eastAsia" w:ascii="宋体" w:hAnsi="宋体" w:cs="宋体"/>
                <w:kern w:val="0"/>
                <w:szCs w:val="21"/>
              </w:rPr>
            </w:pPr>
            <w:r>
              <w:rPr>
                <w:rFonts w:hint="eastAsia" w:ascii="宋体" w:hAnsi="宋体" w:cs="宋体"/>
                <w:kern w:val="0"/>
                <w:szCs w:val="21"/>
              </w:rPr>
              <w:t>放控</w:t>
            </w:r>
          </w:p>
          <w:p w14:paraId="7045B462">
            <w:pPr>
              <w:adjustRightInd w:val="0"/>
              <w:snapToGrid w:val="0"/>
              <w:jc w:val="center"/>
              <w:rPr>
                <w:rFonts w:hint="eastAsia" w:ascii="宋体" w:hAnsi="宋体" w:cs="宋体"/>
                <w:kern w:val="0"/>
                <w:szCs w:val="21"/>
              </w:rPr>
            </w:pPr>
            <w:r>
              <w:rPr>
                <w:rFonts w:hint="eastAsia" w:ascii="宋体" w:hAnsi="宋体" w:cs="宋体"/>
                <w:kern w:val="0"/>
                <w:szCs w:val="21"/>
              </w:rPr>
              <w:t>制标</w:t>
            </w:r>
          </w:p>
          <w:p w14:paraId="56CE2155">
            <w:pPr>
              <w:adjustRightInd w:val="0"/>
              <w:snapToGrid w:val="0"/>
              <w:jc w:val="center"/>
              <w:rPr>
                <w:rFonts w:ascii="宋体" w:hAnsi="宋体" w:cs="宋体"/>
                <w:kern w:val="0"/>
                <w:szCs w:val="21"/>
              </w:rPr>
            </w:pPr>
            <w:r>
              <w:rPr>
                <w:rFonts w:hint="eastAsia" w:ascii="宋体" w:hAnsi="宋体" w:cs="宋体"/>
                <w:kern w:val="0"/>
                <w:szCs w:val="21"/>
              </w:rPr>
              <w:t>准</w:t>
            </w:r>
          </w:p>
        </w:tc>
        <w:tc>
          <w:tcPr>
            <w:tcW w:w="8190" w:type="dxa"/>
            <w:noWrap w:val="0"/>
            <w:vAlign w:val="center"/>
          </w:tcPr>
          <w:p w14:paraId="246DEA42">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val="0"/>
                <w:color w:val="000000"/>
                <w:kern w:val="0"/>
                <w:sz w:val="24"/>
                <w:szCs w:val="24"/>
                <w:highlight w:val="none"/>
                <w:lang w:eastAsia="zh-CN"/>
              </w:rPr>
            </w:pPr>
            <w:r>
              <w:rPr>
                <w:rFonts w:hint="eastAsia" w:ascii="Times New Roman" w:hAnsi="Times New Roman" w:eastAsia="宋体" w:cs="Times New Roman"/>
                <w:b/>
                <w:bCs w:val="0"/>
                <w:color w:val="000000"/>
                <w:kern w:val="0"/>
                <w:sz w:val="24"/>
                <w:szCs w:val="24"/>
                <w:highlight w:val="none"/>
                <w:lang w:val="en-US" w:eastAsia="zh-CN"/>
              </w:rPr>
              <w:t>一</w:t>
            </w:r>
            <w:r>
              <w:rPr>
                <w:rFonts w:hint="default" w:ascii="Times New Roman" w:hAnsi="Times New Roman" w:eastAsia="宋体" w:cs="Times New Roman"/>
                <w:b/>
                <w:bCs w:val="0"/>
                <w:color w:val="000000"/>
                <w:kern w:val="0"/>
                <w:sz w:val="24"/>
                <w:szCs w:val="24"/>
                <w:highlight w:val="none"/>
                <w:lang w:val="en-US" w:eastAsia="zh-CN"/>
              </w:rPr>
              <w:t>、</w:t>
            </w:r>
            <w:r>
              <w:rPr>
                <w:rFonts w:hint="default" w:ascii="Times New Roman" w:hAnsi="Times New Roman" w:eastAsia="宋体" w:cs="Times New Roman"/>
                <w:b/>
                <w:bCs w:val="0"/>
                <w:color w:val="000000"/>
                <w:kern w:val="0"/>
                <w:sz w:val="24"/>
                <w:szCs w:val="24"/>
                <w:highlight w:val="none"/>
                <w:lang w:eastAsia="zh-CN"/>
              </w:rPr>
              <w:t>施工期</w:t>
            </w:r>
          </w:p>
          <w:p w14:paraId="5626F77D">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color w:val="000000"/>
                <w:kern w:val="0"/>
                <w:sz w:val="24"/>
                <w:szCs w:val="24"/>
                <w:highlight w:val="none"/>
                <w:lang w:eastAsia="zh-CN"/>
              </w:rPr>
            </w:pPr>
            <w:r>
              <w:rPr>
                <w:rFonts w:hint="default" w:ascii="Times New Roman" w:hAnsi="Times New Roman" w:eastAsia="宋体" w:cs="Times New Roman"/>
                <w:b w:val="0"/>
                <w:bCs/>
                <w:color w:val="000000"/>
                <w:kern w:val="0"/>
                <w:sz w:val="24"/>
                <w:szCs w:val="24"/>
                <w:highlight w:val="none"/>
                <w:lang w:eastAsia="zh-CN"/>
              </w:rPr>
              <w:t>（1）废气</w:t>
            </w:r>
          </w:p>
          <w:p w14:paraId="2B0F521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000000"/>
                <w:kern w:val="0"/>
                <w:sz w:val="24"/>
                <w:szCs w:val="24"/>
                <w:highlight w:val="none"/>
              </w:rPr>
            </w:pPr>
            <w:r>
              <w:rPr>
                <w:rFonts w:hint="default" w:ascii="Times New Roman" w:hAnsi="Times New Roman" w:eastAsia="宋体" w:cs="Times New Roman"/>
                <w:bCs/>
                <w:color w:val="000000"/>
                <w:kern w:val="0"/>
                <w:sz w:val="24"/>
                <w:szCs w:val="24"/>
                <w:highlight w:val="none"/>
              </w:rPr>
              <w:t>本项目</w:t>
            </w:r>
            <w:r>
              <w:rPr>
                <w:rFonts w:hint="default" w:ascii="Times New Roman" w:hAnsi="Times New Roman" w:eastAsia="宋体" w:cs="Times New Roman"/>
                <w:bCs/>
                <w:color w:val="000000"/>
                <w:kern w:val="0"/>
                <w:sz w:val="24"/>
                <w:szCs w:val="24"/>
                <w:highlight w:val="none"/>
                <w:lang w:eastAsia="zh-CN"/>
              </w:rPr>
              <w:t>施工扬尘</w:t>
            </w:r>
            <w:r>
              <w:rPr>
                <w:rFonts w:hint="default" w:ascii="Times New Roman" w:hAnsi="Times New Roman" w:eastAsia="宋体" w:cs="Times New Roman"/>
                <w:bCs/>
                <w:color w:val="000000"/>
                <w:kern w:val="0"/>
                <w:sz w:val="24"/>
                <w:szCs w:val="24"/>
                <w:highlight w:val="none"/>
              </w:rPr>
              <w:t>执行《大气污染物综合排放标准》</w:t>
            </w:r>
            <w:r>
              <w:rPr>
                <w:rFonts w:hint="default" w:ascii="Times New Roman" w:hAnsi="Times New Roman" w:eastAsia="宋体" w:cs="Times New Roman"/>
                <w:bCs/>
                <w:color w:val="000000"/>
                <w:kern w:val="0"/>
                <w:sz w:val="24"/>
                <w:szCs w:val="24"/>
                <w:highlight w:val="none"/>
                <w:lang w:eastAsia="zh-CN"/>
              </w:rPr>
              <w:t>（</w:t>
            </w:r>
            <w:r>
              <w:rPr>
                <w:rFonts w:hint="default" w:ascii="Times New Roman" w:hAnsi="Times New Roman" w:eastAsia="宋体" w:cs="Times New Roman"/>
                <w:bCs/>
                <w:color w:val="000000"/>
                <w:kern w:val="0"/>
                <w:sz w:val="24"/>
                <w:szCs w:val="24"/>
                <w:highlight w:val="none"/>
              </w:rPr>
              <w:t>GB16297-1996</w:t>
            </w:r>
            <w:r>
              <w:rPr>
                <w:rFonts w:hint="default" w:ascii="Times New Roman" w:hAnsi="Times New Roman" w:eastAsia="宋体" w:cs="Times New Roman"/>
                <w:bCs/>
                <w:color w:val="000000"/>
                <w:kern w:val="0"/>
                <w:sz w:val="24"/>
                <w:szCs w:val="24"/>
                <w:highlight w:val="none"/>
                <w:lang w:eastAsia="zh-CN"/>
              </w:rPr>
              <w:t>）</w:t>
            </w:r>
            <w:r>
              <w:rPr>
                <w:rFonts w:hint="default" w:ascii="Times New Roman" w:hAnsi="Times New Roman" w:eastAsia="宋体" w:cs="Times New Roman"/>
                <w:bCs/>
                <w:color w:val="000000"/>
                <w:kern w:val="0"/>
                <w:sz w:val="24"/>
                <w:szCs w:val="24"/>
                <w:highlight w:val="none"/>
              </w:rPr>
              <w:t>表2中</w:t>
            </w:r>
            <w:r>
              <w:rPr>
                <w:rFonts w:hint="default" w:ascii="Times New Roman" w:hAnsi="Times New Roman" w:eastAsia="宋体" w:cs="Times New Roman"/>
                <w:bCs/>
                <w:color w:val="000000"/>
                <w:kern w:val="0"/>
                <w:sz w:val="24"/>
                <w:szCs w:val="24"/>
                <w:highlight w:val="none"/>
                <w:lang w:eastAsia="zh-CN"/>
              </w:rPr>
              <w:t>无组织排放监控浓度限值</w:t>
            </w:r>
            <w:r>
              <w:rPr>
                <w:rFonts w:hint="default" w:ascii="Times New Roman" w:hAnsi="Times New Roman" w:eastAsia="宋体" w:cs="Times New Roman"/>
                <w:bCs/>
                <w:color w:val="000000"/>
                <w:kern w:val="0"/>
                <w:sz w:val="24"/>
                <w:szCs w:val="24"/>
                <w:highlight w:val="none"/>
              </w:rPr>
              <w:t>要求</w:t>
            </w:r>
            <w:r>
              <w:rPr>
                <w:rFonts w:hint="default" w:ascii="Times New Roman" w:hAnsi="Times New Roman" w:eastAsia="宋体" w:cs="Times New Roman"/>
                <w:bCs/>
                <w:color w:val="000000"/>
                <w:kern w:val="0"/>
                <w:sz w:val="24"/>
                <w:szCs w:val="24"/>
                <w:highlight w:val="none"/>
                <w:lang w:eastAsia="zh-CN"/>
              </w:rPr>
              <w:t>，</w:t>
            </w:r>
            <w:r>
              <w:rPr>
                <w:rFonts w:hint="default" w:ascii="Times New Roman" w:hAnsi="Times New Roman" w:eastAsia="宋体" w:cs="Times New Roman"/>
                <w:bCs/>
                <w:color w:val="000000"/>
                <w:kern w:val="0"/>
                <w:sz w:val="24"/>
                <w:szCs w:val="24"/>
                <w:highlight w:val="none"/>
              </w:rPr>
              <w:t>具体见</w:t>
            </w:r>
            <w:bookmarkStart w:id="2" w:name="_Ref379546700"/>
            <w:r>
              <w:rPr>
                <w:rFonts w:hint="default" w:ascii="Times New Roman" w:hAnsi="Times New Roman" w:eastAsia="宋体" w:cs="Times New Roman"/>
                <w:bCs/>
                <w:color w:val="000000"/>
                <w:kern w:val="0"/>
                <w:sz w:val="24"/>
                <w:szCs w:val="24"/>
                <w:highlight w:val="none"/>
              </w:rPr>
              <w:t>表</w:t>
            </w:r>
            <w:bookmarkStart w:id="3" w:name="_Ref396828303"/>
            <w:r>
              <w:rPr>
                <w:rFonts w:hint="eastAsia" w:ascii="Times New Roman" w:hAnsi="Times New Roman" w:eastAsia="宋体" w:cs="Times New Roman"/>
                <w:bCs/>
                <w:color w:val="000000"/>
                <w:kern w:val="0"/>
                <w:sz w:val="24"/>
                <w:szCs w:val="24"/>
                <w:highlight w:val="none"/>
                <w:lang w:val="en-US" w:eastAsia="zh-CN"/>
              </w:rPr>
              <w:t>3-3</w:t>
            </w:r>
            <w:r>
              <w:rPr>
                <w:rFonts w:hint="default" w:ascii="Times New Roman" w:hAnsi="Times New Roman" w:eastAsia="宋体" w:cs="Times New Roman"/>
                <w:bCs/>
                <w:color w:val="000000"/>
                <w:kern w:val="0"/>
                <w:sz w:val="24"/>
                <w:szCs w:val="24"/>
                <w:highlight w:val="none"/>
              </w:rPr>
              <w:t>。</w:t>
            </w:r>
          </w:p>
          <w:p w14:paraId="0DF3619F">
            <w:pPr>
              <w:keepNext w:val="0"/>
              <w:keepLines w:val="0"/>
              <w:pageBreakBefore w:val="0"/>
              <w:widowControl w:val="0"/>
              <w:kinsoku/>
              <w:wordWrap/>
              <w:overflowPunct/>
              <w:topLinePunct w:val="0"/>
              <w:autoSpaceDE/>
              <w:autoSpaceDN/>
              <w:bidi w:val="0"/>
              <w:adjustRightInd w:val="0"/>
              <w:snapToGrid w:val="0"/>
              <w:ind w:firstLine="422" w:firstLineChars="200"/>
              <w:jc w:val="center"/>
              <w:textAlignment w:val="auto"/>
              <w:rPr>
                <w:rFonts w:hint="default" w:ascii="Times New Roman" w:hAnsi="Times New Roman" w:eastAsia="宋体" w:cs="Times New Roman"/>
                <w:b/>
                <w:bCs/>
                <w:color w:val="000000"/>
                <w:sz w:val="21"/>
                <w:szCs w:val="21"/>
                <w:highlight w:val="none"/>
                <w:lang w:val="en-US" w:eastAsia="zh-CN"/>
              </w:rPr>
            </w:pPr>
            <w:r>
              <w:rPr>
                <w:rFonts w:hint="default" w:ascii="Times New Roman" w:hAnsi="Times New Roman" w:eastAsia="宋体" w:cs="Times New Roman"/>
                <w:b/>
                <w:bCs/>
                <w:color w:val="000000"/>
                <w:sz w:val="21"/>
                <w:szCs w:val="21"/>
                <w:highlight w:val="none"/>
                <w:lang w:val="en-US" w:eastAsia="zh-CN"/>
              </w:rPr>
              <w:t>表</w:t>
            </w:r>
            <w:bookmarkEnd w:id="2"/>
            <w:bookmarkEnd w:id="3"/>
            <w:r>
              <w:rPr>
                <w:rFonts w:hint="eastAsia" w:ascii="Times New Roman" w:hAnsi="Times New Roman" w:eastAsia="宋体" w:cs="Times New Roman"/>
                <w:b/>
                <w:bCs/>
                <w:color w:val="000000"/>
                <w:sz w:val="21"/>
                <w:szCs w:val="21"/>
                <w:highlight w:val="none"/>
                <w:lang w:val="en-US" w:eastAsia="zh-CN"/>
              </w:rPr>
              <w:t xml:space="preserve">3-3 </w:t>
            </w:r>
            <w:r>
              <w:rPr>
                <w:rFonts w:hint="default" w:ascii="Times New Roman" w:hAnsi="Times New Roman" w:eastAsia="宋体" w:cs="Times New Roman"/>
                <w:b/>
                <w:bCs/>
                <w:color w:val="000000"/>
                <w:sz w:val="21"/>
                <w:szCs w:val="21"/>
                <w:highlight w:val="none"/>
                <w:lang w:val="en-US" w:eastAsia="zh-CN"/>
              </w:rPr>
              <w:t>大气污染物排放标准</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452"/>
              <w:gridCol w:w="3588"/>
              <w:gridCol w:w="2931"/>
            </w:tblGrid>
            <w:tr w14:paraId="2C9A610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10" w:type="pct"/>
                  <w:vMerge w:val="restart"/>
                  <w:noWrap w:val="0"/>
                  <w:vAlign w:val="center"/>
                </w:tcPr>
                <w:p w14:paraId="5E89DBCD">
                  <w:pPr>
                    <w:jc w:val="center"/>
                    <w:rPr>
                      <w:rFonts w:hint="default" w:ascii="Times New Roman" w:hAnsi="Times New Roman" w:eastAsia="宋体" w:cs="Times New Roman"/>
                      <w:b w:val="0"/>
                      <w:bCs w:val="0"/>
                      <w:color w:val="000000"/>
                      <w:sz w:val="21"/>
                      <w:szCs w:val="21"/>
                      <w:highlight w:val="none"/>
                      <w:lang w:val="en-US" w:eastAsia="zh-CN" w:bidi="ar"/>
                    </w:rPr>
                  </w:pPr>
                  <w:r>
                    <w:rPr>
                      <w:rFonts w:hint="default" w:ascii="Times New Roman" w:hAnsi="Times New Roman" w:eastAsia="宋体" w:cs="Times New Roman"/>
                      <w:b w:val="0"/>
                      <w:bCs w:val="0"/>
                      <w:color w:val="000000"/>
                      <w:sz w:val="21"/>
                      <w:szCs w:val="21"/>
                      <w:highlight w:val="none"/>
                      <w:lang w:val="en-US" w:eastAsia="zh-CN" w:bidi="ar"/>
                    </w:rPr>
                    <w:t>污染物</w:t>
                  </w:r>
                </w:p>
              </w:tc>
              <w:tc>
                <w:tcPr>
                  <w:tcW w:w="2250" w:type="pct"/>
                  <w:noWrap w:val="0"/>
                  <w:vAlign w:val="center"/>
                </w:tcPr>
                <w:p w14:paraId="40C71C34">
                  <w:pPr>
                    <w:jc w:val="center"/>
                    <w:rPr>
                      <w:rFonts w:hint="default" w:ascii="Times New Roman" w:hAnsi="Times New Roman" w:eastAsia="宋体" w:cs="Times New Roman"/>
                      <w:b w:val="0"/>
                      <w:bCs w:val="0"/>
                      <w:color w:val="000000"/>
                      <w:sz w:val="21"/>
                      <w:szCs w:val="21"/>
                      <w:highlight w:val="none"/>
                      <w:lang w:val="en-US" w:eastAsia="zh-CN" w:bidi="ar"/>
                    </w:rPr>
                  </w:pPr>
                  <w:r>
                    <w:rPr>
                      <w:rFonts w:hint="default" w:ascii="Times New Roman" w:hAnsi="Times New Roman" w:eastAsia="宋体" w:cs="Times New Roman"/>
                      <w:b w:val="0"/>
                      <w:bCs w:val="0"/>
                      <w:color w:val="000000"/>
                      <w:sz w:val="21"/>
                      <w:szCs w:val="21"/>
                      <w:highlight w:val="none"/>
                      <w:lang w:val="en-US" w:eastAsia="zh-CN" w:bidi="ar"/>
                    </w:rPr>
                    <w:t>标准限值</w:t>
                  </w:r>
                </w:p>
              </w:tc>
              <w:tc>
                <w:tcPr>
                  <w:tcW w:w="1838" w:type="pct"/>
                  <w:vMerge w:val="restart"/>
                  <w:noWrap w:val="0"/>
                  <w:vAlign w:val="center"/>
                </w:tcPr>
                <w:p w14:paraId="64ECCD72">
                  <w:pPr>
                    <w:jc w:val="center"/>
                    <w:rPr>
                      <w:rFonts w:hint="default" w:ascii="Times New Roman" w:hAnsi="Times New Roman" w:eastAsia="宋体" w:cs="Times New Roman"/>
                      <w:b w:val="0"/>
                      <w:bCs w:val="0"/>
                      <w:color w:val="000000"/>
                      <w:sz w:val="21"/>
                      <w:szCs w:val="21"/>
                      <w:highlight w:val="none"/>
                      <w:lang w:val="en-US" w:eastAsia="zh-CN" w:bidi="ar"/>
                    </w:rPr>
                  </w:pPr>
                  <w:r>
                    <w:rPr>
                      <w:rFonts w:hint="default" w:ascii="Times New Roman" w:hAnsi="Times New Roman" w:eastAsia="宋体" w:cs="Times New Roman"/>
                      <w:b w:val="0"/>
                      <w:bCs w:val="0"/>
                      <w:color w:val="000000"/>
                      <w:sz w:val="21"/>
                      <w:szCs w:val="21"/>
                      <w:highlight w:val="none"/>
                      <w:lang w:val="en-US" w:eastAsia="zh-CN" w:bidi="ar"/>
                    </w:rPr>
                    <w:t>执行标准</w:t>
                  </w:r>
                </w:p>
              </w:tc>
            </w:tr>
            <w:tr w14:paraId="11035F4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10" w:type="pct"/>
                  <w:vMerge w:val="continue"/>
                  <w:noWrap w:val="0"/>
                  <w:vAlign w:val="center"/>
                </w:tcPr>
                <w:p w14:paraId="407B8487">
                  <w:pPr>
                    <w:jc w:val="center"/>
                    <w:rPr>
                      <w:rFonts w:hint="default" w:ascii="Times New Roman" w:hAnsi="Times New Roman" w:eastAsia="宋体" w:cs="Times New Roman"/>
                      <w:b w:val="0"/>
                      <w:bCs w:val="0"/>
                      <w:color w:val="000000"/>
                      <w:sz w:val="21"/>
                      <w:szCs w:val="21"/>
                      <w:highlight w:val="none"/>
                      <w:lang w:val="en-US" w:eastAsia="zh-CN" w:bidi="ar"/>
                    </w:rPr>
                  </w:pPr>
                </w:p>
              </w:tc>
              <w:tc>
                <w:tcPr>
                  <w:tcW w:w="2250" w:type="pct"/>
                  <w:noWrap w:val="0"/>
                  <w:vAlign w:val="center"/>
                </w:tcPr>
                <w:p w14:paraId="410D9269">
                  <w:pPr>
                    <w:jc w:val="center"/>
                    <w:rPr>
                      <w:rFonts w:hint="default" w:ascii="Times New Roman" w:hAnsi="Times New Roman" w:eastAsia="宋体" w:cs="Times New Roman"/>
                      <w:b w:val="0"/>
                      <w:bCs w:val="0"/>
                      <w:color w:val="000000"/>
                      <w:sz w:val="21"/>
                      <w:szCs w:val="21"/>
                      <w:highlight w:val="none"/>
                      <w:lang w:val="en-US" w:eastAsia="zh-CN" w:bidi="ar"/>
                    </w:rPr>
                  </w:pPr>
                  <w:r>
                    <w:rPr>
                      <w:rFonts w:hint="default" w:ascii="Times New Roman" w:hAnsi="Times New Roman" w:eastAsia="宋体" w:cs="Times New Roman"/>
                      <w:b w:val="0"/>
                      <w:bCs w:val="0"/>
                      <w:color w:val="000000"/>
                      <w:sz w:val="21"/>
                      <w:szCs w:val="21"/>
                      <w:highlight w:val="none"/>
                      <w:lang w:val="en-US" w:eastAsia="zh-CN" w:bidi="ar"/>
                    </w:rPr>
                    <w:t>无组织排放监控浓度限值</w:t>
                  </w:r>
                  <w:r>
                    <w:rPr>
                      <w:rFonts w:hint="eastAsia" w:ascii="Times New Roman" w:hAnsi="Times New Roman" w:eastAsia="宋体" w:cs="Times New Roman"/>
                      <w:b w:val="0"/>
                      <w:bCs w:val="0"/>
                      <w:color w:val="000000"/>
                      <w:sz w:val="21"/>
                      <w:szCs w:val="21"/>
                      <w:highlight w:val="none"/>
                      <w:lang w:val="en-US" w:eastAsia="zh-CN" w:bidi="ar"/>
                    </w:rPr>
                    <w:t>（</w:t>
                  </w:r>
                  <w:r>
                    <w:rPr>
                      <w:rFonts w:hint="default" w:ascii="Times New Roman" w:hAnsi="Times New Roman" w:eastAsia="宋体" w:cs="Times New Roman"/>
                      <w:b w:val="0"/>
                      <w:bCs w:val="0"/>
                      <w:color w:val="000000"/>
                      <w:sz w:val="21"/>
                      <w:szCs w:val="21"/>
                      <w:highlight w:val="none"/>
                      <w:lang w:val="en-US" w:eastAsia="zh-CN" w:bidi="ar"/>
                    </w:rPr>
                    <w:t>mg/m</w:t>
                  </w:r>
                  <w:r>
                    <w:rPr>
                      <w:rFonts w:hint="default" w:ascii="Times New Roman" w:hAnsi="Times New Roman" w:eastAsia="宋体" w:cs="Times New Roman"/>
                      <w:b w:val="0"/>
                      <w:bCs w:val="0"/>
                      <w:color w:val="000000"/>
                      <w:sz w:val="21"/>
                      <w:szCs w:val="21"/>
                      <w:highlight w:val="none"/>
                      <w:vertAlign w:val="superscript"/>
                      <w:lang w:val="en-US" w:eastAsia="zh-CN" w:bidi="ar"/>
                    </w:rPr>
                    <w:t>3</w:t>
                  </w:r>
                  <w:r>
                    <w:rPr>
                      <w:rFonts w:hint="eastAsia" w:ascii="Times New Roman" w:hAnsi="Times New Roman" w:eastAsia="宋体" w:cs="Times New Roman"/>
                      <w:b w:val="0"/>
                      <w:bCs w:val="0"/>
                      <w:color w:val="000000"/>
                      <w:sz w:val="21"/>
                      <w:szCs w:val="21"/>
                      <w:highlight w:val="none"/>
                      <w:vertAlign w:val="superscript"/>
                      <w:lang w:val="en-US" w:eastAsia="zh-CN" w:bidi="ar"/>
                    </w:rPr>
                    <w:t>）</w:t>
                  </w:r>
                </w:p>
              </w:tc>
              <w:tc>
                <w:tcPr>
                  <w:tcW w:w="1838" w:type="pct"/>
                  <w:vMerge w:val="continue"/>
                  <w:noWrap w:val="0"/>
                  <w:vAlign w:val="center"/>
                </w:tcPr>
                <w:p w14:paraId="6F306FEA">
                  <w:pPr>
                    <w:jc w:val="center"/>
                    <w:rPr>
                      <w:rFonts w:hint="default" w:ascii="Times New Roman" w:hAnsi="Times New Roman" w:eastAsia="宋体" w:cs="Times New Roman"/>
                      <w:b w:val="0"/>
                      <w:bCs w:val="0"/>
                      <w:color w:val="000000"/>
                      <w:sz w:val="21"/>
                      <w:szCs w:val="21"/>
                      <w:highlight w:val="none"/>
                      <w:lang w:val="en-US" w:eastAsia="zh-CN" w:bidi="ar"/>
                    </w:rPr>
                  </w:pPr>
                </w:p>
              </w:tc>
            </w:tr>
            <w:tr w14:paraId="14A1809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10" w:type="pct"/>
                  <w:noWrap w:val="0"/>
                  <w:vAlign w:val="center"/>
                </w:tcPr>
                <w:p w14:paraId="363375D3">
                  <w:pPr>
                    <w:jc w:val="center"/>
                    <w:rPr>
                      <w:rFonts w:hint="default" w:ascii="Times New Roman" w:hAnsi="Times New Roman" w:eastAsia="宋体" w:cs="Times New Roman"/>
                      <w:b w:val="0"/>
                      <w:bCs w:val="0"/>
                      <w:color w:val="000000"/>
                      <w:sz w:val="21"/>
                      <w:szCs w:val="21"/>
                      <w:highlight w:val="none"/>
                      <w:lang w:val="en-US" w:eastAsia="zh-CN" w:bidi="ar"/>
                    </w:rPr>
                  </w:pPr>
                  <w:r>
                    <w:rPr>
                      <w:rFonts w:hint="default" w:ascii="Times New Roman" w:hAnsi="Times New Roman" w:eastAsia="宋体" w:cs="Times New Roman"/>
                      <w:b w:val="0"/>
                      <w:bCs w:val="0"/>
                      <w:color w:val="000000"/>
                      <w:sz w:val="21"/>
                      <w:szCs w:val="21"/>
                      <w:highlight w:val="none"/>
                      <w:lang w:val="en-US" w:eastAsia="zh-CN" w:bidi="ar"/>
                    </w:rPr>
                    <w:t>颗粒物</w:t>
                  </w:r>
                </w:p>
              </w:tc>
              <w:tc>
                <w:tcPr>
                  <w:tcW w:w="2250" w:type="pct"/>
                  <w:noWrap w:val="0"/>
                  <w:vAlign w:val="center"/>
                </w:tcPr>
                <w:p w14:paraId="6DFB7DD8">
                  <w:pPr>
                    <w:jc w:val="center"/>
                    <w:rPr>
                      <w:rFonts w:hint="default" w:ascii="Times New Roman" w:hAnsi="Times New Roman" w:eastAsia="宋体" w:cs="Times New Roman"/>
                      <w:b w:val="0"/>
                      <w:bCs w:val="0"/>
                      <w:color w:val="000000"/>
                      <w:sz w:val="21"/>
                      <w:szCs w:val="21"/>
                      <w:highlight w:val="none"/>
                      <w:lang w:val="en-US" w:eastAsia="zh-CN" w:bidi="ar"/>
                    </w:rPr>
                  </w:pPr>
                  <w:r>
                    <w:rPr>
                      <w:rFonts w:hint="default" w:ascii="Times New Roman" w:hAnsi="Times New Roman" w:eastAsia="宋体" w:cs="Times New Roman"/>
                      <w:b w:val="0"/>
                      <w:bCs w:val="0"/>
                      <w:color w:val="000000"/>
                      <w:sz w:val="21"/>
                      <w:szCs w:val="21"/>
                      <w:highlight w:val="none"/>
                      <w:lang w:val="en-US" w:eastAsia="zh-CN" w:bidi="ar"/>
                    </w:rPr>
                    <w:t>1.0</w:t>
                  </w:r>
                </w:p>
              </w:tc>
              <w:tc>
                <w:tcPr>
                  <w:tcW w:w="1838" w:type="pct"/>
                  <w:noWrap w:val="0"/>
                  <w:vAlign w:val="center"/>
                </w:tcPr>
                <w:p w14:paraId="52E2FB02">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b w:val="0"/>
                      <w:bCs w:val="0"/>
                      <w:color w:val="000000"/>
                      <w:sz w:val="21"/>
                      <w:szCs w:val="21"/>
                      <w:highlight w:val="none"/>
                      <w:lang w:val="en-US" w:eastAsia="zh-CN" w:bidi="ar"/>
                    </w:rPr>
                  </w:pPr>
                  <w:r>
                    <w:rPr>
                      <w:rFonts w:hint="default" w:ascii="Times New Roman" w:hAnsi="Times New Roman" w:eastAsia="宋体" w:cs="Times New Roman"/>
                      <w:b w:val="0"/>
                      <w:bCs w:val="0"/>
                      <w:color w:val="000000"/>
                      <w:sz w:val="21"/>
                      <w:szCs w:val="21"/>
                      <w:highlight w:val="none"/>
                      <w:lang w:val="en-US" w:eastAsia="zh-CN" w:bidi="ar"/>
                    </w:rPr>
                    <w:t>《大气污染物综合排放标准》（GB16297-1996）表2标准</w:t>
                  </w:r>
                </w:p>
              </w:tc>
            </w:tr>
          </w:tbl>
          <w:p w14:paraId="40979AC3">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color w:val="000000"/>
                <w:kern w:val="0"/>
                <w:sz w:val="24"/>
                <w:szCs w:val="24"/>
                <w:highlight w:val="none"/>
                <w:lang w:eastAsia="zh-CN"/>
              </w:rPr>
            </w:pPr>
            <w:r>
              <w:rPr>
                <w:rFonts w:hint="default" w:ascii="Times New Roman" w:hAnsi="Times New Roman" w:eastAsia="宋体" w:cs="Times New Roman"/>
                <w:b w:val="0"/>
                <w:bCs/>
                <w:color w:val="000000"/>
                <w:kern w:val="0"/>
                <w:sz w:val="24"/>
                <w:szCs w:val="24"/>
                <w:highlight w:val="none"/>
                <w:lang w:eastAsia="zh-CN"/>
              </w:rPr>
              <w:t>（</w:t>
            </w:r>
            <w:r>
              <w:rPr>
                <w:rFonts w:hint="default" w:ascii="Times New Roman" w:hAnsi="Times New Roman" w:eastAsia="宋体" w:cs="Times New Roman"/>
                <w:b w:val="0"/>
                <w:bCs/>
                <w:color w:val="000000"/>
                <w:kern w:val="0"/>
                <w:sz w:val="24"/>
                <w:szCs w:val="24"/>
                <w:highlight w:val="none"/>
                <w:lang w:val="en-US" w:eastAsia="zh-CN"/>
              </w:rPr>
              <w:t>2</w:t>
            </w:r>
            <w:r>
              <w:rPr>
                <w:rFonts w:hint="default" w:ascii="Times New Roman" w:hAnsi="Times New Roman" w:eastAsia="宋体" w:cs="Times New Roman"/>
                <w:b w:val="0"/>
                <w:bCs/>
                <w:color w:val="000000"/>
                <w:kern w:val="0"/>
                <w:sz w:val="24"/>
                <w:szCs w:val="24"/>
                <w:highlight w:val="none"/>
                <w:lang w:eastAsia="zh-CN"/>
              </w:rPr>
              <w:t>）噪声</w:t>
            </w:r>
          </w:p>
          <w:p w14:paraId="5D9AF4CD">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b/>
                <w:bCs/>
                <w:sz w:val="24"/>
              </w:rPr>
            </w:pPr>
            <w:r>
              <w:rPr>
                <w:rFonts w:hint="default" w:ascii="Times New Roman" w:hAnsi="Times New Roman" w:eastAsia="宋体" w:cs="Times New Roman"/>
                <w:bCs/>
                <w:color w:val="000000"/>
                <w:kern w:val="0"/>
                <w:sz w:val="24"/>
                <w:szCs w:val="24"/>
                <w:highlight w:val="none"/>
                <w:lang w:eastAsia="zh-CN"/>
              </w:rPr>
              <w:t>施工期噪声执行《建筑施工场界环境噪声排放标准》（GB12523-2011）表</w:t>
            </w:r>
            <w:r>
              <w:rPr>
                <w:rFonts w:hint="default" w:ascii="Times New Roman" w:hAnsi="Times New Roman" w:eastAsia="宋体" w:cs="Times New Roman"/>
                <w:bCs/>
                <w:color w:val="000000"/>
                <w:kern w:val="0"/>
                <w:sz w:val="24"/>
                <w:szCs w:val="24"/>
                <w:highlight w:val="none"/>
                <w:lang w:val="en-US" w:eastAsia="zh-CN"/>
              </w:rPr>
              <w:t>1中标准，即昼间70dB（A），夜间55dB（A）。</w:t>
            </w:r>
          </w:p>
          <w:p w14:paraId="2C98CE0F">
            <w:pPr>
              <w:widowControl/>
              <w:spacing w:line="360" w:lineRule="auto"/>
              <w:ind w:firstLine="482" w:firstLineChars="200"/>
              <w:jc w:val="left"/>
              <w:rPr>
                <w:rFonts w:hint="default" w:eastAsia="宋体"/>
                <w:b/>
                <w:bCs/>
                <w:sz w:val="24"/>
                <w:lang w:val="en-US" w:eastAsia="zh-CN"/>
              </w:rPr>
            </w:pPr>
            <w:r>
              <w:rPr>
                <w:rFonts w:hint="eastAsia"/>
                <w:b/>
                <w:bCs/>
                <w:sz w:val="24"/>
                <w:lang w:val="en-US" w:eastAsia="zh-CN"/>
              </w:rPr>
              <w:t>二、运营期</w:t>
            </w:r>
          </w:p>
          <w:p w14:paraId="770E7A3F">
            <w:pPr>
              <w:widowControl/>
              <w:spacing w:line="360" w:lineRule="auto"/>
              <w:ind w:firstLine="482" w:firstLineChars="200"/>
              <w:jc w:val="left"/>
              <w:rPr>
                <w:sz w:val="24"/>
              </w:rPr>
            </w:pPr>
            <w:r>
              <w:rPr>
                <w:rFonts w:hint="eastAsia"/>
                <w:b/>
                <w:bCs/>
                <w:sz w:val="24"/>
                <w:lang w:eastAsia="zh-CN"/>
              </w:rPr>
              <w:t>1.</w:t>
            </w:r>
            <w:r>
              <w:rPr>
                <w:b/>
                <w:bCs/>
                <w:sz w:val="24"/>
              </w:rPr>
              <w:t>废气</w:t>
            </w:r>
          </w:p>
          <w:p w14:paraId="72C70881">
            <w:pPr>
              <w:widowControl/>
              <w:spacing w:line="360" w:lineRule="auto"/>
              <w:ind w:firstLine="488" w:firstLineChars="200"/>
              <w:jc w:val="both"/>
              <w:rPr>
                <w:rFonts w:hint="default" w:ascii="Times New Roman" w:hAnsi="Times New Roman" w:eastAsia="宋体" w:cs="Times New Roman"/>
                <w:b w:val="0"/>
                <w:bCs/>
                <w:color w:val="000000"/>
                <w:sz w:val="24"/>
                <w:szCs w:val="24"/>
                <w:highlight w:val="none"/>
                <w:lang w:val="en-US" w:eastAsia="zh-CN"/>
              </w:rPr>
            </w:pPr>
            <w:r>
              <w:rPr>
                <w:spacing w:val="2"/>
                <w:sz w:val="24"/>
                <w:szCs w:val="24"/>
              </w:rPr>
              <w:t>（</w:t>
            </w:r>
            <w:r>
              <w:rPr>
                <w:rFonts w:ascii="Times New Roman" w:hAnsi="Times New Roman" w:eastAsia="Times New Roman" w:cs="Times New Roman"/>
                <w:spacing w:val="2"/>
                <w:sz w:val="24"/>
                <w:szCs w:val="24"/>
              </w:rPr>
              <w:t>1</w:t>
            </w:r>
            <w:r>
              <w:rPr>
                <w:spacing w:val="2"/>
                <w:sz w:val="24"/>
                <w:szCs w:val="24"/>
              </w:rPr>
              <w:t>）废气：煤炭运输、装卸、储存、配煤过程中产生的粉尘</w:t>
            </w:r>
            <w:r>
              <w:rPr>
                <w:spacing w:val="-4"/>
                <w:sz w:val="24"/>
                <w:szCs w:val="24"/>
              </w:rPr>
              <w:t>执行《煤炭工业污染物排放标准》（</w:t>
            </w:r>
            <w:r>
              <w:rPr>
                <w:rFonts w:ascii="Times New Roman" w:hAnsi="Times New Roman" w:eastAsia="Times New Roman" w:cs="Times New Roman"/>
                <w:spacing w:val="-4"/>
                <w:sz w:val="24"/>
                <w:szCs w:val="24"/>
              </w:rPr>
              <w:t>GB20426-2006</w:t>
            </w:r>
            <w:r>
              <w:rPr>
                <w:spacing w:val="-4"/>
                <w:sz w:val="24"/>
                <w:szCs w:val="24"/>
              </w:rPr>
              <w:t>）表</w:t>
            </w:r>
            <w:r>
              <w:rPr>
                <w:rFonts w:ascii="Times New Roman" w:hAnsi="Times New Roman" w:eastAsia="Times New Roman" w:cs="Times New Roman"/>
                <w:spacing w:val="-4"/>
                <w:sz w:val="24"/>
                <w:szCs w:val="24"/>
              </w:rPr>
              <w:t>5</w:t>
            </w:r>
            <w:r>
              <w:rPr>
                <w:spacing w:val="-4"/>
                <w:sz w:val="24"/>
                <w:szCs w:val="24"/>
              </w:rPr>
              <w:t>煤炭</w:t>
            </w:r>
            <w:r>
              <w:rPr>
                <w:spacing w:val="-5"/>
                <w:sz w:val="24"/>
                <w:szCs w:val="24"/>
              </w:rPr>
              <w:t>工业</w:t>
            </w:r>
            <w:r>
              <w:rPr>
                <w:spacing w:val="-2"/>
                <w:sz w:val="24"/>
                <w:szCs w:val="24"/>
              </w:rPr>
              <w:t>无组织排放限值；</w:t>
            </w:r>
          </w:p>
          <w:p w14:paraId="39DCE112">
            <w:pPr>
              <w:spacing w:line="520" w:lineRule="exact"/>
              <w:jc w:val="center"/>
              <w:rPr>
                <w:rFonts w:hint="default" w:ascii="Times New Roman" w:hAnsi="Times New Roman" w:eastAsia="宋体" w:cs="Times New Roman"/>
                <w:b/>
                <w:sz w:val="21"/>
                <w:szCs w:val="21"/>
                <w:lang w:val="en-US" w:eastAsia="zh-CN"/>
              </w:rPr>
            </w:pPr>
            <w:r>
              <w:rPr>
                <w:rFonts w:hint="default" w:ascii="Times New Roman" w:hAnsi="Times New Roman" w:eastAsia="宋体" w:cs="Times New Roman"/>
                <w:b/>
                <w:sz w:val="21"/>
                <w:szCs w:val="21"/>
              </w:rPr>
              <w:t>表</w:t>
            </w:r>
            <w:r>
              <w:rPr>
                <w:rFonts w:hint="default" w:ascii="Times New Roman" w:hAnsi="Times New Roman" w:eastAsia="宋体" w:cs="Times New Roman"/>
                <w:b/>
                <w:sz w:val="21"/>
                <w:szCs w:val="21"/>
                <w:lang w:val="en-US" w:eastAsia="zh-CN"/>
              </w:rPr>
              <w:t>3-</w:t>
            </w:r>
            <w:r>
              <w:rPr>
                <w:rFonts w:hint="eastAsia" w:ascii="Times New Roman" w:hAnsi="Times New Roman" w:eastAsia="宋体" w:cs="Times New Roman"/>
                <w:b/>
                <w:sz w:val="21"/>
                <w:szCs w:val="21"/>
                <w:lang w:val="en-US" w:eastAsia="zh-CN"/>
              </w:rPr>
              <w:t>4</w:t>
            </w:r>
            <w:r>
              <w:rPr>
                <w:rFonts w:hint="default" w:ascii="Times New Roman" w:hAnsi="Times New Roman" w:eastAsia="宋体" w:cs="Times New Roman"/>
                <w:b/>
                <w:sz w:val="21"/>
                <w:szCs w:val="21"/>
              </w:rPr>
              <w:t xml:space="preserve"> </w:t>
            </w:r>
            <w:r>
              <w:rPr>
                <w:rFonts w:hint="eastAsia" w:ascii="Times New Roman" w:hAnsi="Times New Roman" w:eastAsia="宋体" w:cs="Times New Roman"/>
                <w:b/>
                <w:sz w:val="21"/>
                <w:szCs w:val="21"/>
                <w:lang w:val="en-US" w:eastAsia="zh-CN"/>
              </w:rPr>
              <w:t xml:space="preserve">煤炭工业无组织排放限值  </w:t>
            </w:r>
            <w:r>
              <w:rPr>
                <w:rFonts w:hint="default" w:ascii="Times New Roman" w:hAnsi="Times New Roman" w:eastAsia="宋体" w:cs="Times New Roman"/>
                <w:b/>
                <w:sz w:val="21"/>
                <w:szCs w:val="21"/>
              </w:rPr>
              <w:t>单位：mg/m</w:t>
            </w:r>
            <w:r>
              <w:rPr>
                <w:rFonts w:hint="default" w:ascii="Times New Roman" w:hAnsi="Times New Roman" w:eastAsia="宋体" w:cs="Times New Roman"/>
                <w:b/>
                <w:sz w:val="21"/>
                <w:szCs w:val="21"/>
                <w:vertAlign w:val="superscript"/>
              </w:rPr>
              <w:t>3</w:t>
            </w:r>
          </w:p>
          <w:tbl>
            <w:tblPr>
              <w:tblStyle w:val="25"/>
              <w:tblW w:w="0" w:type="auto"/>
              <w:tblInd w:w="2"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59"/>
              <w:gridCol w:w="2115"/>
              <w:gridCol w:w="1325"/>
              <w:gridCol w:w="1521"/>
              <w:gridCol w:w="1977"/>
            </w:tblGrid>
            <w:tr w14:paraId="309616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859" w:type="dxa"/>
                  <w:tcBorders>
                    <w:tl2br w:val="nil"/>
                    <w:tr2bl w:val="nil"/>
                  </w:tcBorders>
                  <w:noWrap w:val="0"/>
                  <w:vAlign w:val="center"/>
                </w:tcPr>
                <w:p w14:paraId="4C85D1BB">
                  <w:pPr>
                    <w:keepNext w:val="0"/>
                    <w:keepLines w:val="0"/>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项目</w:t>
                  </w:r>
                </w:p>
              </w:tc>
              <w:tc>
                <w:tcPr>
                  <w:tcW w:w="2115" w:type="dxa"/>
                  <w:tcBorders>
                    <w:tl2br w:val="nil"/>
                    <w:tr2bl w:val="nil"/>
                  </w:tcBorders>
                  <w:noWrap w:val="0"/>
                  <w:vAlign w:val="center"/>
                </w:tcPr>
                <w:p w14:paraId="583A3B10">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315" w:firstLineChars="15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排放方式</w:t>
                  </w:r>
                </w:p>
              </w:tc>
              <w:tc>
                <w:tcPr>
                  <w:tcW w:w="1325" w:type="dxa"/>
                  <w:tcBorders>
                    <w:tl2br w:val="nil"/>
                    <w:tr2bl w:val="nil"/>
                  </w:tcBorders>
                  <w:noWrap w:val="0"/>
                  <w:vAlign w:val="center"/>
                </w:tcPr>
                <w:p w14:paraId="6FDFF1FE">
                  <w:pPr>
                    <w:keepNext w:val="0"/>
                    <w:keepLines w:val="0"/>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排放</w:t>
                  </w:r>
                  <w:r>
                    <w:rPr>
                      <w:rFonts w:hint="default" w:ascii="Times New Roman" w:hAnsi="Times New Roman" w:eastAsia="宋体" w:cs="Times New Roman"/>
                      <w:color w:val="000000"/>
                      <w:kern w:val="2"/>
                      <w:sz w:val="21"/>
                      <w:szCs w:val="21"/>
                      <w:highlight w:val="none"/>
                      <w:lang w:val="en-US" w:eastAsia="zh-CN" w:bidi="ar-SA"/>
                    </w:rPr>
                    <w:t>浓度</w:t>
                  </w:r>
                </w:p>
                <w:p w14:paraId="2481A158">
                  <w:pPr>
                    <w:keepNext w:val="0"/>
                    <w:keepLines w:val="0"/>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w:t>
                  </w:r>
                  <w:r>
                    <w:rPr>
                      <w:rFonts w:hint="default" w:ascii="Times New Roman" w:hAnsi="Times New Roman" w:eastAsia="宋体" w:cs="Times New Roman"/>
                      <w:color w:val="000000"/>
                      <w:kern w:val="2"/>
                      <w:sz w:val="21"/>
                      <w:szCs w:val="21"/>
                      <w:highlight w:val="none"/>
                      <w:lang w:val="en-US" w:eastAsia="zh-CN" w:bidi="ar-SA"/>
                    </w:rPr>
                    <w:t>mg/m³</w:t>
                  </w:r>
                  <w:r>
                    <w:rPr>
                      <w:rFonts w:hint="eastAsia" w:cs="Times New Roman"/>
                      <w:color w:val="000000"/>
                      <w:kern w:val="2"/>
                      <w:sz w:val="21"/>
                      <w:szCs w:val="21"/>
                      <w:highlight w:val="none"/>
                      <w:lang w:val="en-US" w:eastAsia="zh-CN" w:bidi="ar-SA"/>
                    </w:rPr>
                    <w:t>）</w:t>
                  </w:r>
                </w:p>
              </w:tc>
              <w:tc>
                <w:tcPr>
                  <w:tcW w:w="1521" w:type="dxa"/>
                  <w:tcBorders>
                    <w:tl2br w:val="nil"/>
                    <w:tr2bl w:val="nil"/>
                  </w:tcBorders>
                  <w:noWrap w:val="0"/>
                  <w:vAlign w:val="center"/>
                </w:tcPr>
                <w:p w14:paraId="357E52DB">
                  <w:pPr>
                    <w:keepNext w:val="0"/>
                    <w:keepLines w:val="0"/>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监测点位</w:t>
                  </w:r>
                </w:p>
              </w:tc>
              <w:tc>
                <w:tcPr>
                  <w:tcW w:w="1977" w:type="dxa"/>
                  <w:tcBorders>
                    <w:tl2br w:val="nil"/>
                    <w:tr2bl w:val="nil"/>
                  </w:tcBorders>
                  <w:noWrap w:val="0"/>
                  <w:vAlign w:val="center"/>
                </w:tcPr>
                <w:p w14:paraId="199F1B43">
                  <w:pPr>
                    <w:keepNext w:val="0"/>
                    <w:keepLines w:val="0"/>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执行标准</w:t>
                  </w:r>
                </w:p>
              </w:tc>
            </w:tr>
            <w:tr w14:paraId="74ECB0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859" w:type="dxa"/>
                  <w:tcBorders>
                    <w:tl2br w:val="nil"/>
                    <w:tr2bl w:val="nil"/>
                  </w:tcBorders>
                  <w:noWrap w:val="0"/>
                  <w:vAlign w:val="center"/>
                </w:tcPr>
                <w:p w14:paraId="442C1ED5">
                  <w:pPr>
                    <w:keepNext w:val="0"/>
                    <w:keepLines w:val="0"/>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颗粒物</w:t>
                  </w:r>
                </w:p>
              </w:tc>
              <w:tc>
                <w:tcPr>
                  <w:tcW w:w="2115" w:type="dxa"/>
                  <w:tcBorders>
                    <w:tl2br w:val="nil"/>
                    <w:tr2bl w:val="nil"/>
                  </w:tcBorders>
                  <w:noWrap w:val="0"/>
                  <w:vAlign w:val="center"/>
                </w:tcPr>
                <w:p w14:paraId="7F7A96A7">
                  <w:pPr>
                    <w:keepNext w:val="0"/>
                    <w:keepLines w:val="0"/>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厂界外20m处上风向设参照点，下风向设监控点</w:t>
                  </w:r>
                </w:p>
              </w:tc>
              <w:tc>
                <w:tcPr>
                  <w:tcW w:w="1325" w:type="dxa"/>
                  <w:tcBorders>
                    <w:tl2br w:val="nil"/>
                    <w:tr2bl w:val="nil"/>
                  </w:tcBorders>
                  <w:noWrap w:val="0"/>
                  <w:vAlign w:val="center"/>
                </w:tcPr>
                <w:p w14:paraId="593B91B4">
                  <w:pPr>
                    <w:keepNext w:val="0"/>
                    <w:keepLines w:val="0"/>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1</w:t>
                  </w:r>
                </w:p>
              </w:tc>
              <w:tc>
                <w:tcPr>
                  <w:tcW w:w="1521" w:type="dxa"/>
                  <w:tcBorders>
                    <w:tl2br w:val="nil"/>
                    <w:tr2bl w:val="nil"/>
                  </w:tcBorders>
                  <w:noWrap w:val="0"/>
                  <w:vAlign w:val="center"/>
                </w:tcPr>
                <w:p w14:paraId="116B2EE9">
                  <w:pPr>
                    <w:keepNext w:val="0"/>
                    <w:keepLines w:val="0"/>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周界外质量浓度最高点</w:t>
                  </w:r>
                </w:p>
              </w:tc>
              <w:tc>
                <w:tcPr>
                  <w:tcW w:w="1977" w:type="dxa"/>
                  <w:tcBorders>
                    <w:tl2br w:val="nil"/>
                    <w:tr2bl w:val="nil"/>
                  </w:tcBorders>
                  <w:noWrap w:val="0"/>
                  <w:vAlign w:val="center"/>
                </w:tcPr>
                <w:p w14:paraId="4993997E">
                  <w:pPr>
                    <w:keepNext w:val="0"/>
                    <w:keepLines w:val="0"/>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spacing w:val="8"/>
                      <w:sz w:val="20"/>
                      <w:szCs w:val="20"/>
                    </w:rPr>
                    <w:t>《煤炭工业污染物排放标</w:t>
                  </w:r>
                  <w:r>
                    <w:rPr>
                      <w:spacing w:val="5"/>
                      <w:sz w:val="20"/>
                      <w:szCs w:val="20"/>
                    </w:rPr>
                    <w:t>准》（</w:t>
                  </w: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20426-2006</w:t>
                  </w:r>
                  <w:r>
                    <w:rPr>
                      <w:spacing w:val="5"/>
                      <w:sz w:val="20"/>
                      <w:szCs w:val="20"/>
                    </w:rPr>
                    <w:t>）</w:t>
                  </w:r>
                </w:p>
              </w:tc>
            </w:tr>
          </w:tbl>
          <w:p w14:paraId="477BE6EF">
            <w:pPr>
              <w:keepNext w:val="0"/>
              <w:keepLines w:val="0"/>
              <w:pageBreakBefore w:val="0"/>
              <w:widowControl/>
              <w:kinsoku/>
              <w:wordWrap/>
              <w:overflowPunct/>
              <w:topLinePunct w:val="0"/>
              <w:autoSpaceDE/>
              <w:autoSpaceDN/>
              <w:bidi w:val="0"/>
              <w:adjustRightInd/>
              <w:snapToGrid/>
              <w:spacing w:before="157" w:beforeLines="50" w:line="360" w:lineRule="auto"/>
              <w:ind w:firstLine="482" w:firstLineChars="200"/>
              <w:jc w:val="left"/>
              <w:textAlignment w:val="auto"/>
              <w:rPr>
                <w:rFonts w:hint="default" w:ascii="Times New Roman" w:hAnsi="Times New Roman" w:eastAsia="宋体" w:cs="Times New Roman"/>
                <w:b/>
                <w:bCs/>
                <w:kern w:val="0"/>
                <w:sz w:val="24"/>
              </w:rPr>
            </w:pPr>
            <w:r>
              <w:rPr>
                <w:rFonts w:hint="eastAsia" w:ascii="Times New Roman" w:hAnsi="Times New Roman" w:eastAsia="宋体" w:cs="Times New Roman"/>
                <w:b/>
                <w:bCs/>
                <w:sz w:val="24"/>
                <w:lang w:eastAsia="zh-CN"/>
              </w:rPr>
              <w:t>2.</w:t>
            </w:r>
            <w:r>
              <w:rPr>
                <w:rFonts w:hint="default" w:ascii="Times New Roman" w:hAnsi="Times New Roman" w:eastAsia="宋体" w:cs="Times New Roman"/>
                <w:b/>
                <w:bCs/>
                <w:kern w:val="0"/>
                <w:sz w:val="24"/>
              </w:rPr>
              <w:t>废水</w:t>
            </w:r>
          </w:p>
          <w:p w14:paraId="0365712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default" w:ascii="Times New Roman" w:hAnsi="Times New Roman" w:eastAsia="宋体" w:cs="Times New Roman"/>
                <w:sz w:val="24"/>
              </w:rPr>
            </w:pPr>
            <w:r>
              <w:rPr>
                <w:rFonts w:hint="default" w:ascii="Times New Roman" w:hAnsi="Times New Roman" w:eastAsia="宋体" w:cs="Times New Roman"/>
                <w:color w:val="000000"/>
                <w:kern w:val="0"/>
                <w:sz w:val="24"/>
              </w:rPr>
              <w:t>营运期职工生活产生的生活污水执行</w:t>
            </w:r>
            <w:r>
              <w:rPr>
                <w:rFonts w:hint="default" w:ascii="Times New Roman" w:hAnsi="Times New Roman" w:eastAsia="宋体" w:cs="Times New Roman"/>
                <w:kern w:val="0"/>
                <w:sz w:val="24"/>
              </w:rPr>
              <w:t>《污水综合排放</w:t>
            </w:r>
            <w:r>
              <w:rPr>
                <w:rFonts w:hint="default" w:ascii="Times New Roman" w:hAnsi="Times New Roman" w:eastAsia="宋体" w:cs="Times New Roman"/>
                <w:color w:val="000000"/>
                <w:kern w:val="0"/>
                <w:sz w:val="24"/>
              </w:rPr>
              <w:t>标准》（GB8978-1996）三级标准</w:t>
            </w:r>
            <w:r>
              <w:rPr>
                <w:rFonts w:hint="default" w:ascii="Times New Roman" w:hAnsi="Times New Roman" w:eastAsia="宋体" w:cs="Times New Roman"/>
                <w:sz w:val="24"/>
              </w:rPr>
              <w:t>。</w:t>
            </w:r>
          </w:p>
          <w:p w14:paraId="423C06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表</w:t>
            </w:r>
            <w:r>
              <w:rPr>
                <w:rFonts w:hint="default" w:ascii="Times New Roman" w:hAnsi="Times New Roman" w:eastAsia="宋体" w:cs="Times New Roman"/>
                <w:b/>
                <w:sz w:val="21"/>
                <w:szCs w:val="21"/>
                <w:lang w:val="en-US" w:eastAsia="zh-CN"/>
              </w:rPr>
              <w:t>3-</w:t>
            </w:r>
            <w:r>
              <w:rPr>
                <w:rFonts w:hint="eastAsia" w:cs="Times New Roman"/>
                <w:b/>
                <w:sz w:val="21"/>
                <w:szCs w:val="21"/>
                <w:lang w:val="en-US" w:eastAsia="zh-CN"/>
              </w:rPr>
              <w:t>5</w:t>
            </w:r>
            <w:r>
              <w:rPr>
                <w:rFonts w:hint="default" w:ascii="Times New Roman" w:hAnsi="Times New Roman" w:eastAsia="宋体" w:cs="Times New Roman"/>
                <w:b/>
                <w:sz w:val="21"/>
                <w:szCs w:val="21"/>
              </w:rPr>
              <w:t xml:space="preserve"> 污水综合排放标准  单位：mg/L</w:t>
            </w:r>
          </w:p>
          <w:tbl>
            <w:tblPr>
              <w:tblStyle w:val="25"/>
              <w:tblW w:w="789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1815"/>
              <w:gridCol w:w="1934"/>
              <w:gridCol w:w="2923"/>
            </w:tblGrid>
            <w:tr w14:paraId="31DC09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2" w:hRule="atLeast"/>
                <w:jc w:val="center"/>
              </w:trPr>
              <w:tc>
                <w:tcPr>
                  <w:tcW w:w="1227" w:type="dxa"/>
                  <w:tcBorders>
                    <w:tl2br w:val="nil"/>
                    <w:tr2bl w:val="nil"/>
                  </w:tcBorders>
                  <w:noWrap w:val="0"/>
                  <w:vAlign w:val="center"/>
                </w:tcPr>
                <w:p w14:paraId="49200F0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序号</w:t>
                  </w:r>
                </w:p>
              </w:tc>
              <w:tc>
                <w:tcPr>
                  <w:tcW w:w="1815" w:type="dxa"/>
                  <w:tcBorders>
                    <w:tl2br w:val="nil"/>
                    <w:tr2bl w:val="nil"/>
                  </w:tcBorders>
                  <w:noWrap w:val="0"/>
                  <w:vAlign w:val="center"/>
                </w:tcPr>
                <w:p w14:paraId="6A68A67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项目</w:t>
                  </w:r>
                </w:p>
              </w:tc>
              <w:tc>
                <w:tcPr>
                  <w:tcW w:w="1934" w:type="dxa"/>
                  <w:tcBorders>
                    <w:tl2br w:val="nil"/>
                    <w:tr2bl w:val="nil"/>
                  </w:tcBorders>
                  <w:noWrap w:val="0"/>
                  <w:vAlign w:val="center"/>
                </w:tcPr>
                <w:p w14:paraId="28FDF11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标准值（mg/L）</w:t>
                  </w:r>
                </w:p>
              </w:tc>
              <w:tc>
                <w:tcPr>
                  <w:tcW w:w="2923" w:type="dxa"/>
                  <w:tcBorders>
                    <w:tl2br w:val="nil"/>
                    <w:tr2bl w:val="nil"/>
                  </w:tcBorders>
                  <w:noWrap w:val="0"/>
                  <w:vAlign w:val="center"/>
                </w:tcPr>
                <w:p w14:paraId="7E703D3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标准来源</w:t>
                  </w:r>
                </w:p>
              </w:tc>
            </w:tr>
            <w:tr w14:paraId="396007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1227" w:type="dxa"/>
                  <w:tcBorders>
                    <w:tl2br w:val="nil"/>
                    <w:tr2bl w:val="nil"/>
                  </w:tcBorders>
                  <w:noWrap w:val="0"/>
                  <w:vAlign w:val="center"/>
                </w:tcPr>
                <w:p w14:paraId="4B87B04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1815" w:type="dxa"/>
                  <w:tcBorders>
                    <w:tl2br w:val="nil"/>
                    <w:tr2bl w:val="nil"/>
                  </w:tcBorders>
                  <w:noWrap w:val="0"/>
                  <w:vAlign w:val="center"/>
                </w:tcPr>
                <w:p w14:paraId="336E0C6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pH</w:t>
                  </w:r>
                </w:p>
              </w:tc>
              <w:tc>
                <w:tcPr>
                  <w:tcW w:w="1934" w:type="dxa"/>
                  <w:tcBorders>
                    <w:tl2br w:val="nil"/>
                    <w:tr2bl w:val="nil"/>
                  </w:tcBorders>
                  <w:noWrap w:val="0"/>
                  <w:vAlign w:val="center"/>
                </w:tcPr>
                <w:p w14:paraId="77960CB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9</w:t>
                  </w:r>
                </w:p>
              </w:tc>
              <w:tc>
                <w:tcPr>
                  <w:tcW w:w="2923" w:type="dxa"/>
                  <w:vMerge w:val="restart"/>
                  <w:tcBorders>
                    <w:tl2br w:val="nil"/>
                    <w:tr2bl w:val="nil"/>
                  </w:tcBorders>
                  <w:noWrap w:val="0"/>
                  <w:vAlign w:val="center"/>
                </w:tcPr>
                <w:p w14:paraId="19D1076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《污水综合排放标准》（GB8978-1996）中三级标准</w:t>
                  </w:r>
                </w:p>
              </w:tc>
            </w:tr>
            <w:tr w14:paraId="254FE4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1227" w:type="dxa"/>
                  <w:tcBorders>
                    <w:tl2br w:val="nil"/>
                    <w:tr2bl w:val="nil"/>
                  </w:tcBorders>
                  <w:noWrap w:val="0"/>
                  <w:vAlign w:val="center"/>
                </w:tcPr>
                <w:p w14:paraId="46484F4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1815" w:type="dxa"/>
                  <w:tcBorders>
                    <w:tl2br w:val="nil"/>
                    <w:tr2bl w:val="nil"/>
                  </w:tcBorders>
                  <w:noWrap w:val="0"/>
                  <w:vAlign w:val="center"/>
                </w:tcPr>
                <w:p w14:paraId="14A30FA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COD</w:t>
                  </w:r>
                </w:p>
              </w:tc>
              <w:tc>
                <w:tcPr>
                  <w:tcW w:w="1934" w:type="dxa"/>
                  <w:tcBorders>
                    <w:tl2br w:val="nil"/>
                    <w:tr2bl w:val="nil"/>
                  </w:tcBorders>
                  <w:noWrap w:val="0"/>
                  <w:vAlign w:val="center"/>
                </w:tcPr>
                <w:p w14:paraId="1943FF9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500</w:t>
                  </w:r>
                </w:p>
              </w:tc>
              <w:tc>
                <w:tcPr>
                  <w:tcW w:w="2923" w:type="dxa"/>
                  <w:vMerge w:val="continue"/>
                  <w:tcBorders>
                    <w:tl2br w:val="nil"/>
                    <w:tr2bl w:val="nil"/>
                  </w:tcBorders>
                  <w:noWrap w:val="0"/>
                  <w:vAlign w:val="center"/>
                </w:tcPr>
                <w:p w14:paraId="7E08B17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rPr>
                  </w:pPr>
                </w:p>
              </w:tc>
            </w:tr>
            <w:tr w14:paraId="646FA2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2" w:hRule="atLeast"/>
                <w:jc w:val="center"/>
              </w:trPr>
              <w:tc>
                <w:tcPr>
                  <w:tcW w:w="1227" w:type="dxa"/>
                  <w:tcBorders>
                    <w:tl2br w:val="nil"/>
                    <w:tr2bl w:val="nil"/>
                  </w:tcBorders>
                  <w:noWrap w:val="0"/>
                  <w:vAlign w:val="center"/>
                </w:tcPr>
                <w:p w14:paraId="0B4BDA0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c>
                <w:tcPr>
                  <w:tcW w:w="1815" w:type="dxa"/>
                  <w:tcBorders>
                    <w:tl2br w:val="nil"/>
                    <w:tr2bl w:val="nil"/>
                  </w:tcBorders>
                  <w:noWrap w:val="0"/>
                  <w:vAlign w:val="center"/>
                </w:tcPr>
                <w:p w14:paraId="65AAE75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NH</w:t>
                  </w:r>
                  <w:r>
                    <w:rPr>
                      <w:rFonts w:hint="default" w:ascii="Times New Roman" w:hAnsi="Times New Roman" w:eastAsia="宋体" w:cs="Times New Roman"/>
                      <w:sz w:val="21"/>
                      <w:szCs w:val="21"/>
                      <w:vertAlign w:val="subscript"/>
                    </w:rPr>
                    <w:t>3</w:t>
                  </w:r>
                  <w:r>
                    <w:rPr>
                      <w:rFonts w:hint="default" w:ascii="Times New Roman" w:hAnsi="Times New Roman" w:eastAsia="宋体" w:cs="Times New Roman"/>
                      <w:sz w:val="21"/>
                      <w:szCs w:val="21"/>
                    </w:rPr>
                    <w:t>-N</w:t>
                  </w:r>
                </w:p>
              </w:tc>
              <w:tc>
                <w:tcPr>
                  <w:tcW w:w="1934" w:type="dxa"/>
                  <w:tcBorders>
                    <w:tl2br w:val="nil"/>
                    <w:tr2bl w:val="nil"/>
                  </w:tcBorders>
                  <w:noWrap w:val="0"/>
                  <w:vAlign w:val="center"/>
                </w:tcPr>
                <w:p w14:paraId="447F5D7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2923" w:type="dxa"/>
                  <w:vMerge w:val="continue"/>
                  <w:tcBorders>
                    <w:tl2br w:val="nil"/>
                    <w:tr2bl w:val="nil"/>
                  </w:tcBorders>
                  <w:noWrap w:val="0"/>
                  <w:vAlign w:val="center"/>
                </w:tcPr>
                <w:p w14:paraId="2F4D778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rPr>
                  </w:pPr>
                </w:p>
              </w:tc>
            </w:tr>
            <w:tr w14:paraId="67E43C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1227" w:type="dxa"/>
                  <w:tcBorders>
                    <w:tl2br w:val="nil"/>
                    <w:tr2bl w:val="nil"/>
                  </w:tcBorders>
                  <w:noWrap w:val="0"/>
                  <w:vAlign w:val="center"/>
                </w:tcPr>
                <w:p w14:paraId="2D003F5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w:t>
                  </w:r>
                </w:p>
              </w:tc>
              <w:tc>
                <w:tcPr>
                  <w:tcW w:w="1815" w:type="dxa"/>
                  <w:tcBorders>
                    <w:tl2br w:val="nil"/>
                    <w:tr2bl w:val="nil"/>
                  </w:tcBorders>
                  <w:noWrap w:val="0"/>
                  <w:vAlign w:val="center"/>
                </w:tcPr>
                <w:p w14:paraId="10016EB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BOD</w:t>
                  </w:r>
                </w:p>
              </w:tc>
              <w:tc>
                <w:tcPr>
                  <w:tcW w:w="1934" w:type="dxa"/>
                  <w:tcBorders>
                    <w:tl2br w:val="nil"/>
                    <w:tr2bl w:val="nil"/>
                  </w:tcBorders>
                  <w:noWrap w:val="0"/>
                  <w:vAlign w:val="center"/>
                </w:tcPr>
                <w:p w14:paraId="6152172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300</w:t>
                  </w:r>
                </w:p>
              </w:tc>
              <w:tc>
                <w:tcPr>
                  <w:tcW w:w="2923" w:type="dxa"/>
                  <w:vMerge w:val="continue"/>
                  <w:tcBorders>
                    <w:tl2br w:val="nil"/>
                    <w:tr2bl w:val="nil"/>
                  </w:tcBorders>
                  <w:noWrap w:val="0"/>
                  <w:vAlign w:val="center"/>
                </w:tcPr>
                <w:p w14:paraId="4238A8B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rPr>
                  </w:pPr>
                </w:p>
              </w:tc>
            </w:tr>
            <w:tr w14:paraId="04699A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8" w:hRule="atLeast"/>
                <w:jc w:val="center"/>
              </w:trPr>
              <w:tc>
                <w:tcPr>
                  <w:tcW w:w="1227" w:type="dxa"/>
                  <w:tcBorders>
                    <w:tl2br w:val="nil"/>
                    <w:tr2bl w:val="nil"/>
                  </w:tcBorders>
                  <w:noWrap w:val="0"/>
                  <w:vAlign w:val="center"/>
                </w:tcPr>
                <w:p w14:paraId="58FCC45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c>
                <w:tcPr>
                  <w:tcW w:w="1815" w:type="dxa"/>
                  <w:tcBorders>
                    <w:tl2br w:val="nil"/>
                    <w:tr2bl w:val="nil"/>
                  </w:tcBorders>
                  <w:noWrap w:val="0"/>
                  <w:vAlign w:val="center"/>
                </w:tcPr>
                <w:p w14:paraId="4E90EC7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SS</w:t>
                  </w:r>
                </w:p>
              </w:tc>
              <w:tc>
                <w:tcPr>
                  <w:tcW w:w="1934" w:type="dxa"/>
                  <w:tcBorders>
                    <w:tl2br w:val="nil"/>
                    <w:tr2bl w:val="nil"/>
                  </w:tcBorders>
                  <w:noWrap w:val="0"/>
                  <w:vAlign w:val="center"/>
                </w:tcPr>
                <w:p w14:paraId="3D9C58E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400</w:t>
                  </w:r>
                </w:p>
              </w:tc>
              <w:tc>
                <w:tcPr>
                  <w:tcW w:w="2923" w:type="dxa"/>
                  <w:vMerge w:val="continue"/>
                  <w:tcBorders>
                    <w:tl2br w:val="nil"/>
                    <w:tr2bl w:val="nil"/>
                  </w:tcBorders>
                  <w:noWrap w:val="0"/>
                  <w:vAlign w:val="center"/>
                </w:tcPr>
                <w:p w14:paraId="2E44C15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rPr>
                  </w:pPr>
                </w:p>
              </w:tc>
            </w:tr>
          </w:tbl>
          <w:p w14:paraId="386813D7">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contextualSpacing/>
              <w:textAlignment w:val="auto"/>
              <w:rPr>
                <w:rFonts w:hint="default" w:ascii="Times New Roman" w:hAnsi="Times New Roman" w:eastAsia="宋体" w:cs="Times New Roman"/>
                <w:b/>
                <w:bCs/>
                <w:sz w:val="24"/>
              </w:rPr>
            </w:pPr>
            <w:r>
              <w:rPr>
                <w:rFonts w:hint="eastAsia" w:ascii="Times New Roman" w:hAnsi="Times New Roman" w:eastAsia="宋体" w:cs="Times New Roman"/>
                <w:b/>
                <w:bCs/>
                <w:color w:val="000000"/>
                <w:sz w:val="24"/>
                <w:lang w:eastAsia="zh-CN"/>
              </w:rPr>
              <w:t>3.</w:t>
            </w:r>
            <w:r>
              <w:rPr>
                <w:rFonts w:hint="default" w:ascii="Times New Roman" w:hAnsi="Times New Roman" w:eastAsia="宋体" w:cs="Times New Roman"/>
                <w:b/>
                <w:bCs/>
                <w:sz w:val="24"/>
              </w:rPr>
              <w:t>噪声</w:t>
            </w:r>
          </w:p>
          <w:p w14:paraId="7B8CC556">
            <w:pPr>
              <w:spacing w:line="360" w:lineRule="auto"/>
              <w:ind w:firstLine="480" w:firstLineChars="200"/>
              <w:contextualSpacing/>
              <w:rPr>
                <w:rFonts w:hint="default" w:ascii="Times New Roman" w:hAnsi="Times New Roman" w:eastAsia="宋体" w:cs="Times New Roman"/>
                <w:sz w:val="24"/>
              </w:rPr>
            </w:pPr>
            <w:r>
              <w:rPr>
                <w:rFonts w:hint="default" w:ascii="Times New Roman" w:hAnsi="Times New Roman" w:eastAsia="宋体" w:cs="Times New Roman"/>
                <w:sz w:val="24"/>
              </w:rPr>
              <w:t>运营期项目区厂界噪声</w:t>
            </w:r>
            <w:r>
              <w:rPr>
                <w:rFonts w:hint="eastAsia" w:cs="Times New Roman"/>
                <w:sz w:val="24"/>
                <w:lang w:eastAsia="zh-CN"/>
              </w:rPr>
              <w:t>执行</w:t>
            </w:r>
            <w:r>
              <w:rPr>
                <w:rFonts w:hint="default" w:ascii="Times New Roman" w:hAnsi="Times New Roman" w:eastAsia="宋体" w:cs="Times New Roman"/>
                <w:sz w:val="24"/>
              </w:rPr>
              <w:t>《工业企业厂界环境噪声排放标准》（GB12348-2008）中</w:t>
            </w:r>
            <w:r>
              <w:rPr>
                <w:rFonts w:hint="default" w:ascii="Times New Roman" w:hAnsi="Times New Roman" w:eastAsia="宋体" w:cs="Times New Roman"/>
                <w:sz w:val="24"/>
                <w:lang w:val="en-US" w:eastAsia="zh-CN"/>
              </w:rPr>
              <w:t>3</w:t>
            </w:r>
            <w:r>
              <w:rPr>
                <w:rFonts w:hint="default" w:ascii="Times New Roman" w:hAnsi="Times New Roman" w:eastAsia="宋体" w:cs="Times New Roman"/>
                <w:sz w:val="24"/>
              </w:rPr>
              <w:t>类标准。</w:t>
            </w:r>
          </w:p>
          <w:p w14:paraId="1B2A97B2">
            <w:pPr>
              <w:widowControl/>
              <w:spacing w:line="360" w:lineRule="auto"/>
              <w:contextualSpacing/>
              <w:jc w:val="center"/>
              <w:rPr>
                <w:rFonts w:hint="default" w:ascii="Times New Roman" w:hAnsi="Times New Roman" w:eastAsia="宋体" w:cs="Times New Roman"/>
                <w:b/>
                <w:kern w:val="0"/>
                <w:sz w:val="21"/>
                <w:szCs w:val="21"/>
              </w:rPr>
            </w:pPr>
            <w:r>
              <w:rPr>
                <w:rFonts w:hint="default" w:ascii="Times New Roman" w:hAnsi="Times New Roman" w:eastAsia="宋体" w:cs="Times New Roman"/>
                <w:b/>
                <w:sz w:val="21"/>
                <w:szCs w:val="21"/>
              </w:rPr>
              <w:t>表</w:t>
            </w:r>
            <w:r>
              <w:rPr>
                <w:rFonts w:hint="default" w:ascii="Times New Roman" w:hAnsi="Times New Roman" w:eastAsia="宋体" w:cs="Times New Roman"/>
                <w:b/>
                <w:sz w:val="21"/>
                <w:szCs w:val="21"/>
                <w:lang w:val="en-US" w:eastAsia="zh-CN"/>
              </w:rPr>
              <w:t>3-</w:t>
            </w:r>
            <w:r>
              <w:rPr>
                <w:rFonts w:hint="eastAsia" w:cs="Times New Roman"/>
                <w:b/>
                <w:sz w:val="21"/>
                <w:szCs w:val="21"/>
                <w:lang w:val="en-US" w:eastAsia="zh-CN"/>
              </w:rPr>
              <w:t>6</w:t>
            </w:r>
            <w:r>
              <w:rPr>
                <w:rFonts w:hint="default" w:ascii="Times New Roman" w:hAnsi="Times New Roman" w:eastAsia="宋体" w:cs="Times New Roman"/>
                <w:b/>
                <w:sz w:val="21"/>
                <w:szCs w:val="21"/>
              </w:rPr>
              <w:t xml:space="preserve"> 工业企业厂界环境噪声排放标准</w:t>
            </w:r>
          </w:p>
          <w:tbl>
            <w:tblPr>
              <w:tblStyle w:val="2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54"/>
              <w:gridCol w:w="2055"/>
              <w:gridCol w:w="2054"/>
              <w:gridCol w:w="2054"/>
            </w:tblGrid>
            <w:tr w14:paraId="7818D8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054" w:type="dxa"/>
                  <w:tcBorders>
                    <w:tl2br w:val="nil"/>
                    <w:tr2bl w:val="nil"/>
                  </w:tcBorders>
                  <w:noWrap w:val="0"/>
                  <w:vAlign w:val="center"/>
                </w:tcPr>
                <w:p w14:paraId="5AB52666">
                  <w:pPr>
                    <w:widowControl/>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类别</w:t>
                  </w:r>
                </w:p>
              </w:tc>
              <w:tc>
                <w:tcPr>
                  <w:tcW w:w="2055" w:type="dxa"/>
                  <w:tcBorders>
                    <w:tl2br w:val="nil"/>
                    <w:tr2bl w:val="nil"/>
                  </w:tcBorders>
                  <w:noWrap w:val="0"/>
                  <w:vAlign w:val="center"/>
                </w:tcPr>
                <w:p w14:paraId="46AF4755">
                  <w:pPr>
                    <w:widowControl/>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单位</w:t>
                  </w:r>
                </w:p>
              </w:tc>
              <w:tc>
                <w:tcPr>
                  <w:tcW w:w="2054" w:type="dxa"/>
                  <w:tcBorders>
                    <w:tl2br w:val="nil"/>
                    <w:tr2bl w:val="nil"/>
                  </w:tcBorders>
                  <w:noWrap w:val="0"/>
                  <w:vAlign w:val="center"/>
                </w:tcPr>
                <w:p w14:paraId="2B328F5E">
                  <w:pPr>
                    <w:widowControl/>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昼间</w:t>
                  </w:r>
                </w:p>
              </w:tc>
              <w:tc>
                <w:tcPr>
                  <w:tcW w:w="2054" w:type="dxa"/>
                  <w:tcBorders>
                    <w:tl2br w:val="nil"/>
                    <w:tr2bl w:val="nil"/>
                  </w:tcBorders>
                  <w:noWrap w:val="0"/>
                  <w:vAlign w:val="center"/>
                </w:tcPr>
                <w:p w14:paraId="7C7C40C9">
                  <w:pPr>
                    <w:widowControl/>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夜间</w:t>
                  </w:r>
                </w:p>
              </w:tc>
            </w:tr>
            <w:tr w14:paraId="23602B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2054" w:type="dxa"/>
                  <w:tcBorders>
                    <w:tl2br w:val="nil"/>
                    <w:tr2bl w:val="nil"/>
                  </w:tcBorders>
                  <w:noWrap w:val="0"/>
                  <w:vAlign w:val="center"/>
                </w:tcPr>
                <w:p w14:paraId="2848E25C">
                  <w:pPr>
                    <w:widowControl/>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rPr>
                    <w:t>3</w:t>
                  </w:r>
                  <w:r>
                    <w:rPr>
                      <w:rFonts w:hint="default" w:ascii="Times New Roman" w:hAnsi="Times New Roman" w:eastAsia="宋体" w:cs="Times New Roman"/>
                      <w:kern w:val="0"/>
                      <w:sz w:val="21"/>
                      <w:szCs w:val="21"/>
                    </w:rPr>
                    <w:t>类</w:t>
                  </w:r>
                </w:p>
              </w:tc>
              <w:tc>
                <w:tcPr>
                  <w:tcW w:w="2055" w:type="dxa"/>
                  <w:tcBorders>
                    <w:tl2br w:val="nil"/>
                    <w:tr2bl w:val="nil"/>
                  </w:tcBorders>
                  <w:noWrap w:val="0"/>
                  <w:vAlign w:val="center"/>
                </w:tcPr>
                <w:p w14:paraId="708066E7">
                  <w:pPr>
                    <w:widowControl/>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dB</w:t>
                  </w:r>
                  <w:r>
                    <w:rPr>
                      <w:rFonts w:hint="eastAsia" w:cs="Times New Roman"/>
                      <w:kern w:val="0"/>
                      <w:sz w:val="21"/>
                      <w:szCs w:val="21"/>
                      <w:lang w:eastAsia="zh-CN"/>
                    </w:rPr>
                    <w:t>（</w:t>
                  </w:r>
                  <w:r>
                    <w:rPr>
                      <w:rFonts w:hint="default" w:ascii="Times New Roman" w:hAnsi="Times New Roman" w:eastAsia="宋体" w:cs="Times New Roman"/>
                      <w:kern w:val="0"/>
                      <w:sz w:val="21"/>
                      <w:szCs w:val="21"/>
                    </w:rPr>
                    <w:t>A</w:t>
                  </w:r>
                  <w:r>
                    <w:rPr>
                      <w:rFonts w:hint="eastAsia" w:cs="Times New Roman"/>
                      <w:kern w:val="0"/>
                      <w:sz w:val="21"/>
                      <w:szCs w:val="21"/>
                      <w:lang w:eastAsia="zh-CN"/>
                    </w:rPr>
                    <w:t>）</w:t>
                  </w:r>
                </w:p>
              </w:tc>
              <w:tc>
                <w:tcPr>
                  <w:tcW w:w="2054" w:type="dxa"/>
                  <w:tcBorders>
                    <w:tl2br w:val="nil"/>
                    <w:tr2bl w:val="nil"/>
                  </w:tcBorders>
                  <w:noWrap w:val="0"/>
                  <w:vAlign w:val="center"/>
                </w:tcPr>
                <w:p w14:paraId="7AF32A72">
                  <w:pPr>
                    <w:widowControl/>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6</w:t>
                  </w:r>
                  <w:r>
                    <w:rPr>
                      <w:rFonts w:hint="default" w:ascii="Times New Roman" w:hAnsi="Times New Roman" w:eastAsia="宋体" w:cs="Times New Roman"/>
                      <w:kern w:val="0"/>
                      <w:sz w:val="21"/>
                      <w:szCs w:val="21"/>
                      <w:lang w:val="en-US" w:eastAsia="zh-CN"/>
                    </w:rPr>
                    <w:t>5</w:t>
                  </w:r>
                </w:p>
              </w:tc>
              <w:tc>
                <w:tcPr>
                  <w:tcW w:w="2054" w:type="dxa"/>
                  <w:tcBorders>
                    <w:tl2br w:val="nil"/>
                    <w:tr2bl w:val="nil"/>
                  </w:tcBorders>
                  <w:noWrap w:val="0"/>
                  <w:vAlign w:val="center"/>
                </w:tcPr>
                <w:p w14:paraId="0DD8EE4C">
                  <w:pPr>
                    <w:widowControl/>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5</w:t>
                  </w:r>
                  <w:r>
                    <w:rPr>
                      <w:rFonts w:hint="default" w:ascii="Times New Roman" w:hAnsi="Times New Roman" w:eastAsia="宋体" w:cs="Times New Roman"/>
                      <w:kern w:val="0"/>
                      <w:sz w:val="21"/>
                      <w:szCs w:val="21"/>
                      <w:lang w:val="en-US" w:eastAsia="zh-CN"/>
                    </w:rPr>
                    <w:t>5</w:t>
                  </w:r>
                </w:p>
              </w:tc>
            </w:tr>
          </w:tbl>
          <w:p w14:paraId="06BFC746">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jc w:val="left"/>
              <w:textAlignment w:val="auto"/>
              <w:rPr>
                <w:rFonts w:hint="eastAsia"/>
                <w:b/>
                <w:bCs/>
                <w:color w:val="000000"/>
                <w:sz w:val="24"/>
              </w:rPr>
            </w:pPr>
            <w:r>
              <w:rPr>
                <w:rFonts w:hint="eastAsia"/>
                <w:b/>
                <w:bCs/>
                <w:color w:val="000000"/>
                <w:sz w:val="24"/>
                <w:lang w:eastAsia="zh-CN"/>
              </w:rPr>
              <w:t>4.</w:t>
            </w:r>
            <w:r>
              <w:rPr>
                <w:b/>
                <w:bCs/>
                <w:color w:val="000000"/>
                <w:sz w:val="24"/>
              </w:rPr>
              <w:t>固废</w:t>
            </w:r>
          </w:p>
          <w:p w14:paraId="51D6D9AD">
            <w:pPr>
              <w:adjustRightInd w:val="0"/>
              <w:snapToGrid w:val="0"/>
              <w:spacing w:line="360" w:lineRule="auto"/>
              <w:ind w:firstLine="480" w:firstLineChars="200"/>
              <w:jc w:val="both"/>
              <w:rPr>
                <w:rFonts w:ascii="宋体" w:hAnsi="宋体" w:cs="宋体"/>
                <w:kern w:val="0"/>
                <w:sz w:val="24"/>
                <w:szCs w:val="24"/>
              </w:rPr>
            </w:pPr>
            <w:r>
              <w:rPr>
                <w:color w:val="000000"/>
                <w:sz w:val="24"/>
              </w:rPr>
              <w:t>本项目</w:t>
            </w:r>
            <w:r>
              <w:rPr>
                <w:rFonts w:hint="default" w:ascii="Times New Roman" w:hAnsi="Times New Roman" w:eastAsia="宋体" w:cs="Times New Roman"/>
                <w:b w:val="0"/>
                <w:bCs w:val="0"/>
                <w:color w:val="000000"/>
                <w:kern w:val="0"/>
                <w:sz w:val="24"/>
                <w:szCs w:val="24"/>
                <w:highlight w:val="none"/>
                <w:lang w:val="en-US" w:eastAsia="zh-CN" w:bidi="ar-SA"/>
              </w:rPr>
              <w:t>一般工业固体废物贮存执行《一般工业固体废物贮存和填埋污染控制标准》</w:t>
            </w:r>
            <w:r>
              <w:rPr>
                <w:rFonts w:hint="eastAsia" w:ascii="Times New Roman" w:hAnsi="Times New Roman" w:eastAsia="宋体" w:cs="Times New Roman"/>
                <w:b w:val="0"/>
                <w:bCs w:val="0"/>
                <w:color w:val="000000"/>
                <w:kern w:val="0"/>
                <w:sz w:val="24"/>
                <w:szCs w:val="24"/>
                <w:highlight w:val="none"/>
                <w:lang w:val="en-US" w:eastAsia="zh-CN" w:bidi="ar-SA"/>
              </w:rPr>
              <w:t>（</w:t>
            </w:r>
            <w:r>
              <w:rPr>
                <w:rFonts w:hint="default" w:ascii="Times New Roman" w:hAnsi="Times New Roman" w:eastAsia="宋体" w:cs="Times New Roman"/>
                <w:b w:val="0"/>
                <w:bCs w:val="0"/>
                <w:color w:val="000000"/>
                <w:kern w:val="0"/>
                <w:sz w:val="24"/>
                <w:szCs w:val="24"/>
                <w:highlight w:val="none"/>
                <w:lang w:val="en-US" w:eastAsia="zh-CN" w:bidi="ar-SA"/>
              </w:rPr>
              <w:t>GB18599-2020</w:t>
            </w:r>
            <w:r>
              <w:rPr>
                <w:rFonts w:hint="eastAsia" w:ascii="Times New Roman" w:hAnsi="Times New Roman" w:eastAsia="宋体" w:cs="Times New Roman"/>
                <w:b w:val="0"/>
                <w:bCs w:val="0"/>
                <w:color w:val="000000"/>
                <w:kern w:val="0"/>
                <w:sz w:val="24"/>
                <w:szCs w:val="24"/>
                <w:highlight w:val="none"/>
                <w:lang w:val="en-US" w:eastAsia="zh-CN" w:bidi="ar-SA"/>
              </w:rPr>
              <w:t>）</w:t>
            </w:r>
            <w:r>
              <w:rPr>
                <w:rFonts w:hint="default" w:ascii="Times New Roman" w:hAnsi="Times New Roman" w:eastAsia="宋体" w:cs="Times New Roman"/>
                <w:b w:val="0"/>
                <w:bCs w:val="0"/>
                <w:color w:val="000000"/>
                <w:kern w:val="0"/>
                <w:sz w:val="24"/>
                <w:szCs w:val="24"/>
                <w:highlight w:val="none"/>
                <w:lang w:val="en-US" w:eastAsia="zh-CN" w:bidi="ar-SA"/>
              </w:rPr>
              <w:t>。</w:t>
            </w:r>
          </w:p>
        </w:tc>
      </w:tr>
      <w:tr w14:paraId="6D4384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800" w:type="dxa"/>
            <w:noWrap w:val="0"/>
            <w:vAlign w:val="center"/>
          </w:tcPr>
          <w:p w14:paraId="6734D02D">
            <w:pPr>
              <w:adjustRightInd w:val="0"/>
              <w:snapToGrid w:val="0"/>
              <w:jc w:val="center"/>
              <w:rPr>
                <w:rFonts w:hint="eastAsia" w:ascii="宋体" w:hAnsi="宋体" w:cs="宋体"/>
                <w:kern w:val="0"/>
                <w:szCs w:val="21"/>
              </w:rPr>
            </w:pPr>
            <w:r>
              <w:rPr>
                <w:rFonts w:hint="eastAsia" w:ascii="宋体" w:hAnsi="宋体" w:cs="宋体"/>
                <w:kern w:val="0"/>
                <w:szCs w:val="21"/>
              </w:rPr>
              <w:t>总量</w:t>
            </w:r>
          </w:p>
          <w:p w14:paraId="4D3CD28B">
            <w:pPr>
              <w:adjustRightInd w:val="0"/>
              <w:snapToGrid w:val="0"/>
              <w:jc w:val="center"/>
              <w:rPr>
                <w:rFonts w:hint="eastAsia" w:ascii="宋体" w:hAnsi="宋体" w:cs="宋体"/>
                <w:kern w:val="0"/>
                <w:szCs w:val="21"/>
              </w:rPr>
            </w:pPr>
            <w:r>
              <w:rPr>
                <w:rFonts w:hint="eastAsia" w:ascii="宋体" w:hAnsi="宋体" w:cs="宋体"/>
                <w:kern w:val="0"/>
                <w:szCs w:val="21"/>
              </w:rPr>
              <w:t>控制</w:t>
            </w:r>
          </w:p>
          <w:p w14:paraId="4E6017BC">
            <w:pPr>
              <w:adjustRightInd w:val="0"/>
              <w:snapToGrid w:val="0"/>
              <w:jc w:val="center"/>
              <w:rPr>
                <w:rFonts w:ascii="宋体" w:hAnsi="宋体" w:cs="宋体"/>
                <w:kern w:val="0"/>
                <w:szCs w:val="21"/>
              </w:rPr>
            </w:pPr>
            <w:r>
              <w:rPr>
                <w:rFonts w:hint="eastAsia" w:ascii="宋体" w:hAnsi="宋体" w:cs="宋体"/>
                <w:kern w:val="0"/>
                <w:szCs w:val="21"/>
              </w:rPr>
              <w:t>指标</w:t>
            </w:r>
          </w:p>
        </w:tc>
        <w:tc>
          <w:tcPr>
            <w:tcW w:w="8190" w:type="dxa"/>
            <w:noWrap w:val="0"/>
            <w:vAlign w:val="center"/>
          </w:tcPr>
          <w:p w14:paraId="36C3D01F">
            <w:pPr>
              <w:adjustRightInd w:val="0"/>
              <w:snapToGrid w:val="0"/>
              <w:spacing w:line="360" w:lineRule="auto"/>
              <w:ind w:firstLine="480" w:firstLineChars="200"/>
              <w:jc w:val="both"/>
              <w:rPr>
                <w:rFonts w:hint="eastAsia" w:ascii="宋体" w:hAnsi="宋体" w:eastAsia="宋体" w:cs="宋体"/>
                <w:kern w:val="0"/>
                <w:sz w:val="24"/>
                <w:szCs w:val="24"/>
                <w:lang w:eastAsia="zh-CN"/>
              </w:rPr>
            </w:pPr>
            <w:r>
              <w:rPr>
                <w:rFonts w:hint="eastAsia"/>
                <w:sz w:val="24"/>
                <w:lang w:val="en-US" w:eastAsia="zh-CN"/>
              </w:rPr>
              <w:t>无</w:t>
            </w:r>
          </w:p>
        </w:tc>
      </w:tr>
    </w:tbl>
    <w:p w14:paraId="6CCABDAD">
      <w:pPr>
        <w:pStyle w:val="21"/>
        <w:jc w:val="center"/>
        <w:outlineLvl w:val="0"/>
        <w:rPr>
          <w:rFonts w:ascii="黑体" w:hAnsi="黑体" w:eastAsia="黑体"/>
          <w:snapToGrid w:val="0"/>
          <w:sz w:val="30"/>
          <w:szCs w:val="30"/>
        </w:rPr>
      </w:pPr>
      <w:r>
        <w:rPr>
          <w:rFonts w:ascii="黑体" w:hAnsi="黑体" w:eastAsia="黑体"/>
          <w:snapToGrid w:val="0"/>
          <w:sz w:val="36"/>
          <w:szCs w:val="36"/>
        </w:rPr>
        <w:br w:type="page"/>
      </w:r>
      <w:r>
        <w:rPr>
          <w:rFonts w:hint="eastAsia" w:ascii="黑体" w:hAnsi="黑体" w:eastAsia="黑体"/>
          <w:snapToGrid w:val="0"/>
          <w:sz w:val="30"/>
          <w:szCs w:val="30"/>
        </w:rPr>
        <w:t>四、主要环境影响和保护措施</w:t>
      </w:r>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07D1EC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49" w:hRule="atLeast"/>
          <w:jc w:val="center"/>
        </w:trPr>
        <w:tc>
          <w:tcPr>
            <w:tcW w:w="746" w:type="dxa"/>
            <w:noWrap w:val="0"/>
            <w:tcMar>
              <w:left w:w="28" w:type="dxa"/>
              <w:right w:w="28" w:type="dxa"/>
            </w:tcMar>
            <w:vAlign w:val="center"/>
          </w:tcPr>
          <w:p w14:paraId="3147F00F">
            <w:pPr>
              <w:pStyle w:val="21"/>
              <w:adjustRightInd w:val="0"/>
              <w:snapToGrid w:val="0"/>
              <w:spacing w:before="0" w:beforeAutospacing="0" w:after="0" w:afterAutospacing="0"/>
              <w:jc w:val="center"/>
              <w:rPr>
                <w:rFonts w:hint="eastAsia" w:cs="宋体"/>
                <w:kern w:val="2"/>
                <w:sz w:val="21"/>
                <w:szCs w:val="21"/>
              </w:rPr>
            </w:pPr>
            <w:r>
              <w:rPr>
                <w:rFonts w:hint="eastAsia" w:cs="宋体"/>
                <w:kern w:val="2"/>
                <w:sz w:val="21"/>
                <w:szCs w:val="21"/>
              </w:rPr>
              <w:t>施工</w:t>
            </w:r>
          </w:p>
          <w:p w14:paraId="3244C1E5">
            <w:pPr>
              <w:pStyle w:val="21"/>
              <w:adjustRightInd w:val="0"/>
              <w:snapToGrid w:val="0"/>
              <w:spacing w:before="0" w:beforeAutospacing="0" w:after="0" w:afterAutospacing="0"/>
              <w:jc w:val="center"/>
              <w:rPr>
                <w:rFonts w:hint="eastAsia" w:cs="宋体"/>
                <w:kern w:val="2"/>
                <w:sz w:val="21"/>
                <w:szCs w:val="21"/>
              </w:rPr>
            </w:pPr>
            <w:r>
              <w:rPr>
                <w:rFonts w:hint="eastAsia" w:cs="宋体"/>
                <w:kern w:val="2"/>
                <w:sz w:val="21"/>
                <w:szCs w:val="21"/>
              </w:rPr>
              <w:t>期环</w:t>
            </w:r>
          </w:p>
          <w:p w14:paraId="5A3C176F">
            <w:pPr>
              <w:pStyle w:val="21"/>
              <w:adjustRightInd w:val="0"/>
              <w:snapToGrid w:val="0"/>
              <w:spacing w:before="0" w:beforeAutospacing="0" w:after="0" w:afterAutospacing="0"/>
              <w:jc w:val="center"/>
              <w:rPr>
                <w:rFonts w:hint="eastAsia" w:cs="宋体"/>
                <w:kern w:val="2"/>
                <w:sz w:val="21"/>
                <w:szCs w:val="21"/>
              </w:rPr>
            </w:pPr>
            <w:r>
              <w:rPr>
                <w:rFonts w:hint="eastAsia" w:cs="宋体"/>
                <w:kern w:val="2"/>
                <w:sz w:val="21"/>
                <w:szCs w:val="21"/>
              </w:rPr>
              <w:t>境保</w:t>
            </w:r>
          </w:p>
          <w:p w14:paraId="19AA1579">
            <w:pPr>
              <w:pStyle w:val="21"/>
              <w:adjustRightInd w:val="0"/>
              <w:snapToGrid w:val="0"/>
              <w:spacing w:before="0" w:beforeAutospacing="0" w:after="0" w:afterAutospacing="0"/>
              <w:jc w:val="center"/>
              <w:rPr>
                <w:rFonts w:hint="eastAsia" w:cs="宋体"/>
                <w:kern w:val="2"/>
                <w:sz w:val="21"/>
                <w:szCs w:val="21"/>
              </w:rPr>
            </w:pPr>
            <w:r>
              <w:rPr>
                <w:rFonts w:hint="eastAsia" w:cs="宋体"/>
                <w:kern w:val="2"/>
                <w:sz w:val="21"/>
                <w:szCs w:val="21"/>
              </w:rPr>
              <w:t>护措</w:t>
            </w:r>
          </w:p>
          <w:p w14:paraId="0DDE6FA3">
            <w:pPr>
              <w:pStyle w:val="21"/>
              <w:adjustRightInd w:val="0"/>
              <w:snapToGrid w:val="0"/>
              <w:spacing w:before="0" w:beforeAutospacing="0" w:after="0" w:afterAutospacing="0"/>
              <w:jc w:val="center"/>
              <w:rPr>
                <w:rFonts w:hint="eastAsia" w:cs="宋体"/>
                <w:bCs/>
                <w:kern w:val="2"/>
                <w:sz w:val="21"/>
                <w:szCs w:val="21"/>
              </w:rPr>
            </w:pPr>
            <w:r>
              <w:rPr>
                <w:rFonts w:hint="eastAsia" w:cs="宋体"/>
                <w:kern w:val="2"/>
                <w:sz w:val="21"/>
                <w:szCs w:val="21"/>
              </w:rPr>
              <w:t>施</w:t>
            </w:r>
          </w:p>
        </w:tc>
        <w:tc>
          <w:tcPr>
            <w:tcW w:w="8162" w:type="dxa"/>
            <w:noWrap w:val="0"/>
            <w:vAlign w:val="center"/>
          </w:tcPr>
          <w:p w14:paraId="4FF22FA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b/>
                <w:bCs w:val="0"/>
                <w:color w:val="000000"/>
                <w:spacing w:val="0"/>
                <w:sz w:val="24"/>
                <w:szCs w:val="24"/>
                <w:highlight w:val="none"/>
                <w:lang w:val="en-US" w:eastAsia="zh-CN"/>
              </w:rPr>
            </w:pPr>
            <w:r>
              <w:rPr>
                <w:rFonts w:hint="eastAsia" w:ascii="Times New Roman" w:hAnsi="Times New Roman" w:eastAsia="宋体" w:cs="Times New Roman"/>
                <w:b/>
                <w:bCs w:val="0"/>
                <w:color w:val="000000"/>
                <w:spacing w:val="0"/>
                <w:sz w:val="24"/>
                <w:szCs w:val="24"/>
                <w:highlight w:val="none"/>
                <w:lang w:val="en-US" w:eastAsia="zh-CN"/>
              </w:rPr>
              <w:t>1.</w:t>
            </w:r>
            <w:r>
              <w:rPr>
                <w:rFonts w:hint="default" w:ascii="Times New Roman" w:hAnsi="Times New Roman" w:eastAsia="宋体" w:cs="Times New Roman"/>
                <w:b/>
                <w:bCs w:val="0"/>
                <w:color w:val="000000"/>
                <w:spacing w:val="0"/>
                <w:sz w:val="24"/>
                <w:szCs w:val="24"/>
                <w:highlight w:val="none"/>
                <w:lang w:val="en-US" w:eastAsia="zh-CN"/>
              </w:rPr>
              <w:t>施工期大气污染防治措施</w:t>
            </w:r>
          </w:p>
          <w:p w14:paraId="6CF9FE7B">
            <w:pPr>
              <w:pStyle w:val="16"/>
              <w:spacing w:line="360" w:lineRule="auto"/>
              <w:ind w:firstLine="480" w:firstLineChars="200"/>
              <w:jc w:val="both"/>
              <w:rPr>
                <w:rFonts w:hint="default" w:ascii="Times New Roman" w:hAnsi="Times New Roman" w:eastAsia="宋体" w:cs="Times New Roman"/>
                <w:b w:val="0"/>
                <w:color w:val="000000"/>
                <w:sz w:val="24"/>
                <w:szCs w:val="24"/>
                <w:highlight w:val="none"/>
              </w:rPr>
            </w:pPr>
            <w:r>
              <w:rPr>
                <w:rFonts w:hint="default" w:ascii="Times New Roman" w:hAnsi="Times New Roman" w:eastAsia="宋体" w:cs="Times New Roman"/>
                <w:b w:val="0"/>
                <w:color w:val="000000"/>
                <w:sz w:val="24"/>
                <w:szCs w:val="24"/>
                <w:highlight w:val="none"/>
              </w:rPr>
              <w:t>施工期造成区域大气环境污染的主要因素是地面扬尘，施工产生的地面扬尘主要来自地面平整和运输车辆引起的二次扬尘。</w:t>
            </w:r>
          </w:p>
          <w:p w14:paraId="0AAB9651">
            <w:pPr>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为有效控制施工期间的扬尘影响，结合建设单位实际情况，本评价要求建设单位严格执行</w:t>
            </w:r>
            <w:r>
              <w:rPr>
                <w:rFonts w:hint="default" w:ascii="Times New Roman" w:hAnsi="Times New Roman" w:eastAsia="宋体" w:cs="Times New Roman"/>
                <w:color w:val="000000"/>
                <w:sz w:val="24"/>
                <w:szCs w:val="24"/>
                <w:highlight w:val="none"/>
                <w:lang w:bidi="ar"/>
              </w:rPr>
              <w:t>《关于印发新疆维吾尔自治区大气污染防治行动计划实施方案的通知》</w:t>
            </w:r>
            <w:r>
              <w:rPr>
                <w:rFonts w:hint="eastAsia" w:ascii="Times New Roman" w:hAnsi="Times New Roman" w:eastAsia="宋体" w:cs="Times New Roman"/>
                <w:color w:val="000000"/>
                <w:sz w:val="24"/>
                <w:szCs w:val="24"/>
                <w:highlight w:val="none"/>
                <w:lang w:eastAsia="zh-CN" w:bidi="ar"/>
              </w:rPr>
              <w:t>（</w:t>
            </w:r>
            <w:r>
              <w:rPr>
                <w:rFonts w:hint="default" w:ascii="Times New Roman" w:hAnsi="Times New Roman" w:eastAsia="宋体" w:cs="Times New Roman"/>
                <w:color w:val="000000"/>
                <w:sz w:val="24"/>
                <w:szCs w:val="24"/>
                <w:highlight w:val="none"/>
                <w:lang w:bidi="ar"/>
              </w:rPr>
              <w:t>新政发</w:t>
            </w:r>
            <w:r>
              <w:rPr>
                <w:rFonts w:hint="eastAsia" w:ascii="Times New Roman" w:hAnsi="Times New Roman" w:eastAsia="宋体" w:cs="Times New Roman"/>
                <w:color w:val="000000"/>
                <w:sz w:val="24"/>
                <w:szCs w:val="24"/>
                <w:highlight w:val="none"/>
                <w:lang w:eastAsia="zh-CN" w:bidi="ar"/>
              </w:rPr>
              <w:t>〔2014〕35号）</w:t>
            </w:r>
            <w:r>
              <w:rPr>
                <w:rFonts w:hint="default" w:ascii="Times New Roman" w:hAnsi="Times New Roman" w:eastAsia="宋体" w:cs="Times New Roman"/>
                <w:color w:val="000000"/>
                <w:sz w:val="24"/>
                <w:szCs w:val="24"/>
                <w:highlight w:val="none"/>
                <w:lang w:bidi="ar"/>
              </w:rPr>
              <w:t>及《新疆维吾尔自治区重污染天气应急预案》</w:t>
            </w:r>
            <w:r>
              <w:rPr>
                <w:rFonts w:hint="eastAsia" w:ascii="Times New Roman" w:hAnsi="Times New Roman" w:eastAsia="宋体" w:cs="Times New Roman"/>
                <w:color w:val="000000"/>
                <w:sz w:val="24"/>
                <w:szCs w:val="24"/>
                <w:highlight w:val="none"/>
                <w:lang w:eastAsia="zh-CN" w:bidi="ar"/>
              </w:rPr>
              <w:t>（</w:t>
            </w:r>
            <w:r>
              <w:rPr>
                <w:rFonts w:hint="default" w:ascii="Times New Roman" w:hAnsi="Times New Roman" w:eastAsia="宋体" w:cs="Times New Roman"/>
                <w:color w:val="000000"/>
                <w:sz w:val="24"/>
                <w:szCs w:val="24"/>
                <w:highlight w:val="none"/>
                <w:lang w:bidi="ar"/>
              </w:rPr>
              <w:t>新政办发</w:t>
            </w:r>
            <w:r>
              <w:rPr>
                <w:rFonts w:hint="eastAsia" w:ascii="Times New Roman" w:hAnsi="Times New Roman" w:eastAsia="宋体" w:cs="Times New Roman"/>
                <w:color w:val="000000"/>
                <w:sz w:val="24"/>
                <w:szCs w:val="24"/>
                <w:highlight w:val="none"/>
                <w:lang w:eastAsia="zh-CN" w:bidi="ar"/>
              </w:rPr>
              <w:t>〔2017〕108号）</w:t>
            </w:r>
            <w:r>
              <w:rPr>
                <w:rFonts w:hint="default" w:ascii="Times New Roman" w:hAnsi="Times New Roman" w:eastAsia="宋体" w:cs="Times New Roman"/>
                <w:color w:val="000000"/>
                <w:sz w:val="24"/>
                <w:szCs w:val="24"/>
                <w:highlight w:val="none"/>
                <w:lang w:bidi="ar"/>
              </w:rPr>
              <w:t>相关文件要求，</w:t>
            </w:r>
            <w:r>
              <w:rPr>
                <w:rFonts w:hint="default" w:ascii="Times New Roman" w:hAnsi="Times New Roman" w:eastAsia="宋体" w:cs="Times New Roman"/>
                <w:color w:val="000000"/>
                <w:sz w:val="24"/>
                <w:szCs w:val="24"/>
                <w:highlight w:val="none"/>
              </w:rPr>
              <w:t>同时结合《建筑工程施工现场扬尘污染防治标准》等采取的抑尘措施，</w:t>
            </w:r>
            <w:r>
              <w:rPr>
                <w:rFonts w:hint="default" w:ascii="Times New Roman" w:hAnsi="Times New Roman" w:eastAsia="宋体" w:cs="Times New Roman"/>
                <w:bCs/>
                <w:color w:val="000000"/>
                <w:sz w:val="24"/>
                <w:szCs w:val="24"/>
                <w:highlight w:val="none"/>
              </w:rPr>
              <w:t>对项目施工提出以下扬尘控制要求</w:t>
            </w:r>
            <w:r>
              <w:rPr>
                <w:rFonts w:hint="default" w:ascii="Times New Roman" w:hAnsi="Times New Roman" w:eastAsia="宋体" w:cs="Times New Roman"/>
                <w:color w:val="000000"/>
                <w:sz w:val="24"/>
                <w:szCs w:val="24"/>
                <w:highlight w:val="none"/>
              </w:rPr>
              <w:t>。通过采</w:t>
            </w:r>
            <w:r>
              <w:rPr>
                <w:rFonts w:hint="default" w:ascii="Times New Roman" w:hAnsi="Times New Roman" w:eastAsia="宋体" w:cs="Times New Roman"/>
                <w:bCs/>
                <w:color w:val="000000"/>
                <w:sz w:val="24"/>
                <w:szCs w:val="24"/>
                <w:highlight w:val="none"/>
              </w:rPr>
              <w:t>取以下抑尘措施后，可较大限度</w:t>
            </w:r>
            <w:r>
              <w:rPr>
                <w:rFonts w:hint="eastAsia" w:ascii="Times New Roman" w:hAnsi="Times New Roman" w:eastAsia="宋体" w:cs="Times New Roman"/>
                <w:bCs/>
                <w:color w:val="000000"/>
                <w:sz w:val="24"/>
                <w:szCs w:val="24"/>
                <w:highlight w:val="none"/>
                <w:lang w:eastAsia="zh-CN"/>
              </w:rPr>
              <w:t>地</w:t>
            </w:r>
            <w:r>
              <w:rPr>
                <w:rFonts w:hint="default" w:ascii="Times New Roman" w:hAnsi="Times New Roman" w:eastAsia="宋体" w:cs="Times New Roman"/>
                <w:bCs/>
                <w:color w:val="000000"/>
                <w:sz w:val="24"/>
                <w:szCs w:val="24"/>
                <w:highlight w:val="none"/>
              </w:rPr>
              <w:t>降低施工扬尘对周围环境的影响</w:t>
            </w:r>
            <w:r>
              <w:rPr>
                <w:rFonts w:hint="default" w:ascii="Times New Roman" w:hAnsi="Times New Roman" w:eastAsia="宋体" w:cs="Times New Roman"/>
                <w:color w:val="000000"/>
                <w:sz w:val="24"/>
                <w:szCs w:val="24"/>
                <w:highlight w:val="none"/>
              </w:rPr>
              <w:t>。具体见下表。</w:t>
            </w:r>
          </w:p>
          <w:p w14:paraId="080A1D2D">
            <w:pPr>
              <w:adjustRightInd w:val="0"/>
              <w:spacing w:line="360" w:lineRule="auto"/>
              <w:ind w:firstLine="422" w:firstLineChars="200"/>
              <w:jc w:val="center"/>
              <w:rPr>
                <w:rFonts w:hint="default" w:ascii="Times New Roman" w:hAnsi="Times New Roman" w:eastAsia="宋体" w:cs="Times New Roman"/>
                <w:color w:val="000000"/>
                <w:kern w:val="0"/>
                <w:szCs w:val="21"/>
                <w:highlight w:val="none"/>
              </w:rPr>
            </w:pPr>
            <w:r>
              <w:rPr>
                <w:rFonts w:hint="default" w:ascii="Times New Roman" w:hAnsi="Times New Roman" w:eastAsia="宋体" w:cs="Times New Roman"/>
                <w:b/>
                <w:bCs w:val="0"/>
                <w:color w:val="000000"/>
                <w:szCs w:val="21"/>
                <w:highlight w:val="none"/>
              </w:rPr>
              <w:t>表</w:t>
            </w:r>
            <w:r>
              <w:rPr>
                <w:rFonts w:hint="eastAsia" w:ascii="Times New Roman" w:hAnsi="Times New Roman" w:eastAsia="宋体" w:cs="Times New Roman"/>
                <w:b/>
                <w:bCs w:val="0"/>
                <w:color w:val="000000"/>
                <w:szCs w:val="21"/>
                <w:highlight w:val="none"/>
                <w:lang w:val="en-US" w:eastAsia="zh-CN"/>
              </w:rPr>
              <w:t xml:space="preserve">4-1 </w:t>
            </w:r>
            <w:r>
              <w:rPr>
                <w:rFonts w:hint="default" w:ascii="Times New Roman" w:hAnsi="Times New Roman" w:eastAsia="宋体" w:cs="Times New Roman"/>
                <w:b/>
                <w:bCs/>
                <w:color w:val="000000"/>
                <w:kern w:val="0"/>
                <w:szCs w:val="21"/>
                <w:highlight w:val="none"/>
              </w:rPr>
              <w:t>施工期扬尘污染防治措施一览表</w:t>
            </w:r>
          </w:p>
          <w:tbl>
            <w:tblPr>
              <w:tblStyle w:val="25"/>
              <w:tblW w:w="8102" w:type="dxa"/>
              <w:jc w:val="center"/>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Layout w:type="fixed"/>
              <w:tblCellMar>
                <w:top w:w="0" w:type="dxa"/>
                <w:left w:w="28" w:type="dxa"/>
                <w:bottom w:w="0" w:type="dxa"/>
                <w:right w:w="28" w:type="dxa"/>
              </w:tblCellMar>
            </w:tblPr>
            <w:tblGrid>
              <w:gridCol w:w="363"/>
              <w:gridCol w:w="724"/>
              <w:gridCol w:w="6376"/>
              <w:gridCol w:w="639"/>
            </w:tblGrid>
            <w:tr w14:paraId="4F0EC86B">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28" w:type="dxa"/>
                  <w:bottom w:w="0" w:type="dxa"/>
                  <w:right w:w="28" w:type="dxa"/>
                </w:tblCellMar>
              </w:tblPrEx>
              <w:trPr>
                <w:trHeight w:val="434" w:hRule="atLeast"/>
                <w:jc w:val="center"/>
              </w:trPr>
              <w:tc>
                <w:tcPr>
                  <w:tcW w:w="363" w:type="dxa"/>
                  <w:tcBorders>
                    <w:tl2br w:val="nil"/>
                    <w:tr2bl w:val="nil"/>
                  </w:tcBorders>
                  <w:noWrap w:val="0"/>
                  <w:vAlign w:val="center"/>
                </w:tcPr>
                <w:p w14:paraId="0A62515D">
                  <w:pPr>
                    <w:spacing w:line="0" w:lineRule="atLeast"/>
                    <w:jc w:val="center"/>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序号</w:t>
                  </w:r>
                </w:p>
              </w:tc>
              <w:tc>
                <w:tcPr>
                  <w:tcW w:w="724" w:type="dxa"/>
                  <w:tcBorders>
                    <w:tl2br w:val="nil"/>
                    <w:tr2bl w:val="nil"/>
                  </w:tcBorders>
                  <w:noWrap w:val="0"/>
                  <w:vAlign w:val="center"/>
                </w:tcPr>
                <w:p w14:paraId="069ED2D4">
                  <w:pPr>
                    <w:spacing w:line="0" w:lineRule="atLeast"/>
                    <w:jc w:val="center"/>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防治</w:t>
                  </w:r>
                </w:p>
                <w:p w14:paraId="0A9F8820">
                  <w:pPr>
                    <w:spacing w:line="0" w:lineRule="atLeast"/>
                    <w:jc w:val="center"/>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措施</w:t>
                  </w:r>
                </w:p>
              </w:tc>
              <w:tc>
                <w:tcPr>
                  <w:tcW w:w="6376" w:type="dxa"/>
                  <w:tcBorders>
                    <w:tl2br w:val="nil"/>
                    <w:tr2bl w:val="nil"/>
                  </w:tcBorders>
                  <w:noWrap w:val="0"/>
                  <w:vAlign w:val="center"/>
                </w:tcPr>
                <w:p w14:paraId="7AF68901">
                  <w:pPr>
                    <w:spacing w:line="0" w:lineRule="atLeast"/>
                    <w:jc w:val="center"/>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具体要求</w:t>
                  </w:r>
                </w:p>
              </w:tc>
              <w:tc>
                <w:tcPr>
                  <w:tcW w:w="639" w:type="dxa"/>
                  <w:tcBorders>
                    <w:tl2br w:val="nil"/>
                    <w:tr2bl w:val="nil"/>
                  </w:tcBorders>
                  <w:noWrap w:val="0"/>
                  <w:vAlign w:val="center"/>
                </w:tcPr>
                <w:p w14:paraId="4F74C38B">
                  <w:pPr>
                    <w:spacing w:line="0" w:lineRule="atLeast"/>
                    <w:jc w:val="center"/>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依据</w:t>
                  </w:r>
                </w:p>
              </w:tc>
            </w:tr>
            <w:tr w14:paraId="58361B55">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28" w:type="dxa"/>
                  <w:bottom w:w="0" w:type="dxa"/>
                  <w:right w:w="28" w:type="dxa"/>
                </w:tblCellMar>
              </w:tblPrEx>
              <w:trPr>
                <w:trHeight w:val="397" w:hRule="atLeast"/>
                <w:jc w:val="center"/>
              </w:trPr>
              <w:tc>
                <w:tcPr>
                  <w:tcW w:w="363" w:type="dxa"/>
                  <w:tcBorders>
                    <w:tl2br w:val="nil"/>
                    <w:tr2bl w:val="nil"/>
                  </w:tcBorders>
                  <w:noWrap w:val="0"/>
                  <w:vAlign w:val="center"/>
                </w:tcPr>
                <w:p w14:paraId="225164D4">
                  <w:pPr>
                    <w:spacing w:line="0" w:lineRule="atLeast"/>
                    <w:jc w:val="center"/>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1</w:t>
                  </w:r>
                </w:p>
              </w:tc>
              <w:tc>
                <w:tcPr>
                  <w:tcW w:w="724" w:type="dxa"/>
                  <w:tcBorders>
                    <w:tl2br w:val="nil"/>
                    <w:tr2bl w:val="nil"/>
                  </w:tcBorders>
                  <w:noWrap w:val="0"/>
                  <w:vAlign w:val="center"/>
                </w:tcPr>
                <w:p w14:paraId="0436C0AE">
                  <w:pPr>
                    <w:spacing w:line="0" w:lineRule="atLeast"/>
                    <w:jc w:val="center"/>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施工</w:t>
                  </w:r>
                </w:p>
                <w:p w14:paraId="2D2776C2">
                  <w:pPr>
                    <w:spacing w:line="0" w:lineRule="atLeast"/>
                    <w:jc w:val="center"/>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现场公示牌</w:t>
                  </w:r>
                </w:p>
              </w:tc>
              <w:tc>
                <w:tcPr>
                  <w:tcW w:w="6376" w:type="dxa"/>
                  <w:tcBorders>
                    <w:tl2br w:val="nil"/>
                    <w:tr2bl w:val="nil"/>
                  </w:tcBorders>
                  <w:noWrap w:val="0"/>
                  <w:vAlign w:val="center"/>
                </w:tcPr>
                <w:p w14:paraId="785A53AF">
                  <w:pPr>
                    <w:spacing w:line="0" w:lineRule="atLeast"/>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在施工现场出入口明显位置设置公示牌，公示施工现场负责人、环保监督员、防尘措施、扬尘监督管理部门、举报投诉电话等信息</w:t>
                  </w:r>
                </w:p>
              </w:tc>
              <w:tc>
                <w:tcPr>
                  <w:tcW w:w="639" w:type="dxa"/>
                  <w:vMerge w:val="restart"/>
                  <w:tcBorders>
                    <w:tl2br w:val="nil"/>
                    <w:tr2bl w:val="nil"/>
                  </w:tcBorders>
                  <w:noWrap w:val="0"/>
                  <w:vAlign w:val="center"/>
                </w:tcPr>
                <w:p w14:paraId="794B626A">
                  <w:pPr>
                    <w:spacing w:line="0" w:lineRule="atLeast"/>
                    <w:jc w:val="center"/>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《建筑工程施工现场扬尘污染防治</w:t>
                  </w:r>
                </w:p>
                <w:p w14:paraId="2595B6A9">
                  <w:pPr>
                    <w:spacing w:line="0" w:lineRule="atLeast"/>
                    <w:jc w:val="center"/>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标准》</w:t>
                  </w:r>
                </w:p>
              </w:tc>
            </w:tr>
            <w:tr w14:paraId="2CACD479">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28" w:type="dxa"/>
                  <w:bottom w:w="0" w:type="dxa"/>
                  <w:right w:w="28" w:type="dxa"/>
                </w:tblCellMar>
              </w:tblPrEx>
              <w:trPr>
                <w:trHeight w:val="397" w:hRule="atLeast"/>
                <w:jc w:val="center"/>
              </w:trPr>
              <w:tc>
                <w:tcPr>
                  <w:tcW w:w="363" w:type="dxa"/>
                  <w:tcBorders>
                    <w:tl2br w:val="nil"/>
                    <w:tr2bl w:val="nil"/>
                  </w:tcBorders>
                  <w:noWrap w:val="0"/>
                  <w:vAlign w:val="center"/>
                </w:tcPr>
                <w:p w14:paraId="6B2B894B">
                  <w:pPr>
                    <w:spacing w:line="0" w:lineRule="atLeast"/>
                    <w:jc w:val="center"/>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2</w:t>
                  </w:r>
                </w:p>
              </w:tc>
              <w:tc>
                <w:tcPr>
                  <w:tcW w:w="724" w:type="dxa"/>
                  <w:tcBorders>
                    <w:tl2br w:val="nil"/>
                    <w:tr2bl w:val="nil"/>
                  </w:tcBorders>
                  <w:noWrap w:val="0"/>
                  <w:vAlign w:val="center"/>
                </w:tcPr>
                <w:p w14:paraId="1E701FC6">
                  <w:pPr>
                    <w:spacing w:line="0" w:lineRule="atLeast"/>
                    <w:jc w:val="center"/>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密闭苫盖措施</w:t>
                  </w:r>
                </w:p>
              </w:tc>
              <w:tc>
                <w:tcPr>
                  <w:tcW w:w="6376" w:type="dxa"/>
                  <w:tcBorders>
                    <w:tl2br w:val="nil"/>
                    <w:tr2bl w:val="nil"/>
                  </w:tcBorders>
                  <w:noWrap w:val="0"/>
                  <w:vAlign w:val="center"/>
                </w:tcPr>
                <w:p w14:paraId="4CE0AA82">
                  <w:pPr>
                    <w:spacing w:line="0" w:lineRule="atLeast"/>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①建筑材料采用密闭存储、设置围挡、采用防尘布苫盖等措施；</w:t>
                  </w:r>
                </w:p>
                <w:p w14:paraId="1FC2A9CC">
                  <w:pPr>
                    <w:spacing w:line="0" w:lineRule="atLeast"/>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②建筑垃圾采用覆盖防尘布、防尘网、定期喷洒抑尘剂、定期喷水压尘等措施</w:t>
                  </w:r>
                </w:p>
              </w:tc>
              <w:tc>
                <w:tcPr>
                  <w:tcW w:w="639" w:type="dxa"/>
                  <w:vMerge w:val="continue"/>
                  <w:tcBorders>
                    <w:tl2br w:val="nil"/>
                    <w:tr2bl w:val="nil"/>
                  </w:tcBorders>
                  <w:noWrap w:val="0"/>
                  <w:vAlign w:val="center"/>
                </w:tcPr>
                <w:p w14:paraId="05139F4E">
                  <w:pPr>
                    <w:spacing w:line="0" w:lineRule="atLeast"/>
                    <w:jc w:val="center"/>
                    <w:rPr>
                      <w:rFonts w:hint="default" w:ascii="Times New Roman" w:hAnsi="Times New Roman" w:eastAsia="宋体" w:cs="Times New Roman"/>
                      <w:color w:val="000000"/>
                      <w:spacing w:val="-10"/>
                      <w:szCs w:val="21"/>
                      <w:highlight w:val="none"/>
                    </w:rPr>
                  </w:pPr>
                </w:p>
              </w:tc>
            </w:tr>
            <w:tr w14:paraId="64D2413D">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28" w:type="dxa"/>
                  <w:bottom w:w="0" w:type="dxa"/>
                  <w:right w:w="28" w:type="dxa"/>
                </w:tblCellMar>
              </w:tblPrEx>
              <w:trPr>
                <w:trHeight w:val="397" w:hRule="atLeast"/>
                <w:jc w:val="center"/>
              </w:trPr>
              <w:tc>
                <w:tcPr>
                  <w:tcW w:w="363" w:type="dxa"/>
                  <w:tcBorders>
                    <w:tl2br w:val="nil"/>
                    <w:tr2bl w:val="nil"/>
                  </w:tcBorders>
                  <w:noWrap w:val="0"/>
                  <w:vAlign w:val="center"/>
                </w:tcPr>
                <w:p w14:paraId="53685053">
                  <w:pPr>
                    <w:spacing w:line="0" w:lineRule="atLeast"/>
                    <w:jc w:val="center"/>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3</w:t>
                  </w:r>
                </w:p>
              </w:tc>
              <w:tc>
                <w:tcPr>
                  <w:tcW w:w="724" w:type="dxa"/>
                  <w:tcBorders>
                    <w:tl2br w:val="nil"/>
                    <w:tr2bl w:val="nil"/>
                  </w:tcBorders>
                  <w:noWrap w:val="0"/>
                  <w:vAlign w:val="center"/>
                </w:tcPr>
                <w:p w14:paraId="1F2C9A81">
                  <w:pPr>
                    <w:spacing w:line="0" w:lineRule="atLeast"/>
                    <w:jc w:val="center"/>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物料运输车辆密闭</w:t>
                  </w:r>
                </w:p>
                <w:p w14:paraId="3395DA97">
                  <w:pPr>
                    <w:spacing w:line="0" w:lineRule="atLeast"/>
                    <w:jc w:val="center"/>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措施</w:t>
                  </w:r>
                </w:p>
              </w:tc>
              <w:tc>
                <w:tcPr>
                  <w:tcW w:w="6376" w:type="dxa"/>
                  <w:tcBorders>
                    <w:tl2br w:val="nil"/>
                    <w:tr2bl w:val="nil"/>
                  </w:tcBorders>
                  <w:noWrap w:val="0"/>
                  <w:vAlign w:val="center"/>
                </w:tcPr>
                <w:p w14:paraId="595CEAB1">
                  <w:pPr>
                    <w:spacing w:line="0" w:lineRule="atLeast"/>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①进出工地的物料、渣土、垃圾运输车辆，应尽可能采用密闭车斗，并保证物料不遗撒外漏。若无密闭车斗，物料、垃圾、渣土的装载高度不得超过车辆槽帮上沿，车斗应用苫布遮盖严实；</w:t>
                  </w:r>
                </w:p>
                <w:p w14:paraId="69B0732D">
                  <w:pPr>
                    <w:spacing w:line="0" w:lineRule="atLeast"/>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②装卸和运输渣土、砂石、建筑垃圾等易产生扬尘污染物料的，应当采取完全密闭措施</w:t>
                  </w:r>
                </w:p>
              </w:tc>
              <w:tc>
                <w:tcPr>
                  <w:tcW w:w="639" w:type="dxa"/>
                  <w:vMerge w:val="continue"/>
                  <w:tcBorders>
                    <w:tl2br w:val="nil"/>
                    <w:tr2bl w:val="nil"/>
                  </w:tcBorders>
                  <w:noWrap w:val="0"/>
                  <w:vAlign w:val="center"/>
                </w:tcPr>
                <w:p w14:paraId="499C7445">
                  <w:pPr>
                    <w:spacing w:line="0" w:lineRule="atLeast"/>
                    <w:jc w:val="center"/>
                    <w:rPr>
                      <w:rFonts w:hint="default" w:ascii="Times New Roman" w:hAnsi="Times New Roman" w:eastAsia="宋体" w:cs="Times New Roman"/>
                      <w:color w:val="000000"/>
                      <w:spacing w:val="-10"/>
                      <w:szCs w:val="21"/>
                      <w:highlight w:val="none"/>
                    </w:rPr>
                  </w:pPr>
                </w:p>
              </w:tc>
            </w:tr>
            <w:tr w14:paraId="79D1C572">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28" w:type="dxa"/>
                  <w:bottom w:w="0" w:type="dxa"/>
                  <w:right w:w="28" w:type="dxa"/>
                </w:tblCellMar>
              </w:tblPrEx>
              <w:trPr>
                <w:trHeight w:val="397" w:hRule="atLeast"/>
                <w:jc w:val="center"/>
              </w:trPr>
              <w:tc>
                <w:tcPr>
                  <w:tcW w:w="363" w:type="dxa"/>
                  <w:vMerge w:val="restart"/>
                  <w:tcBorders>
                    <w:tl2br w:val="nil"/>
                    <w:tr2bl w:val="nil"/>
                  </w:tcBorders>
                  <w:noWrap w:val="0"/>
                  <w:vAlign w:val="center"/>
                </w:tcPr>
                <w:p w14:paraId="69DC4927">
                  <w:pPr>
                    <w:spacing w:line="0" w:lineRule="atLeast"/>
                    <w:jc w:val="center"/>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4</w:t>
                  </w:r>
                </w:p>
              </w:tc>
              <w:tc>
                <w:tcPr>
                  <w:tcW w:w="724" w:type="dxa"/>
                  <w:vMerge w:val="restart"/>
                  <w:tcBorders>
                    <w:tl2br w:val="nil"/>
                    <w:tr2bl w:val="nil"/>
                  </w:tcBorders>
                  <w:noWrap w:val="0"/>
                  <w:vAlign w:val="center"/>
                </w:tcPr>
                <w:p w14:paraId="1E8A2A7E">
                  <w:pPr>
                    <w:spacing w:line="0" w:lineRule="atLeast"/>
                    <w:jc w:val="center"/>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洒水抑尘措施</w:t>
                  </w:r>
                </w:p>
              </w:tc>
              <w:tc>
                <w:tcPr>
                  <w:tcW w:w="6376" w:type="dxa"/>
                  <w:tcBorders>
                    <w:tl2br w:val="nil"/>
                    <w:tr2bl w:val="nil"/>
                  </w:tcBorders>
                  <w:noWrap w:val="0"/>
                  <w:vAlign w:val="center"/>
                </w:tcPr>
                <w:p w14:paraId="37455A13">
                  <w:pPr>
                    <w:spacing w:line="0" w:lineRule="atLeast"/>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遇到干燥、易起尘的土方工程作业时，应辅以洒水压尘，尽量缩短起尘操作时间，遇到四级及四级以上大风天气，应停止土方作业，同时作业处覆以防尘网</w:t>
                  </w:r>
                </w:p>
              </w:tc>
              <w:tc>
                <w:tcPr>
                  <w:tcW w:w="639" w:type="dxa"/>
                  <w:vMerge w:val="continue"/>
                  <w:tcBorders>
                    <w:tl2br w:val="nil"/>
                    <w:tr2bl w:val="nil"/>
                  </w:tcBorders>
                  <w:noWrap w:val="0"/>
                  <w:vAlign w:val="center"/>
                </w:tcPr>
                <w:p w14:paraId="0CDCDF37">
                  <w:pPr>
                    <w:spacing w:line="0" w:lineRule="atLeast"/>
                    <w:jc w:val="center"/>
                    <w:rPr>
                      <w:rFonts w:hint="default" w:ascii="Times New Roman" w:hAnsi="Times New Roman" w:eastAsia="宋体" w:cs="Times New Roman"/>
                      <w:color w:val="000000"/>
                      <w:spacing w:val="-10"/>
                      <w:szCs w:val="21"/>
                      <w:highlight w:val="none"/>
                    </w:rPr>
                  </w:pPr>
                </w:p>
              </w:tc>
            </w:tr>
            <w:tr w14:paraId="1C63AA8D">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28" w:type="dxa"/>
                  <w:bottom w:w="0" w:type="dxa"/>
                  <w:right w:w="28" w:type="dxa"/>
                </w:tblCellMar>
              </w:tblPrEx>
              <w:trPr>
                <w:trHeight w:val="397" w:hRule="atLeast"/>
                <w:jc w:val="center"/>
              </w:trPr>
              <w:tc>
                <w:tcPr>
                  <w:tcW w:w="363" w:type="dxa"/>
                  <w:vMerge w:val="continue"/>
                  <w:tcBorders>
                    <w:tl2br w:val="nil"/>
                    <w:tr2bl w:val="nil"/>
                  </w:tcBorders>
                  <w:noWrap w:val="0"/>
                  <w:vAlign w:val="center"/>
                </w:tcPr>
                <w:p w14:paraId="18709CE1">
                  <w:pPr>
                    <w:widowControl/>
                    <w:spacing w:line="0" w:lineRule="atLeast"/>
                    <w:jc w:val="left"/>
                    <w:rPr>
                      <w:rFonts w:hint="default" w:ascii="Times New Roman" w:hAnsi="Times New Roman" w:eastAsia="宋体" w:cs="Times New Roman"/>
                      <w:color w:val="000000"/>
                      <w:spacing w:val="-10"/>
                      <w:szCs w:val="21"/>
                      <w:highlight w:val="none"/>
                    </w:rPr>
                  </w:pPr>
                </w:p>
              </w:tc>
              <w:tc>
                <w:tcPr>
                  <w:tcW w:w="724" w:type="dxa"/>
                  <w:vMerge w:val="continue"/>
                  <w:tcBorders>
                    <w:tl2br w:val="nil"/>
                    <w:tr2bl w:val="nil"/>
                  </w:tcBorders>
                  <w:noWrap w:val="0"/>
                  <w:vAlign w:val="center"/>
                </w:tcPr>
                <w:p w14:paraId="4AD2B914">
                  <w:pPr>
                    <w:widowControl/>
                    <w:spacing w:line="0" w:lineRule="atLeast"/>
                    <w:jc w:val="left"/>
                    <w:rPr>
                      <w:rFonts w:hint="default" w:ascii="Times New Roman" w:hAnsi="Times New Roman" w:eastAsia="宋体" w:cs="Times New Roman"/>
                      <w:color w:val="000000"/>
                      <w:spacing w:val="-10"/>
                      <w:szCs w:val="21"/>
                      <w:highlight w:val="none"/>
                    </w:rPr>
                  </w:pPr>
                </w:p>
              </w:tc>
              <w:tc>
                <w:tcPr>
                  <w:tcW w:w="6376" w:type="dxa"/>
                  <w:tcBorders>
                    <w:tl2br w:val="nil"/>
                    <w:tr2bl w:val="nil"/>
                  </w:tcBorders>
                  <w:noWrap w:val="0"/>
                  <w:vAlign w:val="center"/>
                </w:tcPr>
                <w:p w14:paraId="0B1537FB">
                  <w:pPr>
                    <w:spacing w:line="0" w:lineRule="atLeast"/>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施工现场必须建立洒水清扫抑尘制度，配备洒水设备。非冰冻期每天洒水不少于2次，并有专人负责。重污染天气时相应增加洒水频次</w:t>
                  </w:r>
                </w:p>
              </w:tc>
              <w:tc>
                <w:tcPr>
                  <w:tcW w:w="639" w:type="dxa"/>
                  <w:vMerge w:val="continue"/>
                  <w:tcBorders>
                    <w:tl2br w:val="nil"/>
                    <w:tr2bl w:val="nil"/>
                  </w:tcBorders>
                  <w:noWrap w:val="0"/>
                  <w:vAlign w:val="center"/>
                </w:tcPr>
                <w:p w14:paraId="34EA1F89">
                  <w:pPr>
                    <w:spacing w:line="0" w:lineRule="atLeast"/>
                    <w:jc w:val="center"/>
                    <w:rPr>
                      <w:rFonts w:hint="default" w:ascii="Times New Roman" w:hAnsi="Times New Roman" w:eastAsia="宋体" w:cs="Times New Roman"/>
                      <w:color w:val="000000"/>
                      <w:spacing w:val="-10"/>
                      <w:szCs w:val="21"/>
                      <w:highlight w:val="none"/>
                    </w:rPr>
                  </w:pPr>
                </w:p>
              </w:tc>
            </w:tr>
            <w:tr w14:paraId="3FA70C19">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28" w:type="dxa"/>
                  <w:bottom w:w="0" w:type="dxa"/>
                  <w:right w:w="28" w:type="dxa"/>
                </w:tblCellMar>
              </w:tblPrEx>
              <w:trPr>
                <w:trHeight w:val="397" w:hRule="atLeast"/>
                <w:jc w:val="center"/>
              </w:trPr>
              <w:tc>
                <w:tcPr>
                  <w:tcW w:w="363" w:type="dxa"/>
                  <w:vMerge w:val="restart"/>
                  <w:tcBorders>
                    <w:tl2br w:val="nil"/>
                    <w:tr2bl w:val="nil"/>
                  </w:tcBorders>
                  <w:noWrap w:val="0"/>
                  <w:vAlign w:val="center"/>
                </w:tcPr>
                <w:p w14:paraId="7FA22241">
                  <w:pPr>
                    <w:spacing w:line="0" w:lineRule="atLeast"/>
                    <w:jc w:val="center"/>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5</w:t>
                  </w:r>
                </w:p>
              </w:tc>
              <w:tc>
                <w:tcPr>
                  <w:tcW w:w="724" w:type="dxa"/>
                  <w:vMerge w:val="restart"/>
                  <w:tcBorders>
                    <w:tl2br w:val="nil"/>
                    <w:tr2bl w:val="nil"/>
                  </w:tcBorders>
                  <w:noWrap w:val="0"/>
                  <w:vAlign w:val="center"/>
                </w:tcPr>
                <w:p w14:paraId="1E745CAB">
                  <w:pPr>
                    <w:widowControl/>
                    <w:spacing w:line="0" w:lineRule="atLeast"/>
                    <w:jc w:val="center"/>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重污染天气应急预案</w:t>
                  </w:r>
                </w:p>
              </w:tc>
              <w:tc>
                <w:tcPr>
                  <w:tcW w:w="6376" w:type="dxa"/>
                  <w:tcBorders>
                    <w:tl2br w:val="nil"/>
                    <w:tr2bl w:val="nil"/>
                  </w:tcBorders>
                  <w:noWrap w:val="0"/>
                  <w:vAlign w:val="center"/>
                </w:tcPr>
                <w:p w14:paraId="7C543FF8">
                  <w:pPr>
                    <w:widowControl/>
                    <w:spacing w:line="0" w:lineRule="atLeast"/>
                    <w:jc w:val="left"/>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Ⅳ级</w:t>
                  </w:r>
                  <w:r>
                    <w:rPr>
                      <w:rFonts w:hint="eastAsia" w:ascii="Times New Roman" w:hAnsi="Times New Roman" w:eastAsia="宋体" w:cs="Times New Roman"/>
                      <w:color w:val="000000"/>
                      <w:spacing w:val="-10"/>
                      <w:szCs w:val="21"/>
                      <w:highlight w:val="none"/>
                      <w:lang w:eastAsia="zh-CN"/>
                    </w:rPr>
                    <w:t>（</w:t>
                  </w:r>
                  <w:r>
                    <w:rPr>
                      <w:rFonts w:hint="default" w:ascii="Times New Roman" w:hAnsi="Times New Roman" w:eastAsia="宋体" w:cs="Times New Roman"/>
                      <w:color w:val="000000"/>
                      <w:spacing w:val="-10"/>
                      <w:szCs w:val="21"/>
                      <w:highlight w:val="none"/>
                    </w:rPr>
                    <w:t>蓝色</w:t>
                  </w:r>
                  <w:r>
                    <w:rPr>
                      <w:rFonts w:hint="eastAsia" w:ascii="Times New Roman" w:hAnsi="Times New Roman" w:eastAsia="宋体" w:cs="Times New Roman"/>
                      <w:color w:val="000000"/>
                      <w:spacing w:val="-10"/>
                      <w:szCs w:val="21"/>
                      <w:highlight w:val="none"/>
                      <w:lang w:eastAsia="zh-CN"/>
                    </w:rPr>
                    <w:t>）</w:t>
                  </w:r>
                  <w:r>
                    <w:rPr>
                      <w:rFonts w:hint="default" w:ascii="Times New Roman" w:hAnsi="Times New Roman" w:eastAsia="宋体" w:cs="Times New Roman"/>
                      <w:color w:val="000000"/>
                      <w:spacing w:val="-10"/>
                      <w:szCs w:val="21"/>
                      <w:highlight w:val="none"/>
                    </w:rPr>
                    <w:t>预警：强化日常检查</w:t>
                  </w:r>
                </w:p>
              </w:tc>
              <w:tc>
                <w:tcPr>
                  <w:tcW w:w="639" w:type="dxa"/>
                  <w:vMerge w:val="restart"/>
                  <w:tcBorders>
                    <w:tl2br w:val="nil"/>
                    <w:tr2bl w:val="nil"/>
                  </w:tcBorders>
                  <w:noWrap w:val="0"/>
                  <w:vAlign w:val="center"/>
                </w:tcPr>
                <w:p w14:paraId="74B09386">
                  <w:pPr>
                    <w:spacing w:line="0" w:lineRule="atLeast"/>
                    <w:jc w:val="center"/>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《新疆维吾尔自治区重污染天气应急预案》</w:t>
                  </w:r>
                  <w:r>
                    <w:rPr>
                      <w:rFonts w:hint="eastAsia" w:ascii="Times New Roman" w:hAnsi="Times New Roman" w:eastAsia="宋体" w:cs="Times New Roman"/>
                      <w:color w:val="000000"/>
                      <w:spacing w:val="-10"/>
                      <w:szCs w:val="21"/>
                      <w:highlight w:val="none"/>
                      <w:lang w:eastAsia="zh-CN"/>
                    </w:rPr>
                    <w:t>（</w:t>
                  </w:r>
                  <w:r>
                    <w:rPr>
                      <w:rFonts w:hint="default" w:ascii="Times New Roman" w:hAnsi="Times New Roman" w:eastAsia="宋体" w:cs="Times New Roman"/>
                      <w:color w:val="000000"/>
                      <w:spacing w:val="-10"/>
                      <w:szCs w:val="21"/>
                      <w:highlight w:val="none"/>
                    </w:rPr>
                    <w:t>新政办发</w:t>
                  </w:r>
                  <w:r>
                    <w:rPr>
                      <w:rFonts w:hint="eastAsia" w:ascii="Times New Roman" w:hAnsi="Times New Roman" w:eastAsia="宋体" w:cs="Times New Roman"/>
                      <w:color w:val="000000"/>
                      <w:spacing w:val="-10"/>
                      <w:szCs w:val="21"/>
                      <w:highlight w:val="none"/>
                      <w:lang w:eastAsia="zh-CN"/>
                    </w:rPr>
                    <w:t>〔2017〕</w:t>
                  </w:r>
                </w:p>
                <w:p w14:paraId="7503094A">
                  <w:pPr>
                    <w:spacing w:line="0" w:lineRule="atLeast"/>
                    <w:jc w:val="center"/>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108号</w:t>
                  </w:r>
                  <w:r>
                    <w:rPr>
                      <w:rFonts w:hint="eastAsia" w:ascii="Times New Roman" w:hAnsi="Times New Roman" w:eastAsia="宋体" w:cs="Times New Roman"/>
                      <w:color w:val="000000"/>
                      <w:spacing w:val="-10"/>
                      <w:szCs w:val="21"/>
                      <w:highlight w:val="none"/>
                      <w:lang w:eastAsia="zh-CN"/>
                    </w:rPr>
                    <w:t>）</w:t>
                  </w:r>
                </w:p>
              </w:tc>
            </w:tr>
            <w:tr w14:paraId="1E7256DB">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28" w:type="dxa"/>
                  <w:bottom w:w="0" w:type="dxa"/>
                  <w:right w:w="28" w:type="dxa"/>
                </w:tblCellMar>
              </w:tblPrEx>
              <w:trPr>
                <w:trHeight w:val="397" w:hRule="atLeast"/>
                <w:jc w:val="center"/>
              </w:trPr>
              <w:tc>
                <w:tcPr>
                  <w:tcW w:w="363" w:type="dxa"/>
                  <w:vMerge w:val="continue"/>
                  <w:tcBorders>
                    <w:tl2br w:val="nil"/>
                    <w:tr2bl w:val="nil"/>
                  </w:tcBorders>
                  <w:noWrap w:val="0"/>
                  <w:vAlign w:val="center"/>
                </w:tcPr>
                <w:p w14:paraId="1B493576">
                  <w:pPr>
                    <w:widowControl/>
                    <w:spacing w:line="0" w:lineRule="atLeast"/>
                    <w:jc w:val="left"/>
                    <w:rPr>
                      <w:rFonts w:hint="default" w:ascii="Times New Roman" w:hAnsi="Times New Roman" w:eastAsia="宋体" w:cs="Times New Roman"/>
                      <w:color w:val="000000"/>
                      <w:spacing w:val="-10"/>
                      <w:szCs w:val="21"/>
                      <w:highlight w:val="none"/>
                    </w:rPr>
                  </w:pPr>
                </w:p>
              </w:tc>
              <w:tc>
                <w:tcPr>
                  <w:tcW w:w="724" w:type="dxa"/>
                  <w:vMerge w:val="continue"/>
                  <w:tcBorders>
                    <w:tl2br w:val="nil"/>
                    <w:tr2bl w:val="nil"/>
                  </w:tcBorders>
                  <w:noWrap w:val="0"/>
                  <w:vAlign w:val="center"/>
                </w:tcPr>
                <w:p w14:paraId="7EC70A8F">
                  <w:pPr>
                    <w:widowControl/>
                    <w:spacing w:line="0" w:lineRule="atLeast"/>
                    <w:jc w:val="left"/>
                    <w:rPr>
                      <w:rFonts w:hint="default" w:ascii="Times New Roman" w:hAnsi="Times New Roman" w:eastAsia="宋体" w:cs="Times New Roman"/>
                      <w:color w:val="000000"/>
                      <w:spacing w:val="-10"/>
                      <w:szCs w:val="21"/>
                      <w:highlight w:val="none"/>
                    </w:rPr>
                  </w:pPr>
                </w:p>
              </w:tc>
              <w:tc>
                <w:tcPr>
                  <w:tcW w:w="6376" w:type="dxa"/>
                  <w:tcBorders>
                    <w:tl2br w:val="nil"/>
                    <w:tr2bl w:val="nil"/>
                  </w:tcBorders>
                  <w:noWrap w:val="0"/>
                  <w:vAlign w:val="center"/>
                </w:tcPr>
                <w:p w14:paraId="6EAF1A48">
                  <w:pPr>
                    <w:widowControl/>
                    <w:spacing w:line="0" w:lineRule="atLeast"/>
                    <w:jc w:val="left"/>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Ⅲ级</w:t>
                  </w:r>
                  <w:r>
                    <w:rPr>
                      <w:rFonts w:hint="eastAsia" w:ascii="Times New Roman" w:hAnsi="Times New Roman" w:eastAsia="宋体" w:cs="Times New Roman"/>
                      <w:color w:val="000000"/>
                      <w:spacing w:val="-10"/>
                      <w:szCs w:val="21"/>
                      <w:highlight w:val="none"/>
                      <w:lang w:eastAsia="zh-CN"/>
                    </w:rPr>
                    <w:t>（</w:t>
                  </w:r>
                  <w:r>
                    <w:rPr>
                      <w:rFonts w:hint="default" w:ascii="Times New Roman" w:hAnsi="Times New Roman" w:eastAsia="宋体" w:cs="Times New Roman"/>
                      <w:color w:val="000000"/>
                      <w:spacing w:val="-10"/>
                      <w:szCs w:val="21"/>
                      <w:highlight w:val="none"/>
                    </w:rPr>
                    <w:t>黄色</w:t>
                  </w:r>
                  <w:r>
                    <w:rPr>
                      <w:rFonts w:hint="eastAsia" w:ascii="Times New Roman" w:hAnsi="Times New Roman" w:eastAsia="宋体" w:cs="Times New Roman"/>
                      <w:color w:val="000000"/>
                      <w:spacing w:val="-10"/>
                      <w:szCs w:val="21"/>
                      <w:highlight w:val="none"/>
                      <w:lang w:eastAsia="zh-CN"/>
                    </w:rPr>
                    <w:t>）</w:t>
                  </w:r>
                  <w:r>
                    <w:rPr>
                      <w:rFonts w:hint="default" w:ascii="Times New Roman" w:hAnsi="Times New Roman" w:eastAsia="宋体" w:cs="Times New Roman"/>
                      <w:color w:val="000000"/>
                      <w:spacing w:val="-10"/>
                      <w:szCs w:val="21"/>
                      <w:highlight w:val="none"/>
                    </w:rPr>
                    <w:t>预警：环保部门加大对施工场地、机动车排放、工业企业等重点大气污染源的执法检查频次，减少建筑垃圾、渣土、砂石等散装物料运输</w:t>
                  </w:r>
                  <w:r>
                    <w:rPr>
                      <w:rFonts w:hint="eastAsia" w:ascii="Times New Roman" w:hAnsi="Times New Roman" w:eastAsia="宋体" w:cs="Times New Roman"/>
                      <w:color w:val="000000"/>
                      <w:spacing w:val="-10"/>
                      <w:szCs w:val="21"/>
                      <w:highlight w:val="none"/>
                      <w:lang w:eastAsia="zh-CN"/>
                    </w:rPr>
                    <w:t>车辆</w:t>
                  </w:r>
                  <w:r>
                    <w:rPr>
                      <w:rFonts w:hint="default" w:ascii="Times New Roman" w:hAnsi="Times New Roman" w:eastAsia="宋体" w:cs="Times New Roman"/>
                      <w:color w:val="000000"/>
                      <w:spacing w:val="-10"/>
                      <w:szCs w:val="21"/>
                      <w:highlight w:val="none"/>
                    </w:rPr>
                    <w:t>上路行驶</w:t>
                  </w:r>
                </w:p>
              </w:tc>
              <w:tc>
                <w:tcPr>
                  <w:tcW w:w="639" w:type="dxa"/>
                  <w:vMerge w:val="continue"/>
                  <w:tcBorders>
                    <w:tl2br w:val="nil"/>
                    <w:tr2bl w:val="nil"/>
                  </w:tcBorders>
                  <w:noWrap w:val="0"/>
                  <w:vAlign w:val="center"/>
                </w:tcPr>
                <w:p w14:paraId="226F6DDF">
                  <w:pPr>
                    <w:spacing w:line="0" w:lineRule="atLeast"/>
                    <w:jc w:val="left"/>
                    <w:rPr>
                      <w:rFonts w:hint="default" w:ascii="Times New Roman" w:hAnsi="Times New Roman" w:eastAsia="宋体" w:cs="Times New Roman"/>
                      <w:color w:val="000000"/>
                      <w:spacing w:val="-10"/>
                      <w:szCs w:val="21"/>
                      <w:highlight w:val="none"/>
                    </w:rPr>
                  </w:pPr>
                </w:p>
              </w:tc>
            </w:tr>
            <w:tr w14:paraId="584DB54B">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28" w:type="dxa"/>
                  <w:bottom w:w="0" w:type="dxa"/>
                  <w:right w:w="28" w:type="dxa"/>
                </w:tblCellMar>
              </w:tblPrEx>
              <w:trPr>
                <w:trHeight w:val="397" w:hRule="atLeast"/>
                <w:jc w:val="center"/>
              </w:trPr>
              <w:tc>
                <w:tcPr>
                  <w:tcW w:w="363" w:type="dxa"/>
                  <w:vMerge w:val="continue"/>
                  <w:tcBorders>
                    <w:tl2br w:val="nil"/>
                    <w:tr2bl w:val="nil"/>
                  </w:tcBorders>
                  <w:noWrap w:val="0"/>
                  <w:vAlign w:val="center"/>
                </w:tcPr>
                <w:p w14:paraId="026DB62A">
                  <w:pPr>
                    <w:widowControl/>
                    <w:spacing w:line="0" w:lineRule="atLeast"/>
                    <w:jc w:val="left"/>
                    <w:rPr>
                      <w:rFonts w:hint="default" w:ascii="Times New Roman" w:hAnsi="Times New Roman" w:eastAsia="宋体" w:cs="Times New Roman"/>
                      <w:color w:val="000000"/>
                      <w:spacing w:val="-10"/>
                      <w:szCs w:val="21"/>
                      <w:highlight w:val="none"/>
                    </w:rPr>
                  </w:pPr>
                </w:p>
              </w:tc>
              <w:tc>
                <w:tcPr>
                  <w:tcW w:w="724" w:type="dxa"/>
                  <w:vMerge w:val="continue"/>
                  <w:tcBorders>
                    <w:tl2br w:val="nil"/>
                    <w:tr2bl w:val="nil"/>
                  </w:tcBorders>
                  <w:noWrap w:val="0"/>
                  <w:vAlign w:val="center"/>
                </w:tcPr>
                <w:p w14:paraId="4EE7E8DE">
                  <w:pPr>
                    <w:widowControl/>
                    <w:spacing w:line="0" w:lineRule="atLeast"/>
                    <w:jc w:val="left"/>
                    <w:rPr>
                      <w:rFonts w:hint="default" w:ascii="Times New Roman" w:hAnsi="Times New Roman" w:eastAsia="宋体" w:cs="Times New Roman"/>
                      <w:color w:val="000000"/>
                      <w:spacing w:val="-10"/>
                      <w:szCs w:val="21"/>
                      <w:highlight w:val="none"/>
                    </w:rPr>
                  </w:pPr>
                </w:p>
              </w:tc>
              <w:tc>
                <w:tcPr>
                  <w:tcW w:w="6376" w:type="dxa"/>
                  <w:tcBorders>
                    <w:tl2br w:val="nil"/>
                    <w:tr2bl w:val="nil"/>
                  </w:tcBorders>
                  <w:noWrap w:val="0"/>
                  <w:vAlign w:val="center"/>
                </w:tcPr>
                <w:p w14:paraId="3D06F1B5">
                  <w:pPr>
                    <w:widowControl/>
                    <w:spacing w:line="0" w:lineRule="atLeast"/>
                    <w:jc w:val="left"/>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Ⅱ级</w:t>
                  </w:r>
                  <w:r>
                    <w:rPr>
                      <w:rFonts w:hint="eastAsia" w:ascii="Times New Roman" w:hAnsi="Times New Roman" w:eastAsia="宋体" w:cs="Times New Roman"/>
                      <w:color w:val="000000"/>
                      <w:spacing w:val="-10"/>
                      <w:szCs w:val="21"/>
                      <w:highlight w:val="none"/>
                      <w:lang w:eastAsia="zh-CN"/>
                    </w:rPr>
                    <w:t>（</w:t>
                  </w:r>
                  <w:r>
                    <w:rPr>
                      <w:rFonts w:hint="default" w:ascii="Times New Roman" w:hAnsi="Times New Roman" w:eastAsia="宋体" w:cs="Times New Roman"/>
                      <w:color w:val="000000"/>
                      <w:spacing w:val="-10"/>
                      <w:szCs w:val="21"/>
                      <w:highlight w:val="none"/>
                    </w:rPr>
                    <w:t>橙色</w:t>
                  </w:r>
                  <w:r>
                    <w:rPr>
                      <w:rFonts w:hint="eastAsia" w:ascii="Times New Roman" w:hAnsi="Times New Roman" w:eastAsia="宋体" w:cs="Times New Roman"/>
                      <w:color w:val="000000"/>
                      <w:spacing w:val="-10"/>
                      <w:szCs w:val="21"/>
                      <w:highlight w:val="none"/>
                      <w:lang w:eastAsia="zh-CN"/>
                    </w:rPr>
                    <w:t>）</w:t>
                  </w:r>
                  <w:r>
                    <w:rPr>
                      <w:rFonts w:hint="default" w:ascii="Times New Roman" w:hAnsi="Times New Roman" w:eastAsia="宋体" w:cs="Times New Roman"/>
                      <w:color w:val="000000"/>
                      <w:spacing w:val="-10"/>
                      <w:szCs w:val="21"/>
                      <w:highlight w:val="none"/>
                    </w:rPr>
                    <w:t>预警：区域内50%重点排放企业限产或停产，停止喷涂粉刷、建筑拆除、切割、土石方等施工作业，建筑垃圾、渣土、砂石等散装物料运输</w:t>
                  </w:r>
                  <w:r>
                    <w:rPr>
                      <w:rFonts w:hint="eastAsia" w:ascii="Times New Roman" w:hAnsi="Times New Roman" w:eastAsia="宋体" w:cs="Times New Roman"/>
                      <w:color w:val="000000"/>
                      <w:spacing w:val="-10"/>
                      <w:szCs w:val="21"/>
                      <w:highlight w:val="none"/>
                      <w:lang w:eastAsia="zh-CN"/>
                    </w:rPr>
                    <w:t>车辆</w:t>
                  </w:r>
                  <w:r>
                    <w:rPr>
                      <w:rFonts w:hint="default" w:ascii="Times New Roman" w:hAnsi="Times New Roman" w:eastAsia="宋体" w:cs="Times New Roman"/>
                      <w:color w:val="000000"/>
                      <w:spacing w:val="-10"/>
                      <w:szCs w:val="21"/>
                      <w:highlight w:val="none"/>
                    </w:rPr>
                    <w:t>禁止上路行驶</w:t>
                  </w:r>
                  <w:r>
                    <w:rPr>
                      <w:rFonts w:hint="eastAsia" w:ascii="Times New Roman" w:hAnsi="Times New Roman" w:eastAsia="宋体" w:cs="Times New Roman"/>
                      <w:color w:val="000000"/>
                      <w:spacing w:val="-10"/>
                      <w:szCs w:val="21"/>
                      <w:highlight w:val="none"/>
                      <w:lang w:eastAsia="zh-CN"/>
                    </w:rPr>
                    <w:t>（</w:t>
                  </w:r>
                  <w:r>
                    <w:rPr>
                      <w:rFonts w:hint="default" w:ascii="Times New Roman" w:hAnsi="Times New Roman" w:eastAsia="宋体" w:cs="Times New Roman"/>
                      <w:color w:val="000000"/>
                      <w:spacing w:val="-10"/>
                      <w:szCs w:val="21"/>
                      <w:highlight w:val="none"/>
                    </w:rPr>
                    <w:t>生活垃圾清运车辆除外</w:t>
                  </w:r>
                  <w:r>
                    <w:rPr>
                      <w:rFonts w:hint="eastAsia" w:ascii="Times New Roman" w:hAnsi="Times New Roman" w:eastAsia="宋体" w:cs="Times New Roman"/>
                      <w:color w:val="000000"/>
                      <w:spacing w:val="-10"/>
                      <w:szCs w:val="21"/>
                      <w:highlight w:val="none"/>
                      <w:lang w:eastAsia="zh-CN"/>
                    </w:rPr>
                    <w:t>）</w:t>
                  </w:r>
                </w:p>
              </w:tc>
              <w:tc>
                <w:tcPr>
                  <w:tcW w:w="639" w:type="dxa"/>
                  <w:vMerge w:val="continue"/>
                  <w:tcBorders>
                    <w:tl2br w:val="nil"/>
                    <w:tr2bl w:val="nil"/>
                  </w:tcBorders>
                  <w:noWrap w:val="0"/>
                  <w:vAlign w:val="center"/>
                </w:tcPr>
                <w:p w14:paraId="05E7E23D">
                  <w:pPr>
                    <w:spacing w:line="0" w:lineRule="atLeast"/>
                    <w:jc w:val="left"/>
                    <w:rPr>
                      <w:rFonts w:hint="default" w:ascii="Times New Roman" w:hAnsi="Times New Roman" w:eastAsia="宋体" w:cs="Times New Roman"/>
                      <w:color w:val="000000"/>
                      <w:spacing w:val="-10"/>
                      <w:szCs w:val="21"/>
                      <w:highlight w:val="none"/>
                    </w:rPr>
                  </w:pPr>
                </w:p>
              </w:tc>
            </w:tr>
            <w:tr w14:paraId="3CA4FB1E">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28" w:type="dxa"/>
                  <w:bottom w:w="0" w:type="dxa"/>
                  <w:right w:w="28" w:type="dxa"/>
                </w:tblCellMar>
              </w:tblPrEx>
              <w:trPr>
                <w:trHeight w:val="397" w:hRule="atLeast"/>
                <w:jc w:val="center"/>
              </w:trPr>
              <w:tc>
                <w:tcPr>
                  <w:tcW w:w="363" w:type="dxa"/>
                  <w:vMerge w:val="continue"/>
                  <w:tcBorders>
                    <w:tl2br w:val="nil"/>
                    <w:tr2bl w:val="nil"/>
                  </w:tcBorders>
                  <w:noWrap w:val="0"/>
                  <w:vAlign w:val="center"/>
                </w:tcPr>
                <w:p w14:paraId="7CB68606">
                  <w:pPr>
                    <w:widowControl/>
                    <w:spacing w:line="0" w:lineRule="atLeast"/>
                    <w:jc w:val="left"/>
                    <w:rPr>
                      <w:rFonts w:hint="default" w:ascii="Times New Roman" w:hAnsi="Times New Roman" w:eastAsia="宋体" w:cs="Times New Roman"/>
                      <w:color w:val="000000"/>
                      <w:spacing w:val="-10"/>
                      <w:szCs w:val="21"/>
                      <w:highlight w:val="none"/>
                    </w:rPr>
                  </w:pPr>
                </w:p>
              </w:tc>
              <w:tc>
                <w:tcPr>
                  <w:tcW w:w="724" w:type="dxa"/>
                  <w:vMerge w:val="continue"/>
                  <w:tcBorders>
                    <w:tl2br w:val="nil"/>
                    <w:tr2bl w:val="nil"/>
                  </w:tcBorders>
                  <w:noWrap w:val="0"/>
                  <w:vAlign w:val="center"/>
                </w:tcPr>
                <w:p w14:paraId="56E559AA">
                  <w:pPr>
                    <w:widowControl/>
                    <w:spacing w:line="0" w:lineRule="atLeast"/>
                    <w:jc w:val="left"/>
                    <w:rPr>
                      <w:rFonts w:hint="default" w:ascii="Times New Roman" w:hAnsi="Times New Roman" w:eastAsia="宋体" w:cs="Times New Roman"/>
                      <w:color w:val="000000"/>
                      <w:spacing w:val="-10"/>
                      <w:szCs w:val="21"/>
                      <w:highlight w:val="none"/>
                    </w:rPr>
                  </w:pPr>
                </w:p>
              </w:tc>
              <w:tc>
                <w:tcPr>
                  <w:tcW w:w="6376" w:type="dxa"/>
                  <w:tcBorders>
                    <w:tl2br w:val="nil"/>
                    <w:tr2bl w:val="nil"/>
                  </w:tcBorders>
                  <w:noWrap w:val="0"/>
                  <w:vAlign w:val="center"/>
                </w:tcPr>
                <w:p w14:paraId="0CE556EE">
                  <w:pPr>
                    <w:widowControl/>
                    <w:spacing w:line="0" w:lineRule="atLeast"/>
                    <w:jc w:val="left"/>
                    <w:rPr>
                      <w:rFonts w:hint="default" w:ascii="Times New Roman" w:hAnsi="Times New Roman" w:eastAsia="宋体" w:cs="Times New Roman"/>
                      <w:color w:val="000000"/>
                      <w:spacing w:val="-10"/>
                      <w:szCs w:val="21"/>
                      <w:highlight w:val="none"/>
                    </w:rPr>
                  </w:pPr>
                  <w:r>
                    <w:rPr>
                      <w:rFonts w:hint="default" w:ascii="Times New Roman" w:hAnsi="Times New Roman" w:eastAsia="宋体" w:cs="Times New Roman"/>
                      <w:color w:val="000000"/>
                      <w:spacing w:val="-10"/>
                      <w:szCs w:val="21"/>
                      <w:highlight w:val="none"/>
                    </w:rPr>
                    <w:t>Ⅰ级</w:t>
                  </w:r>
                  <w:r>
                    <w:rPr>
                      <w:rFonts w:hint="eastAsia" w:ascii="Times New Roman" w:hAnsi="Times New Roman" w:eastAsia="宋体" w:cs="Times New Roman"/>
                      <w:color w:val="000000"/>
                      <w:spacing w:val="-10"/>
                      <w:szCs w:val="21"/>
                      <w:highlight w:val="none"/>
                      <w:lang w:eastAsia="zh-CN"/>
                    </w:rPr>
                    <w:t>（</w:t>
                  </w:r>
                  <w:r>
                    <w:rPr>
                      <w:rFonts w:hint="default" w:ascii="Times New Roman" w:hAnsi="Times New Roman" w:eastAsia="宋体" w:cs="Times New Roman"/>
                      <w:color w:val="000000"/>
                      <w:spacing w:val="-10"/>
                      <w:szCs w:val="21"/>
                      <w:highlight w:val="none"/>
                    </w:rPr>
                    <w:t>红色</w:t>
                  </w:r>
                  <w:r>
                    <w:rPr>
                      <w:rFonts w:hint="eastAsia" w:ascii="Times New Roman" w:hAnsi="Times New Roman" w:eastAsia="宋体" w:cs="Times New Roman"/>
                      <w:color w:val="000000"/>
                      <w:spacing w:val="-10"/>
                      <w:szCs w:val="21"/>
                      <w:highlight w:val="none"/>
                      <w:lang w:eastAsia="zh-CN"/>
                    </w:rPr>
                    <w:t>）</w:t>
                  </w:r>
                  <w:r>
                    <w:rPr>
                      <w:rFonts w:hint="default" w:ascii="Times New Roman" w:hAnsi="Times New Roman" w:eastAsia="宋体" w:cs="Times New Roman"/>
                      <w:color w:val="000000"/>
                      <w:spacing w:val="-10"/>
                      <w:szCs w:val="21"/>
                      <w:highlight w:val="none"/>
                    </w:rPr>
                    <w:t>预警：</w:t>
                  </w:r>
                  <w:r>
                    <w:rPr>
                      <w:rFonts w:hint="eastAsia" w:cs="Times New Roman"/>
                      <w:color w:val="000000"/>
                      <w:spacing w:val="-10"/>
                      <w:szCs w:val="21"/>
                      <w:highlight w:val="none"/>
                      <w:lang w:eastAsia="zh-CN"/>
                    </w:rPr>
                    <w:t>区域</w:t>
                  </w:r>
                  <w:r>
                    <w:rPr>
                      <w:rFonts w:hint="default" w:ascii="Times New Roman" w:hAnsi="Times New Roman" w:eastAsia="宋体" w:cs="Times New Roman"/>
                      <w:color w:val="000000"/>
                      <w:spacing w:val="-10"/>
                      <w:szCs w:val="21"/>
                      <w:highlight w:val="none"/>
                    </w:rPr>
                    <w:t>内70%的重点排放企业限产或者停产，停止喷涂粉刷、建筑拆除等施工作业，禁止建筑垃圾、渣土、砂石等散装物料运输车辆上路</w:t>
                  </w:r>
                </w:p>
              </w:tc>
              <w:tc>
                <w:tcPr>
                  <w:tcW w:w="639" w:type="dxa"/>
                  <w:vMerge w:val="continue"/>
                  <w:tcBorders>
                    <w:tl2br w:val="nil"/>
                    <w:tr2bl w:val="nil"/>
                  </w:tcBorders>
                  <w:noWrap w:val="0"/>
                  <w:vAlign w:val="center"/>
                </w:tcPr>
                <w:p w14:paraId="5FE9897B">
                  <w:pPr>
                    <w:spacing w:line="0" w:lineRule="atLeast"/>
                    <w:jc w:val="left"/>
                    <w:rPr>
                      <w:rFonts w:hint="default" w:ascii="Times New Roman" w:hAnsi="Times New Roman" w:eastAsia="宋体" w:cs="Times New Roman"/>
                      <w:color w:val="000000"/>
                      <w:spacing w:val="-10"/>
                      <w:szCs w:val="21"/>
                      <w:highlight w:val="none"/>
                    </w:rPr>
                  </w:pPr>
                </w:p>
              </w:tc>
            </w:tr>
          </w:tbl>
          <w:p w14:paraId="5C28800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b/>
                <w:bCs w:val="0"/>
                <w:color w:val="000000"/>
                <w:spacing w:val="0"/>
                <w:sz w:val="24"/>
                <w:szCs w:val="24"/>
                <w:highlight w:val="none"/>
                <w:lang w:val="en-US" w:eastAsia="zh-CN"/>
              </w:rPr>
            </w:pPr>
            <w:r>
              <w:rPr>
                <w:rFonts w:hint="eastAsia" w:ascii="Times New Roman" w:hAnsi="Times New Roman" w:eastAsia="宋体" w:cs="Times New Roman"/>
                <w:b/>
                <w:bCs w:val="0"/>
                <w:color w:val="000000"/>
                <w:spacing w:val="0"/>
                <w:sz w:val="24"/>
                <w:szCs w:val="24"/>
                <w:highlight w:val="none"/>
                <w:lang w:val="en-US" w:eastAsia="zh-CN"/>
              </w:rPr>
              <w:t>2.</w:t>
            </w:r>
            <w:r>
              <w:rPr>
                <w:rFonts w:hint="default" w:ascii="Times New Roman" w:hAnsi="Times New Roman" w:eastAsia="宋体" w:cs="Times New Roman"/>
                <w:b/>
                <w:bCs w:val="0"/>
                <w:color w:val="000000"/>
                <w:spacing w:val="0"/>
                <w:sz w:val="24"/>
                <w:szCs w:val="24"/>
                <w:highlight w:val="none"/>
                <w:lang w:val="en-US" w:eastAsia="zh-CN"/>
              </w:rPr>
              <w:t>施工期废水污染防治措施</w:t>
            </w:r>
          </w:p>
          <w:p w14:paraId="5CFF50B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bCs/>
                <w:color w:val="000000"/>
                <w:spacing w:val="0"/>
                <w:sz w:val="24"/>
                <w:szCs w:val="24"/>
                <w:highlight w:val="none"/>
                <w:lang w:val="en-US" w:eastAsia="zh-CN"/>
              </w:rPr>
            </w:pPr>
            <w:r>
              <w:rPr>
                <w:rFonts w:hint="default" w:ascii="Times New Roman" w:hAnsi="Times New Roman" w:eastAsia="宋体" w:cs="Times New Roman"/>
                <w:bCs/>
                <w:color w:val="000000"/>
                <w:spacing w:val="0"/>
                <w:sz w:val="24"/>
                <w:szCs w:val="24"/>
                <w:highlight w:val="none"/>
                <w:lang w:val="en-US" w:eastAsia="zh-CN"/>
              </w:rPr>
              <w:t>（1）工程废水</w:t>
            </w:r>
          </w:p>
          <w:p w14:paraId="499C5AD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color w:val="000000"/>
                <w:spacing w:val="0"/>
                <w:sz w:val="24"/>
                <w:szCs w:val="24"/>
                <w:highlight w:val="none"/>
                <w:lang w:val="en-US" w:eastAsia="zh-CN"/>
              </w:rPr>
            </w:pPr>
            <w:r>
              <w:rPr>
                <w:rFonts w:hint="default" w:ascii="Times New Roman" w:hAnsi="Times New Roman" w:eastAsia="宋体" w:cs="Times New Roman"/>
                <w:bCs/>
                <w:color w:val="000000"/>
                <w:spacing w:val="0"/>
                <w:sz w:val="24"/>
                <w:szCs w:val="24"/>
                <w:highlight w:val="none"/>
                <w:lang w:val="en-US" w:eastAsia="zh-CN"/>
              </w:rPr>
              <w:t>施工废水主要为</w:t>
            </w:r>
            <w:r>
              <w:rPr>
                <w:rFonts w:hint="eastAsia" w:ascii="Times New Roman" w:hAnsi="Times New Roman" w:eastAsia="宋体" w:cs="Times New Roman"/>
                <w:bCs/>
                <w:color w:val="000000"/>
                <w:spacing w:val="0"/>
                <w:sz w:val="24"/>
                <w:szCs w:val="24"/>
                <w:highlight w:val="none"/>
                <w:lang w:val="en-US" w:eastAsia="zh-CN"/>
              </w:rPr>
              <w:t>场地硬化</w:t>
            </w:r>
            <w:r>
              <w:rPr>
                <w:rFonts w:hint="default" w:ascii="Times New Roman" w:hAnsi="Times New Roman" w:eastAsia="宋体" w:cs="Times New Roman"/>
                <w:bCs/>
                <w:color w:val="000000"/>
                <w:spacing w:val="0"/>
                <w:sz w:val="24"/>
                <w:szCs w:val="24"/>
                <w:highlight w:val="none"/>
                <w:lang w:val="en-US" w:eastAsia="zh-CN"/>
              </w:rPr>
              <w:t>混凝土养护废水和设备、工具清洗废水，产生量较</w:t>
            </w:r>
            <w:r>
              <w:rPr>
                <w:rFonts w:hint="eastAsia" w:cs="Times New Roman"/>
                <w:bCs/>
                <w:color w:val="000000"/>
                <w:spacing w:val="0"/>
                <w:sz w:val="24"/>
                <w:szCs w:val="24"/>
                <w:highlight w:val="none"/>
                <w:lang w:val="en-US" w:eastAsia="zh-CN"/>
              </w:rPr>
              <w:t>少</w:t>
            </w:r>
            <w:r>
              <w:rPr>
                <w:rFonts w:hint="default" w:ascii="Times New Roman" w:hAnsi="Times New Roman" w:eastAsia="宋体" w:cs="Times New Roman"/>
                <w:bCs/>
                <w:color w:val="000000"/>
                <w:spacing w:val="0"/>
                <w:sz w:val="24"/>
                <w:szCs w:val="24"/>
                <w:highlight w:val="none"/>
                <w:lang w:val="en-US" w:eastAsia="zh-CN"/>
              </w:rPr>
              <w:t>，主要污染物为悬浮物。工地设置临时沉淀池，少量施工废水不直接排放，应集中收集，经过沉淀池沉淀后，用于洒水抑尘。</w:t>
            </w:r>
          </w:p>
          <w:p w14:paraId="0C5036A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default" w:ascii="Times New Roman" w:hAnsi="Times New Roman" w:eastAsia="宋体" w:cs="Times New Roman"/>
                <w:bCs/>
                <w:color w:val="000000"/>
                <w:spacing w:val="0"/>
                <w:sz w:val="24"/>
                <w:szCs w:val="24"/>
                <w:highlight w:val="none"/>
                <w:lang w:val="en-US" w:eastAsia="zh-CN"/>
              </w:rPr>
            </w:pPr>
            <w:r>
              <w:rPr>
                <w:rFonts w:hint="default" w:ascii="Times New Roman" w:hAnsi="Times New Roman" w:eastAsia="宋体" w:cs="Times New Roman"/>
                <w:bCs/>
                <w:color w:val="000000"/>
                <w:spacing w:val="0"/>
                <w:sz w:val="24"/>
                <w:szCs w:val="24"/>
                <w:highlight w:val="none"/>
                <w:lang w:val="en-US" w:eastAsia="zh-CN"/>
              </w:rPr>
              <w:t>（2）</w:t>
            </w:r>
            <w:r>
              <w:rPr>
                <w:rFonts w:hint="eastAsia" w:ascii="Times New Roman" w:hAnsi="Times New Roman" w:eastAsia="宋体" w:cs="Times New Roman"/>
                <w:bCs/>
                <w:color w:val="000000"/>
                <w:spacing w:val="0"/>
                <w:sz w:val="24"/>
                <w:szCs w:val="24"/>
                <w:highlight w:val="none"/>
                <w:lang w:val="en-US" w:eastAsia="zh-CN"/>
              </w:rPr>
              <w:t>生活污水</w:t>
            </w:r>
          </w:p>
          <w:p w14:paraId="6ECE9E7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sz w:val="24"/>
                <w:szCs w:val="24"/>
                <w:highlight w:val="none"/>
                <w:lang w:eastAsia="zh-CN"/>
              </w:rPr>
            </w:pPr>
            <w:r>
              <w:rPr>
                <w:rFonts w:hint="default" w:ascii="Times New Roman" w:hAnsi="Times New Roman" w:eastAsia="宋体" w:cs="Times New Roman"/>
                <w:color w:val="000000"/>
                <w:sz w:val="24"/>
                <w:szCs w:val="24"/>
                <w:highlight w:val="none"/>
              </w:rPr>
              <w:t>项目施工期施工人员约</w:t>
            </w:r>
            <w:r>
              <w:rPr>
                <w:rFonts w:hint="eastAsia" w:ascii="Times New Roman" w:hAnsi="Times New Roman" w:eastAsia="宋体" w:cs="Times New Roman"/>
                <w:color w:val="000000"/>
                <w:sz w:val="24"/>
                <w:szCs w:val="24"/>
                <w:highlight w:val="none"/>
                <w:lang w:val="en-US" w:eastAsia="zh-CN"/>
              </w:rPr>
              <w:t>1</w:t>
            </w:r>
            <w:r>
              <w:rPr>
                <w:rFonts w:hint="default" w:ascii="Times New Roman" w:hAnsi="Times New Roman" w:eastAsia="宋体" w:cs="Times New Roman"/>
                <w:color w:val="000000"/>
                <w:sz w:val="24"/>
                <w:szCs w:val="24"/>
                <w:highlight w:val="none"/>
                <w:lang w:val="en-US" w:eastAsia="zh-CN"/>
              </w:rPr>
              <w:t>0</w:t>
            </w:r>
            <w:r>
              <w:rPr>
                <w:rFonts w:hint="default" w:ascii="Times New Roman" w:hAnsi="Times New Roman" w:eastAsia="宋体" w:cs="Times New Roman"/>
                <w:color w:val="000000"/>
                <w:sz w:val="24"/>
                <w:szCs w:val="24"/>
                <w:highlight w:val="none"/>
              </w:rPr>
              <w:t>人，参考《新疆维吾尔自治区生活用水定额》（新政办发〔2007〕105号）规定，人均用水指标为</w:t>
            </w:r>
            <w:r>
              <w:rPr>
                <w:rFonts w:hint="default" w:ascii="Times New Roman" w:hAnsi="Times New Roman" w:eastAsia="宋体" w:cs="Times New Roman"/>
                <w:color w:val="000000"/>
                <w:sz w:val="24"/>
                <w:szCs w:val="24"/>
                <w:highlight w:val="none"/>
                <w:lang w:val="en-US" w:eastAsia="zh-CN"/>
              </w:rPr>
              <w:t>25</w:t>
            </w:r>
            <w:r>
              <w:rPr>
                <w:rFonts w:hint="default" w:ascii="Times New Roman" w:hAnsi="Times New Roman" w:eastAsia="宋体" w:cs="Times New Roman"/>
                <w:color w:val="000000"/>
                <w:sz w:val="24"/>
                <w:szCs w:val="24"/>
                <w:highlight w:val="none"/>
              </w:rPr>
              <w:t>L/人</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d计。生活污水按用水量的80％计，则生活污水的排放量为</w:t>
            </w:r>
            <w:r>
              <w:rPr>
                <w:rFonts w:hint="default" w:ascii="Times New Roman" w:hAnsi="Times New Roman" w:eastAsia="宋体" w:cs="Times New Roman"/>
                <w:color w:val="000000"/>
                <w:sz w:val="24"/>
                <w:szCs w:val="24"/>
                <w:highlight w:val="none"/>
                <w:lang w:val="en-US" w:eastAsia="zh-CN"/>
              </w:rPr>
              <w:t>0.</w:t>
            </w:r>
            <w:r>
              <w:rPr>
                <w:rFonts w:hint="eastAsia" w:ascii="Times New Roman" w:hAnsi="Times New Roman" w:eastAsia="宋体" w:cs="Times New Roman"/>
                <w:color w:val="000000"/>
                <w:sz w:val="24"/>
                <w:szCs w:val="24"/>
                <w:highlight w:val="none"/>
                <w:lang w:val="en-US" w:eastAsia="zh-CN"/>
              </w:rPr>
              <w:t>2</w:t>
            </w:r>
            <w:r>
              <w:rPr>
                <w:rFonts w:hint="default" w:ascii="Times New Roman" w:hAnsi="Times New Roman" w:eastAsia="宋体" w:cs="Times New Roman"/>
                <w:color w:val="000000"/>
                <w:sz w:val="24"/>
                <w:szCs w:val="24"/>
                <w:highlight w:val="none"/>
              </w:rPr>
              <w:t>m</w:t>
            </w:r>
            <w:r>
              <w:rPr>
                <w:rFonts w:hint="default" w:ascii="Times New Roman" w:hAnsi="Times New Roman" w:eastAsia="宋体" w:cs="Times New Roman"/>
                <w:color w:val="000000"/>
                <w:sz w:val="24"/>
                <w:szCs w:val="24"/>
                <w:highlight w:val="none"/>
                <w:vertAlign w:val="superscript"/>
              </w:rPr>
              <w:t>3</w:t>
            </w:r>
            <w:r>
              <w:rPr>
                <w:rFonts w:hint="default" w:ascii="Times New Roman" w:hAnsi="Times New Roman" w:eastAsia="宋体" w:cs="Times New Roman"/>
                <w:color w:val="000000"/>
                <w:sz w:val="24"/>
                <w:szCs w:val="24"/>
                <w:highlight w:val="none"/>
              </w:rPr>
              <w:t>/d，</w:t>
            </w:r>
            <w:r>
              <w:rPr>
                <w:rFonts w:hint="eastAsia" w:ascii="Times New Roman" w:hAnsi="Times New Roman" w:eastAsia="宋体" w:cs="Times New Roman"/>
                <w:color w:val="000000"/>
                <w:sz w:val="24"/>
                <w:szCs w:val="24"/>
                <w:highlight w:val="none"/>
                <w:lang w:eastAsia="zh-CN"/>
              </w:rPr>
              <w:t>生活污水</w:t>
            </w:r>
            <w:r>
              <w:rPr>
                <w:rFonts w:hint="default" w:ascii="Times New Roman" w:hAnsi="Times New Roman" w:eastAsia="宋体" w:cs="Times New Roman"/>
                <w:color w:val="000000"/>
                <w:sz w:val="24"/>
                <w:szCs w:val="24"/>
                <w:highlight w:val="none"/>
                <w:lang w:eastAsia="zh-CN"/>
              </w:rPr>
              <w:t>建</w:t>
            </w:r>
            <w:r>
              <w:rPr>
                <w:rFonts w:hint="default" w:ascii="Times New Roman" w:hAnsi="Times New Roman" w:eastAsia="宋体" w:cs="Times New Roman"/>
                <w:color w:val="000000"/>
                <w:sz w:val="24"/>
                <w:szCs w:val="24"/>
                <w:highlight w:val="none"/>
                <w:lang w:val="en-US" w:eastAsia="zh-CN"/>
              </w:rPr>
              <w:t>防渗</w:t>
            </w:r>
            <w:r>
              <w:rPr>
                <w:rFonts w:hint="default" w:ascii="Times New Roman" w:hAnsi="Times New Roman" w:eastAsia="宋体" w:cs="Times New Roman"/>
                <w:color w:val="000000"/>
                <w:sz w:val="24"/>
                <w:szCs w:val="24"/>
                <w:highlight w:val="none"/>
                <w:lang w:eastAsia="zh-CN"/>
              </w:rPr>
              <w:t>化粪池收集用于洒水抑尘，施工人员上厕所采用防渗旱厕，定期清掏处理。</w:t>
            </w:r>
          </w:p>
          <w:p w14:paraId="11E2A73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b/>
                <w:bCs/>
                <w:color w:val="000000"/>
                <w:sz w:val="24"/>
                <w:szCs w:val="24"/>
                <w:highlight w:val="none"/>
                <w:lang w:val="en-US" w:eastAsia="zh-CN"/>
              </w:rPr>
              <w:t>3.</w:t>
            </w:r>
            <w:r>
              <w:rPr>
                <w:rFonts w:hint="default" w:ascii="Times New Roman" w:hAnsi="Times New Roman" w:eastAsia="宋体" w:cs="Times New Roman"/>
                <w:b/>
                <w:bCs/>
                <w:color w:val="000000"/>
                <w:sz w:val="24"/>
                <w:szCs w:val="24"/>
                <w:highlight w:val="none"/>
                <w:lang w:val="en-US" w:eastAsia="zh-CN"/>
              </w:rPr>
              <w:t>施工期噪声防治措施</w:t>
            </w:r>
          </w:p>
          <w:p w14:paraId="71D5890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bCs/>
                <w:color w:val="000000"/>
                <w:spacing w:val="0"/>
                <w:sz w:val="24"/>
                <w:szCs w:val="24"/>
                <w:highlight w:val="none"/>
                <w:lang w:val="en-US" w:eastAsia="zh-CN"/>
              </w:rPr>
            </w:pPr>
            <w:r>
              <w:rPr>
                <w:rFonts w:hint="default" w:ascii="Times New Roman" w:hAnsi="Times New Roman" w:eastAsia="宋体" w:cs="Times New Roman"/>
                <w:bCs/>
                <w:color w:val="000000"/>
                <w:spacing w:val="0"/>
                <w:sz w:val="24"/>
                <w:szCs w:val="24"/>
                <w:highlight w:val="none"/>
                <w:lang w:val="en-US" w:eastAsia="zh-CN"/>
              </w:rPr>
              <w:t>（1）合理安排施工时间，应尽可能避免大量高噪声设备同时施工，除此之外，使用高噪声设备的施工阶段应尽量安排在白天，减少夜间的施工量；</w:t>
            </w:r>
          </w:p>
          <w:p w14:paraId="760DB8E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bCs/>
                <w:color w:val="000000"/>
                <w:spacing w:val="0"/>
                <w:sz w:val="24"/>
                <w:szCs w:val="24"/>
                <w:highlight w:val="none"/>
                <w:lang w:val="en-US" w:eastAsia="zh-CN"/>
              </w:rPr>
            </w:pPr>
            <w:r>
              <w:rPr>
                <w:rFonts w:hint="default" w:ascii="Times New Roman" w:hAnsi="Times New Roman" w:eastAsia="宋体" w:cs="Times New Roman"/>
                <w:bCs/>
                <w:color w:val="000000"/>
                <w:spacing w:val="0"/>
                <w:sz w:val="24"/>
                <w:szCs w:val="24"/>
                <w:highlight w:val="none"/>
                <w:lang w:val="en-US" w:eastAsia="zh-CN"/>
              </w:rPr>
              <w:t>（2）合理布置施工现场，应避免在施工现场的同一地点安排大量的高噪声设备，造成局部声级过高。</w:t>
            </w:r>
          </w:p>
          <w:p w14:paraId="3E254E4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bCs/>
                <w:color w:val="000000"/>
                <w:spacing w:val="0"/>
                <w:sz w:val="24"/>
                <w:szCs w:val="24"/>
                <w:highlight w:val="none"/>
                <w:lang w:val="en-US" w:eastAsia="zh-CN"/>
              </w:rPr>
            </w:pPr>
            <w:r>
              <w:rPr>
                <w:rFonts w:hint="default" w:ascii="Times New Roman" w:hAnsi="Times New Roman" w:eastAsia="宋体" w:cs="Times New Roman"/>
                <w:bCs/>
                <w:color w:val="000000"/>
                <w:spacing w:val="0"/>
                <w:sz w:val="24"/>
                <w:szCs w:val="24"/>
                <w:highlight w:val="none"/>
                <w:lang w:val="en-US" w:eastAsia="zh-CN"/>
              </w:rPr>
              <w:t>（3）施工设备选型时尽量采用低噪声设备，如振捣器采用高频振捣器等；</w:t>
            </w:r>
          </w:p>
          <w:p w14:paraId="3BEDD03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bCs/>
                <w:color w:val="000000"/>
                <w:spacing w:val="0"/>
                <w:sz w:val="24"/>
                <w:szCs w:val="24"/>
                <w:highlight w:val="none"/>
                <w:lang w:val="en-US" w:eastAsia="zh-CN"/>
              </w:rPr>
            </w:pPr>
            <w:r>
              <w:rPr>
                <w:rFonts w:hint="default" w:ascii="Times New Roman" w:hAnsi="Times New Roman" w:eastAsia="宋体" w:cs="Times New Roman"/>
                <w:bCs/>
                <w:color w:val="000000"/>
                <w:spacing w:val="0"/>
                <w:sz w:val="24"/>
                <w:szCs w:val="24"/>
                <w:highlight w:val="none"/>
                <w:lang w:val="en-US" w:eastAsia="zh-CN"/>
              </w:rPr>
              <w:t>（4）对动力机械设备定期进行维修和养护，避免因松动部件振动或消声器损坏而加大设备工作时的声级；</w:t>
            </w:r>
          </w:p>
          <w:p w14:paraId="4B59726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bCs/>
                <w:color w:val="000000"/>
                <w:spacing w:val="0"/>
                <w:sz w:val="24"/>
                <w:szCs w:val="24"/>
                <w:highlight w:val="none"/>
                <w:lang w:val="en-US" w:eastAsia="zh-CN"/>
              </w:rPr>
            </w:pPr>
            <w:r>
              <w:rPr>
                <w:rFonts w:hint="default" w:ascii="Times New Roman" w:hAnsi="Times New Roman" w:eastAsia="宋体" w:cs="Times New Roman"/>
                <w:bCs/>
                <w:color w:val="000000"/>
                <w:spacing w:val="0"/>
                <w:sz w:val="24"/>
                <w:szCs w:val="24"/>
                <w:highlight w:val="none"/>
                <w:lang w:val="en-US" w:eastAsia="zh-CN"/>
              </w:rPr>
              <w:t>（5）模板、支架拆卸过程中，遵守作业规定，减少碰撞</w:t>
            </w:r>
            <w:r>
              <w:rPr>
                <w:rFonts w:hint="eastAsia" w:ascii="Times New Roman" w:hAnsi="Times New Roman" w:eastAsia="宋体" w:cs="Times New Roman"/>
                <w:bCs/>
                <w:color w:val="000000"/>
                <w:spacing w:val="0"/>
                <w:sz w:val="24"/>
                <w:szCs w:val="24"/>
                <w:highlight w:val="none"/>
                <w:lang w:val="en-US" w:eastAsia="zh-CN"/>
              </w:rPr>
              <w:t>噪声</w:t>
            </w:r>
            <w:r>
              <w:rPr>
                <w:rFonts w:hint="default" w:ascii="Times New Roman" w:hAnsi="Times New Roman" w:eastAsia="宋体" w:cs="Times New Roman"/>
                <w:bCs/>
                <w:color w:val="000000"/>
                <w:spacing w:val="0"/>
                <w:sz w:val="24"/>
                <w:szCs w:val="24"/>
                <w:highlight w:val="none"/>
                <w:lang w:val="en-US" w:eastAsia="zh-CN"/>
              </w:rPr>
              <w:t>；尽量少用哨子、喇叭、笛等指挥作业，减少人为噪声；</w:t>
            </w:r>
          </w:p>
          <w:p w14:paraId="4DAA15C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bCs/>
                <w:color w:val="000000"/>
                <w:spacing w:val="0"/>
                <w:sz w:val="24"/>
                <w:szCs w:val="24"/>
                <w:highlight w:val="none"/>
                <w:lang w:val="en-US" w:eastAsia="zh-CN"/>
              </w:rPr>
            </w:pPr>
            <w:r>
              <w:rPr>
                <w:rFonts w:hint="default" w:ascii="Times New Roman" w:hAnsi="Times New Roman" w:eastAsia="宋体" w:cs="Times New Roman"/>
                <w:bCs/>
                <w:color w:val="000000"/>
                <w:spacing w:val="0"/>
                <w:sz w:val="24"/>
                <w:szCs w:val="24"/>
                <w:highlight w:val="none"/>
                <w:lang w:val="en-US" w:eastAsia="zh-CN"/>
              </w:rPr>
              <w:t>（6）尽量减少运输车辆夜间的运输量，运输车辆在进入施工区附近区域后，要适当降低车速，避免或杜绝鸣笛。</w:t>
            </w:r>
          </w:p>
          <w:p w14:paraId="726F85E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b/>
                <w:bCs w:val="0"/>
                <w:color w:val="000000"/>
                <w:spacing w:val="0"/>
                <w:sz w:val="24"/>
                <w:szCs w:val="24"/>
                <w:highlight w:val="none"/>
                <w:lang w:val="en-US" w:eastAsia="zh-CN"/>
              </w:rPr>
            </w:pPr>
            <w:r>
              <w:rPr>
                <w:rFonts w:hint="eastAsia" w:ascii="Times New Roman" w:hAnsi="Times New Roman" w:eastAsia="宋体" w:cs="Times New Roman"/>
                <w:b/>
                <w:bCs w:val="0"/>
                <w:color w:val="000000"/>
                <w:spacing w:val="0"/>
                <w:sz w:val="24"/>
                <w:szCs w:val="24"/>
                <w:highlight w:val="none"/>
                <w:lang w:val="en-US" w:eastAsia="zh-CN"/>
              </w:rPr>
              <w:t>4.</w:t>
            </w:r>
            <w:r>
              <w:rPr>
                <w:rFonts w:hint="default" w:ascii="Times New Roman" w:hAnsi="Times New Roman" w:eastAsia="宋体" w:cs="Times New Roman"/>
                <w:b/>
                <w:bCs w:val="0"/>
                <w:color w:val="000000"/>
                <w:spacing w:val="0"/>
                <w:sz w:val="24"/>
                <w:szCs w:val="24"/>
                <w:highlight w:val="none"/>
                <w:lang w:val="en-US" w:eastAsia="zh-CN"/>
              </w:rPr>
              <w:t>施工期固废污染防治措施</w:t>
            </w:r>
          </w:p>
          <w:p w14:paraId="4A91BAF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建设期固体废弃物主要来源于施工人员日常生活产生的生活垃圾、工程弃方及废建筑材料。</w:t>
            </w:r>
          </w:p>
          <w:p w14:paraId="52644A6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bCs/>
                <w:color w:val="000000"/>
                <w:spacing w:val="0"/>
                <w:sz w:val="24"/>
                <w:szCs w:val="24"/>
                <w:highlight w:val="none"/>
                <w:lang w:val="en-US" w:eastAsia="zh-CN"/>
              </w:rPr>
            </w:pPr>
            <w:r>
              <w:rPr>
                <w:rFonts w:hint="default" w:ascii="Times New Roman" w:hAnsi="Times New Roman" w:eastAsia="宋体" w:cs="Times New Roman"/>
                <w:color w:val="000000"/>
                <w:sz w:val="24"/>
                <w:szCs w:val="24"/>
                <w:highlight w:val="none"/>
              </w:rPr>
              <w:t>本项目所产生的弃方不多，产生的废建筑材料也有限。</w:t>
            </w:r>
            <w:r>
              <w:rPr>
                <w:rFonts w:hint="default" w:ascii="Times New Roman" w:hAnsi="Times New Roman" w:eastAsia="宋体" w:cs="Times New Roman"/>
                <w:bCs/>
                <w:color w:val="000000"/>
                <w:spacing w:val="0"/>
                <w:sz w:val="24"/>
                <w:szCs w:val="24"/>
                <w:highlight w:val="none"/>
                <w:lang w:val="en-US" w:eastAsia="zh-CN"/>
              </w:rPr>
              <w:t>渣土在场内周转，除</w:t>
            </w:r>
            <w:r>
              <w:rPr>
                <w:rFonts w:hint="eastAsia" w:cs="Times New Roman"/>
                <w:bCs/>
                <w:color w:val="000000"/>
                <w:spacing w:val="0"/>
                <w:sz w:val="24"/>
                <w:szCs w:val="24"/>
                <w:highlight w:val="none"/>
                <w:lang w:val="en-US" w:eastAsia="zh-CN"/>
              </w:rPr>
              <w:t>用于就</w:t>
            </w:r>
            <w:r>
              <w:rPr>
                <w:rFonts w:hint="default" w:ascii="Times New Roman" w:hAnsi="Times New Roman" w:eastAsia="宋体" w:cs="Times New Roman"/>
                <w:bCs/>
                <w:color w:val="000000"/>
                <w:spacing w:val="0"/>
                <w:sz w:val="24"/>
                <w:szCs w:val="24"/>
                <w:highlight w:val="none"/>
                <w:lang w:val="en-US" w:eastAsia="zh-CN"/>
              </w:rPr>
              <w:t>地平衡、道路等建设</w:t>
            </w:r>
            <w:r>
              <w:rPr>
                <w:rFonts w:hint="eastAsia" w:cs="Times New Roman"/>
                <w:bCs/>
                <w:color w:val="000000"/>
                <w:spacing w:val="0"/>
                <w:sz w:val="24"/>
                <w:szCs w:val="24"/>
                <w:highlight w:val="none"/>
                <w:lang w:val="en-US" w:eastAsia="zh-CN"/>
              </w:rPr>
              <w:t>外，</w:t>
            </w:r>
            <w:r>
              <w:rPr>
                <w:rFonts w:hint="default" w:ascii="Times New Roman" w:hAnsi="Times New Roman" w:eastAsia="宋体" w:cs="Times New Roman"/>
                <w:bCs/>
                <w:color w:val="000000"/>
                <w:spacing w:val="0"/>
                <w:sz w:val="24"/>
                <w:szCs w:val="24"/>
                <w:highlight w:val="none"/>
                <w:lang w:val="en-US" w:eastAsia="zh-CN"/>
              </w:rPr>
              <w:t>必须外运的弃土以及建筑废料应运至当地环卫部门指定的专门建筑垃圾堆放场</w:t>
            </w:r>
            <w:r>
              <w:rPr>
                <w:rFonts w:hint="eastAsia" w:cs="Times New Roman"/>
                <w:bCs/>
                <w:color w:val="000000"/>
                <w:spacing w:val="0"/>
                <w:sz w:val="24"/>
                <w:szCs w:val="24"/>
                <w:highlight w:val="none"/>
                <w:lang w:val="en-US" w:eastAsia="zh-CN"/>
              </w:rPr>
              <w:t>。</w:t>
            </w:r>
            <w:r>
              <w:rPr>
                <w:rFonts w:hint="default" w:ascii="Times New Roman" w:hAnsi="Times New Roman" w:eastAsia="宋体" w:cs="Times New Roman"/>
                <w:bCs/>
                <w:color w:val="000000"/>
                <w:spacing w:val="0"/>
                <w:sz w:val="24"/>
                <w:szCs w:val="24"/>
                <w:highlight w:val="none"/>
                <w:lang w:val="en-US" w:eastAsia="zh-CN"/>
              </w:rPr>
              <w:t>生活垃圾应及时交由环卫部门清运统一处置；</w:t>
            </w:r>
          </w:p>
          <w:p w14:paraId="40CB3EF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pacing w:val="-2"/>
                <w:sz w:val="24"/>
                <w:szCs w:val="24"/>
                <w:highlight w:val="none"/>
                <w:lang w:val="en-US" w:eastAsia="zh-CN"/>
              </w:rPr>
            </w:pPr>
            <w:r>
              <w:rPr>
                <w:rFonts w:hint="default" w:ascii="Times New Roman" w:hAnsi="Times New Roman" w:eastAsia="宋体" w:cs="Times New Roman"/>
                <w:bCs/>
                <w:color w:val="000000"/>
                <w:spacing w:val="0"/>
                <w:sz w:val="24"/>
                <w:szCs w:val="24"/>
                <w:highlight w:val="none"/>
                <w:lang w:val="en-US" w:eastAsia="zh-CN"/>
              </w:rPr>
              <w:t>在工程竣工以后，施工单位应拆除各种临时施工设施，并负责将工地的剩余建筑垃圾、工程渣土处理干净，做到“工完、料尽、场地清”，建设单位应负责督促施工单位的固体废物处置清理工作。</w:t>
            </w:r>
          </w:p>
          <w:p w14:paraId="21E73A4B">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b/>
                <w:bCs w:val="0"/>
                <w:color w:val="000000"/>
                <w:spacing w:val="0"/>
                <w:sz w:val="24"/>
                <w:szCs w:val="24"/>
                <w:highlight w:val="none"/>
                <w:lang w:val="en-US" w:eastAsia="zh-CN"/>
              </w:rPr>
            </w:pPr>
            <w:r>
              <w:rPr>
                <w:rFonts w:hint="eastAsia" w:ascii="Times New Roman" w:hAnsi="Times New Roman" w:eastAsia="宋体" w:cs="Times New Roman"/>
                <w:b/>
                <w:bCs w:val="0"/>
                <w:color w:val="000000"/>
                <w:spacing w:val="0"/>
                <w:sz w:val="24"/>
                <w:szCs w:val="24"/>
                <w:highlight w:val="none"/>
                <w:lang w:val="en-US" w:eastAsia="zh-CN"/>
              </w:rPr>
              <w:t>5.</w:t>
            </w:r>
            <w:r>
              <w:rPr>
                <w:rFonts w:hint="default" w:ascii="Times New Roman" w:hAnsi="Times New Roman" w:eastAsia="宋体" w:cs="Times New Roman"/>
                <w:b/>
                <w:bCs w:val="0"/>
                <w:color w:val="000000"/>
                <w:spacing w:val="0"/>
                <w:sz w:val="24"/>
                <w:szCs w:val="24"/>
                <w:highlight w:val="none"/>
                <w:lang w:val="en-US" w:eastAsia="zh-CN"/>
              </w:rPr>
              <w:t>对防沙治沙的影响分析</w:t>
            </w:r>
          </w:p>
          <w:p w14:paraId="2ECADF9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color w:val="auto"/>
                <w:spacing w:val="0"/>
                <w:sz w:val="24"/>
                <w:szCs w:val="24"/>
                <w:highlight w:val="none"/>
                <w:lang w:val="en-US" w:eastAsia="zh-CN"/>
              </w:rPr>
            </w:pPr>
            <w:r>
              <w:rPr>
                <w:rFonts w:hint="default" w:ascii="Times New Roman" w:hAnsi="Times New Roman" w:eastAsia="宋体" w:cs="Times New Roman"/>
                <w:bCs/>
                <w:color w:val="auto"/>
                <w:spacing w:val="0"/>
                <w:sz w:val="24"/>
                <w:szCs w:val="24"/>
                <w:highlight w:val="none"/>
                <w:lang w:val="en-US" w:eastAsia="zh-CN"/>
              </w:rPr>
              <w:t>项目区用地为</w:t>
            </w:r>
            <w:r>
              <w:rPr>
                <w:rFonts w:hint="default" w:ascii="Times New Roman" w:hAnsi="Times New Roman" w:cs="Times New Roman"/>
                <w:bCs/>
                <w:color w:val="auto"/>
                <w:spacing w:val="0"/>
                <w:sz w:val="24"/>
                <w:szCs w:val="24"/>
                <w:highlight w:val="none"/>
                <w:lang w:val="en-US" w:eastAsia="zh-CN"/>
              </w:rPr>
              <w:t>未利用地</w:t>
            </w:r>
            <w:r>
              <w:rPr>
                <w:rFonts w:hint="default" w:ascii="Times New Roman" w:hAnsi="Times New Roman" w:eastAsia="宋体" w:cs="Times New Roman"/>
                <w:bCs/>
                <w:color w:val="auto"/>
                <w:spacing w:val="0"/>
                <w:sz w:val="24"/>
                <w:szCs w:val="24"/>
                <w:highlight w:val="none"/>
                <w:lang w:val="en-US" w:eastAsia="zh-CN"/>
              </w:rPr>
              <w:t>，在施工过程中若不加强管理将会造成一定的风力侵蚀</w:t>
            </w:r>
            <w:r>
              <w:rPr>
                <w:rFonts w:hint="eastAsia" w:cs="Times New Roman"/>
                <w:bCs/>
                <w:color w:val="auto"/>
                <w:spacing w:val="0"/>
                <w:sz w:val="24"/>
                <w:szCs w:val="24"/>
                <w:highlight w:val="none"/>
                <w:lang w:val="en-US" w:eastAsia="zh-CN"/>
              </w:rPr>
              <w:t>。</w:t>
            </w:r>
            <w:r>
              <w:rPr>
                <w:rFonts w:hint="default" w:ascii="Times New Roman" w:hAnsi="Times New Roman" w:eastAsia="宋体" w:cs="Times New Roman"/>
                <w:bCs/>
                <w:color w:val="auto"/>
                <w:spacing w:val="0"/>
                <w:sz w:val="24"/>
                <w:szCs w:val="24"/>
                <w:highlight w:val="none"/>
                <w:lang w:val="en-US" w:eastAsia="zh-CN"/>
              </w:rPr>
              <w:t>土壤风蚀不仅是沙漠化的主要组成部分，而且是首要环节。风蚀会造成土壤中有机质和细粒物质的流失，导致土壤粗化</w:t>
            </w:r>
            <w:r>
              <w:rPr>
                <w:rFonts w:hint="eastAsia" w:cs="Times New Roman"/>
                <w:bCs/>
                <w:color w:val="auto"/>
                <w:spacing w:val="0"/>
                <w:sz w:val="24"/>
                <w:szCs w:val="24"/>
                <w:highlight w:val="none"/>
                <w:lang w:val="en-US" w:eastAsia="zh-CN"/>
              </w:rPr>
              <w:t>、</w:t>
            </w:r>
            <w:r>
              <w:rPr>
                <w:rFonts w:hint="default" w:ascii="Times New Roman" w:hAnsi="Times New Roman" w:eastAsia="宋体" w:cs="Times New Roman"/>
                <w:bCs/>
                <w:color w:val="auto"/>
                <w:spacing w:val="0"/>
                <w:sz w:val="24"/>
                <w:szCs w:val="24"/>
                <w:highlight w:val="none"/>
                <w:lang w:val="en-US" w:eastAsia="zh-CN"/>
              </w:rPr>
              <w:t>肥力下降，</w:t>
            </w:r>
            <w:r>
              <w:rPr>
                <w:rFonts w:hint="eastAsia" w:cs="Times New Roman"/>
                <w:bCs/>
                <w:color w:val="auto"/>
                <w:spacing w:val="0"/>
                <w:sz w:val="24"/>
                <w:szCs w:val="24"/>
                <w:highlight w:val="none"/>
                <w:lang w:val="en-US" w:eastAsia="zh-CN"/>
              </w:rPr>
              <w:t>进而</w:t>
            </w:r>
            <w:r>
              <w:rPr>
                <w:rFonts w:hint="default" w:ascii="Times New Roman" w:hAnsi="Times New Roman" w:eastAsia="宋体" w:cs="Times New Roman"/>
                <w:bCs/>
                <w:color w:val="auto"/>
                <w:spacing w:val="0"/>
                <w:sz w:val="24"/>
                <w:szCs w:val="24"/>
                <w:highlight w:val="none"/>
                <w:lang w:val="en-US" w:eastAsia="zh-CN"/>
              </w:rPr>
              <w:t>导致土地沙漠化加剧</w:t>
            </w:r>
            <w:r>
              <w:rPr>
                <w:rFonts w:hint="eastAsia" w:cs="Times New Roman"/>
                <w:bCs/>
                <w:color w:val="auto"/>
                <w:spacing w:val="0"/>
                <w:sz w:val="24"/>
                <w:szCs w:val="24"/>
                <w:highlight w:val="none"/>
                <w:lang w:val="en-US" w:eastAsia="zh-CN"/>
              </w:rPr>
              <w:t>，</w:t>
            </w:r>
            <w:r>
              <w:rPr>
                <w:rFonts w:hint="default" w:ascii="Times New Roman" w:hAnsi="Times New Roman" w:eastAsia="宋体" w:cs="Times New Roman"/>
                <w:bCs/>
                <w:color w:val="auto"/>
                <w:spacing w:val="0"/>
                <w:sz w:val="24"/>
                <w:szCs w:val="24"/>
                <w:highlight w:val="none"/>
                <w:lang w:val="en-US" w:eastAsia="zh-CN"/>
              </w:rPr>
              <w:t>自然灾害加剧</w:t>
            </w:r>
            <w:r>
              <w:rPr>
                <w:rFonts w:hint="default" w:ascii="Times New Roman" w:hAnsi="Times New Roman" w:cs="Times New Roman"/>
                <w:bCs/>
                <w:color w:val="auto"/>
                <w:spacing w:val="0"/>
                <w:sz w:val="24"/>
                <w:szCs w:val="24"/>
                <w:highlight w:val="none"/>
                <w:lang w:val="en-US" w:eastAsia="zh-CN"/>
              </w:rPr>
              <w:t>，</w:t>
            </w:r>
            <w:r>
              <w:rPr>
                <w:rFonts w:hint="default" w:ascii="Times New Roman" w:hAnsi="Times New Roman" w:eastAsia="宋体" w:cs="Times New Roman"/>
                <w:bCs/>
                <w:color w:val="auto"/>
                <w:spacing w:val="0"/>
                <w:sz w:val="24"/>
                <w:szCs w:val="24"/>
                <w:highlight w:val="none"/>
                <w:lang w:val="en-US" w:eastAsia="zh-CN"/>
              </w:rPr>
              <w:t>沙尘暴频繁</w:t>
            </w:r>
            <w:r>
              <w:rPr>
                <w:rFonts w:hint="default" w:ascii="Times New Roman" w:hAnsi="Times New Roman" w:cs="Times New Roman"/>
                <w:bCs/>
                <w:color w:val="auto"/>
                <w:spacing w:val="0"/>
                <w:sz w:val="24"/>
                <w:szCs w:val="24"/>
                <w:highlight w:val="none"/>
                <w:lang w:val="en-US" w:eastAsia="zh-CN"/>
              </w:rPr>
              <w:t>，</w:t>
            </w:r>
            <w:r>
              <w:rPr>
                <w:rFonts w:hint="default" w:ascii="Times New Roman" w:hAnsi="Times New Roman" w:eastAsia="宋体" w:cs="Times New Roman"/>
                <w:bCs/>
                <w:color w:val="auto"/>
                <w:spacing w:val="0"/>
                <w:sz w:val="24"/>
                <w:szCs w:val="24"/>
                <w:highlight w:val="none"/>
                <w:lang w:val="en-US" w:eastAsia="zh-CN"/>
              </w:rPr>
              <w:t>影响周边居民生产生活。</w:t>
            </w:r>
          </w:p>
          <w:p w14:paraId="4798BDF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color w:val="auto"/>
                <w:spacing w:val="0"/>
                <w:sz w:val="24"/>
                <w:szCs w:val="24"/>
                <w:highlight w:val="none"/>
                <w:lang w:val="en-US" w:eastAsia="zh-CN"/>
              </w:rPr>
            </w:pPr>
            <w:r>
              <w:rPr>
                <w:rFonts w:hint="default" w:ascii="Times New Roman" w:hAnsi="Times New Roman" w:eastAsia="宋体" w:cs="Times New Roman"/>
                <w:bCs/>
                <w:color w:val="auto"/>
                <w:spacing w:val="0"/>
                <w:sz w:val="24"/>
                <w:szCs w:val="24"/>
                <w:highlight w:val="none"/>
                <w:lang w:val="en-US" w:eastAsia="zh-CN"/>
              </w:rPr>
              <w:t>根据《中华人民共和国防沙治沙法</w:t>
            </w:r>
            <w:r>
              <w:rPr>
                <w:rFonts w:hint="eastAsia" w:cs="Times New Roman"/>
                <w:bCs/>
                <w:color w:val="auto"/>
                <w:spacing w:val="0"/>
                <w:sz w:val="24"/>
                <w:szCs w:val="24"/>
                <w:highlight w:val="none"/>
                <w:lang w:val="en-US" w:eastAsia="zh-CN"/>
              </w:rPr>
              <w:t>》和</w:t>
            </w:r>
            <w:r>
              <w:rPr>
                <w:rFonts w:hint="eastAsia" w:ascii="Times New Roman" w:hAnsi="Times New Roman" w:eastAsia="宋体" w:cs="Times New Roman"/>
                <w:bCs/>
                <w:color w:val="auto"/>
                <w:spacing w:val="0"/>
                <w:sz w:val="24"/>
                <w:szCs w:val="24"/>
                <w:highlight w:val="none"/>
                <w:lang w:val="en-US" w:eastAsia="zh-CN"/>
              </w:rPr>
              <w:t>《</w:t>
            </w:r>
            <w:r>
              <w:rPr>
                <w:rFonts w:hint="default" w:ascii="Times New Roman" w:hAnsi="Times New Roman" w:eastAsia="宋体" w:cs="Times New Roman"/>
                <w:bCs/>
                <w:color w:val="auto"/>
                <w:spacing w:val="0"/>
                <w:sz w:val="24"/>
                <w:szCs w:val="24"/>
                <w:highlight w:val="none"/>
                <w:lang w:val="en-US" w:eastAsia="zh-CN"/>
              </w:rPr>
              <w:t>国务院关于进一步加强防沙治沙工作的决定》等有关规定，切实保护和改善沙区生态，要求建设单位按相关规定对本项目开展防沙治沙工作。坚持科学治沙，注重实效的原则，坚持“因地制宜、因害设防、保护优先、综合治理”的原则，在保护现有植被及防沙治沙措施的基础上，对项目建设过程中扰动的沙化土地进行恢复，采取防沙治沙措施避免因项目造成加速土地沙化的不利影响。</w:t>
            </w:r>
          </w:p>
          <w:p w14:paraId="14674836">
            <w:pPr>
              <w:keepNext w:val="0"/>
              <w:keepLines w:val="0"/>
              <w:pageBreakBefore w:val="0"/>
              <w:widowControl w:val="0"/>
              <w:kinsoku/>
              <w:wordWrap/>
              <w:overflowPunct/>
              <w:topLinePunct w:val="0"/>
              <w:autoSpaceDE/>
              <w:autoSpaceDN/>
              <w:bidi w:val="0"/>
              <w:adjustRightInd w:val="0"/>
              <w:snapToGrid w:val="0"/>
              <w:spacing w:line="360" w:lineRule="auto"/>
              <w:ind w:firstLine="456" w:firstLineChars="200"/>
              <w:jc w:val="both"/>
              <w:textAlignment w:val="auto"/>
              <w:rPr>
                <w:rFonts w:hint="default" w:ascii="Times New Roman" w:hAnsi="Times New Roman" w:cs="Times New Roman"/>
                <w:bCs/>
                <w:color w:val="auto"/>
                <w:spacing w:val="-6"/>
                <w:sz w:val="24"/>
                <w:szCs w:val="24"/>
                <w:highlight w:val="none"/>
                <w:lang w:val="en-US" w:eastAsia="zh-CN"/>
              </w:rPr>
            </w:pPr>
            <w:r>
              <w:rPr>
                <w:rFonts w:hint="default" w:ascii="Times New Roman" w:hAnsi="Times New Roman" w:eastAsia="宋体" w:cs="Times New Roman"/>
                <w:bCs/>
                <w:color w:val="auto"/>
                <w:spacing w:val="-6"/>
                <w:sz w:val="24"/>
                <w:szCs w:val="24"/>
                <w:highlight w:val="none"/>
                <w:lang w:val="en-US" w:eastAsia="zh-CN"/>
              </w:rPr>
              <w:t>由于项目施工期较短，在施工期及施工结束后采取一定的治理措施，可以有效</w:t>
            </w:r>
            <w:r>
              <w:rPr>
                <w:rFonts w:hint="eastAsia" w:ascii="Times New Roman" w:hAnsi="Times New Roman" w:eastAsia="宋体" w:cs="Times New Roman"/>
                <w:bCs/>
                <w:color w:val="auto"/>
                <w:spacing w:val="-6"/>
                <w:sz w:val="24"/>
                <w:szCs w:val="24"/>
                <w:highlight w:val="none"/>
                <w:lang w:val="en-US" w:eastAsia="zh-CN"/>
              </w:rPr>
              <w:t>地</w:t>
            </w:r>
            <w:r>
              <w:rPr>
                <w:rFonts w:hint="default" w:ascii="Times New Roman" w:hAnsi="Times New Roman" w:eastAsia="宋体" w:cs="Times New Roman"/>
                <w:bCs/>
                <w:color w:val="auto"/>
                <w:spacing w:val="-6"/>
                <w:sz w:val="24"/>
                <w:szCs w:val="24"/>
                <w:highlight w:val="none"/>
                <w:lang w:val="en-US" w:eastAsia="zh-CN"/>
              </w:rPr>
              <w:t>减轻项目施工期对环境的影响。本项目在施工过程中应采取以下措施</w:t>
            </w:r>
            <w:r>
              <w:rPr>
                <w:rFonts w:hint="default" w:ascii="Times New Roman" w:hAnsi="Times New Roman" w:cs="Times New Roman"/>
                <w:bCs/>
                <w:color w:val="auto"/>
                <w:spacing w:val="-6"/>
                <w:sz w:val="24"/>
                <w:szCs w:val="24"/>
                <w:highlight w:val="none"/>
                <w:lang w:val="en-US" w:eastAsia="zh-CN"/>
              </w:rPr>
              <w:t>：</w:t>
            </w:r>
          </w:p>
          <w:p w14:paraId="7E3557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cs="宋体"/>
                <w:bCs/>
                <w:spacing w:val="-10"/>
                <w:sz w:val="24"/>
                <w:szCs w:val="24"/>
              </w:rPr>
            </w:pPr>
            <w:r>
              <w:rPr>
                <w:rFonts w:hint="default" w:ascii="Times New Roman" w:hAnsi="Times New Roman" w:cs="Times New Roman"/>
                <w:bCs/>
                <w:color w:val="auto"/>
                <w:spacing w:val="0"/>
                <w:sz w:val="24"/>
                <w:szCs w:val="24"/>
                <w:highlight w:val="none"/>
                <w:lang w:val="en-US" w:eastAsia="zh-CN"/>
              </w:rPr>
              <w:t>要求施工过程中在扰动区域进行洒水抑尘，减少风力侵蚀的影响，同时在土方开挖过程中弃土弃渣及时回填，进出施工场所的物料、渣土运输车辆，应尽可能采用密闭车斗，并保证物料不遗撒外漏，若无密闭车斗，物料、垃圾、渣土的装载高度不得超过车辆槽帮上沿，车斗应用</w:t>
            </w:r>
            <w:r>
              <w:rPr>
                <w:rFonts w:hint="eastAsia" w:ascii="Times New Roman" w:hAnsi="Times New Roman" w:cs="Times New Roman"/>
                <w:bCs/>
                <w:color w:val="auto"/>
                <w:spacing w:val="0"/>
                <w:sz w:val="24"/>
                <w:szCs w:val="24"/>
                <w:highlight w:val="none"/>
                <w:lang w:val="en-US" w:eastAsia="zh-CN"/>
              </w:rPr>
              <w:t>苫布</w:t>
            </w:r>
            <w:r>
              <w:rPr>
                <w:rFonts w:hint="default" w:ascii="Times New Roman" w:hAnsi="Times New Roman" w:cs="Times New Roman"/>
                <w:bCs/>
                <w:color w:val="auto"/>
                <w:spacing w:val="0"/>
                <w:sz w:val="24"/>
                <w:szCs w:val="24"/>
                <w:highlight w:val="none"/>
                <w:lang w:val="en-US" w:eastAsia="zh-CN"/>
              </w:rPr>
              <w:t>遮盖严实；强化施工管理，加强施工人员防沙固沙的环境保护意识和知识，杜绝因对施工人员的流动管理</w:t>
            </w:r>
            <w:r>
              <w:rPr>
                <w:rFonts w:hint="eastAsia" w:ascii="Times New Roman" w:hAnsi="Times New Roman" w:cs="Times New Roman"/>
                <w:bCs/>
                <w:color w:val="auto"/>
                <w:spacing w:val="0"/>
                <w:sz w:val="24"/>
                <w:szCs w:val="24"/>
                <w:highlight w:val="none"/>
                <w:lang w:val="en-US" w:eastAsia="zh-CN"/>
              </w:rPr>
              <w:t>不完</w:t>
            </w:r>
            <w:r>
              <w:rPr>
                <w:rFonts w:hint="default" w:ascii="Times New Roman" w:hAnsi="Times New Roman" w:cs="Times New Roman"/>
                <w:bCs/>
                <w:color w:val="auto"/>
                <w:spacing w:val="0"/>
                <w:sz w:val="24"/>
                <w:szCs w:val="24"/>
                <w:highlight w:val="none"/>
                <w:lang w:val="en-US" w:eastAsia="zh-CN"/>
              </w:rPr>
              <w:t>善及作业方式不合理而产生对区域土地环境的</w:t>
            </w:r>
            <w:r>
              <w:rPr>
                <w:rFonts w:hint="eastAsia" w:ascii="Times New Roman" w:hAnsi="Times New Roman" w:cs="Times New Roman"/>
                <w:bCs/>
                <w:color w:val="auto"/>
                <w:spacing w:val="0"/>
                <w:sz w:val="24"/>
                <w:szCs w:val="24"/>
                <w:highlight w:val="none"/>
                <w:lang w:val="en-US" w:eastAsia="zh-CN"/>
              </w:rPr>
              <w:t>人为</w:t>
            </w:r>
            <w:r>
              <w:rPr>
                <w:rFonts w:hint="default" w:ascii="Times New Roman" w:hAnsi="Times New Roman" w:cs="Times New Roman"/>
                <w:bCs/>
                <w:color w:val="auto"/>
                <w:spacing w:val="0"/>
                <w:sz w:val="24"/>
                <w:szCs w:val="24"/>
                <w:highlight w:val="none"/>
                <w:lang w:val="en-US" w:eastAsia="zh-CN"/>
              </w:rPr>
              <w:t>影响和破坏</w:t>
            </w:r>
            <w:r>
              <w:rPr>
                <w:rFonts w:hint="default" w:ascii="Times New Roman" w:hAnsi="Times New Roman" w:cs="Times New Roman"/>
                <w:color w:val="000000"/>
                <w:sz w:val="24"/>
                <w:szCs w:val="24"/>
              </w:rPr>
              <w:t>。</w:t>
            </w:r>
          </w:p>
        </w:tc>
      </w:tr>
      <w:tr w14:paraId="726AD9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360" w:hRule="atLeast"/>
          <w:jc w:val="center"/>
        </w:trPr>
        <w:tc>
          <w:tcPr>
            <w:tcW w:w="746" w:type="dxa"/>
            <w:noWrap w:val="0"/>
            <w:tcMar>
              <w:left w:w="28" w:type="dxa"/>
              <w:right w:w="28" w:type="dxa"/>
            </w:tcMar>
            <w:vAlign w:val="center"/>
          </w:tcPr>
          <w:p w14:paraId="6EAC4397">
            <w:pPr>
              <w:adjustRightInd w:val="0"/>
              <w:snapToGrid w:val="0"/>
              <w:jc w:val="center"/>
              <w:rPr>
                <w:rFonts w:hint="eastAsia" w:ascii="宋体" w:hAnsi="宋体" w:cs="宋体"/>
                <w:bCs/>
                <w:szCs w:val="21"/>
              </w:rPr>
            </w:pPr>
            <w:r>
              <w:rPr>
                <w:rFonts w:hint="eastAsia" w:ascii="宋体" w:hAnsi="宋体" w:cs="宋体"/>
                <w:bCs/>
                <w:szCs w:val="21"/>
              </w:rPr>
              <w:t>运营</w:t>
            </w:r>
          </w:p>
          <w:p w14:paraId="06005420">
            <w:pPr>
              <w:adjustRightInd w:val="0"/>
              <w:snapToGrid w:val="0"/>
              <w:jc w:val="center"/>
              <w:rPr>
                <w:rFonts w:hint="eastAsia" w:ascii="宋体" w:hAnsi="宋体" w:cs="宋体"/>
                <w:bCs/>
                <w:szCs w:val="21"/>
              </w:rPr>
            </w:pPr>
            <w:r>
              <w:rPr>
                <w:rFonts w:hint="eastAsia" w:ascii="宋体" w:hAnsi="宋体" w:cs="宋体"/>
                <w:bCs/>
                <w:szCs w:val="21"/>
              </w:rPr>
              <w:t>期环</w:t>
            </w:r>
          </w:p>
          <w:p w14:paraId="268CC787">
            <w:pPr>
              <w:adjustRightInd w:val="0"/>
              <w:snapToGrid w:val="0"/>
              <w:jc w:val="center"/>
              <w:rPr>
                <w:rFonts w:hint="eastAsia" w:ascii="宋体" w:hAnsi="宋体" w:cs="宋体"/>
                <w:bCs/>
                <w:szCs w:val="21"/>
              </w:rPr>
            </w:pPr>
            <w:r>
              <w:rPr>
                <w:rFonts w:hint="eastAsia" w:ascii="宋体" w:hAnsi="宋体" w:cs="宋体"/>
                <w:bCs/>
                <w:szCs w:val="21"/>
              </w:rPr>
              <w:t>境影</w:t>
            </w:r>
          </w:p>
          <w:p w14:paraId="2313FB30">
            <w:pPr>
              <w:adjustRightInd w:val="0"/>
              <w:snapToGrid w:val="0"/>
              <w:jc w:val="center"/>
              <w:rPr>
                <w:rFonts w:hint="eastAsia" w:ascii="宋体" w:hAnsi="宋体" w:cs="宋体"/>
                <w:bCs/>
                <w:szCs w:val="21"/>
              </w:rPr>
            </w:pPr>
            <w:r>
              <w:rPr>
                <w:rFonts w:hint="eastAsia" w:ascii="宋体" w:hAnsi="宋体" w:cs="宋体"/>
                <w:bCs/>
                <w:szCs w:val="21"/>
              </w:rPr>
              <w:t>响和</w:t>
            </w:r>
          </w:p>
          <w:p w14:paraId="50F6B1CA">
            <w:pPr>
              <w:adjustRightInd w:val="0"/>
              <w:snapToGrid w:val="0"/>
              <w:jc w:val="center"/>
              <w:rPr>
                <w:rFonts w:hint="eastAsia" w:ascii="宋体" w:hAnsi="宋体" w:cs="宋体"/>
                <w:bCs/>
                <w:szCs w:val="21"/>
              </w:rPr>
            </w:pPr>
            <w:r>
              <w:rPr>
                <w:rFonts w:hint="eastAsia" w:ascii="宋体" w:hAnsi="宋体" w:cs="宋体"/>
                <w:bCs/>
                <w:szCs w:val="21"/>
              </w:rPr>
              <w:t>保护</w:t>
            </w:r>
          </w:p>
          <w:p w14:paraId="1C96985B">
            <w:pPr>
              <w:adjustRightInd w:val="0"/>
              <w:snapToGrid w:val="0"/>
              <w:jc w:val="center"/>
              <w:rPr>
                <w:rFonts w:ascii="宋体" w:hAnsi="宋体" w:cs="宋体"/>
                <w:bCs/>
                <w:szCs w:val="21"/>
              </w:rPr>
            </w:pPr>
            <w:r>
              <w:rPr>
                <w:rFonts w:hint="eastAsia" w:ascii="宋体" w:hAnsi="宋体" w:cs="宋体"/>
                <w:bCs/>
                <w:szCs w:val="21"/>
              </w:rPr>
              <w:t>措施</w:t>
            </w:r>
          </w:p>
        </w:tc>
        <w:tc>
          <w:tcPr>
            <w:tcW w:w="8162" w:type="dxa"/>
            <w:noWrap w:val="0"/>
            <w:vAlign w:val="center"/>
          </w:tcPr>
          <w:p w14:paraId="61547EC3">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textAlignment w:val="auto"/>
              <w:rPr>
                <w:rFonts w:hint="eastAsia"/>
                <w:lang w:eastAsia="zh-CN"/>
              </w:rPr>
            </w:pPr>
            <w:r>
              <w:rPr>
                <w:rFonts w:hint="eastAsia" w:cs="Times New Roman"/>
                <w:b/>
                <w:bCs/>
                <w:color w:val="000000"/>
                <w:sz w:val="24"/>
                <w:szCs w:val="24"/>
                <w:highlight w:val="none"/>
                <w:lang w:val="en-US" w:eastAsia="zh-CN"/>
              </w:rPr>
              <w:t>1.</w:t>
            </w:r>
            <w:r>
              <w:rPr>
                <w:rFonts w:hint="default" w:ascii="Times New Roman" w:hAnsi="Times New Roman" w:eastAsia="宋体" w:cs="Times New Roman"/>
                <w:b/>
                <w:bCs/>
                <w:color w:val="000000"/>
                <w:sz w:val="24"/>
                <w:szCs w:val="24"/>
                <w:highlight w:val="none"/>
                <w:lang w:val="en-US" w:eastAsia="zh-CN"/>
              </w:rPr>
              <w:t>大气环境影响分析及保护措施</w:t>
            </w:r>
            <w:r>
              <w:rPr>
                <w:rFonts w:hint="eastAsia"/>
                <w:lang w:eastAsia="zh-CN"/>
              </w:rPr>
              <w:t>、</w:t>
            </w:r>
          </w:p>
          <w:p w14:paraId="0EAF8E04">
            <w:pPr>
              <w:numPr>
                <w:ilvl w:val="0"/>
                <w:numId w:val="0"/>
              </w:numPr>
              <w:rPr>
                <w:rFonts w:hint="default"/>
                <w:lang w:val="en-US" w:eastAsia="zh-CN"/>
              </w:rPr>
            </w:pPr>
            <w:r>
              <w:rPr>
                <w:rFonts w:hint="eastAsia"/>
                <w:lang w:val="en-US" w:eastAsia="zh-CN"/>
              </w:rPr>
              <w:t>本项目大气污染物主要为煤的堆存粉尘，筛分粉尘，配煤粉尘，运输粉尘。</w:t>
            </w:r>
          </w:p>
          <w:p w14:paraId="3885DE96">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000000"/>
                <w:sz w:val="24"/>
                <w:szCs w:val="24"/>
                <w:highlight w:val="none"/>
                <w:lang w:val="en-US" w:eastAsia="zh-CN"/>
              </w:rPr>
            </w:pPr>
            <w:r>
              <w:rPr>
                <w:rFonts w:hint="default" w:ascii="Times New Roman" w:hAnsi="Times New Roman" w:eastAsia="宋体" w:cs="Times New Roman"/>
                <w:b/>
                <w:bCs/>
                <w:color w:val="000000"/>
                <w:sz w:val="24"/>
                <w:szCs w:val="24"/>
                <w:highlight w:val="none"/>
                <w:lang w:val="en-US" w:eastAsia="zh-CN"/>
              </w:rPr>
              <w:t>1.1废气污染物源强核算</w:t>
            </w:r>
          </w:p>
          <w:p w14:paraId="0E744B1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eastAsia" w:eastAsia="宋体"/>
                <w:lang w:eastAsia="zh-CN"/>
              </w:rPr>
            </w:pPr>
            <w:r>
              <w:rPr>
                <w:rFonts w:hint="default" w:ascii="Times New Roman" w:hAnsi="Times New Roman" w:eastAsia="宋体" w:cs="Times New Roman"/>
                <w:b/>
                <w:bCs/>
                <w:snapToGrid w:val="0"/>
                <w:color w:val="000000"/>
                <w:kern w:val="0"/>
                <w:sz w:val="24"/>
                <w:highlight w:val="none"/>
                <w:lang w:val="en-US" w:eastAsia="zh-CN"/>
              </w:rPr>
              <w:t>1.1.1</w:t>
            </w:r>
            <w:r>
              <w:rPr>
                <w:rFonts w:hint="eastAsia" w:cs="Times New Roman"/>
                <w:b/>
                <w:bCs/>
                <w:snapToGrid w:val="0"/>
                <w:color w:val="000000"/>
                <w:kern w:val="0"/>
                <w:sz w:val="24"/>
                <w:highlight w:val="none"/>
                <w:lang w:val="en-US" w:eastAsia="zh-CN"/>
              </w:rPr>
              <w:t>堆存粉</w:t>
            </w:r>
            <w:r>
              <w:rPr>
                <w:rFonts w:hint="eastAsia" w:ascii="Times New Roman" w:hAnsi="Times New Roman" w:eastAsia="宋体" w:cs="Times New Roman"/>
                <w:b/>
                <w:bCs/>
                <w:snapToGrid w:val="0"/>
                <w:color w:val="000000"/>
                <w:kern w:val="0"/>
                <w:sz w:val="24"/>
                <w:highlight w:val="none"/>
                <w:lang w:val="en-US" w:eastAsia="zh-CN"/>
              </w:rPr>
              <w:t>尘</w:t>
            </w:r>
          </w:p>
          <w:p w14:paraId="69066AA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lang w:val="en-US" w:eastAsia="zh-CN"/>
              </w:rPr>
            </w:pPr>
            <w:r>
              <w:rPr>
                <w:rFonts w:hint="eastAsia" w:cs="Times New Roman"/>
                <w:b w:val="0"/>
                <w:color w:val="auto"/>
                <w:sz w:val="24"/>
                <w:lang w:val="en-US" w:eastAsia="zh-CN"/>
              </w:rPr>
              <w:t>参照</w:t>
            </w:r>
            <w:r>
              <w:rPr>
                <w:rFonts w:ascii="Times New Roman" w:hAnsi="Times New Roman" w:eastAsia="宋体" w:cs="Times New Roman"/>
                <w:b w:val="0"/>
                <w:color w:val="auto"/>
                <w:sz w:val="24"/>
              </w:rPr>
              <w:t>《</w:t>
            </w:r>
            <w:r>
              <w:rPr>
                <w:rFonts w:ascii="Times New Roman" w:hAnsi="Times New Roman" w:eastAsia="宋体" w:cs="Times New Roman"/>
                <w:b w:val="0"/>
                <w:color w:val="auto"/>
                <w:sz w:val="24"/>
                <w:lang w:val="en-US" w:eastAsia="zh-CN"/>
              </w:rPr>
              <w:t>排放源统计调查产排污核算方法</w:t>
            </w:r>
            <w:r>
              <w:rPr>
                <w:rFonts w:hint="eastAsia" w:ascii="Times New Roman" w:hAnsi="Times New Roman" w:eastAsia="宋体" w:cs="Times New Roman"/>
                <w:b w:val="0"/>
                <w:color w:val="auto"/>
                <w:sz w:val="24"/>
                <w:lang w:val="en-US" w:eastAsia="zh-CN"/>
              </w:rPr>
              <w:t>和系数手册</w:t>
            </w:r>
            <w:r>
              <w:rPr>
                <w:rFonts w:ascii="Times New Roman" w:hAnsi="Times New Roman" w:eastAsia="宋体" w:cs="Times New Roman"/>
                <w:b w:val="0"/>
                <w:color w:val="auto"/>
                <w:sz w:val="24"/>
              </w:rPr>
              <w:t>》固体物料堆存颗粒物产排污核算系数手册</w:t>
            </w:r>
            <w:r>
              <w:rPr>
                <w:rFonts w:hint="eastAsia" w:ascii="Times New Roman" w:hAnsi="Times New Roman" w:eastAsia="宋体" w:cs="Times New Roman"/>
                <w:b w:val="0"/>
                <w:color w:val="auto"/>
                <w:sz w:val="24"/>
                <w:lang w:eastAsia="zh-CN"/>
              </w:rPr>
              <w:t>，工业企业固体物料堆存颗粒物包括装卸扬尘和风蚀扬尘颗粒物产生量核算公式如下：</w:t>
            </w:r>
          </w:p>
          <w:p w14:paraId="4E540980">
            <w:pPr>
              <w:pStyle w:val="67"/>
              <w:keepNext w:val="0"/>
              <w:keepLines w:val="0"/>
              <w:pageBreakBefore w:val="0"/>
              <w:tabs>
                <w:tab w:val="left" w:pos="2850"/>
              </w:tabs>
              <w:kinsoku/>
              <w:wordWrap/>
              <w:overflowPunct/>
              <w:topLinePunct w:val="0"/>
              <w:autoSpaceDE/>
              <w:autoSpaceDN/>
              <w:bidi w:val="0"/>
              <w:adjustRightInd w:val="0"/>
              <w:snapToGrid w:val="0"/>
              <w:spacing w:before="0" w:beforeLines="0" w:line="360" w:lineRule="auto"/>
              <w:textAlignment w:val="auto"/>
              <w:outlineLvl w:val="9"/>
              <w:rPr>
                <w:rFonts w:hint="default" w:ascii="Times New Roman" w:hAnsi="Times New Roman" w:eastAsia="宋体" w:cs="Times New Roman"/>
                <w:b w:val="0"/>
                <w:color w:val="000000"/>
                <w:sz w:val="24"/>
                <w:highlight w:val="none"/>
              </w:rPr>
            </w:pPr>
            <m:oMathPara>
              <m:oMath>
                <m:r>
                  <m:rPr/>
                  <w:rPr>
                    <w:rFonts w:hint="default" w:ascii="Cambria Math"/>
                    <w:sz w:val="24"/>
                  </w:rPr>
                  <m:t>P=Z</m:t>
                </m:r>
                <m:sSub>
                  <m:sSubPr>
                    <m:ctrlPr>
                      <w:rPr>
                        <w:rFonts w:hint="default" w:ascii="Cambria Math"/>
                        <w:sz w:val="24"/>
                      </w:rPr>
                    </m:ctrlPr>
                  </m:sSubPr>
                  <m:e>
                    <m:r>
                      <m:rPr/>
                      <w:rPr>
                        <w:rFonts w:hint="default" w:ascii="Cambria Math"/>
                        <w:sz w:val="24"/>
                      </w:rPr>
                      <m:t>C</m:t>
                    </m:r>
                    <m:ctrlPr>
                      <w:rPr>
                        <w:sz w:val="24"/>
                      </w:rPr>
                    </m:ctrlPr>
                  </m:e>
                  <m:sub>
                    <m:r>
                      <m:rPr/>
                      <w:rPr>
                        <w:rFonts w:hint="default" w:ascii="Cambria Math"/>
                        <w:sz w:val="24"/>
                      </w:rPr>
                      <m:t>y</m:t>
                    </m:r>
                    <m:ctrlPr>
                      <w:rPr>
                        <w:sz w:val="24"/>
                      </w:rPr>
                    </m:ctrlPr>
                  </m:sub>
                </m:sSub>
                <m:r>
                  <m:rPr/>
                  <w:rPr>
                    <w:rFonts w:hint="default" w:ascii="Cambria Math"/>
                    <w:sz w:val="24"/>
                  </w:rPr>
                  <m:t>+F</m:t>
                </m:r>
                <m:sSub>
                  <m:sSubPr>
                    <m:ctrlPr>
                      <w:rPr>
                        <w:rFonts w:hint="default" w:ascii="Cambria Math"/>
                        <w:sz w:val="24"/>
                      </w:rPr>
                    </m:ctrlPr>
                  </m:sSubPr>
                  <m:e>
                    <m:r>
                      <m:rPr/>
                      <w:rPr>
                        <w:rFonts w:hint="default" w:ascii="Cambria Math"/>
                        <w:sz w:val="24"/>
                      </w:rPr>
                      <m:t>C</m:t>
                    </m:r>
                    <m:ctrlPr>
                      <w:rPr>
                        <w:sz w:val="24"/>
                      </w:rPr>
                    </m:ctrlPr>
                  </m:e>
                  <m:sub>
                    <m:r>
                      <m:rPr/>
                      <w:rPr>
                        <w:rFonts w:hint="default" w:ascii="Cambria Math"/>
                        <w:sz w:val="24"/>
                      </w:rPr>
                      <m:t>y</m:t>
                    </m:r>
                    <m:ctrlPr>
                      <w:rPr>
                        <w:sz w:val="24"/>
                      </w:rPr>
                    </m:ctrlPr>
                  </m:sub>
                </m:sSub>
                <m:r>
                  <m:rPr/>
                  <w:rPr>
                    <w:rFonts w:hint="default" w:ascii="Cambria Math"/>
                    <w:sz w:val="24"/>
                  </w:rPr>
                  <m:t>=</m:t>
                </m:r>
                <m:d>
                  <m:dPr>
                    <m:begChr m:val="{"/>
                    <m:endChr m:val="}"/>
                    <m:ctrlPr>
                      <w:rPr>
                        <w:rFonts w:hint="default" w:ascii="Cambria Math" w:hAnsi="Cambria Math"/>
                        <w:i/>
                        <w:sz w:val="24"/>
                      </w:rPr>
                    </m:ctrlPr>
                  </m:dPr>
                  <m:e>
                    <m:sSub>
                      <m:sSubPr>
                        <m:ctrlPr>
                          <w:rPr>
                            <w:rFonts w:hint="default" w:ascii="Cambria Math"/>
                            <w:sz w:val="24"/>
                          </w:rPr>
                        </m:ctrlPr>
                      </m:sSubPr>
                      <m:e>
                        <m:r>
                          <m:rPr/>
                          <w:rPr>
                            <w:rFonts w:hint="default" w:ascii="Cambria Math"/>
                            <w:sz w:val="24"/>
                          </w:rPr>
                          <m:t>N</m:t>
                        </m:r>
                        <m:ctrlPr>
                          <w:rPr>
                            <w:sz w:val="24"/>
                          </w:rPr>
                        </m:ctrlPr>
                      </m:e>
                      <m:sub>
                        <m:r>
                          <m:rPr/>
                          <w:rPr>
                            <w:rFonts w:hint="default" w:ascii="Cambria Math"/>
                            <w:sz w:val="24"/>
                          </w:rPr>
                          <m:t>C</m:t>
                        </m:r>
                        <m:ctrlPr>
                          <w:rPr>
                            <w:sz w:val="24"/>
                          </w:rPr>
                        </m:ctrlPr>
                      </m:sub>
                    </m:sSub>
                    <m:r>
                      <m:rPr>
                        <m:sty m:val="p"/>
                      </m:rPr>
                      <w:rPr>
                        <w:rFonts w:hint="default" w:ascii="Cambria Math"/>
                        <w:sz w:val="24"/>
                      </w:rPr>
                      <m:t>×</m:t>
                    </m:r>
                    <m:r>
                      <m:rPr/>
                      <w:rPr>
                        <w:rFonts w:hint="default" w:ascii="Cambria Math"/>
                        <w:sz w:val="24"/>
                      </w:rPr>
                      <m:t>D</m:t>
                    </m:r>
                    <m:r>
                      <m:rPr>
                        <m:sty m:val="p"/>
                      </m:rPr>
                      <w:rPr>
                        <w:rFonts w:hint="default" w:ascii="Cambria Math"/>
                        <w:sz w:val="24"/>
                      </w:rPr>
                      <m:t>×</m:t>
                    </m:r>
                    <m:r>
                      <m:rPr/>
                      <w:rPr>
                        <w:rFonts w:hint="default" w:ascii="Cambria Math"/>
                        <w:sz w:val="24"/>
                      </w:rPr>
                      <m:t>(a/b)+2</m:t>
                    </m:r>
                    <m:r>
                      <m:rPr>
                        <m:sty m:val="p"/>
                      </m:rPr>
                      <w:rPr>
                        <w:rFonts w:hint="default" w:ascii="Cambria Math"/>
                        <w:sz w:val="24"/>
                      </w:rPr>
                      <m:t>×</m:t>
                    </m:r>
                    <m:sSub>
                      <m:sSubPr>
                        <m:ctrlPr>
                          <w:rPr>
                            <w:rFonts w:hint="default" w:ascii="Cambria Math"/>
                            <w:sz w:val="24"/>
                          </w:rPr>
                        </m:ctrlPr>
                      </m:sSubPr>
                      <m:e>
                        <m:r>
                          <m:rPr/>
                          <w:rPr>
                            <w:rFonts w:hint="default" w:ascii="Cambria Math"/>
                            <w:sz w:val="24"/>
                          </w:rPr>
                          <m:t>E</m:t>
                        </m:r>
                        <m:ctrlPr>
                          <w:rPr>
                            <w:sz w:val="24"/>
                          </w:rPr>
                        </m:ctrlPr>
                      </m:e>
                      <m:sub>
                        <m:r>
                          <m:rPr/>
                          <w:rPr>
                            <w:rFonts w:hint="default" w:ascii="Cambria Math"/>
                            <w:sz w:val="24"/>
                          </w:rPr>
                          <m:t>f</m:t>
                        </m:r>
                        <m:ctrlPr>
                          <w:rPr>
                            <w:sz w:val="24"/>
                          </w:rPr>
                        </m:ctrlPr>
                      </m:sub>
                    </m:sSub>
                    <m:r>
                      <m:rPr>
                        <m:sty m:val="p"/>
                      </m:rPr>
                      <w:rPr>
                        <w:rFonts w:hint="default" w:ascii="Cambria Math"/>
                        <w:sz w:val="24"/>
                      </w:rPr>
                      <m:t>×</m:t>
                    </m:r>
                    <m:r>
                      <m:rPr/>
                      <w:rPr>
                        <w:rFonts w:hint="default" w:ascii="Cambria Math"/>
                        <w:sz w:val="24"/>
                      </w:rPr>
                      <m:t>S</m:t>
                    </m:r>
                    <m:ctrlPr>
                      <w:rPr>
                        <w:rFonts w:hint="default" w:ascii="Cambria Math"/>
                        <w:sz w:val="24"/>
                      </w:rPr>
                    </m:ctrlPr>
                  </m:e>
                </m:d>
                <m:r>
                  <m:rPr>
                    <m:sty m:val="p"/>
                  </m:rPr>
                  <w:rPr>
                    <w:rFonts w:hint="default" w:ascii="Cambria Math"/>
                    <w:sz w:val="24"/>
                  </w:rPr>
                  <m:t>×</m:t>
                </m:r>
                <m:r>
                  <m:rPr/>
                  <w:rPr>
                    <w:rFonts w:hint="default" w:ascii="Cambria Math"/>
                    <w:sz w:val="24"/>
                  </w:rPr>
                  <m:t>1</m:t>
                </m:r>
                <m:sSup>
                  <m:sSupPr>
                    <m:ctrlPr>
                      <w:rPr>
                        <w:rFonts w:hint="default" w:ascii="Cambria Math"/>
                        <w:sz w:val="24"/>
                      </w:rPr>
                    </m:ctrlPr>
                  </m:sSupPr>
                  <m:e>
                    <m:r>
                      <m:rPr/>
                      <w:rPr>
                        <w:rFonts w:hint="default" w:ascii="Cambria Math"/>
                        <w:sz w:val="24"/>
                      </w:rPr>
                      <m:t>0</m:t>
                    </m:r>
                    <m:ctrlPr>
                      <w:rPr>
                        <w:rFonts w:hint="default" w:ascii="Cambria Math"/>
                        <w:sz w:val="24"/>
                      </w:rPr>
                    </m:ctrlPr>
                  </m:e>
                  <m:sup>
                    <m:r>
                      <m:rPr/>
                      <w:rPr>
                        <w:rFonts w:hint="default" w:ascii="Cambria Math"/>
                        <w:sz w:val="24"/>
                      </w:rPr>
                      <m:t>−3</m:t>
                    </m:r>
                    <m:ctrlPr>
                      <w:rPr>
                        <w:rFonts w:hint="default" w:ascii="Cambria Math"/>
                        <w:sz w:val="24"/>
                      </w:rPr>
                    </m:ctrlPr>
                  </m:sup>
                </m:sSup>
              </m:oMath>
            </m:oMathPara>
          </w:p>
          <w:p w14:paraId="7222F55F">
            <w:pPr>
              <w:pStyle w:val="67"/>
              <w:keepNext w:val="0"/>
              <w:keepLines w:val="0"/>
              <w:pageBreakBefore w:val="0"/>
              <w:tabs>
                <w:tab w:val="left" w:pos="2850"/>
              </w:tabs>
              <w:kinsoku/>
              <w:wordWrap/>
              <w:overflowPunct/>
              <w:topLinePunct w:val="0"/>
              <w:autoSpaceDE/>
              <w:autoSpaceDN/>
              <w:bidi w:val="0"/>
              <w:adjustRightInd w:val="0"/>
              <w:snapToGrid w:val="0"/>
              <w:spacing w:before="0" w:beforeLines="0" w:line="360" w:lineRule="auto"/>
              <w:ind w:firstLine="480" w:firstLineChars="200"/>
              <w:textAlignment w:val="auto"/>
              <w:outlineLvl w:val="9"/>
              <w:rPr>
                <w:rFonts w:hint="default" w:ascii="Times New Roman" w:hAnsi="Times New Roman" w:eastAsia="宋体" w:cs="Times New Roman"/>
                <w:b w:val="0"/>
                <w:snapToGrid/>
                <w:color w:val="000000"/>
                <w:kern w:val="2"/>
                <w:sz w:val="24"/>
                <w:szCs w:val="24"/>
                <w:highlight w:val="none"/>
                <w:lang w:val="en-US" w:eastAsia="zh-CN" w:bidi="ar-SA"/>
              </w:rPr>
            </w:pPr>
            <w:r>
              <w:rPr>
                <w:rFonts w:hint="default" w:ascii="Times New Roman" w:hAnsi="Times New Roman" w:eastAsia="宋体" w:cs="Times New Roman"/>
                <w:b w:val="0"/>
                <w:snapToGrid/>
                <w:color w:val="000000"/>
                <w:kern w:val="2"/>
                <w:sz w:val="24"/>
                <w:szCs w:val="24"/>
                <w:highlight w:val="none"/>
                <w:lang w:val="en-US" w:eastAsia="zh-CN" w:bidi="ar-SA"/>
              </w:rPr>
              <w:t>式中：P指颗粒物产生量（单位：吨）；</w:t>
            </w:r>
          </w:p>
          <w:p w14:paraId="11DC7684">
            <w:pPr>
              <w:pStyle w:val="67"/>
              <w:keepNext w:val="0"/>
              <w:keepLines w:val="0"/>
              <w:pageBreakBefore w:val="0"/>
              <w:tabs>
                <w:tab w:val="left" w:pos="2850"/>
              </w:tabs>
              <w:kinsoku/>
              <w:wordWrap/>
              <w:overflowPunct/>
              <w:topLinePunct w:val="0"/>
              <w:autoSpaceDE/>
              <w:autoSpaceDN/>
              <w:bidi w:val="0"/>
              <w:adjustRightInd w:val="0"/>
              <w:snapToGrid w:val="0"/>
              <w:spacing w:before="0" w:beforeLines="0" w:line="360" w:lineRule="auto"/>
              <w:ind w:firstLine="482" w:firstLineChars="200"/>
              <w:textAlignment w:val="auto"/>
              <w:outlineLvl w:val="9"/>
              <w:rPr>
                <w:rFonts w:hint="default" w:ascii="Times New Roman" w:hAnsi="Times New Roman" w:eastAsia="宋体" w:cs="Times New Roman"/>
                <w:b w:val="0"/>
                <w:snapToGrid/>
                <w:color w:val="000000"/>
                <w:kern w:val="2"/>
                <w:sz w:val="24"/>
                <w:szCs w:val="24"/>
                <w:highlight w:val="none"/>
                <w:lang w:val="en-US" w:eastAsia="zh-CN" w:bidi="ar-SA"/>
              </w:rPr>
            </w:pPr>
            <m:oMath>
              <m:r>
                <m:rPr/>
                <w:rPr>
                  <w:rFonts w:hint="default" w:ascii="Cambria Math"/>
                  <w:sz w:val="24"/>
                </w:rPr>
                <m:t>Z</m:t>
              </m:r>
              <m:sSub>
                <m:sSubPr>
                  <m:ctrlPr>
                    <w:rPr>
                      <w:rFonts w:hint="default" w:ascii="Cambria Math"/>
                      <w:sz w:val="24"/>
                    </w:rPr>
                  </m:ctrlPr>
                </m:sSubPr>
                <m:e>
                  <m:r>
                    <m:rPr/>
                    <w:rPr>
                      <w:rFonts w:hint="default" w:ascii="Cambria Math"/>
                      <w:sz w:val="24"/>
                    </w:rPr>
                    <m:t>C</m:t>
                  </m:r>
                  <m:ctrlPr>
                    <w:rPr>
                      <w:sz w:val="24"/>
                    </w:rPr>
                  </m:ctrlPr>
                </m:e>
                <m:sub>
                  <m:r>
                    <m:rPr/>
                    <w:rPr>
                      <w:rFonts w:hint="default" w:ascii="Cambria Math"/>
                      <w:sz w:val="24"/>
                    </w:rPr>
                    <m:t>y</m:t>
                  </m:r>
                  <m:ctrlPr>
                    <w:rPr>
                      <w:sz w:val="24"/>
                    </w:rPr>
                  </m:ctrlPr>
                </m:sub>
              </m:sSub>
            </m:oMath>
            <w:r>
              <w:rPr>
                <w:rFonts w:hint="default" w:ascii="Times New Roman" w:hAnsi="Times New Roman" w:eastAsia="宋体" w:cs="Times New Roman"/>
                <w:b w:val="0"/>
                <w:snapToGrid/>
                <w:color w:val="000000"/>
                <w:kern w:val="2"/>
                <w:sz w:val="24"/>
                <w:szCs w:val="24"/>
                <w:highlight w:val="none"/>
                <w:lang w:val="en-US" w:eastAsia="zh-CN" w:bidi="ar-SA"/>
              </w:rPr>
              <w:t>指装卸扬尘产生量（单位：吨）；</w:t>
            </w:r>
          </w:p>
          <w:p w14:paraId="16E5225F">
            <w:pPr>
              <w:pStyle w:val="67"/>
              <w:keepNext w:val="0"/>
              <w:keepLines w:val="0"/>
              <w:pageBreakBefore w:val="0"/>
              <w:tabs>
                <w:tab w:val="left" w:pos="2850"/>
              </w:tabs>
              <w:kinsoku/>
              <w:wordWrap/>
              <w:overflowPunct/>
              <w:topLinePunct w:val="0"/>
              <w:autoSpaceDE/>
              <w:autoSpaceDN/>
              <w:bidi w:val="0"/>
              <w:adjustRightInd w:val="0"/>
              <w:snapToGrid w:val="0"/>
              <w:spacing w:before="0" w:beforeLines="0" w:line="360" w:lineRule="auto"/>
              <w:ind w:firstLine="482" w:firstLineChars="200"/>
              <w:textAlignment w:val="auto"/>
              <w:outlineLvl w:val="9"/>
              <w:rPr>
                <w:rFonts w:hint="default" w:ascii="Times New Roman" w:hAnsi="Times New Roman" w:eastAsia="宋体" w:cs="Times New Roman"/>
                <w:b w:val="0"/>
                <w:snapToGrid/>
                <w:color w:val="000000"/>
                <w:kern w:val="2"/>
                <w:sz w:val="24"/>
                <w:szCs w:val="24"/>
                <w:highlight w:val="none"/>
                <w:lang w:val="en-US" w:eastAsia="zh-CN" w:bidi="ar-SA"/>
              </w:rPr>
            </w:pPr>
            <m:oMath>
              <m:r>
                <m:rPr/>
                <w:rPr>
                  <w:rFonts w:hint="default" w:ascii="Cambria Math"/>
                  <w:sz w:val="24"/>
                </w:rPr>
                <m:t>F</m:t>
              </m:r>
              <m:sSub>
                <m:sSubPr>
                  <m:ctrlPr>
                    <w:rPr>
                      <w:rFonts w:hint="default" w:ascii="Cambria Math"/>
                      <w:sz w:val="24"/>
                    </w:rPr>
                  </m:ctrlPr>
                </m:sSubPr>
                <m:e>
                  <m:r>
                    <m:rPr/>
                    <w:rPr>
                      <w:rFonts w:hint="default" w:ascii="Cambria Math"/>
                      <w:sz w:val="24"/>
                    </w:rPr>
                    <m:t>C</m:t>
                  </m:r>
                  <m:ctrlPr>
                    <w:rPr>
                      <w:sz w:val="24"/>
                    </w:rPr>
                  </m:ctrlPr>
                </m:e>
                <m:sub>
                  <m:r>
                    <m:rPr/>
                    <w:rPr>
                      <w:rFonts w:hint="default" w:ascii="Cambria Math"/>
                      <w:sz w:val="24"/>
                    </w:rPr>
                    <m:t>y</m:t>
                  </m:r>
                  <m:ctrlPr>
                    <w:rPr>
                      <w:sz w:val="24"/>
                    </w:rPr>
                  </m:ctrlPr>
                </m:sub>
              </m:sSub>
            </m:oMath>
            <w:r>
              <w:rPr>
                <w:rFonts w:hint="default" w:ascii="Times New Roman" w:hAnsi="Times New Roman" w:eastAsia="宋体" w:cs="Times New Roman"/>
                <w:b w:val="0"/>
                <w:snapToGrid/>
                <w:color w:val="000000"/>
                <w:kern w:val="2"/>
                <w:sz w:val="24"/>
                <w:szCs w:val="24"/>
                <w:highlight w:val="none"/>
                <w:lang w:val="en-US" w:eastAsia="zh-CN" w:bidi="ar-SA"/>
              </w:rPr>
              <w:t>指风蚀扬尘产生量（单位：吨）；</w:t>
            </w:r>
          </w:p>
          <w:p w14:paraId="3CA65CF1">
            <w:pPr>
              <w:pStyle w:val="67"/>
              <w:keepNext w:val="0"/>
              <w:keepLines w:val="0"/>
              <w:pageBreakBefore w:val="0"/>
              <w:tabs>
                <w:tab w:val="left" w:pos="2850"/>
              </w:tabs>
              <w:kinsoku/>
              <w:wordWrap/>
              <w:overflowPunct/>
              <w:topLinePunct w:val="0"/>
              <w:autoSpaceDE/>
              <w:autoSpaceDN/>
              <w:bidi w:val="0"/>
              <w:adjustRightInd w:val="0"/>
              <w:snapToGrid w:val="0"/>
              <w:spacing w:before="0" w:beforeLines="0" w:line="360" w:lineRule="auto"/>
              <w:ind w:firstLine="482" w:firstLineChars="200"/>
              <w:textAlignment w:val="auto"/>
              <w:outlineLvl w:val="9"/>
              <w:rPr>
                <w:rFonts w:hint="default" w:ascii="Times New Roman" w:hAnsi="Times New Roman" w:eastAsia="宋体" w:cs="Times New Roman"/>
                <w:b w:val="0"/>
                <w:snapToGrid/>
                <w:color w:val="000000"/>
                <w:kern w:val="2"/>
                <w:sz w:val="24"/>
                <w:szCs w:val="24"/>
                <w:highlight w:val="none"/>
                <w:lang w:val="en-US" w:eastAsia="zh-CN" w:bidi="ar-SA"/>
              </w:rPr>
            </w:pPr>
            <m:oMath>
              <m:sSub>
                <m:sSubPr>
                  <m:ctrlPr>
                    <w:rPr>
                      <w:rFonts w:hint="default" w:ascii="Cambria Math"/>
                      <w:sz w:val="24"/>
                    </w:rPr>
                  </m:ctrlPr>
                </m:sSubPr>
                <m:e>
                  <m:r>
                    <m:rPr/>
                    <w:rPr>
                      <w:rFonts w:hint="default" w:ascii="Cambria Math"/>
                      <w:sz w:val="24"/>
                    </w:rPr>
                    <m:t>N</m:t>
                  </m:r>
                  <m:ctrlPr>
                    <w:rPr>
                      <w:sz w:val="24"/>
                    </w:rPr>
                  </m:ctrlPr>
                </m:e>
                <m:sub>
                  <m:r>
                    <m:rPr/>
                    <w:rPr>
                      <w:rFonts w:hint="default" w:ascii="Cambria Math"/>
                      <w:sz w:val="24"/>
                    </w:rPr>
                    <m:t>C</m:t>
                  </m:r>
                  <m:ctrlPr>
                    <w:rPr>
                      <w:sz w:val="24"/>
                    </w:rPr>
                  </m:ctrlPr>
                </m:sub>
              </m:sSub>
            </m:oMath>
            <w:r>
              <w:rPr>
                <w:rFonts w:hint="default" w:ascii="Times New Roman" w:hAnsi="Times New Roman" w:eastAsia="宋体" w:cs="Times New Roman"/>
                <w:b w:val="0"/>
                <w:snapToGrid/>
                <w:color w:val="000000"/>
                <w:kern w:val="2"/>
                <w:sz w:val="24"/>
                <w:szCs w:val="24"/>
                <w:highlight w:val="none"/>
                <w:lang w:val="en-US" w:eastAsia="zh-CN" w:bidi="ar-SA"/>
              </w:rPr>
              <w:t>指年物料运载车次（单位：车），本项目取4000车</w:t>
            </w:r>
            <w:r>
              <w:rPr>
                <w:rFonts w:hint="eastAsia" w:cs="Times New Roman"/>
                <w:b w:val="0"/>
                <w:snapToGrid/>
                <w:color w:val="000000"/>
                <w:kern w:val="2"/>
                <w:sz w:val="24"/>
                <w:szCs w:val="24"/>
                <w:highlight w:val="none"/>
                <w:lang w:val="en-US" w:eastAsia="zh-CN" w:bidi="ar-SA"/>
              </w:rPr>
              <w:t>（卸2000车、装2000车），本项目年贮存5万吨煤，拉入5万吨，拉出5万吨</w:t>
            </w:r>
            <w:r>
              <w:rPr>
                <w:rFonts w:hint="default" w:ascii="Times New Roman" w:hAnsi="Times New Roman" w:eastAsia="宋体" w:cs="Times New Roman"/>
                <w:b w:val="0"/>
                <w:snapToGrid/>
                <w:color w:val="000000"/>
                <w:kern w:val="2"/>
                <w:sz w:val="24"/>
                <w:szCs w:val="24"/>
                <w:highlight w:val="none"/>
                <w:lang w:val="en-US" w:eastAsia="zh-CN" w:bidi="ar-SA"/>
              </w:rPr>
              <w:t>；</w:t>
            </w:r>
          </w:p>
          <w:p w14:paraId="08E0D608">
            <w:pPr>
              <w:pStyle w:val="67"/>
              <w:keepNext w:val="0"/>
              <w:keepLines w:val="0"/>
              <w:pageBreakBefore w:val="0"/>
              <w:tabs>
                <w:tab w:val="left" w:pos="2850"/>
              </w:tabs>
              <w:kinsoku/>
              <w:wordWrap/>
              <w:overflowPunct/>
              <w:topLinePunct w:val="0"/>
              <w:autoSpaceDE/>
              <w:autoSpaceDN/>
              <w:bidi w:val="0"/>
              <w:adjustRightInd w:val="0"/>
              <w:snapToGrid w:val="0"/>
              <w:spacing w:before="0" w:beforeLines="0" w:line="360" w:lineRule="auto"/>
              <w:ind w:firstLine="480" w:firstLineChars="200"/>
              <w:textAlignment w:val="auto"/>
              <w:outlineLvl w:val="9"/>
              <w:rPr>
                <w:rFonts w:hint="default" w:ascii="Times New Roman" w:hAnsi="Times New Roman" w:eastAsia="宋体" w:cs="Times New Roman"/>
                <w:b w:val="0"/>
                <w:snapToGrid/>
                <w:color w:val="000000"/>
                <w:kern w:val="2"/>
                <w:sz w:val="24"/>
                <w:szCs w:val="24"/>
                <w:highlight w:val="none"/>
                <w:lang w:val="en-US" w:eastAsia="zh-CN" w:bidi="ar-SA"/>
              </w:rPr>
            </w:pPr>
            <w:r>
              <w:rPr>
                <w:rFonts w:hint="default" w:ascii="Times New Roman" w:hAnsi="Times New Roman" w:eastAsia="宋体" w:cs="Times New Roman"/>
                <w:b w:val="0"/>
                <w:snapToGrid/>
                <w:color w:val="000000"/>
                <w:kern w:val="2"/>
                <w:sz w:val="24"/>
                <w:szCs w:val="24"/>
                <w:highlight w:val="none"/>
                <w:lang w:val="en-US" w:eastAsia="zh-CN" w:bidi="ar-SA"/>
              </w:rPr>
              <w:t>D指单车平均运载量（单位：吨/车），本项目取25吨/车；</w:t>
            </w:r>
          </w:p>
          <w:p w14:paraId="7551094E">
            <w:pPr>
              <w:pStyle w:val="67"/>
              <w:keepNext w:val="0"/>
              <w:keepLines w:val="0"/>
              <w:pageBreakBefore w:val="0"/>
              <w:tabs>
                <w:tab w:val="left" w:pos="2850"/>
              </w:tabs>
              <w:kinsoku/>
              <w:wordWrap/>
              <w:overflowPunct/>
              <w:topLinePunct w:val="0"/>
              <w:autoSpaceDE/>
              <w:autoSpaceDN/>
              <w:bidi w:val="0"/>
              <w:adjustRightInd w:val="0"/>
              <w:snapToGrid w:val="0"/>
              <w:spacing w:before="0" w:beforeLines="0" w:line="360" w:lineRule="auto"/>
              <w:ind w:firstLine="482" w:firstLineChars="200"/>
              <w:textAlignment w:val="auto"/>
              <w:outlineLvl w:val="9"/>
              <w:rPr>
                <w:rFonts w:hint="default" w:ascii="Times New Roman" w:hAnsi="Times New Roman" w:eastAsia="宋体" w:cs="Times New Roman"/>
                <w:b w:val="0"/>
                <w:snapToGrid/>
                <w:color w:val="000000"/>
                <w:kern w:val="2"/>
                <w:sz w:val="24"/>
                <w:szCs w:val="24"/>
                <w:highlight w:val="none"/>
                <w:lang w:val="en-US" w:eastAsia="zh-CN" w:bidi="ar-SA"/>
              </w:rPr>
            </w:pPr>
            <m:oMath>
              <m:r>
                <m:rPr/>
                <w:rPr>
                  <w:rFonts w:hint="default" w:ascii="Cambria Math"/>
                  <w:sz w:val="24"/>
                </w:rPr>
                <m:t>(a/b)</m:t>
              </m:r>
            </m:oMath>
            <w:r>
              <w:rPr>
                <w:rFonts w:hint="default" w:ascii="Times New Roman" w:hAnsi="Times New Roman" w:eastAsia="宋体" w:cs="Times New Roman"/>
                <w:b w:val="0"/>
                <w:snapToGrid/>
                <w:color w:val="000000"/>
                <w:kern w:val="2"/>
                <w:sz w:val="24"/>
                <w:szCs w:val="24"/>
                <w:highlight w:val="none"/>
                <w:lang w:val="en-US" w:eastAsia="zh-CN" w:bidi="ar-SA"/>
              </w:rPr>
              <w:t>指装卸扬尘概化系数（单位：千克/吨），</w:t>
            </w:r>
            <m:oMath>
              <m:r>
                <m:rPr/>
                <w:rPr>
                  <w:rFonts w:hint="default" w:ascii="Cambria Math"/>
                  <w:sz w:val="24"/>
                </w:rPr>
                <m:t>a</m:t>
              </m:r>
            </m:oMath>
            <w:r>
              <w:rPr>
                <w:rFonts w:hint="default" w:ascii="Times New Roman" w:hAnsi="Times New Roman" w:eastAsia="宋体" w:cs="Times New Roman"/>
                <w:b w:val="0"/>
                <w:snapToGrid/>
                <w:color w:val="000000"/>
                <w:kern w:val="2"/>
                <w:sz w:val="24"/>
                <w:szCs w:val="24"/>
                <w:highlight w:val="none"/>
                <w:lang w:val="en-US" w:eastAsia="zh-CN" w:bidi="ar-SA"/>
              </w:rPr>
              <w:t>指各省风速概化系数，通过查表，新疆维吾尔自治区风速概化系数为0.0011；</w:t>
            </w:r>
            <m:oMath>
              <m:r>
                <m:rPr/>
                <w:rPr>
                  <w:rFonts w:hint="default" w:ascii="Cambria Math"/>
                  <w:sz w:val="24"/>
                </w:rPr>
                <m:t>b</m:t>
              </m:r>
            </m:oMath>
            <w:r>
              <w:rPr>
                <w:rFonts w:hint="default" w:ascii="Times New Roman" w:hAnsi="Times New Roman" w:eastAsia="宋体" w:cs="Times New Roman"/>
                <w:b w:val="0"/>
                <w:snapToGrid/>
                <w:color w:val="000000"/>
                <w:kern w:val="2"/>
                <w:sz w:val="24"/>
                <w:szCs w:val="24"/>
                <w:highlight w:val="none"/>
                <w:lang w:val="en-US" w:eastAsia="zh-CN" w:bidi="ar-SA"/>
              </w:rPr>
              <w:t>指物料含水率概化系数，通过查表，本项目主要存储褐煤，含水率概化系数为0.0049；</w:t>
            </w:r>
          </w:p>
          <w:p w14:paraId="546972EF">
            <w:pPr>
              <w:pStyle w:val="67"/>
              <w:keepNext w:val="0"/>
              <w:keepLines w:val="0"/>
              <w:pageBreakBefore w:val="0"/>
              <w:tabs>
                <w:tab w:val="left" w:pos="2850"/>
              </w:tabs>
              <w:kinsoku/>
              <w:wordWrap/>
              <w:overflowPunct/>
              <w:topLinePunct w:val="0"/>
              <w:autoSpaceDE/>
              <w:autoSpaceDN/>
              <w:bidi w:val="0"/>
              <w:adjustRightInd w:val="0"/>
              <w:snapToGrid w:val="0"/>
              <w:spacing w:before="0" w:beforeLines="0" w:line="360" w:lineRule="auto"/>
              <w:ind w:firstLine="482" w:firstLineChars="200"/>
              <w:textAlignment w:val="auto"/>
              <w:outlineLvl w:val="9"/>
              <w:rPr>
                <w:rFonts w:hint="default" w:ascii="Times New Roman" w:hAnsi="Times New Roman" w:eastAsia="宋体" w:cs="Times New Roman"/>
                <w:b w:val="0"/>
                <w:snapToGrid/>
                <w:color w:val="000000"/>
                <w:kern w:val="2"/>
                <w:sz w:val="24"/>
                <w:szCs w:val="24"/>
                <w:highlight w:val="none"/>
                <w:lang w:val="en-US" w:eastAsia="zh-CN" w:bidi="ar-SA"/>
              </w:rPr>
            </w:pPr>
            <m:oMath>
              <m:sSub>
                <m:sSubPr>
                  <m:ctrlPr>
                    <w:rPr>
                      <w:rFonts w:hint="default" w:ascii="Cambria Math"/>
                      <w:sz w:val="24"/>
                    </w:rPr>
                  </m:ctrlPr>
                </m:sSubPr>
                <m:e>
                  <m:r>
                    <m:rPr/>
                    <w:rPr>
                      <w:rFonts w:hint="default" w:ascii="Cambria Math"/>
                      <w:sz w:val="24"/>
                    </w:rPr>
                    <m:t>E</m:t>
                  </m:r>
                  <m:ctrlPr>
                    <w:rPr>
                      <w:sz w:val="24"/>
                    </w:rPr>
                  </m:ctrlPr>
                </m:e>
                <m:sub>
                  <m:r>
                    <m:rPr/>
                    <w:rPr>
                      <w:rFonts w:hint="default" w:ascii="Cambria Math"/>
                      <w:sz w:val="24"/>
                    </w:rPr>
                    <m:t>f</m:t>
                  </m:r>
                  <m:ctrlPr>
                    <w:rPr>
                      <w:sz w:val="24"/>
                    </w:rPr>
                  </m:ctrlPr>
                </m:sub>
              </m:sSub>
            </m:oMath>
            <w:r>
              <w:rPr>
                <w:rFonts w:hint="default" w:ascii="Times New Roman" w:hAnsi="Times New Roman" w:eastAsia="宋体" w:cs="Times New Roman"/>
                <w:b w:val="0"/>
                <w:snapToGrid/>
                <w:color w:val="000000"/>
                <w:kern w:val="2"/>
                <w:sz w:val="24"/>
                <w:szCs w:val="24"/>
                <w:highlight w:val="none"/>
                <w:lang w:val="en-US" w:eastAsia="zh-CN" w:bidi="ar-SA"/>
              </w:rPr>
              <w:t>指堆场风蚀扬尘概化系数（单位：千克/平方米），通过查表，褐煤风蚀扬尘概化系数</w:t>
            </w:r>
            <w:r>
              <w:rPr>
                <w:rFonts w:hint="eastAsia" w:cs="Times New Roman"/>
                <w:b w:val="0"/>
                <w:snapToGrid/>
                <w:color w:val="000000"/>
                <w:kern w:val="2"/>
                <w:sz w:val="24"/>
                <w:szCs w:val="24"/>
                <w:highlight w:val="none"/>
                <w:lang w:val="en-US" w:eastAsia="zh-CN" w:bidi="ar-SA"/>
              </w:rPr>
              <w:t>为30</w:t>
            </w:r>
            <w:r>
              <w:rPr>
                <w:rFonts w:hint="default" w:ascii="Times New Roman" w:hAnsi="Times New Roman" w:eastAsia="宋体" w:cs="Times New Roman"/>
                <w:b w:val="0"/>
                <w:snapToGrid/>
                <w:color w:val="000000"/>
                <w:kern w:val="2"/>
                <w:sz w:val="24"/>
                <w:szCs w:val="24"/>
                <w:highlight w:val="none"/>
                <w:lang w:val="en-US" w:eastAsia="zh-CN" w:bidi="ar-SA"/>
              </w:rPr>
              <w:t>.6582；</w:t>
            </w:r>
          </w:p>
          <w:p w14:paraId="388F67AB">
            <w:pPr>
              <w:pStyle w:val="67"/>
              <w:keepNext w:val="0"/>
              <w:keepLines w:val="0"/>
              <w:pageBreakBefore w:val="0"/>
              <w:tabs>
                <w:tab w:val="left" w:pos="2850"/>
              </w:tabs>
              <w:kinsoku/>
              <w:wordWrap/>
              <w:overflowPunct/>
              <w:topLinePunct w:val="0"/>
              <w:autoSpaceDE/>
              <w:autoSpaceDN/>
              <w:bidi w:val="0"/>
              <w:adjustRightInd w:val="0"/>
              <w:snapToGrid w:val="0"/>
              <w:spacing w:before="0" w:beforeLines="0" w:line="360" w:lineRule="auto"/>
              <w:ind w:firstLine="482" w:firstLineChars="200"/>
              <w:textAlignment w:val="auto"/>
              <w:outlineLvl w:val="9"/>
              <w:rPr>
                <w:rFonts w:hint="default" w:ascii="Times New Roman" w:hAnsi="Times New Roman" w:eastAsia="宋体" w:cs="Times New Roman"/>
                <w:b w:val="0"/>
                <w:snapToGrid/>
                <w:color w:val="000000"/>
                <w:kern w:val="2"/>
                <w:sz w:val="24"/>
                <w:szCs w:val="24"/>
                <w:highlight w:val="none"/>
                <w:lang w:val="en-US" w:eastAsia="zh-CN" w:bidi="ar-SA"/>
              </w:rPr>
            </w:pPr>
            <m:oMath>
              <m:r>
                <m:rPr/>
                <w:rPr>
                  <w:rFonts w:hint="default" w:ascii="Cambria Math"/>
                  <w:sz w:val="24"/>
                </w:rPr>
                <m:t>S</m:t>
              </m:r>
            </m:oMath>
            <w:r>
              <w:rPr>
                <w:rFonts w:hint="default" w:ascii="Times New Roman" w:hAnsi="Times New Roman" w:eastAsia="宋体" w:cs="Times New Roman"/>
                <w:b w:val="0"/>
                <w:snapToGrid/>
                <w:color w:val="000000"/>
                <w:kern w:val="2"/>
                <w:sz w:val="24"/>
                <w:szCs w:val="24"/>
                <w:highlight w:val="none"/>
                <w:lang w:val="en-US" w:eastAsia="zh-CN" w:bidi="ar-SA"/>
              </w:rPr>
              <w:t>指堆场占地面积（单位：平方米），本项目堆场占地面积为</w:t>
            </w:r>
            <w:r>
              <w:rPr>
                <w:rFonts w:hint="eastAsia" w:cs="Times New Roman"/>
                <w:b w:val="0"/>
                <w:snapToGrid/>
                <w:color w:val="000000"/>
                <w:kern w:val="2"/>
                <w:sz w:val="24"/>
                <w:szCs w:val="24"/>
                <w:highlight w:val="none"/>
                <w:lang w:val="en-US" w:eastAsia="zh-CN" w:bidi="ar-SA"/>
              </w:rPr>
              <w:t>10500平方米</w:t>
            </w:r>
            <w:r>
              <w:rPr>
                <w:rFonts w:hint="default" w:ascii="Times New Roman" w:hAnsi="Times New Roman" w:eastAsia="宋体" w:cs="Times New Roman"/>
                <w:b w:val="0"/>
                <w:snapToGrid/>
                <w:color w:val="000000"/>
                <w:kern w:val="2"/>
                <w:sz w:val="24"/>
                <w:szCs w:val="24"/>
                <w:highlight w:val="none"/>
                <w:lang w:val="en-US" w:eastAsia="zh-CN" w:bidi="ar-SA"/>
              </w:rPr>
              <w:t>。</w:t>
            </w:r>
          </w:p>
          <w:p w14:paraId="2A11708D">
            <w:pPr>
              <w:pStyle w:val="67"/>
              <w:keepNext w:val="0"/>
              <w:keepLines w:val="0"/>
              <w:pageBreakBefore w:val="0"/>
              <w:tabs>
                <w:tab w:val="left" w:pos="2850"/>
              </w:tabs>
              <w:kinsoku/>
              <w:wordWrap/>
              <w:overflowPunct/>
              <w:topLinePunct w:val="0"/>
              <w:autoSpaceDE/>
              <w:autoSpaceDN/>
              <w:bidi w:val="0"/>
              <w:adjustRightInd w:val="0"/>
              <w:snapToGrid w:val="0"/>
              <w:spacing w:before="0" w:beforeLines="0" w:line="360" w:lineRule="auto"/>
              <w:ind w:firstLine="480" w:firstLineChars="200"/>
              <w:textAlignment w:val="auto"/>
              <w:outlineLvl w:val="9"/>
              <w:rPr>
                <w:rFonts w:hint="default" w:ascii="Times New Roman" w:hAnsi="Times New Roman" w:eastAsia="宋体" w:cs="Times New Roman"/>
                <w:b w:val="0"/>
                <w:snapToGrid/>
                <w:color w:val="000000"/>
                <w:kern w:val="2"/>
                <w:sz w:val="24"/>
                <w:szCs w:val="24"/>
                <w:highlight w:val="none"/>
                <w:lang w:val="en-US" w:eastAsia="zh-CN" w:bidi="ar-SA"/>
              </w:rPr>
            </w:pPr>
            <w:r>
              <w:rPr>
                <w:rFonts w:hint="default" w:ascii="Times New Roman" w:hAnsi="Times New Roman" w:eastAsia="宋体" w:cs="Times New Roman"/>
                <w:b w:val="0"/>
                <w:snapToGrid/>
                <w:color w:val="000000"/>
                <w:kern w:val="2"/>
                <w:sz w:val="24"/>
                <w:szCs w:val="24"/>
                <w:highlight w:val="none"/>
                <w:lang w:val="en-US" w:eastAsia="zh-CN" w:bidi="ar-SA"/>
              </w:rPr>
              <w:t>通过上述计算可知，本项目装卸</w:t>
            </w:r>
            <w:r>
              <w:rPr>
                <w:rFonts w:hint="eastAsia" w:cs="Times New Roman"/>
                <w:b w:val="0"/>
                <w:snapToGrid/>
                <w:color w:val="000000"/>
                <w:kern w:val="2"/>
                <w:sz w:val="24"/>
                <w:szCs w:val="24"/>
                <w:highlight w:val="none"/>
                <w:lang w:val="en-US" w:eastAsia="zh-CN" w:bidi="ar-SA"/>
              </w:rPr>
              <w:t>扬</w:t>
            </w:r>
            <w:r>
              <w:rPr>
                <w:rFonts w:hint="default" w:ascii="Times New Roman" w:hAnsi="Times New Roman" w:eastAsia="宋体" w:cs="Times New Roman"/>
                <w:b w:val="0"/>
                <w:snapToGrid/>
                <w:color w:val="000000"/>
                <w:kern w:val="2"/>
                <w:sz w:val="24"/>
                <w:szCs w:val="24"/>
                <w:highlight w:val="none"/>
                <w:lang w:val="en-US" w:eastAsia="zh-CN" w:bidi="ar-SA"/>
              </w:rPr>
              <w:t>尘和风蚀扬尘的产生量为</w:t>
            </w:r>
            <w:r>
              <w:rPr>
                <w:rFonts w:hint="eastAsia" w:cs="Times New Roman"/>
                <w:b w:val="0"/>
                <w:snapToGrid/>
                <w:color w:val="000000"/>
                <w:kern w:val="2"/>
                <w:sz w:val="24"/>
                <w:szCs w:val="24"/>
                <w:highlight w:val="none"/>
                <w:lang w:val="en-US" w:eastAsia="zh-CN" w:bidi="ar-SA"/>
              </w:rPr>
              <w:t>666.27</w:t>
            </w:r>
            <w:r>
              <w:rPr>
                <w:rFonts w:hint="default" w:ascii="Times New Roman" w:hAnsi="Times New Roman" w:eastAsia="宋体" w:cs="Times New Roman"/>
                <w:b w:val="0"/>
                <w:snapToGrid/>
                <w:color w:val="000000"/>
                <w:kern w:val="2"/>
                <w:sz w:val="24"/>
                <w:szCs w:val="24"/>
                <w:highlight w:val="none"/>
                <w:lang w:val="en-US" w:eastAsia="zh-CN" w:bidi="ar-SA"/>
              </w:rPr>
              <w:t>t/a。本项目煤炭在装卸过程中开启雾炮机洒水设施，提高物料的含水率，减少扬尘扩散对环境空气的影响，在卸载时将车上煤炭缓慢落地，待卸载完毕后车辆慢速离开，降低因落地惯性产生较大的扬尘。根据《关于发布〈排放源统计调查产排污核算方法和系数手册〉的公告》中附表2工业源固体物料堆场颗粒物核算系数手册，堆场颗粒物排放量核算公式如下：</w:t>
            </w:r>
          </w:p>
          <w:p w14:paraId="2A5DC15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hAnsi="Cambria Math"/>
                <w:i w:val="0"/>
                <w:sz w:val="24"/>
              </w:rPr>
            </w:pPr>
            <m:oMathPara>
              <m:oMath>
                <m:sSub>
                  <m:sSubPr>
                    <m:ctrlPr>
                      <w:rPr>
                        <w:rFonts w:hint="default" w:ascii="Cambria Math" w:hAnsi="Cambria Math"/>
                        <w:sz w:val="24"/>
                      </w:rPr>
                    </m:ctrlPr>
                  </m:sSubPr>
                  <m:e>
                    <m:r>
                      <m:rPr/>
                      <w:rPr>
                        <w:rFonts w:hint="default" w:ascii="Cambria Math" w:hAnsi="Cambria Math"/>
                        <w:sz w:val="24"/>
                      </w:rPr>
                      <m:t>U</m:t>
                    </m:r>
                    <m:ctrlPr>
                      <w:rPr>
                        <w:rFonts w:ascii="Cambria Math" w:hAnsi="Cambria Math"/>
                        <w:sz w:val="24"/>
                      </w:rPr>
                    </m:ctrlPr>
                  </m:e>
                  <m:sub>
                    <m:r>
                      <m:rPr/>
                      <w:rPr>
                        <w:rFonts w:hint="default" w:ascii="Cambria Math" w:hAnsi="Cambria Math"/>
                        <w:sz w:val="24"/>
                      </w:rPr>
                      <m:t>c</m:t>
                    </m:r>
                    <m:ctrlPr>
                      <w:rPr>
                        <w:rFonts w:ascii="Cambria Math" w:hAnsi="Cambria Math"/>
                        <w:sz w:val="24"/>
                      </w:rPr>
                    </m:ctrlPr>
                  </m:sub>
                </m:sSub>
                <m:r>
                  <m:rPr/>
                  <w:rPr>
                    <w:rFonts w:hint="default" w:ascii="Cambria Math" w:hAnsi="Cambria Math"/>
                    <w:sz w:val="24"/>
                  </w:rPr>
                  <m:t>=P</m:t>
                </m:r>
                <m:r>
                  <m:rPr>
                    <m:sty m:val="p"/>
                  </m:rPr>
                  <w:rPr>
                    <w:rFonts w:hint="default" w:ascii="Cambria Math" w:hAnsi="Cambria Math"/>
                    <w:sz w:val="24"/>
                  </w:rPr>
                  <m:t>×</m:t>
                </m:r>
                <m:r>
                  <m:rPr/>
                  <w:rPr>
                    <w:rFonts w:hint="default" w:ascii="Cambria Math" w:hAnsi="Cambria Math"/>
                    <w:sz w:val="24"/>
                  </w:rPr>
                  <m:t>(1−</m:t>
                </m:r>
                <m:sSub>
                  <m:sSubPr>
                    <m:ctrlPr>
                      <w:rPr>
                        <w:rFonts w:hint="default" w:ascii="Cambria Math" w:hAnsi="Cambria Math"/>
                        <w:sz w:val="24"/>
                      </w:rPr>
                    </m:ctrlPr>
                  </m:sSubPr>
                  <m:e>
                    <m:r>
                      <m:rPr/>
                      <w:rPr>
                        <w:rFonts w:hint="default" w:ascii="Cambria Math" w:hAnsi="Cambria Math"/>
                        <w:sz w:val="24"/>
                      </w:rPr>
                      <m:t>C</m:t>
                    </m:r>
                    <m:ctrlPr>
                      <w:rPr>
                        <w:rFonts w:ascii="Cambria Math" w:hAnsi="Cambria Math"/>
                        <w:sz w:val="24"/>
                      </w:rPr>
                    </m:ctrlPr>
                  </m:e>
                  <m:sub>
                    <m:r>
                      <m:rPr/>
                      <w:rPr>
                        <w:rFonts w:hint="default" w:ascii="Cambria Math" w:hAnsi="Cambria Math"/>
                        <w:sz w:val="24"/>
                      </w:rPr>
                      <m:t>m</m:t>
                    </m:r>
                    <m:ctrlPr>
                      <w:rPr>
                        <w:rFonts w:ascii="Cambria Math" w:hAnsi="Cambria Math"/>
                        <w:sz w:val="24"/>
                      </w:rPr>
                    </m:ctrlPr>
                  </m:sub>
                </m:sSub>
                <m:r>
                  <m:rPr/>
                  <w:rPr>
                    <w:rFonts w:hint="default" w:ascii="Cambria Math" w:hAnsi="Cambria Math"/>
                    <w:sz w:val="24"/>
                  </w:rPr>
                  <m:t>)</m:t>
                </m:r>
                <m:r>
                  <m:rPr>
                    <m:sty m:val="p"/>
                  </m:rPr>
                  <w:rPr>
                    <w:rFonts w:hint="default" w:ascii="Cambria Math" w:hAnsi="Cambria Math"/>
                    <w:sz w:val="24"/>
                  </w:rPr>
                  <m:t>×</m:t>
                </m:r>
                <m:r>
                  <m:rPr/>
                  <w:rPr>
                    <w:rFonts w:hint="default" w:ascii="Cambria Math" w:hAnsi="Cambria Math"/>
                    <w:sz w:val="24"/>
                  </w:rPr>
                  <m:t>(1−</m:t>
                </m:r>
                <m:sSub>
                  <m:sSubPr>
                    <m:ctrlPr>
                      <w:rPr>
                        <w:rFonts w:hint="default" w:ascii="Cambria Math" w:hAnsi="Cambria Math"/>
                        <w:sz w:val="24"/>
                      </w:rPr>
                    </m:ctrlPr>
                  </m:sSubPr>
                  <m:e>
                    <m:r>
                      <m:rPr/>
                      <w:rPr>
                        <w:rFonts w:hint="default" w:ascii="Cambria Math" w:hAnsi="Cambria Math"/>
                        <w:sz w:val="24"/>
                      </w:rPr>
                      <m:t>T</m:t>
                    </m:r>
                    <m:ctrlPr>
                      <w:rPr>
                        <w:rFonts w:ascii="Cambria Math" w:hAnsi="Cambria Math"/>
                        <w:sz w:val="24"/>
                      </w:rPr>
                    </m:ctrlPr>
                  </m:e>
                  <m:sub>
                    <m:r>
                      <m:rPr/>
                      <w:rPr>
                        <w:rFonts w:hint="default" w:ascii="Cambria Math" w:hAnsi="Cambria Math"/>
                        <w:sz w:val="24"/>
                      </w:rPr>
                      <m:t>m</m:t>
                    </m:r>
                    <m:ctrlPr>
                      <w:rPr>
                        <w:rFonts w:ascii="Cambria Math" w:hAnsi="Cambria Math"/>
                        <w:sz w:val="24"/>
                      </w:rPr>
                    </m:ctrlPr>
                  </m:sub>
                </m:sSub>
                <m:r>
                  <m:rPr/>
                  <w:rPr>
                    <w:rFonts w:hint="default" w:ascii="Cambria Math" w:hAnsi="Cambria Math"/>
                    <w:sz w:val="24"/>
                  </w:rPr>
                  <m:t>)</m:t>
                </m:r>
              </m:oMath>
            </m:oMathPara>
          </w:p>
          <w:p w14:paraId="52984A2B">
            <w:pPr>
              <w:pStyle w:val="67"/>
              <w:keepNext w:val="0"/>
              <w:keepLines w:val="0"/>
              <w:pageBreakBefore w:val="0"/>
              <w:tabs>
                <w:tab w:val="left" w:pos="2850"/>
              </w:tabs>
              <w:kinsoku/>
              <w:wordWrap/>
              <w:overflowPunct/>
              <w:topLinePunct w:val="0"/>
              <w:autoSpaceDE/>
              <w:autoSpaceDN/>
              <w:bidi w:val="0"/>
              <w:adjustRightInd w:val="0"/>
              <w:snapToGrid w:val="0"/>
              <w:spacing w:before="0" w:beforeLines="0" w:line="360" w:lineRule="auto"/>
              <w:ind w:firstLine="480" w:firstLineChars="200"/>
              <w:textAlignment w:val="auto"/>
              <w:outlineLvl w:val="9"/>
              <w:rPr>
                <w:rFonts w:hint="default" w:ascii="Times New Roman" w:hAnsi="Times New Roman" w:eastAsia="宋体" w:cs="Times New Roman"/>
                <w:b w:val="0"/>
                <w:snapToGrid/>
                <w:color w:val="000000"/>
                <w:kern w:val="2"/>
                <w:sz w:val="24"/>
                <w:szCs w:val="24"/>
                <w:highlight w:val="none"/>
                <w:lang w:val="en-US" w:eastAsia="zh-CN" w:bidi="ar-SA"/>
              </w:rPr>
            </w:pPr>
            <w:r>
              <w:rPr>
                <w:rFonts w:hint="default" w:ascii="Times New Roman" w:hAnsi="Times New Roman" w:eastAsia="宋体" w:cs="Times New Roman"/>
                <w:b w:val="0"/>
                <w:snapToGrid/>
                <w:color w:val="000000"/>
                <w:kern w:val="2"/>
                <w:sz w:val="24"/>
                <w:szCs w:val="24"/>
                <w:highlight w:val="none"/>
                <w:lang w:val="en-US" w:eastAsia="zh-CN" w:bidi="ar-SA"/>
              </w:rPr>
              <w:t>式中：</w:t>
            </w:r>
            <m:oMath>
              <m:r>
                <m:rPr/>
                <w:rPr>
                  <w:rFonts w:hint="default" w:ascii="Cambria Math" w:hAnsi="Cambria Math"/>
                  <w:sz w:val="24"/>
                </w:rPr>
                <m:t>P</m:t>
              </m:r>
            </m:oMath>
            <w:r>
              <w:rPr>
                <w:rFonts w:hint="default" w:ascii="Times New Roman" w:hAnsi="Times New Roman" w:eastAsia="宋体" w:cs="Times New Roman"/>
                <w:b w:val="0"/>
                <w:snapToGrid/>
                <w:color w:val="000000"/>
                <w:kern w:val="2"/>
                <w:sz w:val="24"/>
                <w:szCs w:val="24"/>
                <w:highlight w:val="none"/>
                <w:lang w:val="en-US" w:eastAsia="zh-CN" w:bidi="ar-SA"/>
              </w:rPr>
              <w:t>指颗粒物产生量（单位：吨）；</w:t>
            </w:r>
          </w:p>
          <w:p w14:paraId="32248FF6">
            <w:pPr>
              <w:pStyle w:val="67"/>
              <w:keepNext w:val="0"/>
              <w:keepLines w:val="0"/>
              <w:pageBreakBefore w:val="0"/>
              <w:tabs>
                <w:tab w:val="left" w:pos="2850"/>
              </w:tabs>
              <w:kinsoku/>
              <w:wordWrap/>
              <w:overflowPunct/>
              <w:topLinePunct w:val="0"/>
              <w:autoSpaceDE/>
              <w:autoSpaceDN/>
              <w:bidi w:val="0"/>
              <w:adjustRightInd w:val="0"/>
              <w:snapToGrid w:val="0"/>
              <w:spacing w:before="0" w:beforeLines="0" w:line="360" w:lineRule="auto"/>
              <w:ind w:firstLine="482" w:firstLineChars="200"/>
              <w:textAlignment w:val="auto"/>
              <w:outlineLvl w:val="9"/>
              <w:rPr>
                <w:rFonts w:hint="default" w:ascii="Times New Roman" w:hAnsi="Times New Roman" w:eastAsia="宋体" w:cs="Times New Roman"/>
                <w:b w:val="0"/>
                <w:snapToGrid/>
                <w:color w:val="000000"/>
                <w:kern w:val="2"/>
                <w:sz w:val="24"/>
                <w:szCs w:val="24"/>
                <w:highlight w:val="none"/>
                <w:lang w:val="en-US" w:eastAsia="zh-CN" w:bidi="ar-SA"/>
              </w:rPr>
            </w:pPr>
            <m:oMath>
              <m:sSub>
                <m:sSubPr>
                  <m:ctrlPr>
                    <w:rPr>
                      <w:rFonts w:hint="default" w:ascii="Cambria Math" w:hAnsi="Cambria Math"/>
                      <w:sz w:val="24"/>
                    </w:rPr>
                  </m:ctrlPr>
                </m:sSubPr>
                <m:e>
                  <m:r>
                    <m:rPr/>
                    <w:rPr>
                      <w:rFonts w:hint="default" w:ascii="Cambria Math" w:hAnsi="Cambria Math"/>
                      <w:sz w:val="24"/>
                    </w:rPr>
                    <m:t>U</m:t>
                  </m:r>
                  <m:ctrlPr>
                    <w:rPr>
                      <w:rFonts w:ascii="Cambria Math" w:hAnsi="Cambria Math"/>
                      <w:sz w:val="24"/>
                    </w:rPr>
                  </m:ctrlPr>
                </m:e>
                <m:sub>
                  <m:r>
                    <m:rPr/>
                    <w:rPr>
                      <w:rFonts w:hint="default" w:ascii="Cambria Math" w:hAnsi="Cambria Math"/>
                      <w:sz w:val="24"/>
                    </w:rPr>
                    <m:t>c</m:t>
                  </m:r>
                  <m:ctrlPr>
                    <w:rPr>
                      <w:rFonts w:ascii="Cambria Math" w:hAnsi="Cambria Math"/>
                      <w:sz w:val="24"/>
                    </w:rPr>
                  </m:ctrlPr>
                </m:sub>
              </m:sSub>
            </m:oMath>
            <w:r>
              <w:rPr>
                <w:rFonts w:hint="default" w:ascii="Times New Roman" w:hAnsi="Times New Roman" w:eastAsia="宋体" w:cs="Times New Roman"/>
                <w:b w:val="0"/>
                <w:snapToGrid/>
                <w:color w:val="000000"/>
                <w:kern w:val="2"/>
                <w:sz w:val="24"/>
                <w:szCs w:val="24"/>
                <w:highlight w:val="none"/>
                <w:lang w:val="en-US" w:eastAsia="zh-CN" w:bidi="ar-SA"/>
              </w:rPr>
              <w:t>指颗粒物排放量（单位：吨）；</w:t>
            </w:r>
          </w:p>
          <w:p w14:paraId="4FD67C90">
            <w:pPr>
              <w:pStyle w:val="67"/>
              <w:keepNext w:val="0"/>
              <w:keepLines w:val="0"/>
              <w:pageBreakBefore w:val="0"/>
              <w:tabs>
                <w:tab w:val="left" w:pos="2850"/>
              </w:tabs>
              <w:kinsoku/>
              <w:wordWrap/>
              <w:overflowPunct/>
              <w:topLinePunct w:val="0"/>
              <w:autoSpaceDE/>
              <w:autoSpaceDN/>
              <w:bidi w:val="0"/>
              <w:adjustRightInd w:val="0"/>
              <w:snapToGrid w:val="0"/>
              <w:spacing w:before="0" w:beforeLines="0" w:line="360" w:lineRule="auto"/>
              <w:ind w:firstLine="482" w:firstLineChars="200"/>
              <w:textAlignment w:val="auto"/>
              <w:outlineLvl w:val="9"/>
              <w:rPr>
                <w:rFonts w:hint="default" w:ascii="Times New Roman" w:hAnsi="Times New Roman" w:eastAsia="宋体" w:cs="Times New Roman"/>
                <w:b w:val="0"/>
                <w:snapToGrid/>
                <w:color w:val="000000"/>
                <w:kern w:val="2"/>
                <w:sz w:val="24"/>
                <w:szCs w:val="24"/>
                <w:highlight w:val="none"/>
                <w:lang w:val="en-US" w:eastAsia="zh-CN" w:bidi="ar-SA"/>
              </w:rPr>
            </w:pPr>
            <m:oMath>
              <m:sSub>
                <m:sSubPr>
                  <m:ctrlPr>
                    <w:rPr>
                      <w:rFonts w:hint="default" w:ascii="Cambria Math" w:hAnsi="Cambria Math"/>
                      <w:sz w:val="24"/>
                    </w:rPr>
                  </m:ctrlPr>
                </m:sSubPr>
                <m:e>
                  <m:r>
                    <m:rPr/>
                    <w:rPr>
                      <w:rFonts w:hint="default" w:ascii="Cambria Math" w:hAnsi="Cambria Math"/>
                      <w:sz w:val="24"/>
                    </w:rPr>
                    <m:t>C</m:t>
                  </m:r>
                  <m:ctrlPr>
                    <w:rPr>
                      <w:rFonts w:ascii="Cambria Math" w:hAnsi="Cambria Math"/>
                      <w:sz w:val="24"/>
                    </w:rPr>
                  </m:ctrlPr>
                </m:e>
                <m:sub>
                  <m:r>
                    <m:rPr/>
                    <w:rPr>
                      <w:rFonts w:hint="default" w:ascii="Cambria Math" w:hAnsi="Cambria Math"/>
                      <w:sz w:val="24"/>
                    </w:rPr>
                    <m:t>m</m:t>
                  </m:r>
                  <m:ctrlPr>
                    <w:rPr>
                      <w:rFonts w:ascii="Cambria Math" w:hAnsi="Cambria Math"/>
                      <w:sz w:val="24"/>
                    </w:rPr>
                  </m:ctrlPr>
                </m:sub>
              </m:sSub>
            </m:oMath>
            <w:r>
              <w:rPr>
                <w:rFonts w:hint="default" w:ascii="Times New Roman" w:hAnsi="Times New Roman" w:eastAsia="宋体" w:cs="Times New Roman"/>
                <w:b w:val="0"/>
                <w:snapToGrid/>
                <w:color w:val="000000"/>
                <w:kern w:val="2"/>
                <w:sz w:val="24"/>
                <w:szCs w:val="24"/>
                <w:highlight w:val="none"/>
                <w:lang w:val="en-US" w:eastAsia="zh-CN" w:bidi="ar-SA"/>
              </w:rPr>
              <w:t>指颗粒物控制措施控制效率（单位：%），通过查表，洒水的控制效率为74%；</w:t>
            </w:r>
          </w:p>
          <w:p w14:paraId="7E1F1C87">
            <w:pPr>
              <w:pStyle w:val="67"/>
              <w:keepNext w:val="0"/>
              <w:keepLines w:val="0"/>
              <w:pageBreakBefore w:val="0"/>
              <w:tabs>
                <w:tab w:val="left" w:pos="2850"/>
              </w:tabs>
              <w:kinsoku/>
              <w:wordWrap/>
              <w:overflowPunct/>
              <w:topLinePunct w:val="0"/>
              <w:autoSpaceDE/>
              <w:autoSpaceDN/>
              <w:bidi w:val="0"/>
              <w:adjustRightInd w:val="0"/>
              <w:snapToGrid w:val="0"/>
              <w:spacing w:before="0" w:beforeLines="0" w:line="360" w:lineRule="auto"/>
              <w:ind w:firstLine="482" w:firstLineChars="200"/>
              <w:textAlignment w:val="auto"/>
              <w:outlineLvl w:val="9"/>
              <w:rPr>
                <w:rFonts w:hint="default" w:ascii="Times New Roman" w:hAnsi="Times New Roman" w:eastAsia="宋体" w:cs="Times New Roman"/>
                <w:b w:val="0"/>
                <w:snapToGrid/>
                <w:color w:val="000000"/>
                <w:kern w:val="2"/>
                <w:sz w:val="24"/>
                <w:szCs w:val="24"/>
                <w:highlight w:val="none"/>
                <w:lang w:val="en-US" w:eastAsia="zh-CN" w:bidi="ar-SA"/>
              </w:rPr>
            </w:pPr>
            <m:oMath>
              <m:sSub>
                <m:sSubPr>
                  <m:ctrlPr>
                    <w:rPr>
                      <w:rFonts w:hint="default" w:ascii="Cambria Math" w:hAnsi="Cambria Math"/>
                      <w:sz w:val="24"/>
                    </w:rPr>
                  </m:ctrlPr>
                </m:sSubPr>
                <m:e>
                  <m:r>
                    <m:rPr/>
                    <w:rPr>
                      <w:rFonts w:hint="default" w:ascii="Cambria Math" w:hAnsi="Cambria Math"/>
                      <w:sz w:val="24"/>
                    </w:rPr>
                    <m:t>T</m:t>
                  </m:r>
                  <m:ctrlPr>
                    <w:rPr>
                      <w:rFonts w:ascii="Cambria Math" w:hAnsi="Cambria Math"/>
                      <w:sz w:val="24"/>
                    </w:rPr>
                  </m:ctrlPr>
                </m:e>
                <m:sub>
                  <m:r>
                    <m:rPr/>
                    <w:rPr>
                      <w:rFonts w:hint="default" w:ascii="Cambria Math" w:hAnsi="Cambria Math"/>
                      <w:sz w:val="24"/>
                    </w:rPr>
                    <m:t>m</m:t>
                  </m:r>
                  <m:ctrlPr>
                    <w:rPr>
                      <w:rFonts w:ascii="Cambria Math" w:hAnsi="Cambria Math"/>
                      <w:sz w:val="24"/>
                    </w:rPr>
                  </m:ctrlPr>
                </m:sub>
              </m:sSub>
            </m:oMath>
            <w:r>
              <w:rPr>
                <w:rFonts w:hint="default" w:ascii="Times New Roman" w:hAnsi="Times New Roman" w:eastAsia="宋体" w:cs="Times New Roman"/>
                <w:b w:val="0"/>
                <w:snapToGrid/>
                <w:color w:val="000000"/>
                <w:kern w:val="2"/>
                <w:sz w:val="24"/>
                <w:szCs w:val="24"/>
                <w:highlight w:val="none"/>
                <w:lang w:val="en-US" w:eastAsia="zh-CN" w:bidi="ar-SA"/>
              </w:rPr>
              <w:t>指堆场类型控制效率（单位：%），本项目为全封闭式煤棚，通过查表，密闭式堆场控制效率为99%。</w:t>
            </w:r>
          </w:p>
          <w:p w14:paraId="21F694B7">
            <w:pPr>
              <w:pStyle w:val="67"/>
              <w:keepNext w:val="0"/>
              <w:keepLines w:val="0"/>
              <w:pageBreakBefore w:val="0"/>
              <w:tabs>
                <w:tab w:val="left" w:pos="2850"/>
              </w:tabs>
              <w:kinsoku/>
              <w:wordWrap/>
              <w:overflowPunct/>
              <w:topLinePunct w:val="0"/>
              <w:autoSpaceDE/>
              <w:autoSpaceDN/>
              <w:bidi w:val="0"/>
              <w:adjustRightInd w:val="0"/>
              <w:snapToGrid w:val="0"/>
              <w:spacing w:before="0" w:beforeLines="0" w:line="360" w:lineRule="auto"/>
              <w:ind w:firstLine="480" w:firstLineChars="200"/>
              <w:textAlignment w:val="auto"/>
              <w:outlineLvl w:val="9"/>
              <w:rPr>
                <w:rFonts w:hint="default" w:ascii="Times New Roman" w:hAnsi="Times New Roman" w:eastAsia="宋体" w:cs="Times New Roman"/>
                <w:b w:val="0"/>
                <w:snapToGrid/>
                <w:color w:val="000000"/>
                <w:kern w:val="2"/>
                <w:sz w:val="24"/>
                <w:szCs w:val="24"/>
                <w:highlight w:val="none"/>
                <w:lang w:val="en-US" w:eastAsia="zh-CN" w:bidi="ar-SA"/>
              </w:rPr>
            </w:pPr>
            <w:r>
              <w:rPr>
                <w:rFonts w:hint="default" w:ascii="Times New Roman" w:hAnsi="Times New Roman" w:eastAsia="宋体" w:cs="Times New Roman"/>
                <w:b w:val="0"/>
                <w:snapToGrid/>
                <w:color w:val="000000"/>
                <w:kern w:val="2"/>
                <w:sz w:val="24"/>
                <w:szCs w:val="24"/>
                <w:highlight w:val="none"/>
                <w:lang w:val="en-US" w:eastAsia="zh-CN" w:bidi="ar-SA"/>
              </w:rPr>
              <w:t>通过上述堆场颗粒物排放量核算公式计算可知，本项目</w:t>
            </w:r>
            <w:r>
              <w:rPr>
                <w:rFonts w:hint="eastAsia" w:cs="Times New Roman"/>
                <w:b w:val="0"/>
                <w:snapToGrid/>
                <w:color w:val="000000"/>
                <w:kern w:val="2"/>
                <w:sz w:val="24"/>
                <w:szCs w:val="24"/>
                <w:highlight w:val="none"/>
                <w:lang w:val="en-US" w:eastAsia="zh-CN" w:bidi="ar-SA"/>
              </w:rPr>
              <w:t>堆存</w:t>
            </w:r>
            <w:r>
              <w:rPr>
                <w:rFonts w:hint="default" w:ascii="Times New Roman" w:hAnsi="Times New Roman" w:eastAsia="宋体" w:cs="Times New Roman"/>
                <w:b w:val="0"/>
                <w:snapToGrid/>
                <w:color w:val="000000"/>
                <w:kern w:val="2"/>
                <w:sz w:val="24"/>
                <w:szCs w:val="24"/>
                <w:highlight w:val="none"/>
                <w:lang w:val="en-US" w:eastAsia="zh-CN" w:bidi="ar-SA"/>
              </w:rPr>
              <w:t>尘颗粒物的排放量为</w:t>
            </w:r>
            <w:r>
              <w:rPr>
                <w:rFonts w:hint="eastAsia" w:cs="Times New Roman"/>
                <w:b w:val="0"/>
                <w:snapToGrid/>
                <w:color w:val="000000"/>
                <w:kern w:val="2"/>
                <w:sz w:val="24"/>
                <w:szCs w:val="24"/>
                <w:highlight w:val="none"/>
                <w:lang w:val="en-US" w:eastAsia="zh-CN" w:bidi="ar-SA"/>
              </w:rPr>
              <w:t>1.73</w:t>
            </w:r>
            <w:r>
              <w:rPr>
                <w:rFonts w:hint="default" w:ascii="Times New Roman" w:hAnsi="Times New Roman" w:eastAsia="宋体" w:cs="Times New Roman"/>
                <w:b w:val="0"/>
                <w:snapToGrid/>
                <w:color w:val="000000"/>
                <w:kern w:val="2"/>
                <w:sz w:val="24"/>
                <w:szCs w:val="24"/>
                <w:highlight w:val="none"/>
                <w:lang w:val="en-US" w:eastAsia="zh-CN" w:bidi="ar-SA"/>
              </w:rPr>
              <w:t>t/a。</w:t>
            </w:r>
          </w:p>
          <w:p w14:paraId="3CD124FC">
            <w:pPr>
              <w:pStyle w:val="67"/>
              <w:keepNext w:val="0"/>
              <w:keepLines w:val="0"/>
              <w:pageBreakBefore w:val="0"/>
              <w:tabs>
                <w:tab w:val="left" w:pos="2850"/>
              </w:tabs>
              <w:kinsoku/>
              <w:wordWrap/>
              <w:overflowPunct/>
              <w:topLinePunct w:val="0"/>
              <w:autoSpaceDE/>
              <w:autoSpaceDN/>
              <w:bidi w:val="0"/>
              <w:adjustRightInd w:val="0"/>
              <w:snapToGrid w:val="0"/>
              <w:spacing w:before="0" w:beforeLines="0" w:line="360" w:lineRule="auto"/>
              <w:ind w:firstLine="482" w:firstLineChars="200"/>
              <w:textAlignment w:val="auto"/>
              <w:outlineLvl w:val="9"/>
              <w:rPr>
                <w:rFonts w:hint="default" w:cs="Times New Roman"/>
                <w:b w:val="0"/>
                <w:snapToGrid/>
                <w:color w:val="000000"/>
                <w:kern w:val="2"/>
                <w:sz w:val="24"/>
                <w:szCs w:val="24"/>
                <w:highlight w:val="none"/>
                <w:lang w:val="en-US" w:eastAsia="zh-CN" w:bidi="ar-SA"/>
              </w:rPr>
            </w:pPr>
            <w:r>
              <w:rPr>
                <w:rFonts w:hint="eastAsia" w:ascii="Times New Roman" w:hAnsi="Times New Roman" w:eastAsia="宋体" w:cs="Times New Roman"/>
                <w:b/>
                <w:bCs/>
                <w:snapToGrid w:val="0"/>
                <w:color w:val="000000"/>
                <w:kern w:val="0"/>
                <w:sz w:val="24"/>
                <w:szCs w:val="24"/>
                <w:highlight w:val="none"/>
                <w:lang w:val="en-US" w:eastAsia="zh-CN" w:bidi="ar-SA"/>
              </w:rPr>
              <w:t>1.1.2筛分粉尘</w:t>
            </w:r>
          </w:p>
          <w:p w14:paraId="6FC874FA">
            <w:pPr>
              <w:pStyle w:val="67"/>
              <w:keepNext w:val="0"/>
              <w:keepLines w:val="0"/>
              <w:pageBreakBefore w:val="0"/>
              <w:tabs>
                <w:tab w:val="left" w:pos="2850"/>
              </w:tabs>
              <w:kinsoku/>
              <w:wordWrap/>
              <w:overflowPunct/>
              <w:topLinePunct w:val="0"/>
              <w:autoSpaceDE/>
              <w:autoSpaceDN/>
              <w:bidi w:val="0"/>
              <w:adjustRightInd w:val="0"/>
              <w:snapToGrid w:val="0"/>
              <w:spacing w:before="0" w:beforeLines="0" w:line="360" w:lineRule="auto"/>
              <w:ind w:firstLine="480" w:firstLineChars="200"/>
              <w:textAlignment w:val="auto"/>
              <w:outlineLvl w:val="9"/>
              <w:rPr>
                <w:rFonts w:hint="default" w:ascii="Times New Roman" w:hAnsi="Times New Roman" w:eastAsia="宋体" w:cs="Times New Roman"/>
                <w:b w:val="0"/>
                <w:snapToGrid/>
                <w:color w:val="000000"/>
                <w:kern w:val="2"/>
                <w:sz w:val="24"/>
                <w:szCs w:val="24"/>
                <w:highlight w:val="none"/>
                <w:lang w:val="en-US" w:eastAsia="zh-CN" w:bidi="ar-SA"/>
              </w:rPr>
            </w:pPr>
            <w:r>
              <w:rPr>
                <w:rFonts w:hint="eastAsia" w:ascii="Times New Roman" w:hAnsi="Times New Roman" w:eastAsia="宋体" w:cs="Times New Roman"/>
                <w:b w:val="0"/>
                <w:snapToGrid/>
                <w:color w:val="000000"/>
                <w:kern w:val="2"/>
                <w:sz w:val="24"/>
                <w:szCs w:val="24"/>
                <w:highlight w:val="none"/>
                <w:lang w:val="en-US" w:eastAsia="zh-CN" w:bidi="ar-SA"/>
              </w:rPr>
              <w:t>根据《</w:t>
            </w:r>
            <w:r>
              <w:rPr>
                <w:rFonts w:hint="eastAsia" w:ascii="Times New Roman" w:hAnsi="Times New Roman" w:eastAsia="宋体" w:cs="Times New Roman"/>
                <w:b w:val="0"/>
                <w:snapToGrid/>
                <w:color w:val="000000"/>
                <w:kern w:val="2"/>
                <w:sz w:val="24"/>
                <w:szCs w:val="24"/>
                <w:highlight w:val="none"/>
                <w:lang w:val="en-US" w:eastAsia="zh-CN" w:bidi="ar-SA"/>
              </w:rPr>
              <w:fldChar w:fldCharType="begin"/>
            </w:r>
            <w:r>
              <w:rPr>
                <w:rFonts w:hint="eastAsia" w:ascii="Times New Roman" w:hAnsi="Times New Roman" w:eastAsia="宋体" w:cs="Times New Roman"/>
                <w:b w:val="0"/>
                <w:snapToGrid/>
                <w:color w:val="000000"/>
                <w:kern w:val="2"/>
                <w:sz w:val="24"/>
                <w:szCs w:val="24"/>
                <w:highlight w:val="none"/>
                <w:lang w:val="en-US" w:eastAsia="zh-CN" w:bidi="ar-SA"/>
              </w:rPr>
              <w:instrText xml:space="preserve"> HYPERLINK "https://www.mee.gov.cn/xxgk2018/xxgk/xxgk01/202106/W020210624327149500026.pdf" </w:instrText>
            </w:r>
            <w:r>
              <w:rPr>
                <w:rFonts w:hint="eastAsia" w:ascii="Times New Roman" w:hAnsi="Times New Roman" w:eastAsia="宋体" w:cs="Times New Roman"/>
                <w:b w:val="0"/>
                <w:snapToGrid/>
                <w:color w:val="000000"/>
                <w:kern w:val="2"/>
                <w:sz w:val="24"/>
                <w:szCs w:val="24"/>
                <w:highlight w:val="none"/>
                <w:lang w:val="en-US" w:eastAsia="zh-CN" w:bidi="ar-SA"/>
              </w:rPr>
              <w:fldChar w:fldCharType="separate"/>
            </w:r>
            <w:r>
              <w:rPr>
                <w:rFonts w:hint="eastAsia" w:ascii="Times New Roman" w:hAnsi="Times New Roman" w:eastAsia="宋体" w:cs="Times New Roman"/>
                <w:b w:val="0"/>
                <w:snapToGrid/>
                <w:color w:val="000000"/>
                <w:kern w:val="2"/>
                <w:sz w:val="24"/>
                <w:szCs w:val="24"/>
                <w:highlight w:val="none"/>
                <w:lang w:val="en-US" w:eastAsia="zh-CN" w:bidi="ar-SA"/>
              </w:rPr>
              <w:t>排放源统计调查产排污核算方法和系数手册</w:t>
            </w:r>
            <w:r>
              <w:rPr>
                <w:rFonts w:hint="eastAsia" w:ascii="Times New Roman" w:hAnsi="Times New Roman" w:eastAsia="宋体" w:cs="Times New Roman"/>
                <w:b w:val="0"/>
                <w:snapToGrid/>
                <w:color w:val="000000"/>
                <w:kern w:val="2"/>
                <w:sz w:val="24"/>
                <w:szCs w:val="24"/>
                <w:highlight w:val="none"/>
                <w:lang w:val="en-US" w:eastAsia="zh-CN" w:bidi="ar-SA"/>
              </w:rPr>
              <w:fldChar w:fldCharType="end"/>
            </w:r>
            <w:r>
              <w:rPr>
                <w:rFonts w:hint="eastAsia" w:ascii="Times New Roman" w:hAnsi="Times New Roman" w:eastAsia="宋体" w:cs="Times New Roman"/>
                <w:b w:val="0"/>
                <w:snapToGrid/>
                <w:color w:val="000000"/>
                <w:kern w:val="2"/>
                <w:sz w:val="24"/>
                <w:szCs w:val="24"/>
                <w:highlight w:val="none"/>
                <w:lang w:val="en-US" w:eastAsia="zh-CN" w:bidi="ar-SA"/>
              </w:rPr>
              <w:t>》中“252煤炭加工行业系数手册”表4原料煤筛分产污系数为0.0667（</w:t>
            </w:r>
            <w:r>
              <w:rPr>
                <w:rFonts w:hint="default" w:ascii="Times New Roman" w:hAnsi="Times New Roman" w:eastAsia="宋体" w:cs="Times New Roman"/>
                <w:b w:val="0"/>
                <w:snapToGrid/>
                <w:color w:val="000000"/>
                <w:kern w:val="2"/>
                <w:sz w:val="24"/>
                <w:szCs w:val="24"/>
                <w:highlight w:val="none"/>
                <w:lang w:val="en-US" w:eastAsia="zh-CN" w:bidi="ar-SA"/>
              </w:rPr>
              <w:t>单位：千克/</w:t>
            </w:r>
            <w:r>
              <w:rPr>
                <w:rFonts w:hint="eastAsia" w:ascii="Times New Roman" w:hAnsi="Times New Roman" w:eastAsia="宋体" w:cs="Times New Roman"/>
                <w:b w:val="0"/>
                <w:snapToGrid/>
                <w:color w:val="000000"/>
                <w:kern w:val="2"/>
                <w:sz w:val="24"/>
                <w:szCs w:val="24"/>
                <w:highlight w:val="none"/>
                <w:lang w:val="en-US" w:eastAsia="zh-CN" w:bidi="ar-SA"/>
              </w:rPr>
              <w:t>吨-产品），本项目年转运50000吨煤，产生的筛分粉尘为3.335</w:t>
            </w:r>
            <w:r>
              <w:rPr>
                <w:rFonts w:hint="default" w:ascii="Times New Roman" w:hAnsi="Times New Roman" w:eastAsia="宋体" w:cs="Times New Roman"/>
                <w:b w:val="0"/>
                <w:snapToGrid/>
                <w:color w:val="000000"/>
                <w:kern w:val="2"/>
                <w:sz w:val="24"/>
                <w:szCs w:val="24"/>
                <w:highlight w:val="none"/>
                <w:lang w:val="en-US" w:eastAsia="zh-CN" w:bidi="ar-SA"/>
              </w:rPr>
              <w:t>t/a</w:t>
            </w:r>
            <w:r>
              <w:rPr>
                <w:rFonts w:hint="eastAsia" w:ascii="Times New Roman" w:hAnsi="Times New Roman" w:eastAsia="宋体" w:cs="Times New Roman"/>
                <w:b w:val="0"/>
                <w:snapToGrid/>
                <w:color w:val="000000"/>
                <w:kern w:val="2"/>
                <w:sz w:val="24"/>
                <w:szCs w:val="24"/>
                <w:highlight w:val="none"/>
                <w:lang w:val="en-US" w:eastAsia="zh-CN" w:bidi="ar-SA"/>
              </w:rPr>
              <w:t>。筛分</w:t>
            </w:r>
            <w:r>
              <w:rPr>
                <w:rFonts w:hint="default" w:ascii="Times New Roman" w:hAnsi="Times New Roman" w:eastAsia="宋体" w:cs="Times New Roman"/>
                <w:b w:val="0"/>
                <w:snapToGrid/>
                <w:color w:val="000000"/>
                <w:kern w:val="2"/>
                <w:sz w:val="24"/>
                <w:szCs w:val="24"/>
                <w:highlight w:val="none"/>
                <w:lang w:val="en-US" w:eastAsia="zh-CN" w:bidi="ar-SA"/>
              </w:rPr>
              <w:t>工序在全封闭储煤棚内进行，在</w:t>
            </w:r>
            <w:r>
              <w:rPr>
                <w:rFonts w:hint="eastAsia" w:ascii="Times New Roman" w:hAnsi="Times New Roman" w:eastAsia="宋体" w:cs="Times New Roman"/>
                <w:b w:val="0"/>
                <w:snapToGrid/>
                <w:color w:val="000000"/>
                <w:kern w:val="2"/>
                <w:sz w:val="24"/>
                <w:szCs w:val="24"/>
                <w:highlight w:val="none"/>
                <w:lang w:val="en-US" w:eastAsia="zh-CN" w:bidi="ar-SA"/>
              </w:rPr>
              <w:t>筛分</w:t>
            </w:r>
            <w:r>
              <w:rPr>
                <w:rFonts w:hint="default" w:ascii="Times New Roman" w:hAnsi="Times New Roman" w:eastAsia="宋体" w:cs="Times New Roman"/>
                <w:b w:val="0"/>
                <w:snapToGrid/>
                <w:color w:val="000000"/>
                <w:kern w:val="2"/>
                <w:sz w:val="24"/>
                <w:szCs w:val="24"/>
                <w:highlight w:val="none"/>
                <w:lang w:val="en-US" w:eastAsia="zh-CN" w:bidi="ar-SA"/>
              </w:rPr>
              <w:t>机进行洒水降尘，</w:t>
            </w:r>
            <w:r>
              <w:rPr>
                <w:rFonts w:hint="eastAsia" w:ascii="Times New Roman" w:hAnsi="Times New Roman" w:eastAsia="宋体" w:cs="Times New Roman"/>
                <w:b w:val="0"/>
                <w:snapToGrid/>
                <w:color w:val="000000"/>
                <w:kern w:val="2"/>
                <w:sz w:val="24"/>
                <w:szCs w:val="24"/>
                <w:highlight w:val="none"/>
                <w:lang w:val="en-US" w:eastAsia="zh-CN" w:bidi="ar-SA"/>
              </w:rPr>
              <w:t>筛分</w:t>
            </w:r>
            <w:r>
              <w:rPr>
                <w:rFonts w:hint="default" w:ascii="Times New Roman" w:hAnsi="Times New Roman" w:eastAsia="宋体" w:cs="Times New Roman"/>
                <w:b w:val="0"/>
                <w:snapToGrid/>
                <w:color w:val="000000"/>
                <w:kern w:val="2"/>
                <w:sz w:val="24"/>
                <w:szCs w:val="24"/>
                <w:highlight w:val="none"/>
                <w:lang w:val="en-US" w:eastAsia="zh-CN" w:bidi="ar-SA"/>
              </w:rPr>
              <w:t>工段密闭进行，采取上述措施后，根据《关于发布〈排放源统计调查产排污核算方法和系数手册〉的公告》中附表2工业源固体物料堆场颗粒物核算系数手册，洒水的控制去尘效率为74%，则</w:t>
            </w:r>
            <w:r>
              <w:rPr>
                <w:rFonts w:hint="eastAsia" w:ascii="Times New Roman" w:hAnsi="Times New Roman" w:eastAsia="宋体" w:cs="Times New Roman"/>
                <w:b w:val="0"/>
                <w:snapToGrid/>
                <w:color w:val="000000"/>
                <w:kern w:val="2"/>
                <w:sz w:val="24"/>
                <w:szCs w:val="24"/>
                <w:highlight w:val="none"/>
                <w:lang w:val="en-US" w:eastAsia="zh-CN" w:bidi="ar-SA"/>
              </w:rPr>
              <w:t>筛分</w:t>
            </w:r>
            <w:r>
              <w:rPr>
                <w:rFonts w:hint="default" w:ascii="Times New Roman" w:hAnsi="Times New Roman" w:eastAsia="宋体" w:cs="Times New Roman"/>
                <w:b w:val="0"/>
                <w:snapToGrid/>
                <w:color w:val="000000"/>
                <w:kern w:val="2"/>
                <w:sz w:val="24"/>
                <w:szCs w:val="24"/>
                <w:highlight w:val="none"/>
                <w:lang w:val="en-US" w:eastAsia="zh-CN" w:bidi="ar-SA"/>
              </w:rPr>
              <w:t>粉尘排放量约为</w:t>
            </w:r>
            <w:r>
              <w:rPr>
                <w:rFonts w:hint="eastAsia" w:ascii="Times New Roman" w:hAnsi="Times New Roman" w:eastAsia="宋体" w:cs="Times New Roman"/>
                <w:b w:val="0"/>
                <w:snapToGrid/>
                <w:color w:val="000000"/>
                <w:kern w:val="2"/>
                <w:sz w:val="24"/>
                <w:szCs w:val="24"/>
                <w:highlight w:val="none"/>
                <w:lang w:val="en-US" w:eastAsia="zh-CN" w:bidi="ar-SA"/>
              </w:rPr>
              <w:t>0.867</w:t>
            </w:r>
            <w:r>
              <w:rPr>
                <w:rFonts w:hint="default" w:ascii="Times New Roman" w:hAnsi="Times New Roman" w:eastAsia="宋体" w:cs="Times New Roman"/>
                <w:b w:val="0"/>
                <w:snapToGrid/>
                <w:color w:val="000000"/>
                <w:kern w:val="2"/>
                <w:sz w:val="24"/>
                <w:szCs w:val="24"/>
                <w:highlight w:val="none"/>
                <w:lang w:val="en-US" w:eastAsia="zh-CN" w:bidi="ar-SA"/>
              </w:rPr>
              <w:t>t/a。</w:t>
            </w:r>
          </w:p>
          <w:p w14:paraId="2CACB00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snapToGrid w:val="0"/>
                <w:color w:val="000000"/>
                <w:kern w:val="0"/>
                <w:sz w:val="24"/>
                <w:highlight w:val="none"/>
                <w:lang w:val="en-US" w:eastAsia="zh-CN"/>
              </w:rPr>
            </w:pPr>
            <w:r>
              <w:rPr>
                <w:rFonts w:hint="default" w:ascii="Times New Roman" w:hAnsi="Times New Roman" w:eastAsia="宋体" w:cs="Times New Roman"/>
                <w:b/>
                <w:bCs/>
                <w:snapToGrid w:val="0"/>
                <w:color w:val="000000"/>
                <w:kern w:val="0"/>
                <w:sz w:val="24"/>
                <w:highlight w:val="none"/>
                <w:lang w:val="en-US" w:eastAsia="zh-CN"/>
              </w:rPr>
              <w:t>1.1.</w:t>
            </w:r>
            <w:r>
              <w:rPr>
                <w:rFonts w:hint="eastAsia" w:cs="Times New Roman"/>
                <w:b/>
                <w:bCs/>
                <w:snapToGrid w:val="0"/>
                <w:color w:val="000000"/>
                <w:kern w:val="0"/>
                <w:sz w:val="24"/>
                <w:highlight w:val="none"/>
                <w:lang w:val="en-US" w:eastAsia="zh-CN"/>
              </w:rPr>
              <w:t>3</w:t>
            </w:r>
            <w:r>
              <w:rPr>
                <w:rFonts w:hint="eastAsia" w:ascii="Times New Roman" w:hAnsi="Times New Roman" w:eastAsia="宋体" w:cs="Times New Roman"/>
                <w:b/>
                <w:bCs/>
                <w:snapToGrid w:val="0"/>
                <w:color w:val="000000"/>
                <w:kern w:val="0"/>
                <w:sz w:val="24"/>
                <w:highlight w:val="none"/>
                <w:lang w:val="en-US" w:eastAsia="zh-CN"/>
              </w:rPr>
              <w:t>配煤粉尘</w:t>
            </w:r>
          </w:p>
          <w:p w14:paraId="6022C5D4">
            <w:pPr>
              <w:pStyle w:val="67"/>
              <w:keepNext w:val="0"/>
              <w:keepLines w:val="0"/>
              <w:pageBreakBefore w:val="0"/>
              <w:tabs>
                <w:tab w:val="left" w:pos="2850"/>
              </w:tabs>
              <w:kinsoku/>
              <w:wordWrap/>
              <w:overflowPunct/>
              <w:topLinePunct w:val="0"/>
              <w:autoSpaceDE/>
              <w:autoSpaceDN/>
              <w:bidi w:val="0"/>
              <w:adjustRightInd w:val="0"/>
              <w:snapToGrid w:val="0"/>
              <w:spacing w:before="0" w:beforeLines="0" w:line="360" w:lineRule="auto"/>
              <w:ind w:firstLine="480" w:firstLineChars="200"/>
              <w:textAlignment w:val="auto"/>
              <w:outlineLvl w:val="9"/>
              <w:rPr>
                <w:rFonts w:hint="default" w:ascii="Times New Roman" w:hAnsi="Times New Roman" w:eastAsia="宋体" w:cs="Times New Roman"/>
                <w:b w:val="0"/>
                <w:snapToGrid/>
                <w:color w:val="000000"/>
                <w:kern w:val="2"/>
                <w:sz w:val="24"/>
                <w:szCs w:val="24"/>
                <w:highlight w:val="none"/>
                <w:lang w:val="en-US" w:eastAsia="zh-CN" w:bidi="ar-SA"/>
              </w:rPr>
            </w:pPr>
            <w:r>
              <w:rPr>
                <w:rFonts w:hint="default" w:ascii="Times New Roman" w:hAnsi="Times New Roman" w:eastAsia="宋体" w:cs="Times New Roman"/>
                <w:b w:val="0"/>
                <w:snapToGrid/>
                <w:color w:val="000000"/>
                <w:kern w:val="2"/>
                <w:sz w:val="24"/>
                <w:szCs w:val="24"/>
                <w:highlight w:val="none"/>
                <w:lang w:val="en-US" w:eastAsia="zh-CN" w:bidi="ar-SA"/>
              </w:rPr>
              <w:t>项目储煤棚内设三台配煤机，运行过程中经装载机将所需煤种添加至料斗内，然后料斗内各煤种经电子称量配比后进入配煤机，原料煤经配煤机混合均匀后，经皮带输送至配煤产品堆存区。配煤过程粉尘主要产生于料斗受料、混合搅拌、卸料三个工序，根据《逸散性工业粉尘控制技术》表19-2煤加工过程逸散尘的排放因子，配煤过程料斗受料工段及卸料工段粉尘产生系数均为0.01kg/t（卸料），原煤混合配煤工序中配煤机作用类似于筛选分配，配煤粉尘产生系数按照二级破碎和筛选</w:t>
            </w:r>
            <w:r>
              <w:rPr>
                <w:rFonts w:hint="eastAsia" w:cs="Times New Roman"/>
                <w:b w:val="0"/>
                <w:snapToGrid/>
                <w:color w:val="000000"/>
                <w:kern w:val="2"/>
                <w:sz w:val="24"/>
                <w:szCs w:val="24"/>
                <w:highlight w:val="none"/>
                <w:lang w:val="en-US" w:eastAsia="zh-CN" w:bidi="ar-SA"/>
              </w:rPr>
              <w:t>计算</w:t>
            </w:r>
            <w:r>
              <w:rPr>
                <w:rFonts w:hint="default" w:ascii="Times New Roman" w:hAnsi="Times New Roman" w:eastAsia="宋体" w:cs="Times New Roman"/>
                <w:b w:val="0"/>
                <w:snapToGrid/>
                <w:color w:val="000000"/>
                <w:kern w:val="2"/>
                <w:sz w:val="24"/>
                <w:szCs w:val="24"/>
                <w:highlight w:val="none"/>
                <w:lang w:val="en-US" w:eastAsia="zh-CN" w:bidi="ar-SA"/>
              </w:rPr>
              <w:t>，产尘系数为0.08kg/t，本项目年配煤量为50000t，则本项目配煤过程中料斗受料、配煤机卸料、配煤混合搅拌配煤工序粉尘产生量为</w:t>
            </w:r>
            <w:r>
              <w:rPr>
                <w:rFonts w:hint="eastAsia" w:cs="Times New Roman"/>
                <w:b w:val="0"/>
                <w:snapToGrid/>
                <w:color w:val="000000"/>
                <w:kern w:val="2"/>
                <w:sz w:val="24"/>
                <w:szCs w:val="24"/>
                <w:highlight w:val="none"/>
                <w:lang w:val="en-US" w:eastAsia="zh-CN" w:bidi="ar-SA"/>
              </w:rPr>
              <w:t>4.5</w:t>
            </w:r>
            <w:r>
              <w:rPr>
                <w:rFonts w:hint="default" w:ascii="Times New Roman" w:hAnsi="Times New Roman" w:eastAsia="宋体" w:cs="Times New Roman"/>
                <w:b w:val="0"/>
                <w:snapToGrid/>
                <w:color w:val="000000"/>
                <w:kern w:val="2"/>
                <w:sz w:val="24"/>
                <w:szCs w:val="24"/>
                <w:highlight w:val="none"/>
                <w:lang w:val="en-US" w:eastAsia="zh-CN" w:bidi="ar-SA"/>
              </w:rPr>
              <w:t>t/a，配煤工序在全封闭储煤棚内进行，在配煤机受料口及卸料口处</w:t>
            </w:r>
            <w:r>
              <w:rPr>
                <w:rFonts w:hint="eastAsia" w:cs="Times New Roman"/>
                <w:b w:val="0"/>
                <w:snapToGrid/>
                <w:color w:val="000000"/>
                <w:kern w:val="2"/>
                <w:sz w:val="24"/>
                <w:szCs w:val="24"/>
                <w:highlight w:val="none"/>
                <w:lang w:val="en-US" w:eastAsia="zh-CN" w:bidi="ar-SA"/>
              </w:rPr>
              <w:t>设置</w:t>
            </w:r>
            <w:r>
              <w:rPr>
                <w:rFonts w:hint="default" w:ascii="Times New Roman" w:hAnsi="Times New Roman" w:eastAsia="宋体" w:cs="Times New Roman"/>
                <w:b w:val="0"/>
                <w:snapToGrid/>
                <w:color w:val="000000"/>
                <w:kern w:val="2"/>
                <w:sz w:val="24"/>
                <w:szCs w:val="24"/>
                <w:highlight w:val="none"/>
                <w:lang w:val="en-US" w:eastAsia="zh-CN" w:bidi="ar-SA"/>
              </w:rPr>
              <w:t>雾炮机降尘设施进行洒水降尘，混合配料工段密闭进行，采取上述措施后，根据《关于发布〈排放源统计调查产排污核算方法和系数手册〉的公告》中附表2工业源固体物料堆场颗粒物核算系数手册，洒水的控制去尘效率为74%，则配煤机粉尘排放量约为</w:t>
            </w:r>
            <w:r>
              <w:rPr>
                <w:rFonts w:hint="eastAsia" w:cs="Times New Roman"/>
                <w:b w:val="0"/>
                <w:snapToGrid/>
                <w:color w:val="000000"/>
                <w:kern w:val="2"/>
                <w:sz w:val="24"/>
                <w:szCs w:val="24"/>
                <w:highlight w:val="none"/>
                <w:lang w:val="en-US" w:eastAsia="zh-CN" w:bidi="ar-SA"/>
              </w:rPr>
              <w:t>1.17</w:t>
            </w:r>
            <w:r>
              <w:rPr>
                <w:rFonts w:hint="default" w:ascii="Times New Roman" w:hAnsi="Times New Roman" w:eastAsia="宋体" w:cs="Times New Roman"/>
                <w:b w:val="0"/>
                <w:snapToGrid/>
                <w:color w:val="000000"/>
                <w:kern w:val="2"/>
                <w:sz w:val="24"/>
                <w:szCs w:val="24"/>
                <w:highlight w:val="none"/>
                <w:lang w:val="en-US" w:eastAsia="zh-CN" w:bidi="ar-SA"/>
              </w:rPr>
              <w:t>t/a。</w:t>
            </w:r>
          </w:p>
          <w:p w14:paraId="46BDAC8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snapToGrid w:val="0"/>
                <w:color w:val="000000"/>
                <w:kern w:val="0"/>
                <w:sz w:val="24"/>
                <w:highlight w:val="none"/>
                <w:lang w:val="en-US" w:eastAsia="zh-CN"/>
              </w:rPr>
            </w:pPr>
            <w:r>
              <w:rPr>
                <w:rFonts w:hint="default" w:ascii="Times New Roman" w:hAnsi="Times New Roman" w:eastAsia="宋体" w:cs="Times New Roman"/>
                <w:b/>
                <w:bCs/>
                <w:snapToGrid w:val="0"/>
                <w:color w:val="000000"/>
                <w:kern w:val="0"/>
                <w:sz w:val="24"/>
                <w:highlight w:val="none"/>
                <w:lang w:val="en-US" w:eastAsia="zh-CN"/>
              </w:rPr>
              <w:t>1.1.</w:t>
            </w:r>
            <w:r>
              <w:rPr>
                <w:rFonts w:hint="eastAsia" w:cs="Times New Roman"/>
                <w:b/>
                <w:bCs/>
                <w:snapToGrid w:val="0"/>
                <w:color w:val="000000"/>
                <w:kern w:val="0"/>
                <w:sz w:val="24"/>
                <w:highlight w:val="none"/>
                <w:lang w:val="en-US" w:eastAsia="zh-CN"/>
              </w:rPr>
              <w:t>4</w:t>
            </w:r>
            <w:r>
              <w:rPr>
                <w:rFonts w:hint="default" w:ascii="Times New Roman" w:hAnsi="Times New Roman" w:eastAsia="宋体" w:cs="Times New Roman"/>
                <w:b/>
                <w:bCs/>
                <w:snapToGrid w:val="0"/>
                <w:color w:val="000000"/>
                <w:kern w:val="0"/>
                <w:sz w:val="24"/>
                <w:highlight w:val="none"/>
                <w:lang w:val="en-US" w:eastAsia="zh-CN"/>
              </w:rPr>
              <w:t>产生的运输扬尘</w:t>
            </w:r>
          </w:p>
          <w:p w14:paraId="379BB64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snapToGrid/>
                <w:color w:val="000000"/>
                <w:kern w:val="2"/>
                <w:sz w:val="24"/>
                <w:szCs w:val="24"/>
                <w:highlight w:val="none"/>
                <w:lang w:val="en-US" w:eastAsia="zh-CN" w:bidi="ar-SA"/>
              </w:rPr>
            </w:pPr>
            <w:r>
              <w:rPr>
                <w:rFonts w:hint="default" w:ascii="Times New Roman" w:hAnsi="Times New Roman" w:eastAsia="宋体" w:cs="Times New Roman"/>
                <w:b w:val="0"/>
                <w:snapToGrid/>
                <w:color w:val="000000"/>
                <w:kern w:val="2"/>
                <w:sz w:val="24"/>
                <w:szCs w:val="24"/>
                <w:highlight w:val="none"/>
                <w:lang w:val="en-US" w:eastAsia="zh-CN" w:bidi="ar-SA"/>
              </w:rPr>
              <w:t>本项目运营期运输车辆产生的扬尘为运煤车辆进出厂行驶时产生的扬尘。这些扬尘排放源均为无组织排放。车辆行驶产生的扬尘，在道路完全干燥的情况下，可按下列经验公式计算：</w:t>
            </w:r>
          </w:p>
          <w:p w14:paraId="4D8EE796">
            <w:pPr>
              <w:spacing w:line="388" w:lineRule="exact"/>
              <w:rPr>
                <w:rFonts w:hint="default" w:hAnsi="Cambria Math" w:eastAsia="宋体" w:cs="Times New Roman"/>
                <w:i w:val="0"/>
                <w:sz w:val="24"/>
              </w:rPr>
            </w:pPr>
            <m:oMathPara>
              <m:oMath>
                <m:sSub>
                  <m:sSubPr>
                    <m:ctrlPr>
                      <w:rPr>
                        <w:rFonts w:hint="default" w:ascii="Cambria Math" w:hAnsi="Cambria Math"/>
                        <w:sz w:val="24"/>
                      </w:rPr>
                    </m:ctrlPr>
                  </m:sSubPr>
                  <m:e>
                    <m:r>
                      <m:rPr/>
                      <w:rPr>
                        <w:rFonts w:hint="default" w:ascii="Cambria Math" w:hAnsi="Cambria Math"/>
                        <w:sz w:val="24"/>
                      </w:rPr>
                      <m:t>Q</m:t>
                    </m:r>
                    <m:ctrlPr>
                      <w:rPr>
                        <w:rFonts w:ascii="Cambria Math" w:hAnsi="Cambria Math"/>
                        <w:sz w:val="24"/>
                      </w:rPr>
                    </m:ctrlPr>
                  </m:e>
                  <m:sub>
                    <m:r>
                      <m:rPr/>
                      <w:rPr>
                        <w:rFonts w:hint="default" w:ascii="Cambria Math" w:hAnsi="Cambria Math"/>
                        <w:sz w:val="24"/>
                      </w:rPr>
                      <m:t>p</m:t>
                    </m:r>
                    <m:ctrlPr>
                      <w:rPr>
                        <w:rFonts w:ascii="Cambria Math" w:hAnsi="Cambria Math"/>
                        <w:sz w:val="24"/>
                      </w:rPr>
                    </m:ctrlPr>
                  </m:sub>
                </m:sSub>
                <m:r>
                  <m:rPr>
                    <m:nor/>
                    <m:sty m:val="p"/>
                  </m:rPr>
                  <w:rPr>
                    <w:rFonts w:hint="default" w:ascii="Cambria Math" w:hAnsi="Cambria Math" w:eastAsia="宋体" w:cs="Times New Roman"/>
                    <w:b w:val="0"/>
                    <w:i w:val="0"/>
                    <w:sz w:val="24"/>
                  </w:rPr>
                  <m:t>=0.123(V/5)(</m:t>
                </m:r>
                <m:r>
                  <m:rPr>
                    <m:nor/>
                  </m:rPr>
                  <w:rPr>
                    <w:rFonts w:hint="default" w:ascii="Cambria Math" w:hAnsi="Cambria Math"/>
                    <w:i/>
                    <w:sz w:val="24"/>
                  </w:rPr>
                  <m:t>M</m:t>
                </m:r>
                <m:r>
                  <m:rPr>
                    <m:nor/>
                    <m:sty m:val="p"/>
                  </m:rPr>
                  <w:rPr>
                    <w:rFonts w:hint="default" w:ascii="Cambria Math" w:hAnsi="Cambria Math" w:eastAsia="宋体" w:cs="Times New Roman"/>
                    <w:b w:val="0"/>
                    <w:i w:val="0"/>
                    <w:sz w:val="24"/>
                  </w:rPr>
                  <m:t>/6.8</m:t>
                </m:r>
                <m:sSup>
                  <m:sSupPr>
                    <m:ctrlPr>
                      <w:rPr>
                        <w:rFonts w:hint="default" w:ascii="Cambria Math" w:hAnsi="Cambria Math" w:eastAsia="宋体" w:cs="Times New Roman"/>
                        <w:sz w:val="24"/>
                      </w:rPr>
                    </m:ctrlPr>
                  </m:sSupPr>
                  <m:e>
                    <m:r>
                      <m:rPr>
                        <m:nor/>
                        <m:sty m:val="p"/>
                      </m:rPr>
                      <w:rPr>
                        <w:rFonts w:hint="default" w:ascii="Cambria Math" w:hAnsi="Cambria Math" w:eastAsia="宋体" w:cs="Times New Roman"/>
                        <w:b w:val="0"/>
                        <w:i w:val="0"/>
                        <w:sz w:val="24"/>
                      </w:rPr>
                      <m:t>)</m:t>
                    </m:r>
                    <m:ctrlPr>
                      <w:rPr>
                        <w:rFonts w:hint="default" w:ascii="Cambria Math" w:hAnsi="Cambria Math" w:eastAsia="宋体" w:cs="Times New Roman"/>
                        <w:sz w:val="24"/>
                      </w:rPr>
                    </m:ctrlPr>
                  </m:e>
                  <m:sup>
                    <m:r>
                      <m:rPr>
                        <m:nor/>
                        <m:sty m:val="p"/>
                      </m:rPr>
                      <w:rPr>
                        <w:rFonts w:hint="default" w:ascii="Cambria Math" w:hAnsi="Cambria Math" w:eastAsia="宋体" w:cs="Times New Roman"/>
                        <w:b w:val="0"/>
                        <w:i w:val="0"/>
                        <w:sz w:val="24"/>
                      </w:rPr>
                      <m:t>0.85</m:t>
                    </m:r>
                    <m:ctrlPr>
                      <w:rPr>
                        <w:rFonts w:hint="default" w:ascii="Cambria Math" w:hAnsi="Cambria Math" w:eastAsia="宋体" w:cs="Times New Roman"/>
                        <w:sz w:val="24"/>
                      </w:rPr>
                    </m:ctrlPr>
                  </m:sup>
                </m:sSup>
                <m:r>
                  <m:rPr>
                    <m:nor/>
                    <m:sty m:val="p"/>
                  </m:rPr>
                  <w:rPr>
                    <w:rFonts w:hint="default" w:ascii="Cambria Math" w:hAnsi="Cambria Math" w:eastAsia="宋体" w:cs="Times New Roman"/>
                    <w:b w:val="0"/>
                    <w:i w:val="0"/>
                    <w:sz w:val="24"/>
                  </w:rPr>
                  <m:t>(P/0.5</m:t>
                </m:r>
                <m:sSup>
                  <m:sSupPr>
                    <m:ctrlPr>
                      <w:rPr>
                        <w:rFonts w:hint="default" w:ascii="Cambria Math" w:hAnsi="Cambria Math" w:eastAsia="宋体" w:cs="Times New Roman"/>
                        <w:sz w:val="24"/>
                      </w:rPr>
                    </m:ctrlPr>
                  </m:sSupPr>
                  <m:e>
                    <m:r>
                      <m:rPr>
                        <m:nor/>
                        <m:sty m:val="p"/>
                      </m:rPr>
                      <w:rPr>
                        <w:rFonts w:hint="default" w:ascii="Cambria Math" w:hAnsi="Cambria Math" w:eastAsia="宋体" w:cs="Times New Roman"/>
                        <w:b w:val="0"/>
                        <w:i w:val="0"/>
                        <w:sz w:val="24"/>
                      </w:rPr>
                      <m:t>)</m:t>
                    </m:r>
                    <m:ctrlPr>
                      <w:rPr>
                        <w:rFonts w:hint="default" w:ascii="Cambria Math" w:hAnsi="Cambria Math" w:eastAsia="宋体" w:cs="Times New Roman"/>
                        <w:sz w:val="24"/>
                      </w:rPr>
                    </m:ctrlPr>
                  </m:e>
                  <m:sup>
                    <m:r>
                      <m:rPr>
                        <m:nor/>
                        <m:sty m:val="p"/>
                      </m:rPr>
                      <w:rPr>
                        <w:rFonts w:hint="default" w:ascii="Cambria Math" w:hAnsi="Cambria Math" w:eastAsia="宋体" w:cs="Times New Roman"/>
                        <w:b w:val="0"/>
                        <w:i w:val="0"/>
                        <w:sz w:val="24"/>
                      </w:rPr>
                      <m:t>0.75</m:t>
                    </m:r>
                    <m:ctrlPr>
                      <w:rPr>
                        <w:rFonts w:hint="default" w:ascii="Cambria Math" w:hAnsi="Cambria Math" w:eastAsia="宋体" w:cs="Times New Roman"/>
                        <w:sz w:val="24"/>
                      </w:rPr>
                    </m:ctrlPr>
                  </m:sup>
                </m:sSup>
              </m:oMath>
            </m:oMathPara>
          </w:p>
          <w:p w14:paraId="37A5DC05">
            <w:pPr>
              <w:spacing w:line="388" w:lineRule="exact"/>
              <w:rPr>
                <w:rFonts w:hint="default" w:hAnsi="Cambria Math" w:eastAsia="宋体" w:cs="Times New Roman"/>
                <w:i w:val="0"/>
                <w:sz w:val="24"/>
              </w:rPr>
            </w:pPr>
            <m:oMathPara>
              <m:oMath>
                <m:sSub>
                  <m:sSubPr>
                    <m:ctrlPr>
                      <w:rPr>
                        <w:rFonts w:hint="default" w:ascii="Cambria Math" w:hAnsi="Cambria Math"/>
                        <w:sz w:val="24"/>
                      </w:rPr>
                    </m:ctrlPr>
                  </m:sSubPr>
                  <m:e>
                    <m:r>
                      <m:rPr/>
                      <w:rPr>
                        <w:rFonts w:hint="default" w:ascii="Cambria Math" w:hAnsi="Cambria Math"/>
                        <w:sz w:val="24"/>
                      </w:rPr>
                      <m:t>Q</m:t>
                    </m:r>
                    <m:ctrlPr>
                      <w:rPr>
                        <w:rFonts w:ascii="Cambria Math" w:hAnsi="Cambria Math"/>
                        <w:sz w:val="24"/>
                      </w:rPr>
                    </m:ctrlPr>
                  </m:e>
                  <m:sub>
                    <m:r>
                      <m:rPr/>
                      <w:rPr>
                        <w:rFonts w:hint="default" w:ascii="Cambria Math" w:hAnsi="Cambria Math"/>
                        <w:sz w:val="24"/>
                      </w:rPr>
                      <m:t>p</m:t>
                    </m:r>
                    <m:ctrlPr>
                      <w:rPr>
                        <w:rFonts w:ascii="Cambria Math" w:hAnsi="Cambria Math"/>
                        <w:sz w:val="24"/>
                      </w:rPr>
                    </m:ctrlPr>
                  </m:sub>
                </m:sSub>
                <m:r>
                  <m:rPr/>
                  <w:rPr>
                    <w:rFonts w:hint="eastAsia" w:ascii="Cambria Math" w:hAnsi="Cambria Math"/>
                    <w:sz w:val="24"/>
                    <w:lang w:eastAsia="zh-CN"/>
                  </w:rPr>
                  <m:t>’</m:t>
                </m:r>
                <m:r>
                  <m:rPr/>
                  <w:rPr>
                    <w:rFonts w:hint="default" w:ascii="Cambria Math" w:hAnsi="Cambria Math"/>
                    <w:sz w:val="24"/>
                  </w:rPr>
                  <m:t>=</m:t>
                </m:r>
                <m:sSub>
                  <m:sSubPr>
                    <m:ctrlPr>
                      <w:rPr>
                        <w:rFonts w:hint="default" w:ascii="Cambria Math" w:hAnsi="Cambria Math"/>
                        <w:sz w:val="24"/>
                      </w:rPr>
                    </m:ctrlPr>
                  </m:sSubPr>
                  <m:e>
                    <m:r>
                      <m:rPr/>
                      <w:rPr>
                        <w:rFonts w:hint="default" w:ascii="Cambria Math" w:hAnsi="Cambria Math"/>
                        <w:sz w:val="24"/>
                      </w:rPr>
                      <m:t>Q</m:t>
                    </m:r>
                    <m:ctrlPr>
                      <w:rPr>
                        <w:rFonts w:ascii="Cambria Math" w:hAnsi="Cambria Math"/>
                        <w:sz w:val="24"/>
                      </w:rPr>
                    </m:ctrlPr>
                  </m:e>
                  <m:sub>
                    <m:r>
                      <m:rPr/>
                      <w:rPr>
                        <w:rFonts w:hint="default" w:ascii="Cambria Math" w:hAnsi="Cambria Math"/>
                        <w:sz w:val="24"/>
                      </w:rPr>
                      <m:t>p</m:t>
                    </m:r>
                    <m:ctrlPr>
                      <w:rPr>
                        <w:rFonts w:ascii="Cambria Math" w:hAnsi="Cambria Math"/>
                        <w:sz w:val="24"/>
                      </w:rPr>
                    </m:ctrlPr>
                  </m:sub>
                </m:sSub>
                <m:r>
                  <m:rPr>
                    <m:sty m:val="p"/>
                  </m:rPr>
                  <w:rPr>
                    <w:rFonts w:hint="default" w:ascii="Cambria Math" w:hAnsi="Cambria Math"/>
                    <w:sz w:val="24"/>
                  </w:rPr>
                  <m:t>×</m:t>
                </m:r>
                <m:r>
                  <m:rPr/>
                  <w:rPr>
                    <w:rFonts w:hint="default" w:ascii="Cambria Math" w:hAnsi="Cambria Math"/>
                    <w:sz w:val="24"/>
                  </w:rPr>
                  <m:t>L</m:t>
                </m:r>
                <m:r>
                  <m:rPr>
                    <m:sty m:val="p"/>
                  </m:rPr>
                  <w:rPr>
                    <w:rFonts w:hint="default" w:ascii="Cambria Math" w:hAnsi="Cambria Math"/>
                    <w:sz w:val="24"/>
                  </w:rPr>
                  <m:t>×</m:t>
                </m:r>
                <m:r>
                  <m:rPr/>
                  <w:rPr>
                    <w:rFonts w:hint="default" w:ascii="Cambria Math" w:hAnsi="Cambria Math"/>
                    <w:sz w:val="24"/>
                  </w:rPr>
                  <m:t>Q/M</m:t>
                </m:r>
              </m:oMath>
            </m:oMathPara>
          </w:p>
          <w:p w14:paraId="004909D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snapToGrid/>
                <w:color w:val="000000"/>
                <w:kern w:val="2"/>
                <w:sz w:val="24"/>
                <w:szCs w:val="24"/>
                <w:highlight w:val="none"/>
                <w:lang w:val="en-US" w:eastAsia="zh-CN" w:bidi="ar-SA"/>
              </w:rPr>
            </w:pPr>
            <w:r>
              <w:rPr>
                <w:rFonts w:hint="default" w:ascii="Times New Roman" w:hAnsi="Times New Roman" w:eastAsia="宋体" w:cs="Times New Roman"/>
                <w:b w:val="0"/>
                <w:snapToGrid/>
                <w:color w:val="000000"/>
                <w:kern w:val="2"/>
                <w:sz w:val="24"/>
                <w:szCs w:val="24"/>
                <w:highlight w:val="none"/>
                <w:lang w:val="en-US" w:eastAsia="zh-CN" w:bidi="ar-SA"/>
              </w:rPr>
              <w:t>式中：</w:t>
            </w:r>
            <m:oMath>
              <m:sSub>
                <m:sSubPr>
                  <m:ctrlPr>
                    <w:rPr>
                      <w:rFonts w:hint="default" w:ascii="Cambria Math" w:hAnsi="Cambria Math"/>
                      <w:sz w:val="24"/>
                    </w:rPr>
                  </m:ctrlPr>
                </m:sSubPr>
                <m:e>
                  <m:r>
                    <m:rPr/>
                    <w:rPr>
                      <w:rFonts w:hint="default" w:ascii="Cambria Math" w:hAnsi="Cambria Math"/>
                      <w:sz w:val="24"/>
                    </w:rPr>
                    <m:t>Q</m:t>
                  </m:r>
                  <m:ctrlPr>
                    <w:rPr>
                      <w:rFonts w:ascii="Cambria Math" w:hAnsi="Cambria Math"/>
                      <w:sz w:val="24"/>
                    </w:rPr>
                  </m:ctrlPr>
                </m:e>
                <m:sub>
                  <m:r>
                    <m:rPr/>
                    <w:rPr>
                      <w:rFonts w:hint="default" w:ascii="Cambria Math" w:hAnsi="Cambria Math"/>
                      <w:sz w:val="24"/>
                    </w:rPr>
                    <m:t>p</m:t>
                  </m:r>
                  <m:ctrlPr>
                    <w:rPr>
                      <w:rFonts w:ascii="Cambria Math" w:hAnsi="Cambria Math"/>
                      <w:sz w:val="24"/>
                    </w:rPr>
                  </m:ctrlPr>
                </m:sub>
              </m:sSub>
            </m:oMath>
            <w:r>
              <w:rPr>
                <w:rFonts w:hint="default" w:ascii="Times New Roman" w:hAnsi="Times New Roman" w:eastAsia="宋体" w:cs="Times New Roman"/>
                <w:b w:val="0"/>
                <w:snapToGrid/>
                <w:color w:val="000000"/>
                <w:kern w:val="2"/>
                <w:sz w:val="24"/>
                <w:szCs w:val="24"/>
                <w:highlight w:val="none"/>
                <w:lang w:val="en-US" w:eastAsia="zh-CN" w:bidi="ar-SA"/>
              </w:rPr>
              <w:t>：</w:t>
            </w:r>
            <w:r>
              <w:rPr>
                <w:rFonts w:hint="eastAsia" w:ascii="Times New Roman" w:hAnsi="Times New Roman" w:eastAsia="宋体" w:cs="Times New Roman"/>
                <w:b w:val="0"/>
                <w:snapToGrid/>
                <w:color w:val="000000"/>
                <w:kern w:val="2"/>
                <w:sz w:val="24"/>
                <w:szCs w:val="24"/>
                <w:highlight w:val="none"/>
                <w:lang w:val="en-US" w:eastAsia="zh-CN" w:bidi="ar-SA"/>
              </w:rPr>
              <w:t>交通运输起尘量</w:t>
            </w:r>
            <w:r>
              <w:rPr>
                <w:rFonts w:hint="default" w:ascii="Times New Roman" w:hAnsi="Times New Roman" w:eastAsia="宋体" w:cs="Times New Roman"/>
                <w:b w:val="0"/>
                <w:snapToGrid/>
                <w:color w:val="000000"/>
                <w:kern w:val="2"/>
                <w:sz w:val="24"/>
                <w:szCs w:val="24"/>
                <w:highlight w:val="none"/>
                <w:lang w:val="en-US" w:eastAsia="zh-CN" w:bidi="ar-SA"/>
              </w:rPr>
              <w:t>，kg/km·辆；</w:t>
            </w:r>
            <m:oMath>
              <m:sSub>
                <m:sSubPr>
                  <m:ctrlPr>
                    <w:rPr>
                      <w:rFonts w:hint="default" w:ascii="Cambria Math" w:hAnsi="Cambria Math"/>
                      <w:sz w:val="24"/>
                    </w:rPr>
                  </m:ctrlPr>
                </m:sSubPr>
                <m:e>
                  <m:r>
                    <m:rPr/>
                    <w:rPr>
                      <w:rFonts w:hint="default" w:ascii="Cambria Math" w:hAnsi="Cambria Math"/>
                      <w:sz w:val="24"/>
                    </w:rPr>
                    <m:t>Q</m:t>
                  </m:r>
                  <m:ctrlPr>
                    <w:rPr>
                      <w:rFonts w:ascii="Cambria Math" w:hAnsi="Cambria Math"/>
                      <w:sz w:val="24"/>
                    </w:rPr>
                  </m:ctrlPr>
                </m:e>
                <m:sub>
                  <m:r>
                    <m:rPr/>
                    <w:rPr>
                      <w:rFonts w:hint="default" w:ascii="Cambria Math" w:hAnsi="Cambria Math"/>
                      <w:sz w:val="24"/>
                    </w:rPr>
                    <m:t>p</m:t>
                  </m:r>
                  <m:ctrlPr>
                    <w:rPr>
                      <w:rFonts w:ascii="Cambria Math" w:hAnsi="Cambria Math"/>
                      <w:sz w:val="24"/>
                    </w:rPr>
                  </m:ctrlPr>
                </m:sub>
              </m:sSub>
              <m:r>
                <m:rPr/>
                <w:rPr>
                  <w:rFonts w:hint="eastAsia" w:ascii="Cambria Math" w:hAnsi="Cambria Math"/>
                  <w:sz w:val="24"/>
                  <w:lang w:eastAsia="zh-CN"/>
                </w:rPr>
                <m:t>’</m:t>
              </m:r>
            </m:oMath>
            <w:r>
              <w:rPr>
                <w:rFonts w:hint="eastAsia" w:hAnsi="Cambria Math"/>
                <w:i w:val="0"/>
                <w:sz w:val="24"/>
                <w:lang w:eastAsia="zh-CN"/>
              </w:rPr>
              <w:t>：</w:t>
            </w:r>
            <w:r>
              <w:rPr>
                <w:rFonts w:hint="eastAsia" w:hAnsi="Cambria Math"/>
                <w:i w:val="0"/>
                <w:sz w:val="24"/>
                <w:lang w:val="en-US" w:eastAsia="zh-CN"/>
              </w:rPr>
              <w:t>运输途中起尘量，</w:t>
            </w:r>
            <w:r>
              <w:rPr>
                <w:rFonts w:hint="default" w:ascii="Times New Roman" w:hAnsi="Times New Roman" w:eastAsia="宋体" w:cs="Times New Roman"/>
                <w:b w:val="0"/>
                <w:snapToGrid/>
                <w:color w:val="000000"/>
                <w:kern w:val="2"/>
                <w:sz w:val="24"/>
                <w:szCs w:val="24"/>
                <w:highlight w:val="none"/>
                <w:lang w:val="en-US" w:eastAsia="zh-CN" w:bidi="ar-SA"/>
              </w:rPr>
              <w:t>kg/</w:t>
            </w:r>
            <w:r>
              <w:rPr>
                <w:rFonts w:hint="eastAsia" w:ascii="Times New Roman" w:hAnsi="Times New Roman" w:eastAsia="宋体" w:cs="Times New Roman"/>
                <w:b w:val="0"/>
                <w:snapToGrid/>
                <w:color w:val="000000"/>
                <w:kern w:val="2"/>
                <w:sz w:val="24"/>
                <w:szCs w:val="24"/>
                <w:highlight w:val="none"/>
                <w:lang w:val="en-US" w:eastAsia="zh-CN" w:bidi="ar-SA"/>
              </w:rPr>
              <w:t>a</w:t>
            </w:r>
            <w:r>
              <w:rPr>
                <w:rFonts w:hint="default" w:ascii="Times New Roman" w:hAnsi="Times New Roman" w:eastAsia="宋体" w:cs="Times New Roman"/>
                <w:b w:val="0"/>
                <w:snapToGrid/>
                <w:color w:val="000000"/>
                <w:kern w:val="2"/>
                <w:sz w:val="24"/>
                <w:szCs w:val="24"/>
                <w:highlight w:val="none"/>
                <w:lang w:val="en-US" w:eastAsia="zh-CN" w:bidi="ar-SA"/>
              </w:rPr>
              <w:t>；</w:t>
            </w:r>
          </w:p>
          <w:p w14:paraId="3DEDEF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snapToGrid/>
                <w:color w:val="000000"/>
                <w:kern w:val="2"/>
                <w:sz w:val="24"/>
                <w:szCs w:val="24"/>
                <w:highlight w:val="none"/>
                <w:lang w:val="en-US" w:eastAsia="zh-CN" w:bidi="ar-SA"/>
              </w:rPr>
            </w:pPr>
            <w:r>
              <w:rPr>
                <w:rFonts w:hint="default" w:ascii="Times New Roman" w:hAnsi="Times New Roman" w:eastAsia="宋体" w:cs="Times New Roman"/>
                <w:b w:val="0"/>
                <w:snapToGrid/>
                <w:color w:val="000000"/>
                <w:kern w:val="2"/>
                <w:sz w:val="24"/>
                <w:szCs w:val="24"/>
                <w:highlight w:val="none"/>
                <w:lang w:val="en-US" w:eastAsia="zh-CN" w:bidi="ar-SA"/>
              </w:rPr>
              <w:t>V：汽车速度km/h，取5km/h；</w:t>
            </w:r>
          </w:p>
          <w:p w14:paraId="2D80D17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snapToGrid/>
                <w:color w:val="000000"/>
                <w:kern w:val="2"/>
                <w:sz w:val="24"/>
                <w:szCs w:val="24"/>
                <w:highlight w:val="none"/>
                <w:lang w:val="en-US" w:eastAsia="zh-CN" w:bidi="ar-SA"/>
              </w:rPr>
            </w:pPr>
            <m:oMath>
              <m:r>
                <m:rPr/>
                <w:rPr>
                  <w:rFonts w:hint="default" w:ascii="Cambria Math" w:hAnsi="Cambria Math"/>
                  <w:sz w:val="24"/>
                </w:rPr>
                <m:t>M</m:t>
              </m:r>
            </m:oMath>
            <w:r>
              <w:rPr>
                <w:rFonts w:hint="default" w:ascii="Times New Roman" w:hAnsi="Times New Roman" w:eastAsia="宋体" w:cs="Times New Roman"/>
                <w:b w:val="0"/>
                <w:snapToGrid/>
                <w:color w:val="000000"/>
                <w:kern w:val="2"/>
                <w:sz w:val="24"/>
                <w:szCs w:val="24"/>
                <w:highlight w:val="none"/>
                <w:lang w:val="en-US" w:eastAsia="zh-CN" w:bidi="ar-SA"/>
              </w:rPr>
              <w:t>：汽车载重量t，按每辆车25t计；</w:t>
            </w:r>
          </w:p>
          <w:p w14:paraId="70BCEB6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snapToGrid/>
                <w:color w:val="000000"/>
                <w:kern w:val="2"/>
                <w:sz w:val="24"/>
                <w:szCs w:val="24"/>
                <w:highlight w:val="none"/>
                <w:vertAlign w:val="superscript"/>
                <w:lang w:val="en-US" w:eastAsia="zh-CN" w:bidi="ar-SA"/>
              </w:rPr>
            </w:pPr>
            <w:r>
              <w:rPr>
                <w:rFonts w:hint="default" w:ascii="Times New Roman" w:hAnsi="Times New Roman" w:eastAsia="宋体" w:cs="Times New Roman"/>
                <w:b w:val="0"/>
                <w:snapToGrid/>
                <w:color w:val="000000"/>
                <w:kern w:val="2"/>
                <w:sz w:val="24"/>
                <w:szCs w:val="24"/>
                <w:highlight w:val="none"/>
                <w:lang w:val="en-US" w:eastAsia="zh-CN" w:bidi="ar-SA"/>
              </w:rPr>
              <w:t>P：道路表面粉尘量kg/m</w:t>
            </w:r>
            <w:r>
              <w:rPr>
                <w:rFonts w:hint="default" w:ascii="Times New Roman" w:hAnsi="Times New Roman" w:eastAsia="宋体" w:cs="Times New Roman"/>
                <w:b w:val="0"/>
                <w:snapToGrid/>
                <w:color w:val="000000"/>
                <w:kern w:val="2"/>
                <w:sz w:val="24"/>
                <w:szCs w:val="24"/>
                <w:highlight w:val="none"/>
                <w:vertAlign w:val="superscript"/>
                <w:lang w:val="en-US" w:eastAsia="zh-CN" w:bidi="ar-SA"/>
              </w:rPr>
              <w:t>2</w:t>
            </w:r>
            <w:r>
              <w:rPr>
                <w:rFonts w:hint="default" w:ascii="Times New Roman" w:hAnsi="Times New Roman" w:eastAsia="宋体" w:cs="Times New Roman"/>
                <w:b w:val="0"/>
                <w:snapToGrid/>
                <w:color w:val="000000"/>
                <w:kern w:val="2"/>
                <w:sz w:val="24"/>
                <w:szCs w:val="24"/>
                <w:highlight w:val="none"/>
                <w:lang w:val="en-US" w:eastAsia="zh-CN" w:bidi="ar-SA"/>
              </w:rPr>
              <w:t>，按0.1kg/m</w:t>
            </w:r>
            <w:r>
              <w:rPr>
                <w:rFonts w:hint="default" w:ascii="Times New Roman" w:hAnsi="Times New Roman" w:eastAsia="宋体" w:cs="Times New Roman"/>
                <w:b w:val="0"/>
                <w:snapToGrid/>
                <w:color w:val="000000"/>
                <w:kern w:val="2"/>
                <w:sz w:val="24"/>
                <w:szCs w:val="24"/>
                <w:highlight w:val="none"/>
                <w:vertAlign w:val="superscript"/>
                <w:lang w:val="en-US" w:eastAsia="zh-CN" w:bidi="ar-SA"/>
              </w:rPr>
              <w:t>2</w:t>
            </w:r>
            <w:r>
              <w:rPr>
                <w:rFonts w:hint="default" w:ascii="Times New Roman" w:hAnsi="Times New Roman" w:eastAsia="宋体" w:cs="Times New Roman"/>
                <w:b w:val="0"/>
                <w:snapToGrid/>
                <w:color w:val="000000"/>
                <w:kern w:val="2"/>
                <w:sz w:val="24"/>
                <w:szCs w:val="24"/>
                <w:highlight w:val="none"/>
                <w:lang w:val="en-US" w:eastAsia="zh-CN" w:bidi="ar-SA"/>
              </w:rPr>
              <w:t>；</w:t>
            </w:r>
          </w:p>
          <w:p w14:paraId="6B83FD6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hAnsi="Times New Roman" w:eastAsia="宋体" w:cs="Times New Roman"/>
                <w:b w:val="0"/>
                <w:i w:val="0"/>
                <w:snapToGrid/>
                <w:color w:val="000000"/>
                <w:kern w:val="2"/>
                <w:sz w:val="24"/>
                <w:szCs w:val="24"/>
                <w:highlight w:val="none"/>
                <w:lang w:val="en-US" w:eastAsia="zh-CN" w:bidi="ar-SA"/>
              </w:rPr>
            </w:pPr>
            <w:r>
              <w:rPr>
                <w:rFonts w:hint="eastAsia" w:hAnsi="Times New Roman" w:eastAsia="宋体" w:cs="Times New Roman"/>
                <w:b w:val="0"/>
                <w:i w:val="0"/>
                <w:snapToGrid/>
                <w:color w:val="000000"/>
                <w:kern w:val="2"/>
                <w:sz w:val="24"/>
                <w:szCs w:val="24"/>
                <w:highlight w:val="none"/>
                <w:lang w:val="en-US" w:eastAsia="zh-CN" w:bidi="ar-SA"/>
              </w:rPr>
              <w:t>L：运输距离，km，取0.5km；</w:t>
            </w:r>
          </w:p>
          <w:p w14:paraId="4DC8867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snapToGrid/>
                <w:color w:val="000000"/>
                <w:kern w:val="2"/>
                <w:sz w:val="24"/>
                <w:szCs w:val="24"/>
                <w:highlight w:val="none"/>
                <w:lang w:val="en-US" w:eastAsia="zh-CN" w:bidi="ar-SA"/>
              </w:rPr>
            </w:pPr>
            <m:oMath>
              <m:r>
                <m:rPr>
                  <m:sty m:val="p"/>
                </m:rPr>
                <w:rPr>
                  <w:rFonts w:hint="default" w:ascii="Times New Roman" w:hAnsi="Times New Roman" w:eastAsia="宋体" w:cs="Times New Roman"/>
                  <w:snapToGrid/>
                  <w:color w:val="000000"/>
                  <w:kern w:val="2"/>
                  <w:sz w:val="24"/>
                  <w:szCs w:val="24"/>
                  <w:highlight w:val="none"/>
                  <w:lang w:val="en-US" w:eastAsia="zh-CN" w:bidi="ar-SA"/>
                </w:rPr>
                <m:t>Q</m:t>
              </m:r>
            </m:oMath>
            <w:r>
              <w:rPr>
                <w:rFonts w:hint="eastAsia" w:hAnsi="Times New Roman" w:eastAsia="宋体" w:cs="Times New Roman"/>
                <w:b w:val="0"/>
                <w:i w:val="0"/>
                <w:snapToGrid/>
                <w:color w:val="000000"/>
                <w:kern w:val="2"/>
                <w:sz w:val="24"/>
                <w:szCs w:val="24"/>
                <w:highlight w:val="none"/>
                <w:lang w:val="en-US" w:eastAsia="zh-CN" w:bidi="ar-SA"/>
              </w:rPr>
              <w:t>：运输量，t，项目年</w:t>
            </w:r>
            <w:r>
              <w:rPr>
                <w:rFonts w:hint="eastAsia" w:cs="Times New Roman"/>
                <w:b w:val="0"/>
                <w:i w:val="0"/>
                <w:snapToGrid/>
                <w:color w:val="000000"/>
                <w:kern w:val="2"/>
                <w:sz w:val="24"/>
                <w:szCs w:val="24"/>
                <w:highlight w:val="none"/>
                <w:lang w:val="en-US" w:eastAsia="zh-CN" w:bidi="ar-SA"/>
              </w:rPr>
              <w:t>贮存5万吨，</w:t>
            </w:r>
            <w:r>
              <w:rPr>
                <w:rFonts w:hint="eastAsia" w:hAnsi="Times New Roman" w:eastAsia="宋体" w:cs="Times New Roman"/>
                <w:b w:val="0"/>
                <w:i w:val="0"/>
                <w:snapToGrid/>
                <w:color w:val="000000"/>
                <w:kern w:val="2"/>
                <w:sz w:val="24"/>
                <w:szCs w:val="24"/>
                <w:highlight w:val="none"/>
                <w:lang w:val="en-US" w:eastAsia="zh-CN" w:bidi="ar-SA"/>
              </w:rPr>
              <w:t>运输量取</w:t>
            </w:r>
            <w:r>
              <w:rPr>
                <w:rFonts w:hint="eastAsia" w:cs="Times New Roman"/>
                <w:b w:val="0"/>
                <w:i w:val="0"/>
                <w:snapToGrid/>
                <w:color w:val="000000"/>
                <w:kern w:val="2"/>
                <w:sz w:val="24"/>
                <w:szCs w:val="24"/>
                <w:highlight w:val="none"/>
                <w:lang w:val="en-US" w:eastAsia="zh-CN" w:bidi="ar-SA"/>
              </w:rPr>
              <w:t>100000</w:t>
            </w:r>
            <w:r>
              <w:rPr>
                <w:rFonts w:hint="eastAsia" w:hAnsi="Times New Roman" w:eastAsia="宋体" w:cs="Times New Roman"/>
                <w:b w:val="0"/>
                <w:i w:val="0"/>
                <w:snapToGrid/>
                <w:color w:val="000000"/>
                <w:kern w:val="2"/>
                <w:sz w:val="24"/>
                <w:szCs w:val="24"/>
                <w:highlight w:val="none"/>
                <w:lang w:val="en-US" w:eastAsia="zh-CN" w:bidi="ar-SA"/>
              </w:rPr>
              <w:t>t</w:t>
            </w:r>
            <w:r>
              <w:rPr>
                <w:rFonts w:hint="default" w:ascii="Times New Roman" w:hAnsi="Times New Roman" w:eastAsia="宋体" w:cs="Times New Roman"/>
                <w:b w:val="0"/>
                <w:snapToGrid/>
                <w:color w:val="000000"/>
                <w:kern w:val="2"/>
                <w:sz w:val="24"/>
                <w:szCs w:val="24"/>
                <w:highlight w:val="none"/>
                <w:lang w:val="en-US" w:eastAsia="zh-CN" w:bidi="ar-SA"/>
              </w:rPr>
              <w:t>/</w:t>
            </w:r>
            <w:r>
              <w:rPr>
                <w:rFonts w:hint="eastAsia" w:ascii="Times New Roman" w:hAnsi="Times New Roman" w:eastAsia="宋体" w:cs="Times New Roman"/>
                <w:b w:val="0"/>
                <w:snapToGrid/>
                <w:color w:val="000000"/>
                <w:kern w:val="2"/>
                <w:sz w:val="24"/>
                <w:szCs w:val="24"/>
                <w:highlight w:val="none"/>
                <w:lang w:val="en-US" w:eastAsia="zh-CN" w:bidi="ar-SA"/>
              </w:rPr>
              <w:t>a。</w:t>
            </w:r>
          </w:p>
          <w:p w14:paraId="6EDB217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snapToGrid/>
                <w:color w:val="000000"/>
                <w:kern w:val="2"/>
                <w:sz w:val="24"/>
                <w:szCs w:val="24"/>
                <w:highlight w:val="none"/>
                <w:lang w:val="en-US" w:eastAsia="zh-CN" w:bidi="ar-SA"/>
              </w:rPr>
            </w:pPr>
            <w:r>
              <w:rPr>
                <w:rFonts w:hint="eastAsia" w:ascii="Times New Roman" w:hAnsi="Times New Roman" w:eastAsia="宋体" w:cs="Times New Roman"/>
                <w:b w:val="0"/>
                <w:snapToGrid/>
                <w:color w:val="000000"/>
                <w:kern w:val="2"/>
                <w:sz w:val="24"/>
                <w:szCs w:val="24"/>
                <w:highlight w:val="none"/>
                <w:lang w:val="en-US" w:eastAsia="zh-CN" w:bidi="ar-SA"/>
              </w:rPr>
              <w:t>根据以上公式，</w:t>
            </w:r>
            <w:r>
              <w:rPr>
                <w:rFonts w:hint="default" w:ascii="Times New Roman" w:hAnsi="Times New Roman" w:eastAsia="宋体" w:cs="Times New Roman"/>
                <w:b w:val="0"/>
                <w:snapToGrid/>
                <w:color w:val="000000"/>
                <w:kern w:val="2"/>
                <w:sz w:val="24"/>
                <w:szCs w:val="24"/>
                <w:highlight w:val="none"/>
                <w:lang w:val="en-US" w:eastAsia="zh-CN" w:bidi="ar-SA"/>
              </w:rPr>
              <w:t>本项目运输扬尘产生量为</w:t>
            </w:r>
            <w:r>
              <w:rPr>
                <w:rFonts w:hint="eastAsia" w:ascii="Times New Roman" w:hAnsi="Times New Roman" w:eastAsia="宋体" w:cs="Times New Roman"/>
                <w:b w:val="0"/>
                <w:snapToGrid/>
                <w:color w:val="000000"/>
                <w:kern w:val="2"/>
                <w:sz w:val="24"/>
                <w:szCs w:val="24"/>
                <w:highlight w:val="none"/>
                <w:lang w:val="en-US" w:eastAsia="zh-CN" w:bidi="ar-SA"/>
              </w:rPr>
              <w:t>0.223</w:t>
            </w:r>
            <w:r>
              <w:rPr>
                <w:rFonts w:hint="default" w:ascii="Times New Roman" w:hAnsi="Times New Roman" w:eastAsia="宋体" w:cs="Times New Roman"/>
                <w:b w:val="0"/>
                <w:snapToGrid/>
                <w:color w:val="000000"/>
                <w:kern w:val="2"/>
                <w:sz w:val="24"/>
                <w:szCs w:val="24"/>
                <w:highlight w:val="none"/>
                <w:lang w:val="en-US" w:eastAsia="zh-CN" w:bidi="ar-SA"/>
              </w:rPr>
              <w:t>t/a</w:t>
            </w:r>
            <w:r>
              <w:rPr>
                <w:rFonts w:hint="eastAsia" w:cs="Times New Roman"/>
                <w:b w:val="0"/>
                <w:snapToGrid/>
                <w:color w:val="000000"/>
                <w:kern w:val="2"/>
                <w:sz w:val="24"/>
                <w:szCs w:val="24"/>
                <w:highlight w:val="none"/>
                <w:lang w:val="en-US" w:eastAsia="zh-CN" w:bidi="ar-SA"/>
              </w:rPr>
              <w:t>（0.022kg/h）。</w:t>
            </w:r>
            <w:r>
              <w:rPr>
                <w:rFonts w:hint="default" w:ascii="Times New Roman" w:hAnsi="Times New Roman" w:eastAsia="宋体" w:cs="Times New Roman"/>
                <w:b w:val="0"/>
                <w:snapToGrid/>
                <w:color w:val="000000"/>
                <w:kern w:val="2"/>
                <w:sz w:val="24"/>
                <w:szCs w:val="24"/>
                <w:highlight w:val="none"/>
                <w:lang w:val="en-US" w:eastAsia="zh-CN" w:bidi="ar-SA"/>
              </w:rPr>
              <w:t>本环评</w:t>
            </w:r>
            <w:r>
              <w:rPr>
                <w:rFonts w:hint="eastAsia" w:cs="Times New Roman"/>
                <w:b w:val="0"/>
                <w:snapToGrid/>
                <w:color w:val="000000"/>
                <w:kern w:val="2"/>
                <w:sz w:val="24"/>
                <w:szCs w:val="24"/>
                <w:highlight w:val="none"/>
                <w:lang w:val="en-US" w:eastAsia="zh-CN" w:bidi="ar-SA"/>
              </w:rPr>
              <w:t>要求</w:t>
            </w:r>
            <w:r>
              <w:rPr>
                <w:rFonts w:hint="default" w:ascii="Times New Roman" w:hAnsi="Times New Roman" w:eastAsia="宋体" w:cs="Times New Roman"/>
                <w:b w:val="0"/>
                <w:snapToGrid/>
                <w:color w:val="000000"/>
                <w:kern w:val="2"/>
                <w:sz w:val="24"/>
                <w:szCs w:val="24"/>
                <w:highlight w:val="none"/>
                <w:lang w:val="en-US" w:eastAsia="zh-CN" w:bidi="ar-SA"/>
              </w:rPr>
              <w:t>建设单位对项目区内地面进行硬化处理，并定期洒水、清扫，以减少道路扬尘的产生</w:t>
            </w:r>
            <w:r>
              <w:rPr>
                <w:rFonts w:hint="eastAsia" w:cs="Times New Roman"/>
                <w:b w:val="0"/>
                <w:snapToGrid/>
                <w:color w:val="000000"/>
                <w:kern w:val="2"/>
                <w:sz w:val="24"/>
                <w:szCs w:val="24"/>
                <w:highlight w:val="none"/>
                <w:lang w:val="en-US" w:eastAsia="zh-CN" w:bidi="ar-SA"/>
              </w:rPr>
              <w:t>；要求</w:t>
            </w:r>
            <w:r>
              <w:rPr>
                <w:rFonts w:hint="default" w:ascii="Times New Roman" w:hAnsi="Times New Roman" w:eastAsia="宋体" w:cs="Times New Roman"/>
                <w:b w:val="0"/>
                <w:snapToGrid/>
                <w:color w:val="000000"/>
                <w:kern w:val="2"/>
                <w:sz w:val="24"/>
                <w:szCs w:val="24"/>
                <w:highlight w:val="none"/>
                <w:lang w:val="en-US" w:eastAsia="zh-CN" w:bidi="ar-SA"/>
              </w:rPr>
              <w:t>出厂车辆</w:t>
            </w:r>
            <w:r>
              <w:rPr>
                <w:rFonts w:hint="eastAsia" w:cs="Times New Roman"/>
                <w:b w:val="0"/>
                <w:snapToGrid/>
                <w:color w:val="000000"/>
                <w:kern w:val="2"/>
                <w:sz w:val="24"/>
                <w:szCs w:val="24"/>
                <w:highlight w:val="none"/>
                <w:lang w:val="en-US" w:eastAsia="zh-CN" w:bidi="ar-SA"/>
              </w:rPr>
              <w:t>及时</w:t>
            </w:r>
            <w:r>
              <w:rPr>
                <w:rFonts w:hint="default" w:ascii="Times New Roman" w:hAnsi="Times New Roman" w:eastAsia="宋体" w:cs="Times New Roman"/>
                <w:b w:val="0"/>
                <w:snapToGrid/>
                <w:color w:val="000000"/>
                <w:kern w:val="2"/>
                <w:sz w:val="24"/>
                <w:szCs w:val="24"/>
                <w:highlight w:val="none"/>
                <w:lang w:val="en-US" w:eastAsia="zh-CN" w:bidi="ar-SA"/>
              </w:rPr>
              <w:t>清洗轮胎、运输车辆须加盖篷布等</w:t>
            </w:r>
            <w:r>
              <w:rPr>
                <w:rFonts w:hint="eastAsia" w:cs="Times New Roman"/>
                <w:b w:val="0"/>
                <w:snapToGrid/>
                <w:color w:val="000000"/>
                <w:kern w:val="2"/>
                <w:sz w:val="24"/>
                <w:szCs w:val="24"/>
                <w:highlight w:val="none"/>
                <w:lang w:val="en-US" w:eastAsia="zh-CN" w:bidi="ar-SA"/>
              </w:rPr>
              <w:t>。采取上述</w:t>
            </w:r>
            <w:r>
              <w:rPr>
                <w:rFonts w:hint="default" w:ascii="Times New Roman" w:hAnsi="Times New Roman" w:eastAsia="宋体" w:cs="Times New Roman"/>
                <w:b w:val="0"/>
                <w:snapToGrid/>
                <w:color w:val="000000"/>
                <w:kern w:val="2"/>
                <w:sz w:val="24"/>
                <w:szCs w:val="24"/>
                <w:highlight w:val="none"/>
                <w:lang w:val="en-US" w:eastAsia="zh-CN" w:bidi="ar-SA"/>
              </w:rPr>
              <w:t>降尘措施后，</w:t>
            </w:r>
            <w:r>
              <w:rPr>
                <w:rFonts w:hint="eastAsia" w:cs="Times New Roman"/>
                <w:b w:val="0"/>
                <w:snapToGrid/>
                <w:color w:val="000000"/>
                <w:kern w:val="2"/>
                <w:sz w:val="24"/>
                <w:szCs w:val="24"/>
                <w:highlight w:val="none"/>
                <w:lang w:val="en-US" w:eastAsia="zh-CN" w:bidi="ar-SA"/>
              </w:rPr>
              <w:t>本项目运输扬尘采取的抑尘措施处理效率能达到，90%</w:t>
            </w:r>
            <w:r>
              <w:rPr>
                <w:rFonts w:hint="default" w:ascii="Times New Roman" w:hAnsi="Times New Roman" w:eastAsia="宋体" w:cs="Times New Roman"/>
                <w:b w:val="0"/>
                <w:snapToGrid/>
                <w:color w:val="000000"/>
                <w:kern w:val="2"/>
                <w:sz w:val="24"/>
                <w:szCs w:val="24"/>
                <w:highlight w:val="none"/>
                <w:lang w:val="en-US" w:eastAsia="zh-CN" w:bidi="ar-SA"/>
              </w:rPr>
              <w:t>，</w:t>
            </w:r>
            <w:r>
              <w:rPr>
                <w:rFonts w:hint="eastAsia" w:cs="Times New Roman"/>
                <w:b w:val="0"/>
                <w:snapToGrid/>
                <w:color w:val="000000"/>
                <w:kern w:val="2"/>
                <w:sz w:val="24"/>
                <w:szCs w:val="24"/>
                <w:highlight w:val="none"/>
                <w:lang w:val="en-US" w:eastAsia="zh-CN" w:bidi="ar-SA"/>
              </w:rPr>
              <w:t>本项目</w:t>
            </w:r>
            <w:r>
              <w:rPr>
                <w:rFonts w:hint="default" w:ascii="Times New Roman" w:hAnsi="Times New Roman" w:eastAsia="宋体" w:cs="Times New Roman"/>
                <w:b w:val="0"/>
                <w:snapToGrid/>
                <w:color w:val="000000"/>
                <w:kern w:val="2"/>
                <w:sz w:val="24"/>
                <w:szCs w:val="24"/>
                <w:highlight w:val="none"/>
                <w:lang w:val="en-US" w:eastAsia="zh-CN" w:bidi="ar-SA"/>
              </w:rPr>
              <w:t>则本项目运输车辆产生的运输扬尘排放量为</w:t>
            </w:r>
            <w:r>
              <w:rPr>
                <w:rFonts w:hint="eastAsia" w:cs="Times New Roman"/>
                <w:b w:val="0"/>
                <w:snapToGrid/>
                <w:color w:val="000000"/>
                <w:kern w:val="2"/>
                <w:sz w:val="24"/>
                <w:szCs w:val="24"/>
                <w:highlight w:val="none"/>
                <w:lang w:val="en-US" w:eastAsia="zh-CN" w:bidi="ar-SA"/>
              </w:rPr>
              <w:t>0.022</w:t>
            </w:r>
            <w:r>
              <w:rPr>
                <w:rFonts w:hint="default" w:ascii="Times New Roman" w:hAnsi="Times New Roman" w:eastAsia="宋体" w:cs="Times New Roman"/>
                <w:b w:val="0"/>
                <w:snapToGrid/>
                <w:color w:val="000000"/>
                <w:kern w:val="2"/>
                <w:sz w:val="24"/>
                <w:szCs w:val="24"/>
                <w:highlight w:val="none"/>
                <w:lang w:val="en-US" w:eastAsia="zh-CN" w:bidi="ar-SA"/>
              </w:rPr>
              <w:t>t/a。</w:t>
            </w:r>
          </w:p>
          <w:p w14:paraId="6C907B6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snapToGrid/>
                <w:color w:val="000000"/>
                <w:kern w:val="2"/>
                <w:sz w:val="24"/>
                <w:szCs w:val="24"/>
                <w:highlight w:val="none"/>
                <w:lang w:val="en-US" w:eastAsia="zh-CN" w:bidi="ar-SA"/>
              </w:rPr>
            </w:pPr>
            <w:r>
              <w:rPr>
                <w:rFonts w:hint="default" w:ascii="Times New Roman" w:hAnsi="Times New Roman" w:eastAsia="宋体" w:cs="Times New Roman"/>
                <w:b w:val="0"/>
                <w:snapToGrid/>
                <w:color w:val="000000"/>
                <w:kern w:val="2"/>
                <w:sz w:val="24"/>
                <w:szCs w:val="24"/>
                <w:highlight w:val="none"/>
                <w:lang w:val="en-US" w:eastAsia="zh-CN" w:bidi="ar-SA"/>
              </w:rPr>
              <w:t>综上，本项目无组织颗粒物排放量为</w:t>
            </w:r>
            <w:r>
              <w:rPr>
                <w:rFonts w:hint="eastAsia" w:cs="Times New Roman"/>
                <w:b w:val="0"/>
                <w:snapToGrid/>
                <w:color w:val="000000"/>
                <w:kern w:val="2"/>
                <w:sz w:val="24"/>
                <w:szCs w:val="24"/>
                <w:highlight w:val="none"/>
                <w:lang w:val="en-US" w:eastAsia="zh-CN" w:bidi="ar-SA"/>
              </w:rPr>
              <w:t>3.789</w:t>
            </w:r>
            <w:r>
              <w:rPr>
                <w:rFonts w:hint="default" w:ascii="Times New Roman" w:hAnsi="Times New Roman" w:eastAsia="宋体" w:cs="Times New Roman"/>
                <w:b w:val="0"/>
                <w:snapToGrid/>
                <w:color w:val="000000"/>
                <w:kern w:val="2"/>
                <w:sz w:val="24"/>
                <w:szCs w:val="24"/>
                <w:highlight w:val="none"/>
                <w:lang w:val="en-US" w:eastAsia="zh-CN" w:bidi="ar-SA"/>
              </w:rPr>
              <w:t>t/a。</w:t>
            </w:r>
          </w:p>
          <w:p w14:paraId="5F8820C9">
            <w:pPr>
              <w:pageBreakBefore w:val="0"/>
              <w:widowControl w:val="0"/>
              <w:kinsoku/>
              <w:wordWrap/>
              <w:overflowPunct/>
              <w:topLinePunct w:val="0"/>
              <w:autoSpaceDE/>
              <w:autoSpaceDN/>
              <w:bidi w:val="0"/>
              <w:adjustRightInd w:val="0"/>
              <w:snapToGrid w:val="0"/>
              <w:spacing w:line="360" w:lineRule="auto"/>
              <w:ind w:firstLine="456" w:firstLineChars="200"/>
              <w:textAlignment w:val="auto"/>
              <w:rPr>
                <w:rFonts w:hint="default" w:ascii="Times New Roman" w:hAnsi="Times New Roman" w:eastAsia="宋体" w:cs="Times New Roman"/>
                <w:color w:val="000000"/>
                <w:spacing w:val="-6"/>
                <w:sz w:val="24"/>
                <w:szCs w:val="24"/>
                <w:highlight w:val="none"/>
              </w:rPr>
            </w:pPr>
            <w:r>
              <w:rPr>
                <w:rFonts w:hint="default" w:ascii="Times New Roman" w:hAnsi="Times New Roman" w:eastAsia="宋体" w:cs="Times New Roman"/>
                <w:color w:val="000000"/>
                <w:spacing w:val="-6"/>
                <w:sz w:val="24"/>
                <w:szCs w:val="24"/>
                <w:highlight w:val="none"/>
              </w:rPr>
              <w:t>本项目</w:t>
            </w:r>
            <w:r>
              <w:rPr>
                <w:rFonts w:hint="eastAsia" w:cs="Times New Roman"/>
                <w:color w:val="000000"/>
                <w:spacing w:val="-6"/>
                <w:sz w:val="24"/>
                <w:szCs w:val="24"/>
                <w:highlight w:val="none"/>
                <w:lang w:val="en-US" w:eastAsia="zh-CN"/>
              </w:rPr>
              <w:t>装卸、配煤及运输过程</w:t>
            </w:r>
            <w:r>
              <w:rPr>
                <w:rFonts w:hint="default" w:ascii="Times New Roman" w:hAnsi="Times New Roman" w:eastAsia="宋体" w:cs="Times New Roman"/>
                <w:color w:val="000000"/>
                <w:spacing w:val="-6"/>
                <w:sz w:val="24"/>
                <w:szCs w:val="24"/>
                <w:highlight w:val="none"/>
              </w:rPr>
              <w:t>产生</w:t>
            </w:r>
            <w:r>
              <w:rPr>
                <w:rFonts w:hint="eastAsia" w:cs="Times New Roman"/>
                <w:color w:val="000000"/>
                <w:spacing w:val="-6"/>
                <w:sz w:val="24"/>
                <w:szCs w:val="24"/>
                <w:highlight w:val="none"/>
                <w:lang w:val="en-US" w:eastAsia="zh-CN"/>
              </w:rPr>
              <w:t>颗粒物</w:t>
            </w:r>
            <w:r>
              <w:rPr>
                <w:rFonts w:hint="default" w:ascii="Times New Roman" w:hAnsi="Times New Roman" w:eastAsia="宋体" w:cs="Times New Roman"/>
                <w:color w:val="000000"/>
                <w:spacing w:val="-6"/>
                <w:sz w:val="24"/>
                <w:szCs w:val="24"/>
                <w:highlight w:val="none"/>
              </w:rPr>
              <w:t>排放情况见表</w:t>
            </w:r>
            <w:r>
              <w:rPr>
                <w:rFonts w:hint="eastAsia" w:ascii="Times New Roman" w:hAnsi="Times New Roman" w:eastAsia="宋体" w:cs="Times New Roman"/>
                <w:color w:val="000000"/>
                <w:spacing w:val="-6"/>
                <w:sz w:val="24"/>
                <w:szCs w:val="24"/>
                <w:highlight w:val="none"/>
                <w:lang w:val="en-US" w:eastAsia="zh-CN"/>
              </w:rPr>
              <w:t>4-</w:t>
            </w:r>
            <w:r>
              <w:rPr>
                <w:rFonts w:hint="eastAsia" w:cs="Times New Roman"/>
                <w:color w:val="000000"/>
                <w:spacing w:val="-6"/>
                <w:sz w:val="24"/>
                <w:szCs w:val="24"/>
                <w:highlight w:val="none"/>
                <w:lang w:val="en-US" w:eastAsia="zh-CN"/>
              </w:rPr>
              <w:t>1</w:t>
            </w:r>
            <w:r>
              <w:rPr>
                <w:rFonts w:hint="default" w:ascii="Times New Roman" w:hAnsi="Times New Roman" w:eastAsia="宋体" w:cs="Times New Roman"/>
                <w:color w:val="000000"/>
                <w:spacing w:val="-6"/>
                <w:sz w:val="24"/>
                <w:szCs w:val="24"/>
                <w:highlight w:val="none"/>
              </w:rPr>
              <w:t>。</w:t>
            </w:r>
          </w:p>
          <w:p w14:paraId="70F0A2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val="0"/>
                <w:color w:val="000000"/>
                <w:kern w:val="0"/>
                <w:sz w:val="21"/>
                <w:szCs w:val="21"/>
                <w:highlight w:val="none"/>
                <w:lang w:val="en-US" w:eastAsia="zh-CN" w:bidi="ar"/>
              </w:rPr>
            </w:pPr>
            <w:r>
              <w:rPr>
                <w:rFonts w:hint="default" w:ascii="Times New Roman" w:hAnsi="Times New Roman" w:eastAsia="宋体" w:cs="Times New Roman"/>
                <w:b/>
                <w:bCs w:val="0"/>
                <w:color w:val="000000"/>
                <w:kern w:val="0"/>
                <w:sz w:val="21"/>
                <w:szCs w:val="21"/>
                <w:highlight w:val="none"/>
                <w:lang w:bidi="ar"/>
              </w:rPr>
              <w:t>表</w:t>
            </w:r>
            <w:r>
              <w:rPr>
                <w:rFonts w:hint="eastAsia" w:ascii="Times New Roman" w:hAnsi="Times New Roman" w:eastAsia="宋体" w:cs="Times New Roman"/>
                <w:b/>
                <w:bCs w:val="0"/>
                <w:color w:val="000000"/>
                <w:kern w:val="0"/>
                <w:sz w:val="21"/>
                <w:szCs w:val="21"/>
                <w:highlight w:val="none"/>
                <w:lang w:val="en-US" w:eastAsia="zh-CN" w:bidi="ar"/>
              </w:rPr>
              <w:t>4-</w:t>
            </w:r>
            <w:r>
              <w:rPr>
                <w:rFonts w:hint="eastAsia" w:cs="Times New Roman"/>
                <w:b/>
                <w:bCs w:val="0"/>
                <w:color w:val="000000"/>
                <w:kern w:val="0"/>
                <w:sz w:val="21"/>
                <w:szCs w:val="21"/>
                <w:highlight w:val="none"/>
                <w:lang w:val="en-US" w:eastAsia="zh-CN" w:bidi="ar"/>
              </w:rPr>
              <w:t>1</w:t>
            </w:r>
            <w:r>
              <w:rPr>
                <w:rFonts w:hint="eastAsia" w:ascii="Times New Roman" w:hAnsi="Times New Roman" w:eastAsia="宋体" w:cs="Times New Roman"/>
                <w:b/>
                <w:bCs w:val="0"/>
                <w:color w:val="000000"/>
                <w:kern w:val="0"/>
                <w:sz w:val="21"/>
                <w:szCs w:val="21"/>
                <w:highlight w:val="none"/>
                <w:lang w:val="en-US" w:eastAsia="zh-CN" w:bidi="ar"/>
              </w:rPr>
              <w:t xml:space="preserve"> </w:t>
            </w:r>
            <w:r>
              <w:rPr>
                <w:rFonts w:hint="eastAsia" w:cs="Times New Roman"/>
                <w:b/>
                <w:bCs w:val="0"/>
                <w:color w:val="000000"/>
                <w:kern w:val="0"/>
                <w:sz w:val="21"/>
                <w:szCs w:val="21"/>
                <w:highlight w:val="none"/>
                <w:lang w:val="en-US" w:eastAsia="zh-CN" w:bidi="ar"/>
              </w:rPr>
              <w:t>装卸、配煤、运输</w:t>
            </w:r>
            <w:r>
              <w:rPr>
                <w:rFonts w:hint="default" w:ascii="Times New Roman" w:hAnsi="Times New Roman" w:eastAsia="宋体" w:cs="Times New Roman"/>
                <w:b/>
                <w:bCs w:val="0"/>
                <w:color w:val="000000"/>
                <w:kern w:val="0"/>
                <w:sz w:val="21"/>
                <w:szCs w:val="21"/>
                <w:highlight w:val="none"/>
                <w:lang w:val="en-US" w:eastAsia="zh-CN" w:bidi="ar"/>
              </w:rPr>
              <w:t>废气污染物产排情况一览表</w:t>
            </w:r>
          </w:p>
          <w:tbl>
            <w:tblPr>
              <w:tblStyle w:val="25"/>
              <w:tblW w:w="8058" w:type="dxa"/>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1440"/>
              <w:gridCol w:w="1065"/>
              <w:gridCol w:w="1065"/>
              <w:gridCol w:w="960"/>
              <w:gridCol w:w="1155"/>
              <w:gridCol w:w="1290"/>
              <w:gridCol w:w="1083"/>
            </w:tblGrid>
            <w:tr w14:paraId="57C5D0A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12" w:hRule="atLeast"/>
                <w:jc w:val="center"/>
              </w:trPr>
              <w:tc>
                <w:tcPr>
                  <w:tcW w:w="1440" w:type="dxa"/>
                  <w:vMerge w:val="restart"/>
                  <w:tcBorders>
                    <w:tl2br w:val="nil"/>
                    <w:tr2bl w:val="nil"/>
                  </w:tcBorders>
                  <w:noWrap w:val="0"/>
                  <w:vAlign w:val="center"/>
                </w:tcPr>
                <w:p w14:paraId="44661F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lang w:val="en-US" w:eastAsia="zh-CN" w:bidi="ar"/>
                    </w:rPr>
                    <w:t>污染源</w:t>
                  </w:r>
                </w:p>
              </w:tc>
              <w:tc>
                <w:tcPr>
                  <w:tcW w:w="1065" w:type="dxa"/>
                  <w:vMerge w:val="restart"/>
                  <w:tcBorders>
                    <w:tl2br w:val="nil"/>
                    <w:tr2bl w:val="nil"/>
                  </w:tcBorders>
                  <w:noWrap w:val="0"/>
                  <w:vAlign w:val="center"/>
                </w:tcPr>
                <w:p w14:paraId="6EBB7F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lang w:val="en-US" w:eastAsia="zh-CN" w:bidi="ar"/>
                    </w:rPr>
                    <w:t>污染物</w:t>
                  </w:r>
                </w:p>
              </w:tc>
              <w:tc>
                <w:tcPr>
                  <w:tcW w:w="2025" w:type="dxa"/>
                  <w:gridSpan w:val="2"/>
                  <w:tcBorders>
                    <w:tl2br w:val="nil"/>
                    <w:tr2bl w:val="nil"/>
                  </w:tcBorders>
                  <w:noWrap w:val="0"/>
                  <w:vAlign w:val="center"/>
                </w:tcPr>
                <w:p w14:paraId="12F446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lang w:val="en-US" w:eastAsia="zh-CN" w:bidi="ar"/>
                    </w:rPr>
                    <w:t>产生情况</w:t>
                  </w:r>
                </w:p>
              </w:tc>
              <w:tc>
                <w:tcPr>
                  <w:tcW w:w="3528" w:type="dxa"/>
                  <w:gridSpan w:val="3"/>
                  <w:tcBorders>
                    <w:tl2br w:val="nil"/>
                    <w:tr2bl w:val="nil"/>
                  </w:tcBorders>
                  <w:noWrap w:val="0"/>
                  <w:vAlign w:val="center"/>
                </w:tcPr>
                <w:p w14:paraId="367CE8B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lang w:val="en-US" w:eastAsia="zh-CN"/>
                    </w:rPr>
                  </w:pPr>
                  <w:r>
                    <w:rPr>
                      <w:rFonts w:hint="default" w:ascii="Times New Roman" w:hAnsi="Times New Roman" w:eastAsia="宋体" w:cs="Times New Roman"/>
                      <w:color w:val="000000"/>
                      <w:kern w:val="2"/>
                      <w:sz w:val="21"/>
                      <w:szCs w:val="21"/>
                      <w:highlight w:val="none"/>
                      <w:lang w:val="en-US" w:eastAsia="zh-CN"/>
                    </w:rPr>
                    <w:t>排放情况</w:t>
                  </w:r>
                </w:p>
              </w:tc>
            </w:tr>
            <w:tr w14:paraId="50B275A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561" w:hRule="atLeast"/>
                <w:jc w:val="center"/>
              </w:trPr>
              <w:tc>
                <w:tcPr>
                  <w:tcW w:w="1440" w:type="dxa"/>
                  <w:vMerge w:val="continue"/>
                  <w:tcBorders>
                    <w:tl2br w:val="nil"/>
                    <w:tr2bl w:val="nil"/>
                  </w:tcBorders>
                  <w:noWrap w:val="0"/>
                  <w:vAlign w:val="center"/>
                </w:tcPr>
                <w:p w14:paraId="7A4F46C5">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color w:val="000000"/>
                      <w:sz w:val="20"/>
                      <w:szCs w:val="20"/>
                      <w:highlight w:val="none"/>
                    </w:rPr>
                  </w:pPr>
                </w:p>
              </w:tc>
              <w:tc>
                <w:tcPr>
                  <w:tcW w:w="1065" w:type="dxa"/>
                  <w:vMerge w:val="continue"/>
                  <w:tcBorders>
                    <w:tl2br w:val="nil"/>
                    <w:tr2bl w:val="nil"/>
                  </w:tcBorders>
                  <w:noWrap w:val="0"/>
                  <w:vAlign w:val="center"/>
                </w:tcPr>
                <w:p w14:paraId="5D9B0E5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0"/>
                      <w:szCs w:val="20"/>
                      <w:highlight w:val="none"/>
                    </w:rPr>
                  </w:pPr>
                </w:p>
              </w:tc>
              <w:tc>
                <w:tcPr>
                  <w:tcW w:w="1065" w:type="dxa"/>
                  <w:tcBorders>
                    <w:tl2br w:val="nil"/>
                    <w:tr2bl w:val="nil"/>
                  </w:tcBorders>
                  <w:noWrap w:val="0"/>
                  <w:vAlign w:val="center"/>
                </w:tcPr>
                <w:p w14:paraId="71BCFB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lang w:val="en-US" w:eastAsia="zh-CN" w:bidi="ar"/>
                    </w:rPr>
                    <w:t>产生量</w:t>
                  </w:r>
                  <w:r>
                    <w:rPr>
                      <w:rFonts w:hint="eastAsia" w:ascii="Times New Roman" w:hAnsi="Times New Roman" w:eastAsia="宋体" w:cs="Times New Roman"/>
                      <w:color w:val="000000"/>
                      <w:kern w:val="2"/>
                      <w:sz w:val="21"/>
                      <w:szCs w:val="21"/>
                      <w:highlight w:val="none"/>
                      <w:lang w:val="en-US" w:eastAsia="zh-CN" w:bidi="ar"/>
                    </w:rPr>
                    <w:t>（</w:t>
                  </w:r>
                  <w:r>
                    <w:rPr>
                      <w:rFonts w:hint="default" w:ascii="Times New Roman" w:hAnsi="Times New Roman" w:eastAsia="宋体" w:cs="Times New Roman"/>
                      <w:color w:val="000000"/>
                      <w:kern w:val="2"/>
                      <w:sz w:val="21"/>
                      <w:szCs w:val="21"/>
                      <w:highlight w:val="none"/>
                      <w:lang w:val="en-US" w:eastAsia="zh-CN" w:bidi="ar"/>
                    </w:rPr>
                    <w:t>t/a</w:t>
                  </w:r>
                  <w:r>
                    <w:rPr>
                      <w:rFonts w:hint="eastAsia" w:ascii="Times New Roman" w:hAnsi="Times New Roman" w:eastAsia="宋体" w:cs="Times New Roman"/>
                      <w:color w:val="000000"/>
                      <w:kern w:val="2"/>
                      <w:sz w:val="21"/>
                      <w:szCs w:val="21"/>
                      <w:highlight w:val="none"/>
                      <w:lang w:val="en-US" w:eastAsia="zh-CN" w:bidi="ar"/>
                    </w:rPr>
                    <w:t>）</w:t>
                  </w:r>
                </w:p>
              </w:tc>
              <w:tc>
                <w:tcPr>
                  <w:tcW w:w="960" w:type="dxa"/>
                  <w:tcBorders>
                    <w:tl2br w:val="nil"/>
                    <w:tr2bl w:val="nil"/>
                  </w:tcBorders>
                  <w:noWrap w:val="0"/>
                  <w:vAlign w:val="center"/>
                </w:tcPr>
                <w:p w14:paraId="15D568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lang w:val="en-US" w:eastAsia="zh-CN" w:bidi="ar"/>
                    </w:rPr>
                    <w:t>速率</w:t>
                  </w:r>
                  <w:r>
                    <w:rPr>
                      <w:rFonts w:hint="eastAsia" w:ascii="Times New Roman" w:hAnsi="Times New Roman" w:eastAsia="宋体" w:cs="Times New Roman"/>
                      <w:color w:val="000000"/>
                      <w:kern w:val="2"/>
                      <w:sz w:val="21"/>
                      <w:szCs w:val="21"/>
                      <w:highlight w:val="none"/>
                      <w:lang w:val="en-US" w:eastAsia="zh-CN" w:bidi="ar"/>
                    </w:rPr>
                    <w:t>（</w:t>
                  </w:r>
                  <w:r>
                    <w:rPr>
                      <w:rFonts w:hint="default" w:ascii="Times New Roman" w:hAnsi="Times New Roman" w:eastAsia="宋体" w:cs="Times New Roman"/>
                      <w:color w:val="000000"/>
                      <w:kern w:val="2"/>
                      <w:sz w:val="21"/>
                      <w:szCs w:val="21"/>
                      <w:highlight w:val="none"/>
                      <w:lang w:val="en-US" w:eastAsia="zh-CN" w:bidi="ar"/>
                    </w:rPr>
                    <w:t>kg/h</w:t>
                  </w:r>
                  <w:r>
                    <w:rPr>
                      <w:rFonts w:hint="eastAsia" w:ascii="Times New Roman" w:hAnsi="Times New Roman" w:eastAsia="宋体" w:cs="Times New Roman"/>
                      <w:color w:val="000000"/>
                      <w:kern w:val="2"/>
                      <w:sz w:val="21"/>
                      <w:szCs w:val="21"/>
                      <w:highlight w:val="none"/>
                      <w:lang w:val="en-US" w:eastAsia="zh-CN" w:bidi="ar"/>
                    </w:rPr>
                    <w:t>）</w:t>
                  </w:r>
                </w:p>
              </w:tc>
              <w:tc>
                <w:tcPr>
                  <w:tcW w:w="1155" w:type="dxa"/>
                  <w:tcBorders>
                    <w:tl2br w:val="nil"/>
                    <w:tr2bl w:val="nil"/>
                  </w:tcBorders>
                  <w:noWrap w:val="0"/>
                  <w:vAlign w:val="center"/>
                </w:tcPr>
                <w:p w14:paraId="6CBF1B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宋体" w:cs="Times New Roman"/>
                      <w:color w:val="000000"/>
                      <w:kern w:val="2"/>
                      <w:sz w:val="21"/>
                      <w:szCs w:val="21"/>
                      <w:highlight w:val="none"/>
                      <w:lang w:val="en-US"/>
                    </w:rPr>
                  </w:pPr>
                  <w:r>
                    <w:rPr>
                      <w:rFonts w:hint="default" w:ascii="Times New Roman" w:hAnsi="Times New Roman" w:eastAsia="宋体" w:cs="Times New Roman"/>
                      <w:color w:val="000000"/>
                      <w:kern w:val="2"/>
                      <w:sz w:val="21"/>
                      <w:szCs w:val="21"/>
                      <w:highlight w:val="none"/>
                      <w:lang w:val="en-US" w:eastAsia="zh-CN"/>
                    </w:rPr>
                    <w:t>排放方式</w:t>
                  </w:r>
                </w:p>
              </w:tc>
              <w:tc>
                <w:tcPr>
                  <w:tcW w:w="1290" w:type="dxa"/>
                  <w:tcBorders>
                    <w:tl2br w:val="nil"/>
                    <w:tr2bl w:val="nil"/>
                  </w:tcBorders>
                  <w:noWrap w:val="0"/>
                  <w:vAlign w:val="center"/>
                </w:tcPr>
                <w:p w14:paraId="3BB133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lang w:val="en-US" w:eastAsia="zh-CN" w:bidi="ar"/>
                    </w:rPr>
                    <w:t>排放量</w:t>
                  </w:r>
                  <w:r>
                    <w:rPr>
                      <w:rFonts w:hint="eastAsia" w:ascii="Times New Roman" w:hAnsi="Times New Roman" w:eastAsia="宋体" w:cs="Times New Roman"/>
                      <w:color w:val="000000"/>
                      <w:kern w:val="2"/>
                      <w:sz w:val="21"/>
                      <w:szCs w:val="21"/>
                      <w:highlight w:val="none"/>
                      <w:lang w:val="en-US" w:eastAsia="zh-CN" w:bidi="ar"/>
                    </w:rPr>
                    <w:t>（</w:t>
                  </w:r>
                  <w:r>
                    <w:rPr>
                      <w:rFonts w:hint="default" w:ascii="Times New Roman" w:hAnsi="Times New Roman" w:eastAsia="宋体" w:cs="Times New Roman"/>
                      <w:color w:val="000000"/>
                      <w:kern w:val="2"/>
                      <w:sz w:val="21"/>
                      <w:szCs w:val="21"/>
                      <w:highlight w:val="none"/>
                      <w:lang w:val="en-US" w:eastAsia="zh-CN" w:bidi="ar"/>
                    </w:rPr>
                    <w:t>t/a</w:t>
                  </w:r>
                  <w:r>
                    <w:rPr>
                      <w:rFonts w:hint="eastAsia" w:ascii="Times New Roman" w:hAnsi="Times New Roman" w:eastAsia="宋体" w:cs="Times New Roman"/>
                      <w:color w:val="000000"/>
                      <w:kern w:val="2"/>
                      <w:sz w:val="21"/>
                      <w:szCs w:val="21"/>
                      <w:highlight w:val="none"/>
                      <w:lang w:val="en-US" w:eastAsia="zh-CN" w:bidi="ar"/>
                    </w:rPr>
                    <w:t>）</w:t>
                  </w:r>
                </w:p>
              </w:tc>
              <w:tc>
                <w:tcPr>
                  <w:tcW w:w="1083" w:type="dxa"/>
                  <w:tcBorders>
                    <w:tl2br w:val="nil"/>
                    <w:tr2bl w:val="nil"/>
                  </w:tcBorders>
                  <w:noWrap w:val="0"/>
                  <w:vAlign w:val="center"/>
                </w:tcPr>
                <w:p w14:paraId="442B37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lang w:val="en-US" w:eastAsia="zh-CN" w:bidi="ar"/>
                    </w:rPr>
                    <w:t>速率</w:t>
                  </w:r>
                  <w:r>
                    <w:rPr>
                      <w:rFonts w:hint="eastAsia" w:ascii="Times New Roman" w:hAnsi="Times New Roman" w:eastAsia="宋体" w:cs="Times New Roman"/>
                      <w:color w:val="000000"/>
                      <w:kern w:val="2"/>
                      <w:sz w:val="21"/>
                      <w:szCs w:val="21"/>
                      <w:highlight w:val="none"/>
                      <w:lang w:val="en-US" w:eastAsia="zh-CN" w:bidi="ar"/>
                    </w:rPr>
                    <w:t>（</w:t>
                  </w:r>
                  <w:r>
                    <w:rPr>
                      <w:rFonts w:hint="default" w:ascii="Times New Roman" w:hAnsi="Times New Roman" w:eastAsia="宋体" w:cs="Times New Roman"/>
                      <w:color w:val="000000"/>
                      <w:kern w:val="2"/>
                      <w:sz w:val="21"/>
                      <w:szCs w:val="21"/>
                      <w:highlight w:val="none"/>
                      <w:lang w:val="en-US" w:eastAsia="zh-CN" w:bidi="ar"/>
                    </w:rPr>
                    <w:t>kg/h</w:t>
                  </w:r>
                  <w:r>
                    <w:rPr>
                      <w:rFonts w:hint="eastAsia" w:ascii="Times New Roman" w:hAnsi="Times New Roman" w:eastAsia="宋体" w:cs="Times New Roman"/>
                      <w:color w:val="000000"/>
                      <w:kern w:val="2"/>
                      <w:sz w:val="21"/>
                      <w:szCs w:val="21"/>
                      <w:highlight w:val="none"/>
                      <w:lang w:val="en-US" w:eastAsia="zh-CN" w:bidi="ar"/>
                    </w:rPr>
                    <w:t>）</w:t>
                  </w:r>
                </w:p>
              </w:tc>
            </w:tr>
            <w:tr w14:paraId="494C9A6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440" w:type="dxa"/>
                  <w:tcBorders>
                    <w:tl2br w:val="nil"/>
                    <w:tr2bl w:val="nil"/>
                  </w:tcBorders>
                  <w:noWrap w:val="0"/>
                  <w:vAlign w:val="center"/>
                </w:tcPr>
                <w:p w14:paraId="7CDF2E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lang w:val="en-US" w:eastAsia="zh-CN"/>
                    </w:rPr>
                  </w:pPr>
                  <w:r>
                    <w:rPr>
                      <w:rFonts w:hint="eastAsia" w:cs="Times New Roman"/>
                      <w:color w:val="000000"/>
                      <w:kern w:val="2"/>
                      <w:sz w:val="21"/>
                      <w:szCs w:val="21"/>
                      <w:highlight w:val="none"/>
                      <w:lang w:val="en-US" w:eastAsia="zh-CN"/>
                    </w:rPr>
                    <w:t>堆存粉尘</w:t>
                  </w:r>
                </w:p>
              </w:tc>
              <w:tc>
                <w:tcPr>
                  <w:tcW w:w="1065" w:type="dxa"/>
                  <w:tcBorders>
                    <w:tl2br w:val="nil"/>
                    <w:tr2bl w:val="nil"/>
                  </w:tcBorders>
                  <w:noWrap w:val="0"/>
                  <w:vAlign w:val="center"/>
                </w:tcPr>
                <w:p w14:paraId="1E3ACA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000000"/>
                      <w:kern w:val="2"/>
                      <w:sz w:val="21"/>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rPr>
                    <w:t>颗粒物</w:t>
                  </w:r>
                </w:p>
              </w:tc>
              <w:tc>
                <w:tcPr>
                  <w:tcW w:w="1065" w:type="dxa"/>
                  <w:tcBorders>
                    <w:tl2br w:val="nil"/>
                    <w:tr2bl w:val="nil"/>
                  </w:tcBorders>
                  <w:noWrap w:val="0"/>
                  <w:vAlign w:val="center"/>
                </w:tcPr>
                <w:p w14:paraId="0FC238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lang w:val="en-US" w:eastAsia="zh-CN"/>
                    </w:rPr>
                  </w:pPr>
                  <w:r>
                    <w:rPr>
                      <w:rFonts w:hint="eastAsia" w:cs="Times New Roman"/>
                      <w:color w:val="000000"/>
                      <w:kern w:val="2"/>
                      <w:sz w:val="21"/>
                      <w:szCs w:val="21"/>
                      <w:highlight w:val="none"/>
                      <w:lang w:val="en-US" w:eastAsia="zh-CN"/>
                    </w:rPr>
                    <w:t>666.27</w:t>
                  </w:r>
                </w:p>
              </w:tc>
              <w:tc>
                <w:tcPr>
                  <w:tcW w:w="960" w:type="dxa"/>
                  <w:tcBorders>
                    <w:tl2br w:val="nil"/>
                    <w:tr2bl w:val="nil"/>
                  </w:tcBorders>
                  <w:noWrap w:val="0"/>
                  <w:vAlign w:val="center"/>
                </w:tcPr>
                <w:p w14:paraId="39A3D4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lang w:val="en-US" w:eastAsia="zh-CN"/>
                    </w:rPr>
                  </w:pPr>
                  <w:r>
                    <w:rPr>
                      <w:rFonts w:hint="eastAsia" w:cs="Times New Roman"/>
                      <w:color w:val="000000"/>
                      <w:kern w:val="2"/>
                      <w:sz w:val="21"/>
                      <w:szCs w:val="21"/>
                      <w:highlight w:val="none"/>
                      <w:lang w:val="en-US" w:eastAsia="zh-CN"/>
                    </w:rPr>
                    <w:t>277.61</w:t>
                  </w:r>
                </w:p>
              </w:tc>
              <w:tc>
                <w:tcPr>
                  <w:tcW w:w="1155" w:type="dxa"/>
                  <w:tcBorders>
                    <w:tl2br w:val="nil"/>
                    <w:tr2bl w:val="nil"/>
                  </w:tcBorders>
                  <w:shd w:val="clear" w:color="auto" w:fill="auto"/>
                  <w:noWrap w:val="0"/>
                  <w:vAlign w:val="center"/>
                </w:tcPr>
                <w:p w14:paraId="2B6A7F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无组织</w:t>
                  </w:r>
                </w:p>
              </w:tc>
              <w:tc>
                <w:tcPr>
                  <w:tcW w:w="1290" w:type="dxa"/>
                  <w:tcBorders>
                    <w:tl2br w:val="nil"/>
                    <w:tr2bl w:val="nil"/>
                  </w:tcBorders>
                  <w:shd w:val="clear" w:color="auto" w:fill="auto"/>
                  <w:noWrap w:val="0"/>
                  <w:vAlign w:val="center"/>
                </w:tcPr>
                <w:p w14:paraId="222F18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1.73</w:t>
                  </w:r>
                </w:p>
              </w:tc>
              <w:tc>
                <w:tcPr>
                  <w:tcW w:w="1083" w:type="dxa"/>
                  <w:tcBorders>
                    <w:tl2br w:val="nil"/>
                    <w:tr2bl w:val="nil"/>
                  </w:tcBorders>
                  <w:shd w:val="clear" w:color="auto" w:fill="auto"/>
                  <w:noWrap w:val="0"/>
                  <w:vAlign w:val="center"/>
                </w:tcPr>
                <w:p w14:paraId="059E88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0.094</w:t>
                  </w:r>
                </w:p>
              </w:tc>
            </w:tr>
            <w:tr w14:paraId="13B3048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440" w:type="dxa"/>
                  <w:tcBorders>
                    <w:tl2br w:val="nil"/>
                    <w:tr2bl w:val="nil"/>
                  </w:tcBorders>
                  <w:noWrap w:val="0"/>
                  <w:vAlign w:val="center"/>
                </w:tcPr>
                <w:p w14:paraId="52FED7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lang w:val="en-US" w:eastAsia="zh-CN"/>
                    </w:rPr>
                  </w:pPr>
                  <w:r>
                    <w:rPr>
                      <w:rFonts w:hint="eastAsia" w:cs="Times New Roman"/>
                      <w:color w:val="000000"/>
                      <w:kern w:val="2"/>
                      <w:sz w:val="21"/>
                      <w:szCs w:val="21"/>
                      <w:highlight w:val="none"/>
                      <w:lang w:val="en-US" w:eastAsia="zh-CN"/>
                    </w:rPr>
                    <w:t>筛分粉尘</w:t>
                  </w:r>
                </w:p>
              </w:tc>
              <w:tc>
                <w:tcPr>
                  <w:tcW w:w="1065" w:type="dxa"/>
                  <w:tcBorders>
                    <w:tl2br w:val="nil"/>
                    <w:tr2bl w:val="nil"/>
                  </w:tcBorders>
                  <w:noWrap w:val="0"/>
                  <w:vAlign w:val="center"/>
                </w:tcPr>
                <w:p w14:paraId="305FA7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000000"/>
                      <w:kern w:val="2"/>
                      <w:sz w:val="21"/>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rPr>
                    <w:t>颗粒物</w:t>
                  </w:r>
                </w:p>
              </w:tc>
              <w:tc>
                <w:tcPr>
                  <w:tcW w:w="1065" w:type="dxa"/>
                  <w:tcBorders>
                    <w:tl2br w:val="nil"/>
                    <w:tr2bl w:val="nil"/>
                  </w:tcBorders>
                  <w:noWrap w:val="0"/>
                  <w:vAlign w:val="center"/>
                </w:tcPr>
                <w:p w14:paraId="226788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lang w:val="en-US" w:eastAsia="zh-CN"/>
                    </w:rPr>
                  </w:pPr>
                  <w:r>
                    <w:rPr>
                      <w:rFonts w:hint="eastAsia" w:cs="Times New Roman"/>
                      <w:color w:val="000000"/>
                      <w:kern w:val="2"/>
                      <w:sz w:val="21"/>
                      <w:szCs w:val="21"/>
                      <w:highlight w:val="none"/>
                      <w:lang w:val="en-US" w:eastAsia="zh-CN"/>
                    </w:rPr>
                    <w:t>3.335</w:t>
                  </w:r>
                </w:p>
              </w:tc>
              <w:tc>
                <w:tcPr>
                  <w:tcW w:w="960" w:type="dxa"/>
                  <w:tcBorders>
                    <w:tl2br w:val="nil"/>
                    <w:tr2bl w:val="nil"/>
                  </w:tcBorders>
                  <w:noWrap w:val="0"/>
                  <w:vAlign w:val="center"/>
                </w:tcPr>
                <w:p w14:paraId="6FA7CD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lang w:val="en-US" w:eastAsia="zh-CN"/>
                    </w:rPr>
                  </w:pPr>
                  <w:r>
                    <w:rPr>
                      <w:rFonts w:hint="eastAsia" w:cs="Times New Roman"/>
                      <w:color w:val="000000"/>
                      <w:kern w:val="2"/>
                      <w:sz w:val="21"/>
                      <w:szCs w:val="21"/>
                      <w:highlight w:val="none"/>
                      <w:lang w:val="en-US" w:eastAsia="zh-CN"/>
                    </w:rPr>
                    <w:t>1.389</w:t>
                  </w:r>
                </w:p>
              </w:tc>
              <w:tc>
                <w:tcPr>
                  <w:tcW w:w="1155" w:type="dxa"/>
                  <w:tcBorders>
                    <w:tl2br w:val="nil"/>
                    <w:tr2bl w:val="nil"/>
                  </w:tcBorders>
                  <w:noWrap w:val="0"/>
                  <w:vAlign w:val="center"/>
                </w:tcPr>
                <w:p w14:paraId="049733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无组织</w:t>
                  </w:r>
                </w:p>
              </w:tc>
              <w:tc>
                <w:tcPr>
                  <w:tcW w:w="1290" w:type="dxa"/>
                  <w:tcBorders>
                    <w:tl2br w:val="nil"/>
                    <w:tr2bl w:val="nil"/>
                  </w:tcBorders>
                  <w:noWrap w:val="0"/>
                  <w:vAlign w:val="center"/>
                </w:tcPr>
                <w:p w14:paraId="3C3F1B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lang w:val="en-US" w:eastAsia="zh-CN"/>
                    </w:rPr>
                  </w:pPr>
                  <w:r>
                    <w:rPr>
                      <w:rFonts w:hint="eastAsia" w:cs="Times New Roman"/>
                      <w:color w:val="000000"/>
                      <w:kern w:val="2"/>
                      <w:sz w:val="21"/>
                      <w:szCs w:val="21"/>
                      <w:highlight w:val="none"/>
                      <w:lang w:val="en-US" w:eastAsia="zh-CN"/>
                    </w:rPr>
                    <w:t>0.867</w:t>
                  </w:r>
                </w:p>
              </w:tc>
              <w:tc>
                <w:tcPr>
                  <w:tcW w:w="1083" w:type="dxa"/>
                  <w:tcBorders>
                    <w:tl2br w:val="nil"/>
                    <w:tr2bl w:val="nil"/>
                  </w:tcBorders>
                  <w:noWrap w:val="0"/>
                  <w:vAlign w:val="center"/>
                </w:tcPr>
                <w:p w14:paraId="52A0F6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lang w:val="en-US" w:eastAsia="zh-CN"/>
                    </w:rPr>
                  </w:pPr>
                  <w:r>
                    <w:rPr>
                      <w:rFonts w:hint="eastAsia" w:cs="Times New Roman"/>
                      <w:color w:val="000000"/>
                      <w:kern w:val="2"/>
                      <w:sz w:val="21"/>
                      <w:szCs w:val="21"/>
                      <w:highlight w:val="none"/>
                      <w:lang w:val="en-US" w:eastAsia="zh-CN"/>
                    </w:rPr>
                    <w:t>0.361</w:t>
                  </w:r>
                </w:p>
              </w:tc>
            </w:tr>
            <w:tr w14:paraId="553487A6">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440" w:type="dxa"/>
                  <w:tcBorders>
                    <w:tl2br w:val="nil"/>
                    <w:tr2bl w:val="nil"/>
                  </w:tcBorders>
                  <w:noWrap w:val="0"/>
                  <w:vAlign w:val="center"/>
                </w:tcPr>
                <w:p w14:paraId="417568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rPr>
                    <w:t>配煤粉尘</w:t>
                  </w:r>
                </w:p>
              </w:tc>
              <w:tc>
                <w:tcPr>
                  <w:tcW w:w="1065" w:type="dxa"/>
                  <w:tcBorders>
                    <w:tl2br w:val="nil"/>
                    <w:tr2bl w:val="nil"/>
                  </w:tcBorders>
                  <w:noWrap w:val="0"/>
                  <w:vAlign w:val="center"/>
                </w:tcPr>
                <w:p w14:paraId="187977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lang w:val="en-US" w:eastAsia="zh-CN" w:bidi="ar"/>
                    </w:rPr>
                  </w:pPr>
                  <w:r>
                    <w:rPr>
                      <w:rFonts w:hint="eastAsia" w:ascii="Times New Roman" w:hAnsi="Times New Roman" w:eastAsia="宋体" w:cs="Times New Roman"/>
                      <w:color w:val="000000"/>
                      <w:kern w:val="2"/>
                      <w:sz w:val="21"/>
                      <w:szCs w:val="21"/>
                      <w:highlight w:val="none"/>
                      <w:lang w:val="en-US" w:eastAsia="zh-CN"/>
                    </w:rPr>
                    <w:t>颗粒物</w:t>
                  </w:r>
                </w:p>
              </w:tc>
              <w:tc>
                <w:tcPr>
                  <w:tcW w:w="1065" w:type="dxa"/>
                  <w:tcBorders>
                    <w:tl2br w:val="nil"/>
                    <w:tr2bl w:val="nil"/>
                  </w:tcBorders>
                  <w:noWrap w:val="0"/>
                  <w:vAlign w:val="center"/>
                </w:tcPr>
                <w:p w14:paraId="5C8DE0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lang w:val="en-US" w:eastAsia="zh-CN"/>
                    </w:rPr>
                  </w:pPr>
                  <w:r>
                    <w:rPr>
                      <w:rFonts w:hint="eastAsia" w:cs="Times New Roman"/>
                      <w:color w:val="000000"/>
                      <w:kern w:val="2"/>
                      <w:sz w:val="21"/>
                      <w:szCs w:val="21"/>
                      <w:highlight w:val="none"/>
                      <w:lang w:val="en-US" w:eastAsia="zh-CN"/>
                    </w:rPr>
                    <w:t>4.500</w:t>
                  </w:r>
                </w:p>
              </w:tc>
              <w:tc>
                <w:tcPr>
                  <w:tcW w:w="960" w:type="dxa"/>
                  <w:tcBorders>
                    <w:tl2br w:val="nil"/>
                    <w:tr2bl w:val="nil"/>
                  </w:tcBorders>
                  <w:noWrap w:val="0"/>
                  <w:vAlign w:val="center"/>
                </w:tcPr>
                <w:p w14:paraId="38C6B6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lang w:val="en-US" w:eastAsia="zh-CN"/>
                    </w:rPr>
                  </w:pPr>
                  <w:r>
                    <w:rPr>
                      <w:rFonts w:hint="eastAsia" w:cs="Times New Roman"/>
                      <w:color w:val="000000"/>
                      <w:kern w:val="2"/>
                      <w:sz w:val="21"/>
                      <w:szCs w:val="21"/>
                      <w:highlight w:val="none"/>
                      <w:lang w:val="en-US" w:eastAsia="zh-CN"/>
                    </w:rPr>
                    <w:t>1.875</w:t>
                  </w:r>
                </w:p>
              </w:tc>
              <w:tc>
                <w:tcPr>
                  <w:tcW w:w="1155" w:type="dxa"/>
                  <w:tcBorders>
                    <w:tl2br w:val="nil"/>
                    <w:tr2bl w:val="nil"/>
                  </w:tcBorders>
                  <w:noWrap w:val="0"/>
                  <w:vAlign w:val="center"/>
                </w:tcPr>
                <w:p w14:paraId="538497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bidi="ar-SA"/>
                    </w:rPr>
                    <w:t>无组织</w:t>
                  </w:r>
                </w:p>
              </w:tc>
              <w:tc>
                <w:tcPr>
                  <w:tcW w:w="1290" w:type="dxa"/>
                  <w:tcBorders>
                    <w:tl2br w:val="nil"/>
                    <w:tr2bl w:val="nil"/>
                  </w:tcBorders>
                  <w:noWrap w:val="0"/>
                  <w:vAlign w:val="center"/>
                </w:tcPr>
                <w:p w14:paraId="170118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lang w:val="en-US" w:eastAsia="zh-CN"/>
                    </w:rPr>
                  </w:pPr>
                  <w:r>
                    <w:rPr>
                      <w:rFonts w:hint="eastAsia" w:cs="Times New Roman"/>
                      <w:color w:val="000000"/>
                      <w:kern w:val="2"/>
                      <w:sz w:val="21"/>
                      <w:szCs w:val="21"/>
                      <w:highlight w:val="none"/>
                      <w:lang w:val="en-US" w:eastAsia="zh-CN"/>
                    </w:rPr>
                    <w:t>1.17</w:t>
                  </w:r>
                </w:p>
              </w:tc>
              <w:tc>
                <w:tcPr>
                  <w:tcW w:w="1083" w:type="dxa"/>
                  <w:tcBorders>
                    <w:tl2br w:val="nil"/>
                    <w:tr2bl w:val="nil"/>
                  </w:tcBorders>
                  <w:noWrap w:val="0"/>
                  <w:vAlign w:val="center"/>
                </w:tcPr>
                <w:p w14:paraId="3E95A6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lang w:val="en-US" w:eastAsia="zh-CN"/>
                    </w:rPr>
                  </w:pPr>
                  <w:r>
                    <w:rPr>
                      <w:rFonts w:hint="eastAsia" w:cs="Times New Roman"/>
                      <w:color w:val="000000"/>
                      <w:kern w:val="2"/>
                      <w:sz w:val="21"/>
                      <w:szCs w:val="21"/>
                      <w:highlight w:val="none"/>
                      <w:lang w:val="en-US" w:eastAsia="zh-CN"/>
                    </w:rPr>
                    <w:t>0.488</w:t>
                  </w:r>
                </w:p>
              </w:tc>
            </w:tr>
            <w:tr w14:paraId="5195BC5C">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440" w:type="dxa"/>
                  <w:tcBorders>
                    <w:tl2br w:val="nil"/>
                    <w:tr2bl w:val="nil"/>
                  </w:tcBorders>
                  <w:noWrap w:val="0"/>
                  <w:vAlign w:val="center"/>
                </w:tcPr>
                <w:p w14:paraId="207C0B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000000"/>
                      <w:kern w:val="2"/>
                      <w:sz w:val="21"/>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rPr>
                    <w:t>运输扬尘</w:t>
                  </w:r>
                </w:p>
              </w:tc>
              <w:tc>
                <w:tcPr>
                  <w:tcW w:w="1065" w:type="dxa"/>
                  <w:tcBorders>
                    <w:tl2br w:val="nil"/>
                    <w:tr2bl w:val="nil"/>
                  </w:tcBorders>
                  <w:noWrap w:val="0"/>
                  <w:vAlign w:val="center"/>
                </w:tcPr>
                <w:p w14:paraId="7652FF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lang w:val="en-US" w:eastAsia="zh-CN" w:bidi="ar"/>
                    </w:rPr>
                  </w:pPr>
                  <w:r>
                    <w:rPr>
                      <w:rFonts w:hint="eastAsia" w:ascii="Times New Roman" w:hAnsi="Times New Roman" w:eastAsia="宋体" w:cs="Times New Roman"/>
                      <w:color w:val="000000"/>
                      <w:kern w:val="2"/>
                      <w:sz w:val="21"/>
                      <w:szCs w:val="21"/>
                      <w:highlight w:val="none"/>
                      <w:lang w:val="en-US" w:eastAsia="zh-CN"/>
                    </w:rPr>
                    <w:t>颗粒物</w:t>
                  </w:r>
                </w:p>
              </w:tc>
              <w:tc>
                <w:tcPr>
                  <w:tcW w:w="1065" w:type="dxa"/>
                  <w:tcBorders>
                    <w:tl2br w:val="nil"/>
                    <w:tr2bl w:val="nil"/>
                  </w:tcBorders>
                  <w:noWrap w:val="0"/>
                  <w:vAlign w:val="center"/>
                </w:tcPr>
                <w:p w14:paraId="5AE4EA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rPr>
                    <w:t>0.223</w:t>
                  </w:r>
                </w:p>
              </w:tc>
              <w:tc>
                <w:tcPr>
                  <w:tcW w:w="960" w:type="dxa"/>
                  <w:tcBorders>
                    <w:tl2br w:val="nil"/>
                    <w:tr2bl w:val="nil"/>
                  </w:tcBorders>
                  <w:noWrap w:val="0"/>
                  <w:vAlign w:val="center"/>
                </w:tcPr>
                <w:p w14:paraId="3B89B9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lang w:val="en-US" w:eastAsia="zh-CN"/>
                    </w:rPr>
                  </w:pPr>
                  <w:r>
                    <w:rPr>
                      <w:rFonts w:hint="eastAsia" w:cs="Times New Roman"/>
                      <w:color w:val="000000"/>
                      <w:kern w:val="2"/>
                      <w:sz w:val="21"/>
                      <w:szCs w:val="21"/>
                      <w:highlight w:val="none"/>
                      <w:lang w:val="en-US" w:eastAsia="zh-CN"/>
                    </w:rPr>
                    <w:t>0.093</w:t>
                  </w:r>
                </w:p>
              </w:tc>
              <w:tc>
                <w:tcPr>
                  <w:tcW w:w="1155" w:type="dxa"/>
                  <w:tcBorders>
                    <w:tl2br w:val="nil"/>
                    <w:tr2bl w:val="nil"/>
                  </w:tcBorders>
                  <w:noWrap w:val="0"/>
                  <w:vAlign w:val="center"/>
                </w:tcPr>
                <w:p w14:paraId="7AE065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bidi="ar-SA"/>
                    </w:rPr>
                    <w:t>无组织</w:t>
                  </w:r>
                </w:p>
              </w:tc>
              <w:tc>
                <w:tcPr>
                  <w:tcW w:w="1290" w:type="dxa"/>
                  <w:tcBorders>
                    <w:tl2br w:val="nil"/>
                    <w:tr2bl w:val="nil"/>
                  </w:tcBorders>
                  <w:noWrap w:val="0"/>
                  <w:vAlign w:val="center"/>
                </w:tcPr>
                <w:p w14:paraId="6C7F8E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lang w:val="en-US" w:eastAsia="zh-CN"/>
                    </w:rPr>
                  </w:pPr>
                  <w:r>
                    <w:rPr>
                      <w:rFonts w:hint="eastAsia" w:cs="Times New Roman"/>
                      <w:color w:val="000000"/>
                      <w:kern w:val="2"/>
                      <w:sz w:val="21"/>
                      <w:szCs w:val="21"/>
                      <w:highlight w:val="none"/>
                      <w:lang w:val="en-US" w:eastAsia="zh-CN"/>
                    </w:rPr>
                    <w:t>0.022</w:t>
                  </w:r>
                </w:p>
              </w:tc>
              <w:tc>
                <w:tcPr>
                  <w:tcW w:w="1083" w:type="dxa"/>
                  <w:tcBorders>
                    <w:tl2br w:val="nil"/>
                    <w:tr2bl w:val="nil"/>
                  </w:tcBorders>
                  <w:noWrap w:val="0"/>
                  <w:vAlign w:val="center"/>
                </w:tcPr>
                <w:p w14:paraId="70C43C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kern w:val="2"/>
                      <w:sz w:val="21"/>
                      <w:szCs w:val="21"/>
                      <w:highlight w:val="none"/>
                      <w:lang w:val="en-US" w:eastAsia="zh-CN"/>
                    </w:rPr>
                  </w:pPr>
                  <w:r>
                    <w:rPr>
                      <w:rFonts w:hint="eastAsia" w:cs="Times New Roman"/>
                      <w:color w:val="000000"/>
                      <w:kern w:val="2"/>
                      <w:sz w:val="21"/>
                      <w:szCs w:val="21"/>
                      <w:highlight w:val="none"/>
                      <w:lang w:val="en-US" w:eastAsia="zh-CN"/>
                    </w:rPr>
                    <w:t>0.009</w:t>
                  </w:r>
                </w:p>
              </w:tc>
            </w:tr>
          </w:tbl>
          <w:p w14:paraId="2A29ED08">
            <w:pPr>
              <w:numPr>
                <w:ilvl w:val="0"/>
                <w:numId w:val="0"/>
              </w:numPr>
              <w:adjustRightInd w:val="0"/>
              <w:snapToGrid w:val="0"/>
              <w:spacing w:line="360" w:lineRule="auto"/>
              <w:ind w:firstLine="482" w:firstLineChars="200"/>
              <w:rPr>
                <w:rFonts w:hint="eastAsia" w:cs="Times New Roman"/>
                <w:b/>
                <w:bCs w:val="0"/>
                <w:color w:val="auto"/>
                <w:sz w:val="24"/>
                <w:szCs w:val="24"/>
                <w:highlight w:val="none"/>
                <w:vertAlign w:val="baseline"/>
                <w:lang w:val="en-US" w:eastAsia="zh-CN"/>
              </w:rPr>
            </w:pPr>
            <w:r>
              <w:rPr>
                <w:rFonts w:hint="eastAsia" w:ascii="Times New Roman" w:hAnsi="Times New Roman" w:eastAsia="宋体" w:cs="Times New Roman"/>
                <w:b/>
                <w:bCs w:val="0"/>
                <w:color w:val="auto"/>
                <w:kern w:val="2"/>
                <w:sz w:val="24"/>
                <w:szCs w:val="24"/>
                <w:vertAlign w:val="baseline"/>
                <w:lang w:val="en-US" w:eastAsia="zh-CN" w:bidi="ar-SA"/>
              </w:rPr>
              <w:t>1</w:t>
            </w:r>
            <w:r>
              <w:rPr>
                <w:rFonts w:hint="eastAsia" w:cs="Times New Roman"/>
                <w:b/>
                <w:bCs w:val="0"/>
                <w:color w:val="auto"/>
                <w:sz w:val="24"/>
                <w:szCs w:val="24"/>
                <w:highlight w:val="none"/>
                <w:vertAlign w:val="baseline"/>
                <w:lang w:val="en-US" w:eastAsia="zh-CN"/>
              </w:rPr>
              <w:t>.1.5废气治理措施可行性分析</w:t>
            </w:r>
          </w:p>
          <w:p w14:paraId="0B8A2C15">
            <w:pPr>
              <w:pStyle w:val="42"/>
              <w:spacing w:before="9" w:line="343" w:lineRule="auto"/>
              <w:ind w:left="100" w:right="95" w:firstLine="563"/>
              <w:jc w:val="both"/>
              <w:rPr>
                <w:rFonts w:hint="eastAsia" w:ascii="Times New Roman" w:hAnsi="Times New Roman" w:eastAsia="宋体" w:cs="Times New Roman"/>
                <w:spacing w:val="2"/>
                <w:sz w:val="24"/>
                <w:szCs w:val="24"/>
                <w:lang w:val="en-US" w:eastAsia="zh-CN"/>
              </w:rPr>
            </w:pPr>
            <w:r>
              <w:rPr>
                <w:rFonts w:hint="eastAsia" w:ascii="Times New Roman" w:hAnsi="Times New Roman" w:eastAsia="宋体" w:cs="Times New Roman"/>
                <w:spacing w:val="2"/>
                <w:sz w:val="24"/>
                <w:szCs w:val="24"/>
                <w:lang w:val="en-US" w:eastAsia="zh-CN"/>
              </w:rPr>
              <w:t>根据《排放源统计调查产排污核算方法》中附表2固体物料堆存颗粒物产排污核算系数手册中附录4、附录5粉尘控制措施有“洒水、围挡、出入车辆冲洗，堆场密闭式”等，本项目厂区内定期洒水降尘，进出口有出入车辆冲洗台，煤棚采取密闭式，配煤机配有雾炮，厂区四周有围挡，符合标准推荐的粉尘控制措施，即本项目的废气处理措施是可行的。</w:t>
            </w:r>
          </w:p>
          <w:p w14:paraId="7F259170">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000000"/>
                <w:spacing w:val="0"/>
                <w:sz w:val="24"/>
                <w:highlight w:val="none"/>
              </w:rPr>
            </w:pPr>
            <w:r>
              <w:rPr>
                <w:rFonts w:hint="default" w:ascii="Times New Roman" w:hAnsi="Times New Roman" w:eastAsia="宋体" w:cs="Times New Roman"/>
                <w:b/>
                <w:bCs/>
                <w:color w:val="000000"/>
                <w:spacing w:val="0"/>
                <w:sz w:val="24"/>
                <w:highlight w:val="none"/>
                <w:lang w:val="en-US" w:eastAsia="zh-CN"/>
              </w:rPr>
              <w:t>1.</w:t>
            </w:r>
            <w:r>
              <w:rPr>
                <w:rFonts w:hint="eastAsia" w:ascii="Times New Roman" w:hAnsi="Times New Roman" w:eastAsia="宋体" w:cs="Times New Roman"/>
                <w:b/>
                <w:bCs/>
                <w:color w:val="000000"/>
                <w:spacing w:val="0"/>
                <w:sz w:val="24"/>
                <w:highlight w:val="none"/>
                <w:lang w:val="en-US" w:eastAsia="zh-CN"/>
              </w:rPr>
              <w:t>1.6</w:t>
            </w:r>
            <w:r>
              <w:rPr>
                <w:rFonts w:hint="default" w:ascii="Times New Roman" w:hAnsi="Times New Roman" w:eastAsia="宋体" w:cs="Times New Roman"/>
                <w:b/>
                <w:bCs/>
                <w:color w:val="000000"/>
                <w:spacing w:val="0"/>
                <w:sz w:val="24"/>
                <w:highlight w:val="none"/>
              </w:rPr>
              <w:t>监测要求</w:t>
            </w:r>
          </w:p>
          <w:p w14:paraId="5C3438B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bCs/>
                <w:color w:val="000000"/>
                <w:spacing w:val="0"/>
                <w:sz w:val="24"/>
                <w:highlight w:val="none"/>
              </w:rPr>
            </w:pPr>
            <w:r>
              <w:rPr>
                <w:rFonts w:hint="eastAsia" w:ascii="Times New Roman" w:hAnsi="Times New Roman" w:eastAsia="宋体" w:cs="Times New Roman"/>
                <w:bCs/>
                <w:color w:val="auto"/>
                <w:sz w:val="24"/>
                <w:szCs w:val="24"/>
                <w:highlight w:val="none"/>
                <w:vertAlign w:val="baseline"/>
                <w:lang w:val="en-US" w:eastAsia="zh-CN"/>
              </w:rPr>
              <w:t>据《固定污染源排污许可分类管理名录</w:t>
            </w:r>
            <w:r>
              <w:rPr>
                <w:rFonts w:hint="eastAsia" w:cs="Times New Roman"/>
                <w:bCs/>
                <w:color w:val="auto"/>
                <w:sz w:val="24"/>
                <w:szCs w:val="24"/>
                <w:highlight w:val="none"/>
                <w:vertAlign w:val="baseline"/>
                <w:lang w:val="en-US" w:eastAsia="zh-CN"/>
              </w:rPr>
              <w:t>（</w:t>
            </w:r>
            <w:r>
              <w:rPr>
                <w:rFonts w:hint="eastAsia" w:ascii="Times New Roman" w:hAnsi="Times New Roman" w:eastAsia="宋体" w:cs="Times New Roman"/>
                <w:bCs/>
                <w:color w:val="auto"/>
                <w:sz w:val="24"/>
                <w:szCs w:val="24"/>
                <w:highlight w:val="none"/>
                <w:vertAlign w:val="baseline"/>
                <w:lang w:val="en-US" w:eastAsia="zh-CN"/>
              </w:rPr>
              <w:t>2019版</w:t>
            </w:r>
            <w:r>
              <w:rPr>
                <w:rFonts w:hint="eastAsia" w:cs="Times New Roman"/>
                <w:bCs/>
                <w:color w:val="auto"/>
                <w:sz w:val="24"/>
                <w:szCs w:val="24"/>
                <w:highlight w:val="none"/>
                <w:vertAlign w:val="baseline"/>
                <w:lang w:val="en-US" w:eastAsia="zh-CN"/>
              </w:rPr>
              <w:t>）</w:t>
            </w:r>
            <w:r>
              <w:rPr>
                <w:rFonts w:hint="eastAsia" w:ascii="Times New Roman" w:hAnsi="Times New Roman" w:eastAsia="宋体" w:cs="Times New Roman"/>
                <w:bCs/>
                <w:color w:val="auto"/>
                <w:sz w:val="24"/>
                <w:szCs w:val="24"/>
                <w:highlight w:val="none"/>
                <w:vertAlign w:val="baseline"/>
                <w:lang w:val="en-US" w:eastAsia="zh-CN"/>
              </w:rPr>
              <w:t>》，本项目属于简化管理的排污单位。根据《排污单位自行监测技术指南总则》</w:t>
            </w:r>
            <w:r>
              <w:rPr>
                <w:rFonts w:hint="eastAsia" w:cs="Times New Roman"/>
                <w:bCs/>
                <w:color w:val="auto"/>
                <w:sz w:val="24"/>
                <w:szCs w:val="24"/>
                <w:highlight w:val="none"/>
                <w:vertAlign w:val="baseline"/>
                <w:lang w:val="en-US" w:eastAsia="zh-CN"/>
              </w:rPr>
              <w:t>（</w:t>
            </w:r>
            <w:r>
              <w:rPr>
                <w:rFonts w:hint="eastAsia" w:ascii="Times New Roman" w:hAnsi="Times New Roman" w:eastAsia="宋体" w:cs="Times New Roman"/>
                <w:bCs/>
                <w:color w:val="auto"/>
                <w:sz w:val="24"/>
                <w:szCs w:val="24"/>
                <w:highlight w:val="none"/>
                <w:vertAlign w:val="baseline"/>
                <w:lang w:val="en-US" w:eastAsia="zh-CN"/>
              </w:rPr>
              <w:t>HJ819-2017</w:t>
            </w:r>
            <w:r>
              <w:rPr>
                <w:rFonts w:hint="eastAsia" w:cs="Times New Roman"/>
                <w:bCs/>
                <w:color w:val="auto"/>
                <w:sz w:val="24"/>
                <w:szCs w:val="24"/>
                <w:highlight w:val="none"/>
                <w:vertAlign w:val="baseline"/>
                <w:lang w:val="en-US" w:eastAsia="zh-CN"/>
              </w:rPr>
              <w:t>）</w:t>
            </w:r>
            <w:r>
              <w:rPr>
                <w:rFonts w:hint="eastAsia" w:ascii="Times New Roman" w:hAnsi="Times New Roman" w:eastAsia="宋体" w:cs="Times New Roman"/>
                <w:bCs/>
                <w:color w:val="auto"/>
                <w:sz w:val="24"/>
                <w:szCs w:val="24"/>
                <w:highlight w:val="none"/>
                <w:vertAlign w:val="baseline"/>
                <w:lang w:val="en-US" w:eastAsia="zh-CN"/>
              </w:rPr>
              <w:t>，本项目运营期废气监测计划见下表</w:t>
            </w:r>
            <w:r>
              <w:rPr>
                <w:rFonts w:hint="default" w:ascii="Times New Roman" w:hAnsi="Times New Roman" w:eastAsia="宋体" w:cs="Times New Roman"/>
                <w:bCs/>
                <w:color w:val="000000"/>
                <w:spacing w:val="0"/>
                <w:sz w:val="24"/>
                <w:highlight w:val="none"/>
              </w:rPr>
              <w:t>：</w:t>
            </w:r>
          </w:p>
          <w:p w14:paraId="32DC3BF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000000"/>
                <w:sz w:val="21"/>
                <w:szCs w:val="21"/>
                <w:highlight w:val="none"/>
                <w:lang w:eastAsia="zh-CN"/>
              </w:rPr>
            </w:pPr>
            <w:r>
              <w:rPr>
                <w:rFonts w:hint="default" w:ascii="Times New Roman" w:hAnsi="Times New Roman" w:eastAsia="宋体" w:cs="Times New Roman"/>
                <w:b/>
                <w:bCs/>
                <w:color w:val="000000"/>
                <w:sz w:val="21"/>
                <w:szCs w:val="21"/>
                <w:highlight w:val="none"/>
                <w:lang w:eastAsia="zh-CN"/>
              </w:rPr>
              <w:t>表</w:t>
            </w:r>
            <w:r>
              <w:rPr>
                <w:rFonts w:hint="eastAsia" w:ascii="Times New Roman" w:hAnsi="Times New Roman" w:eastAsia="宋体" w:cs="Times New Roman"/>
                <w:b/>
                <w:bCs/>
                <w:color w:val="000000"/>
                <w:sz w:val="21"/>
                <w:szCs w:val="21"/>
                <w:highlight w:val="none"/>
                <w:lang w:val="en-US" w:eastAsia="zh-CN"/>
              </w:rPr>
              <w:t xml:space="preserve">4-4 </w:t>
            </w:r>
            <w:r>
              <w:rPr>
                <w:rFonts w:hint="default" w:ascii="Times New Roman" w:hAnsi="Times New Roman" w:eastAsia="宋体" w:cs="Times New Roman"/>
                <w:b/>
                <w:bCs/>
                <w:color w:val="000000"/>
                <w:sz w:val="21"/>
                <w:szCs w:val="21"/>
                <w:highlight w:val="none"/>
                <w:lang w:val="en-US" w:eastAsia="zh-CN"/>
              </w:rPr>
              <w:t>废气监测方案</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100"/>
              <w:gridCol w:w="1463"/>
              <w:gridCol w:w="4283"/>
            </w:tblGrid>
            <w:tr w14:paraId="59546B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0" w:type="pct"/>
                  <w:noWrap w:val="0"/>
                  <w:vAlign w:val="center"/>
                </w:tcPr>
                <w:p w14:paraId="748CA0FB">
                  <w:pPr>
                    <w:pStyle w:val="1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监测点位</w:t>
                  </w:r>
                </w:p>
              </w:tc>
              <w:tc>
                <w:tcPr>
                  <w:tcW w:w="692" w:type="pct"/>
                  <w:noWrap w:val="0"/>
                  <w:vAlign w:val="center"/>
                </w:tcPr>
                <w:p w14:paraId="47085A6D">
                  <w:pPr>
                    <w:pStyle w:val="1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rPr>
                    <w:t>监测</w:t>
                  </w:r>
                  <w:r>
                    <w:rPr>
                      <w:rFonts w:hint="default" w:ascii="Times New Roman" w:hAnsi="Times New Roman" w:eastAsia="宋体" w:cs="Times New Roman"/>
                      <w:color w:val="000000"/>
                      <w:sz w:val="21"/>
                      <w:szCs w:val="21"/>
                      <w:highlight w:val="none"/>
                      <w:lang w:val="en-US" w:eastAsia="zh-CN"/>
                    </w:rPr>
                    <w:t>项目</w:t>
                  </w:r>
                </w:p>
              </w:tc>
              <w:tc>
                <w:tcPr>
                  <w:tcW w:w="920" w:type="pct"/>
                  <w:noWrap w:val="0"/>
                  <w:vAlign w:val="center"/>
                </w:tcPr>
                <w:p w14:paraId="6398F1EA">
                  <w:pPr>
                    <w:pStyle w:val="1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监测频次</w:t>
                  </w:r>
                </w:p>
              </w:tc>
              <w:tc>
                <w:tcPr>
                  <w:tcW w:w="2696" w:type="pct"/>
                  <w:noWrap w:val="0"/>
                  <w:vAlign w:val="center"/>
                </w:tcPr>
                <w:p w14:paraId="641D5A9E">
                  <w:pPr>
                    <w:pStyle w:val="1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执行排放标准</w:t>
                  </w:r>
                </w:p>
              </w:tc>
            </w:tr>
            <w:tr w14:paraId="7EEB67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90" w:type="pct"/>
                  <w:noWrap w:val="0"/>
                  <w:vAlign w:val="center"/>
                </w:tcPr>
                <w:p w14:paraId="321EF24B">
                  <w:pPr>
                    <w:pStyle w:val="1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厂界</w:t>
                  </w:r>
                </w:p>
              </w:tc>
              <w:tc>
                <w:tcPr>
                  <w:tcW w:w="692" w:type="pct"/>
                  <w:noWrap w:val="0"/>
                  <w:vAlign w:val="center"/>
                </w:tcPr>
                <w:p w14:paraId="6DB5EF91">
                  <w:pPr>
                    <w:pStyle w:val="1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vertAlign w:val="baseline"/>
                      <w:lang w:val="en-US" w:eastAsia="zh-CN"/>
                    </w:rPr>
                    <w:t>颗粒物</w:t>
                  </w:r>
                </w:p>
              </w:tc>
              <w:tc>
                <w:tcPr>
                  <w:tcW w:w="920" w:type="pct"/>
                  <w:noWrap w:val="0"/>
                  <w:vAlign w:val="center"/>
                </w:tcPr>
                <w:p w14:paraId="49B45DAD">
                  <w:pPr>
                    <w:pStyle w:val="1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eastAsia" w:ascii="Times New Roman" w:hAnsi="Times New Roman" w:eastAsia="宋体" w:cs="Times New Roman"/>
                      <w:color w:val="000000"/>
                      <w:sz w:val="21"/>
                      <w:szCs w:val="21"/>
                      <w:highlight w:val="none"/>
                      <w:vertAlign w:val="baseline"/>
                      <w:lang w:val="en-US" w:eastAsia="zh-CN"/>
                    </w:rPr>
                    <w:t>半年</w:t>
                  </w:r>
                  <w:r>
                    <w:rPr>
                      <w:rFonts w:hint="default" w:ascii="Times New Roman" w:hAnsi="Times New Roman" w:eastAsia="宋体" w:cs="Times New Roman"/>
                      <w:color w:val="000000"/>
                      <w:sz w:val="21"/>
                      <w:szCs w:val="21"/>
                      <w:highlight w:val="none"/>
                      <w:vertAlign w:val="baseline"/>
                      <w:lang w:val="en-US" w:eastAsia="zh-CN"/>
                    </w:rPr>
                    <w:t>/次</w:t>
                  </w:r>
                </w:p>
              </w:tc>
              <w:tc>
                <w:tcPr>
                  <w:tcW w:w="2696" w:type="pct"/>
                  <w:noWrap w:val="0"/>
                  <w:vAlign w:val="center"/>
                </w:tcPr>
                <w:p w14:paraId="32712A8E">
                  <w:pPr>
                    <w:pStyle w:val="1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eastAsia" w:ascii="Times New Roman" w:hAnsi="Times New Roman" w:eastAsia="宋体" w:cs="Times New Roman"/>
                      <w:color w:val="000000"/>
                      <w:sz w:val="21"/>
                      <w:szCs w:val="21"/>
                      <w:highlight w:val="none"/>
                      <w:vertAlign w:val="baseline"/>
                      <w:lang w:val="en-US" w:eastAsia="zh-CN"/>
                    </w:rPr>
                  </w:pPr>
                  <w:r>
                    <w:rPr>
                      <w:rFonts w:hint="eastAsia" w:ascii="Times New Roman" w:hAnsi="Times New Roman" w:eastAsia="宋体" w:cs="Times New Roman"/>
                      <w:color w:val="000000"/>
                      <w:sz w:val="21"/>
                      <w:szCs w:val="21"/>
                      <w:highlight w:val="none"/>
                      <w:vertAlign w:val="baseline"/>
                      <w:lang w:val="en-US" w:eastAsia="zh-CN"/>
                    </w:rPr>
                    <w:t>《煤炭工业污染物排放标准》</w:t>
                  </w:r>
                </w:p>
                <w:p w14:paraId="0A9215AA">
                  <w:pPr>
                    <w:pStyle w:val="1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eastAsia" w:cs="Times New Roman"/>
                      <w:color w:val="000000"/>
                      <w:sz w:val="21"/>
                      <w:szCs w:val="21"/>
                      <w:highlight w:val="none"/>
                      <w:vertAlign w:val="baseline"/>
                      <w:lang w:val="en-US" w:eastAsia="zh-CN"/>
                    </w:rPr>
                    <w:t>（</w:t>
                  </w:r>
                  <w:r>
                    <w:rPr>
                      <w:rFonts w:hint="eastAsia" w:ascii="Times New Roman" w:hAnsi="Times New Roman" w:eastAsia="宋体" w:cs="Times New Roman"/>
                      <w:color w:val="000000"/>
                      <w:sz w:val="21"/>
                      <w:szCs w:val="21"/>
                      <w:highlight w:val="none"/>
                      <w:vertAlign w:val="baseline"/>
                      <w:lang w:val="en-US" w:eastAsia="zh-CN"/>
                    </w:rPr>
                    <w:t>GB20426-2006</w:t>
                  </w:r>
                  <w:r>
                    <w:rPr>
                      <w:rFonts w:hint="eastAsia" w:cs="Times New Roman"/>
                      <w:color w:val="000000"/>
                      <w:sz w:val="21"/>
                      <w:szCs w:val="21"/>
                      <w:highlight w:val="none"/>
                      <w:vertAlign w:val="baseline"/>
                      <w:lang w:val="en-US" w:eastAsia="zh-CN"/>
                    </w:rPr>
                    <w:t>）</w:t>
                  </w:r>
                </w:p>
              </w:tc>
            </w:tr>
          </w:tbl>
          <w:p w14:paraId="51D073C6">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default"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b/>
                <w:bCs/>
                <w:color w:val="000000"/>
                <w:sz w:val="24"/>
                <w:szCs w:val="24"/>
                <w:highlight w:val="none"/>
                <w:lang w:val="en-US" w:eastAsia="zh-CN"/>
              </w:rPr>
              <w:t>2.</w:t>
            </w:r>
            <w:r>
              <w:rPr>
                <w:rFonts w:hint="default" w:ascii="Times New Roman" w:hAnsi="Times New Roman" w:eastAsia="宋体" w:cs="Times New Roman"/>
                <w:b/>
                <w:color w:val="000000"/>
                <w:sz w:val="24"/>
                <w:highlight w:val="none"/>
              </w:rPr>
              <w:t>水环境影响和保护措施</w:t>
            </w:r>
          </w:p>
          <w:p w14:paraId="1B8D08A3">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firstLine="482" w:firstLineChars="200"/>
              <w:textAlignment w:val="auto"/>
              <w:rPr>
                <w:rFonts w:hint="default" w:ascii="Times New Roman" w:hAnsi="Times New Roman" w:eastAsia="宋体" w:cs="Times New Roman"/>
                <w:b/>
                <w:bCs/>
                <w:color w:val="000000"/>
                <w:sz w:val="24"/>
                <w:highlight w:val="none"/>
              </w:rPr>
            </w:pPr>
            <w:r>
              <w:rPr>
                <w:rFonts w:hint="default" w:ascii="Times New Roman" w:hAnsi="Times New Roman" w:eastAsia="宋体" w:cs="Times New Roman"/>
                <w:b/>
                <w:bCs/>
                <w:color w:val="000000"/>
                <w:sz w:val="24"/>
                <w:highlight w:val="none"/>
                <w:lang w:val="en-US" w:eastAsia="zh-CN"/>
              </w:rPr>
              <w:t>2.1</w:t>
            </w:r>
            <w:r>
              <w:rPr>
                <w:rFonts w:hint="default" w:ascii="Times New Roman" w:hAnsi="Times New Roman" w:eastAsia="宋体" w:cs="Times New Roman"/>
                <w:b/>
                <w:bCs/>
                <w:color w:val="000000"/>
                <w:sz w:val="24"/>
                <w:highlight w:val="none"/>
              </w:rPr>
              <w:t>废水污染工序及源强分析</w:t>
            </w:r>
          </w:p>
          <w:p w14:paraId="49DA6D98">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Cs/>
                <w:color w:val="auto"/>
                <w:sz w:val="24"/>
                <w:szCs w:val="24"/>
                <w:highlight w:val="none"/>
                <w:vertAlign w:val="baseline"/>
                <w:lang w:val="en-US" w:eastAsia="zh-CN"/>
              </w:rPr>
            </w:pPr>
            <w:r>
              <w:rPr>
                <w:rFonts w:hint="eastAsia" w:ascii="Times New Roman" w:hAnsi="Times New Roman" w:eastAsia="宋体" w:cs="Times New Roman"/>
                <w:bCs/>
                <w:color w:val="auto"/>
                <w:sz w:val="24"/>
                <w:szCs w:val="24"/>
                <w:highlight w:val="none"/>
                <w:vertAlign w:val="baseline"/>
                <w:lang w:val="en-US" w:eastAsia="zh-CN"/>
              </w:rPr>
              <w:t>本项目废水主要是洒水降尘废水、洗车废水与生活废水。</w:t>
            </w:r>
          </w:p>
          <w:p w14:paraId="2C830E5B">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Cs/>
                <w:color w:val="auto"/>
                <w:sz w:val="24"/>
                <w:szCs w:val="24"/>
                <w:highlight w:val="none"/>
                <w:vertAlign w:val="baseline"/>
                <w:lang w:val="en-US" w:eastAsia="zh-CN"/>
              </w:rPr>
            </w:pPr>
            <w:r>
              <w:rPr>
                <w:rFonts w:hint="eastAsia" w:ascii="Times New Roman" w:hAnsi="Times New Roman" w:eastAsia="宋体" w:cs="Times New Roman"/>
                <w:bCs/>
                <w:color w:val="auto"/>
                <w:sz w:val="24"/>
                <w:szCs w:val="24"/>
                <w:highlight w:val="none"/>
                <w:vertAlign w:val="baseline"/>
                <w:lang w:val="en-US" w:eastAsia="zh-CN"/>
              </w:rPr>
              <w:t>（1）降尘废水</w:t>
            </w:r>
          </w:p>
          <w:p w14:paraId="13B28C6B">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Cs/>
                <w:color w:val="auto"/>
                <w:sz w:val="24"/>
                <w:szCs w:val="24"/>
                <w:highlight w:val="none"/>
                <w:vertAlign w:val="baseline"/>
                <w:lang w:val="en-US" w:eastAsia="zh-CN"/>
              </w:rPr>
            </w:pPr>
            <w:r>
              <w:rPr>
                <w:rFonts w:hint="eastAsia" w:ascii="Times New Roman" w:hAnsi="Times New Roman" w:eastAsia="宋体" w:cs="Times New Roman"/>
                <w:bCs/>
                <w:color w:val="auto"/>
                <w:sz w:val="24"/>
                <w:szCs w:val="24"/>
                <w:highlight w:val="none"/>
                <w:vertAlign w:val="baseline"/>
                <w:lang w:val="en-US" w:eastAsia="zh-CN"/>
              </w:rPr>
              <w:t>本项目在装卸煤时，均在封闭的煤场内，装卸的同时，启动雾炮机对产尘部位喷水抑尘，根据业主提供资料，雾炮机每天启动约1小时，本项目配备了6台雾炮机，每台额定耗水量0.5m</w:t>
            </w:r>
            <w:r>
              <w:rPr>
                <w:rFonts w:hint="eastAsia" w:ascii="Times New Roman" w:hAnsi="Times New Roman" w:eastAsia="宋体" w:cs="Times New Roman"/>
                <w:bCs/>
                <w:color w:val="auto"/>
                <w:sz w:val="24"/>
                <w:szCs w:val="24"/>
                <w:highlight w:val="none"/>
                <w:vertAlign w:val="superscript"/>
                <w:lang w:val="en-US" w:eastAsia="zh-CN"/>
              </w:rPr>
              <w:t>3</w:t>
            </w:r>
            <w:r>
              <w:rPr>
                <w:rFonts w:hint="eastAsia" w:ascii="Times New Roman" w:hAnsi="Times New Roman" w:eastAsia="宋体" w:cs="Times New Roman"/>
                <w:bCs/>
                <w:color w:val="auto"/>
                <w:sz w:val="24"/>
                <w:szCs w:val="24"/>
                <w:highlight w:val="none"/>
                <w:vertAlign w:val="baseline"/>
                <w:lang w:val="en-US" w:eastAsia="zh-CN"/>
              </w:rPr>
              <w:t>/h，则本项目在装卸煤时，耗水量为3m</w:t>
            </w:r>
            <w:r>
              <w:rPr>
                <w:rFonts w:hint="eastAsia" w:ascii="Times New Roman" w:hAnsi="Times New Roman" w:eastAsia="宋体" w:cs="Times New Roman"/>
                <w:bCs/>
                <w:color w:val="auto"/>
                <w:sz w:val="24"/>
                <w:szCs w:val="24"/>
                <w:highlight w:val="none"/>
                <w:vertAlign w:val="superscript"/>
                <w:lang w:val="en-US" w:eastAsia="zh-CN"/>
              </w:rPr>
              <w:t>3</w:t>
            </w:r>
            <w:r>
              <w:rPr>
                <w:rFonts w:hint="eastAsia" w:ascii="Times New Roman" w:hAnsi="Times New Roman" w:eastAsia="宋体" w:cs="Times New Roman"/>
                <w:bCs/>
                <w:color w:val="auto"/>
                <w:sz w:val="24"/>
                <w:szCs w:val="24"/>
                <w:highlight w:val="none"/>
                <w:vertAlign w:val="baseline"/>
                <w:lang w:val="en-US" w:eastAsia="zh-CN"/>
              </w:rPr>
              <w:t>/d，全年耗水量为900m</w:t>
            </w:r>
            <w:r>
              <w:rPr>
                <w:rFonts w:hint="eastAsia" w:ascii="Times New Roman" w:hAnsi="Times New Roman" w:eastAsia="宋体" w:cs="Times New Roman"/>
                <w:bCs/>
                <w:color w:val="auto"/>
                <w:sz w:val="24"/>
                <w:szCs w:val="24"/>
                <w:highlight w:val="none"/>
                <w:vertAlign w:val="superscript"/>
                <w:lang w:val="en-US" w:eastAsia="zh-CN"/>
              </w:rPr>
              <w:t>3</w:t>
            </w:r>
            <w:r>
              <w:rPr>
                <w:rFonts w:hint="eastAsia" w:ascii="Times New Roman" w:hAnsi="Times New Roman" w:eastAsia="宋体" w:cs="Times New Roman"/>
                <w:bCs/>
                <w:color w:val="auto"/>
                <w:sz w:val="24"/>
                <w:szCs w:val="24"/>
                <w:highlight w:val="none"/>
                <w:vertAlign w:val="baseline"/>
                <w:lang w:val="en-US" w:eastAsia="zh-CN"/>
              </w:rPr>
              <w:t>/a。雾炮喷水抑尘用水全部被蒸发，不外排。</w:t>
            </w:r>
          </w:p>
          <w:p w14:paraId="6C98C352">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Cs/>
                <w:color w:val="auto"/>
                <w:sz w:val="24"/>
                <w:szCs w:val="24"/>
                <w:highlight w:val="none"/>
                <w:vertAlign w:val="baseline"/>
                <w:lang w:val="en-US" w:eastAsia="zh-CN"/>
              </w:rPr>
            </w:pPr>
            <w:r>
              <w:rPr>
                <w:rFonts w:hint="eastAsia" w:ascii="Times New Roman" w:hAnsi="Times New Roman" w:eastAsia="宋体" w:cs="Times New Roman"/>
                <w:bCs/>
                <w:color w:val="auto"/>
                <w:sz w:val="24"/>
                <w:szCs w:val="24"/>
                <w:highlight w:val="none"/>
                <w:vertAlign w:val="baseline"/>
                <w:lang w:val="en-US" w:eastAsia="zh-CN"/>
              </w:rPr>
              <w:t>（2）洗车用水</w:t>
            </w:r>
          </w:p>
          <w:p w14:paraId="5EFFD677">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Cs/>
                <w:color w:val="auto"/>
                <w:sz w:val="24"/>
                <w:szCs w:val="24"/>
                <w:highlight w:val="none"/>
                <w:vertAlign w:val="baseline"/>
                <w:lang w:val="en-US" w:eastAsia="zh-CN"/>
              </w:rPr>
            </w:pPr>
            <w:r>
              <w:rPr>
                <w:rFonts w:hint="eastAsia" w:ascii="Times New Roman" w:hAnsi="Times New Roman" w:eastAsia="宋体" w:cs="Times New Roman"/>
                <w:bCs/>
                <w:color w:val="auto"/>
                <w:sz w:val="24"/>
                <w:szCs w:val="24"/>
                <w:highlight w:val="none"/>
                <w:vertAlign w:val="baseline"/>
                <w:lang w:val="en-US" w:eastAsia="zh-CN"/>
              </w:rPr>
              <w:t>运输车辆在出入场区时，需要对车辆轮胎清洗，建设单位设置有洗车平台，</w:t>
            </w:r>
            <w:r>
              <w:rPr>
                <w:rFonts w:hint="eastAsia" w:cs="Times New Roman"/>
                <w:bCs/>
                <w:color w:val="auto"/>
                <w:sz w:val="24"/>
                <w:szCs w:val="24"/>
                <w:highlight w:val="none"/>
                <w:vertAlign w:val="baseline"/>
                <w:lang w:val="en-US" w:eastAsia="zh-CN"/>
              </w:rPr>
              <w:t>车辆</w:t>
            </w:r>
            <w:r>
              <w:rPr>
                <w:rFonts w:hint="eastAsia" w:ascii="Times New Roman" w:hAnsi="Times New Roman" w:eastAsia="宋体" w:cs="Times New Roman"/>
                <w:bCs/>
                <w:color w:val="auto"/>
                <w:sz w:val="24"/>
                <w:szCs w:val="24"/>
                <w:highlight w:val="none"/>
                <w:vertAlign w:val="baseline"/>
                <w:lang w:val="en-US" w:eastAsia="zh-CN"/>
              </w:rPr>
              <w:t>冲洗用水按200L/（辆·次）计，根据业主提供资料可知，平均每年需要清洗车辆4000次，则本项目洗车用水量为800m</w:t>
            </w:r>
            <w:r>
              <w:rPr>
                <w:rFonts w:hint="eastAsia" w:ascii="Times New Roman" w:hAnsi="Times New Roman" w:eastAsia="宋体" w:cs="Times New Roman"/>
                <w:bCs/>
                <w:color w:val="auto"/>
                <w:sz w:val="24"/>
                <w:szCs w:val="24"/>
                <w:highlight w:val="none"/>
                <w:vertAlign w:val="superscript"/>
                <w:lang w:val="en-US" w:eastAsia="zh-CN"/>
              </w:rPr>
              <w:t>3</w:t>
            </w:r>
            <w:r>
              <w:rPr>
                <w:rFonts w:hint="eastAsia" w:ascii="Times New Roman" w:hAnsi="Times New Roman" w:eastAsia="宋体" w:cs="Times New Roman"/>
                <w:bCs/>
                <w:color w:val="auto"/>
                <w:sz w:val="24"/>
                <w:szCs w:val="24"/>
                <w:highlight w:val="none"/>
                <w:vertAlign w:val="baseline"/>
                <w:lang w:val="en-US" w:eastAsia="zh-CN"/>
              </w:rPr>
              <w:t>/a。建设单位设置有5m</w:t>
            </w:r>
            <w:r>
              <w:rPr>
                <w:rFonts w:hint="eastAsia" w:ascii="Times New Roman" w:hAnsi="Times New Roman" w:eastAsia="宋体" w:cs="Times New Roman"/>
                <w:bCs/>
                <w:color w:val="auto"/>
                <w:sz w:val="24"/>
                <w:szCs w:val="24"/>
                <w:highlight w:val="none"/>
                <w:vertAlign w:val="superscript"/>
                <w:lang w:val="en-US" w:eastAsia="zh-CN"/>
              </w:rPr>
              <w:t>3</w:t>
            </w:r>
            <w:r>
              <w:rPr>
                <w:rFonts w:hint="eastAsia" w:ascii="Times New Roman" w:hAnsi="Times New Roman" w:eastAsia="宋体" w:cs="Times New Roman"/>
                <w:bCs/>
                <w:color w:val="auto"/>
                <w:sz w:val="24"/>
                <w:szCs w:val="24"/>
                <w:highlight w:val="none"/>
                <w:vertAlign w:val="baseline"/>
                <w:lang w:val="en-US" w:eastAsia="zh-CN"/>
              </w:rPr>
              <w:t>的沉淀池，洗车废水不外排，经沉淀后回用于车辆清洗，洗车废水回用于车辆清洗时存在损耗，损耗量按用水量的20%计，则本项目洗车用水耗水量为160m</w:t>
            </w:r>
            <w:r>
              <w:rPr>
                <w:rFonts w:hint="eastAsia" w:ascii="Times New Roman" w:hAnsi="Times New Roman" w:eastAsia="宋体" w:cs="Times New Roman"/>
                <w:bCs/>
                <w:color w:val="auto"/>
                <w:sz w:val="24"/>
                <w:szCs w:val="24"/>
                <w:highlight w:val="none"/>
                <w:vertAlign w:val="superscript"/>
                <w:lang w:val="en-US" w:eastAsia="zh-CN"/>
              </w:rPr>
              <w:t>3</w:t>
            </w:r>
            <w:r>
              <w:rPr>
                <w:rFonts w:hint="eastAsia" w:ascii="Times New Roman" w:hAnsi="Times New Roman" w:eastAsia="宋体" w:cs="Times New Roman"/>
                <w:bCs/>
                <w:color w:val="auto"/>
                <w:sz w:val="24"/>
                <w:szCs w:val="24"/>
                <w:highlight w:val="none"/>
                <w:vertAlign w:val="baseline"/>
                <w:lang w:val="en-US" w:eastAsia="zh-CN"/>
              </w:rPr>
              <w:t>/a。</w:t>
            </w:r>
          </w:p>
          <w:p w14:paraId="68572ADD">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Cs/>
                <w:color w:val="auto"/>
                <w:sz w:val="24"/>
                <w:szCs w:val="24"/>
                <w:highlight w:val="none"/>
                <w:vertAlign w:val="baseline"/>
                <w:lang w:val="en-US" w:eastAsia="zh-CN"/>
              </w:rPr>
            </w:pPr>
            <w:r>
              <w:rPr>
                <w:rFonts w:hint="eastAsia" w:ascii="Times New Roman" w:hAnsi="Times New Roman" w:eastAsia="宋体" w:cs="Times New Roman"/>
                <w:bCs/>
                <w:color w:val="auto"/>
                <w:sz w:val="24"/>
                <w:szCs w:val="24"/>
                <w:highlight w:val="none"/>
                <w:vertAlign w:val="baseline"/>
                <w:lang w:val="en-US" w:eastAsia="zh-CN"/>
              </w:rPr>
              <w:t>（3）办公生活用水</w:t>
            </w:r>
          </w:p>
          <w:p w14:paraId="696EEBB4">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auto"/>
                <w:sz w:val="24"/>
                <w:szCs w:val="24"/>
                <w:highlight w:val="none"/>
                <w:vertAlign w:val="baseline"/>
                <w:lang w:val="en-US" w:eastAsia="zh-CN"/>
              </w:rPr>
            </w:pPr>
            <w:r>
              <w:rPr>
                <w:rFonts w:hint="eastAsia" w:ascii="Times New Roman" w:hAnsi="Times New Roman" w:eastAsia="宋体" w:cs="Times New Roman"/>
                <w:bCs/>
                <w:color w:val="auto"/>
                <w:sz w:val="24"/>
                <w:szCs w:val="24"/>
                <w:highlight w:val="none"/>
                <w:vertAlign w:val="baseline"/>
                <w:lang w:val="en-US" w:eastAsia="zh-CN"/>
              </w:rPr>
              <w:t>本项目不设置食宿，根据《新疆维吾尔自治区生活用水定额》规定，生活用水定额按70L/人·d计，项目劳动定员为10人，年工作天数为300天，则生活用水量为210m³/a。生活污水排污系数按用水量的80％计，则本项目生活污水量为168m³/a。废水中主要污染物的浓度及产生量：CODcr约350mg/L（0.0588t/a），BOD5约200mg/L（0.0336t/a），SS约250mg/L（0.0420t/a），NH3-N约30mg/L（0.0050t/a）</w:t>
            </w:r>
            <w:r>
              <w:rPr>
                <w:rFonts w:hint="eastAsia" w:ascii="Times New Roman" w:hAnsi="Times New Roman" w:eastAsia="宋体" w:cs="Times New Roman"/>
                <w:b w:val="0"/>
                <w:bCs w:val="0"/>
                <w:color w:val="000000"/>
                <w:sz w:val="24"/>
                <w:szCs w:val="24"/>
                <w:highlight w:val="none"/>
                <w:lang w:val="en-US" w:eastAsia="zh-CN"/>
              </w:rPr>
              <w:t>生活污水经化粪池处理后，定期清运至焉耆县河北巴州生态产业园污水处理厂</w:t>
            </w:r>
            <w:r>
              <w:rPr>
                <w:rFonts w:hint="eastAsia" w:cs="Times New Roman"/>
                <w:b w:val="0"/>
                <w:bCs w:val="0"/>
                <w:color w:val="000000"/>
                <w:sz w:val="24"/>
                <w:szCs w:val="24"/>
                <w:highlight w:val="none"/>
                <w:lang w:val="en-US" w:eastAsia="zh-CN"/>
              </w:rPr>
              <w:t>进行处理</w:t>
            </w:r>
            <w:r>
              <w:rPr>
                <w:rFonts w:hint="default" w:ascii="Times New Roman" w:hAnsi="Times New Roman" w:eastAsia="宋体" w:cs="Times New Roman"/>
                <w:bCs/>
                <w:color w:val="auto"/>
                <w:sz w:val="24"/>
                <w:szCs w:val="24"/>
                <w:highlight w:val="none"/>
                <w:vertAlign w:val="baseline"/>
                <w:lang w:val="en-US" w:eastAsia="zh-CN"/>
              </w:rPr>
              <w:t>。</w:t>
            </w:r>
          </w:p>
          <w:p w14:paraId="06D130BC">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firstLine="482" w:firstLineChars="200"/>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000000"/>
                <w:sz w:val="24"/>
                <w:szCs w:val="24"/>
                <w:highlight w:val="none"/>
                <w:lang w:val="en-US" w:eastAsia="zh-CN"/>
              </w:rPr>
              <w:t>2.</w:t>
            </w:r>
            <w:r>
              <w:rPr>
                <w:rFonts w:hint="eastAsia" w:ascii="Times New Roman" w:hAnsi="Times New Roman" w:eastAsia="宋体" w:cs="Times New Roman"/>
                <w:b/>
                <w:bCs/>
                <w:color w:val="000000"/>
                <w:sz w:val="24"/>
                <w:szCs w:val="24"/>
                <w:highlight w:val="none"/>
                <w:lang w:val="en-US" w:eastAsia="zh-CN"/>
              </w:rPr>
              <w:t>2</w:t>
            </w:r>
            <w:r>
              <w:rPr>
                <w:rFonts w:hint="default" w:ascii="Times New Roman" w:hAnsi="Times New Roman" w:eastAsia="宋体" w:cs="Times New Roman"/>
                <w:b/>
                <w:bCs/>
                <w:color w:val="000000"/>
                <w:sz w:val="24"/>
                <w:szCs w:val="24"/>
                <w:highlight w:val="none"/>
                <w:lang w:val="en-US" w:eastAsia="zh-CN"/>
              </w:rPr>
              <w:t>依托污水处理可行性分析</w:t>
            </w:r>
          </w:p>
          <w:p w14:paraId="1A1C1BA0">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焉耆县河北巴州生态产业园要求企业工业废水排放</w:t>
            </w:r>
            <w:r>
              <w:rPr>
                <w:rFonts w:hint="eastAsia" w:cs="Times New Roman"/>
                <w:sz w:val="24"/>
                <w:szCs w:val="24"/>
                <w:lang w:eastAsia="zh-CN"/>
              </w:rPr>
              <w:t>时，</w:t>
            </w:r>
            <w:r>
              <w:rPr>
                <w:rFonts w:hint="default" w:ascii="Times New Roman" w:hAnsi="Times New Roman" w:eastAsia="宋体" w:cs="Times New Roman"/>
                <w:sz w:val="24"/>
                <w:szCs w:val="24"/>
              </w:rPr>
              <w:t>有行业污水排放标准的，优先执行行业污水排放标准</w:t>
            </w:r>
            <w:r>
              <w:rPr>
                <w:rFonts w:hint="eastAsia" w:cs="Times New Roman"/>
                <w:sz w:val="24"/>
                <w:szCs w:val="24"/>
                <w:lang w:eastAsia="zh-CN"/>
              </w:rPr>
              <w:t>；</w:t>
            </w:r>
            <w:r>
              <w:rPr>
                <w:rFonts w:hint="default" w:ascii="Times New Roman" w:hAnsi="Times New Roman" w:eastAsia="宋体" w:cs="Times New Roman"/>
                <w:sz w:val="24"/>
                <w:szCs w:val="24"/>
              </w:rPr>
              <w:t>无行业排放标准的</w:t>
            </w:r>
            <w:r>
              <w:rPr>
                <w:rFonts w:hint="eastAsia" w:cs="Times New Roman"/>
                <w:sz w:val="24"/>
                <w:szCs w:val="24"/>
                <w:lang w:eastAsia="zh-CN"/>
              </w:rPr>
              <w:t>，应</w:t>
            </w:r>
            <w:r>
              <w:rPr>
                <w:rFonts w:hint="default" w:ascii="Times New Roman" w:hAnsi="Times New Roman" w:eastAsia="宋体" w:cs="Times New Roman"/>
                <w:sz w:val="24"/>
                <w:szCs w:val="24"/>
              </w:rPr>
              <w:t>执行《污水综合排放标准》（GB8978-1996）三级标准</w:t>
            </w:r>
            <w:r>
              <w:rPr>
                <w:rFonts w:hint="eastAsia" w:cs="Times New Roman"/>
                <w:sz w:val="24"/>
                <w:szCs w:val="24"/>
                <w:lang w:eastAsia="zh-CN"/>
              </w:rPr>
              <w:t>，接管</w:t>
            </w:r>
            <w:r>
              <w:rPr>
                <w:rFonts w:hint="default" w:ascii="Times New Roman" w:hAnsi="Times New Roman" w:eastAsia="宋体" w:cs="Times New Roman"/>
                <w:sz w:val="24"/>
                <w:szCs w:val="24"/>
              </w:rPr>
              <w:t>园区污水处理厂</w:t>
            </w:r>
            <w:r>
              <w:rPr>
                <w:rFonts w:hint="eastAsia" w:cs="Times New Roman"/>
                <w:sz w:val="24"/>
                <w:szCs w:val="24"/>
                <w:lang w:eastAsia="zh-CN"/>
              </w:rPr>
              <w:t>进行处理</w:t>
            </w:r>
            <w:r>
              <w:rPr>
                <w:rFonts w:hint="default" w:ascii="Times New Roman" w:hAnsi="Times New Roman" w:eastAsia="宋体" w:cs="Times New Roman"/>
                <w:sz w:val="24"/>
                <w:szCs w:val="24"/>
              </w:rPr>
              <w:t>；含一类污染物的废水应经车间处理设施处理达标后再排放。</w:t>
            </w:r>
          </w:p>
          <w:p w14:paraId="39AFEF5E">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焉耆县河北巴州生态产业园污水处理厂位于产业园东南侧，厂址中心坐标为E：86°</w:t>
            </w:r>
            <w:r>
              <w:rPr>
                <w:rFonts w:hint="eastAsia" w:ascii="Times New Roman" w:hAnsi="Times New Roman" w:eastAsia="宋体" w:cs="Times New Roman"/>
                <w:sz w:val="24"/>
                <w:szCs w:val="24"/>
                <w:lang w:val="en-US" w:eastAsia="zh-CN"/>
              </w:rPr>
              <w:t>19</w:t>
            </w:r>
            <w:r>
              <w:rPr>
                <w:rFonts w:hint="default"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05.910</w:t>
            </w:r>
            <w:r>
              <w:rPr>
                <w:rFonts w:hint="default" w:ascii="Times New Roman" w:hAnsi="Times New Roman" w:eastAsia="宋体" w:cs="Times New Roman"/>
                <w:sz w:val="24"/>
                <w:szCs w:val="24"/>
              </w:rPr>
              <w:t>"，N：41°</w:t>
            </w:r>
            <w:r>
              <w:rPr>
                <w:rFonts w:hint="eastAsia" w:ascii="Times New Roman" w:hAnsi="Times New Roman" w:eastAsia="宋体" w:cs="Times New Roman"/>
                <w:sz w:val="24"/>
                <w:szCs w:val="24"/>
                <w:lang w:val="en-US" w:eastAsia="zh-CN"/>
              </w:rPr>
              <w:t>49</w:t>
            </w:r>
            <w:r>
              <w:rPr>
                <w:rFonts w:hint="default"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57.437</w:t>
            </w:r>
            <w:r>
              <w:rPr>
                <w:rFonts w:hint="eastAsia" w:cs="Times New Roman"/>
                <w:sz w:val="24"/>
                <w:szCs w:val="24"/>
                <w:lang w:val="en-US" w:eastAsia="zh-CN"/>
              </w:rPr>
              <w:t>”</w:t>
            </w:r>
            <w:r>
              <w:rPr>
                <w:rFonts w:hint="default" w:ascii="Times New Roman" w:hAnsi="Times New Roman" w:eastAsia="宋体" w:cs="Times New Roman"/>
                <w:sz w:val="24"/>
                <w:szCs w:val="24"/>
              </w:rPr>
              <w:t>。项目设计污水处理能力10000m</w:t>
            </w:r>
            <w:r>
              <w:rPr>
                <w:rFonts w:hint="default" w:ascii="Times New Roman" w:hAnsi="Times New Roman" w:eastAsia="宋体" w:cs="Times New Roman"/>
                <w:sz w:val="24"/>
                <w:szCs w:val="24"/>
                <w:vertAlign w:val="superscript"/>
              </w:rPr>
              <w:t>3</w:t>
            </w:r>
            <w:r>
              <w:rPr>
                <w:rFonts w:hint="default" w:ascii="Times New Roman" w:hAnsi="Times New Roman" w:eastAsia="宋体" w:cs="Times New Roman"/>
                <w:sz w:val="24"/>
                <w:szCs w:val="24"/>
              </w:rPr>
              <w:t>/d。污水处理工艺为“预处理→二级生化处理→深度处理→消毒处理”，出水满足《城镇污水处理厂污染物排放标准》（GB18918-2002）中一级A标准后，一部分用于生态林地灌溉，剩余部分中水回用。</w:t>
            </w:r>
          </w:p>
          <w:p w14:paraId="0479A79A">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本项目位于库尔勒市塔什店镇</w:t>
            </w:r>
            <w:r>
              <w:rPr>
                <w:rFonts w:hint="eastAsia" w:ascii="Times New Roman" w:hAnsi="Times New Roman" w:eastAsia="宋体" w:cs="Times New Roman"/>
                <w:sz w:val="24"/>
                <w:szCs w:val="24"/>
                <w:lang w:val="en-US" w:eastAsia="zh-CN"/>
              </w:rPr>
              <w:t>特变电工西北侧</w:t>
            </w:r>
            <w:r>
              <w:rPr>
                <w:rFonts w:hint="default" w:ascii="Times New Roman" w:hAnsi="Times New Roman" w:eastAsia="宋体" w:cs="Times New Roman"/>
                <w:sz w:val="24"/>
                <w:szCs w:val="24"/>
              </w:rPr>
              <w:t>，距离焉耆县河北巴州生态产业园污水处理厂直线距离</w:t>
            </w:r>
            <w:r>
              <w:rPr>
                <w:rFonts w:hint="eastAsia" w:ascii="Times New Roman" w:hAnsi="Times New Roman" w:eastAsia="宋体" w:cs="Times New Roman"/>
                <w:sz w:val="24"/>
                <w:szCs w:val="24"/>
                <w:lang w:val="en-US" w:eastAsia="zh-CN"/>
              </w:rPr>
              <w:t>7.3</w:t>
            </w:r>
            <w:r>
              <w:rPr>
                <w:rFonts w:hint="default" w:ascii="Times New Roman" w:hAnsi="Times New Roman" w:eastAsia="宋体" w:cs="Times New Roman"/>
                <w:sz w:val="24"/>
                <w:szCs w:val="24"/>
              </w:rPr>
              <w:t>km。本项目污水主要是生活废水，排水量为</w:t>
            </w:r>
            <w:r>
              <w:rPr>
                <w:rFonts w:hint="eastAsia" w:ascii="Times New Roman" w:hAnsi="Times New Roman" w:eastAsia="宋体" w:cs="Times New Roman"/>
                <w:sz w:val="24"/>
                <w:szCs w:val="24"/>
                <w:lang w:val="en-US" w:eastAsia="zh-CN"/>
              </w:rPr>
              <w:t>0.56</w:t>
            </w:r>
            <w:r>
              <w:rPr>
                <w:rFonts w:hint="eastAsia" w:ascii="Times New Roman" w:hAnsi="Times New Roman" w:eastAsia="宋体" w:cs="Times New Roman"/>
                <w:bCs/>
                <w:color w:val="auto"/>
                <w:sz w:val="24"/>
                <w:szCs w:val="24"/>
                <w:highlight w:val="none"/>
                <w:vertAlign w:val="baseline"/>
                <w:lang w:val="en-US" w:eastAsia="zh-CN"/>
              </w:rPr>
              <w:t>m³</w:t>
            </w:r>
            <w:r>
              <w:rPr>
                <w:rFonts w:hint="default" w:ascii="Times New Roman" w:hAnsi="Times New Roman" w:eastAsia="宋体" w:cs="Times New Roman"/>
                <w:sz w:val="24"/>
                <w:szCs w:val="24"/>
              </w:rPr>
              <w:t>/d（</w:t>
            </w:r>
            <w:r>
              <w:rPr>
                <w:rFonts w:hint="eastAsia" w:ascii="Times New Roman" w:hAnsi="Times New Roman" w:eastAsia="宋体" w:cs="Times New Roman"/>
                <w:sz w:val="24"/>
                <w:szCs w:val="24"/>
                <w:lang w:val="en-US" w:eastAsia="zh-CN"/>
              </w:rPr>
              <w:t>168</w:t>
            </w:r>
            <w:r>
              <w:rPr>
                <w:rFonts w:hint="eastAsia" w:ascii="Times New Roman" w:hAnsi="Times New Roman" w:eastAsia="宋体" w:cs="Times New Roman"/>
                <w:bCs/>
                <w:color w:val="auto"/>
                <w:sz w:val="24"/>
                <w:szCs w:val="24"/>
                <w:highlight w:val="none"/>
                <w:vertAlign w:val="baseline"/>
                <w:lang w:val="en-US" w:eastAsia="zh-CN"/>
              </w:rPr>
              <w:t>m³</w:t>
            </w:r>
            <w:r>
              <w:rPr>
                <w:rFonts w:hint="default" w:ascii="Times New Roman" w:hAnsi="Times New Roman" w:eastAsia="宋体" w:cs="Times New Roman"/>
                <w:sz w:val="24"/>
                <w:szCs w:val="24"/>
              </w:rPr>
              <w:t>/a）。焉耆县河北巴州生态产业园污水处理厂设计处理规模10000</w:t>
            </w:r>
            <w:r>
              <w:rPr>
                <w:rFonts w:hint="eastAsia" w:ascii="Times New Roman" w:hAnsi="Times New Roman" w:eastAsia="宋体" w:cs="Times New Roman"/>
                <w:bCs/>
                <w:color w:val="auto"/>
                <w:sz w:val="24"/>
                <w:szCs w:val="24"/>
                <w:highlight w:val="none"/>
                <w:vertAlign w:val="baseline"/>
                <w:lang w:val="en-US" w:eastAsia="zh-CN"/>
              </w:rPr>
              <w:t>m³</w:t>
            </w:r>
            <w:r>
              <w:rPr>
                <w:rFonts w:hint="default" w:ascii="Times New Roman" w:hAnsi="Times New Roman" w:eastAsia="宋体" w:cs="Times New Roman"/>
                <w:sz w:val="24"/>
                <w:szCs w:val="24"/>
              </w:rPr>
              <w:t>/d，目前产业园企业入驻较少，污水产生量较小，污水处理厂处理能力余量充足。因此</w:t>
            </w:r>
            <w:r>
              <w:rPr>
                <w:rFonts w:hint="eastAsia" w:cs="Times New Roman"/>
                <w:sz w:val="24"/>
                <w:szCs w:val="24"/>
                <w:lang w:eastAsia="zh-CN"/>
              </w:rPr>
              <w:t>，本</w:t>
            </w:r>
            <w:r>
              <w:rPr>
                <w:rFonts w:hint="default" w:ascii="Times New Roman" w:hAnsi="Times New Roman" w:eastAsia="宋体" w:cs="Times New Roman"/>
                <w:sz w:val="24"/>
                <w:szCs w:val="24"/>
              </w:rPr>
              <w:t>项目生活废水经建设单位拟建的化粪池收集处理后。</w:t>
            </w:r>
          </w:p>
          <w:p w14:paraId="0EFAE6F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焉耆县河北巴州生态产业园污水处理厂</w:t>
            </w:r>
            <w:r>
              <w:rPr>
                <w:rFonts w:hint="eastAsia" w:cs="Times New Roman"/>
                <w:sz w:val="24"/>
                <w:szCs w:val="24"/>
                <w:lang w:val="en-US" w:eastAsia="zh-CN"/>
              </w:rPr>
              <w:t>于2022年11月15日取得环评批复，批复文号巴环审</w:t>
            </w:r>
            <w:r>
              <w:rPr>
                <w:rFonts w:hint="default" w:ascii="Times New Roman" w:hAnsi="Times New Roman" w:eastAsia="宋体" w:cs="Times New Roman"/>
                <w:color w:val="000000"/>
                <w:kern w:val="0"/>
                <w:sz w:val="24"/>
                <w:szCs w:val="24"/>
                <w:lang w:val="en-US" w:eastAsia="zh-CN"/>
              </w:rPr>
              <w:t>〔202</w:t>
            </w:r>
            <w:r>
              <w:rPr>
                <w:rFonts w:hint="eastAsia" w:cs="Times New Roman"/>
                <w:color w:val="000000"/>
                <w:kern w:val="0"/>
                <w:sz w:val="24"/>
                <w:szCs w:val="24"/>
                <w:lang w:val="en-US" w:eastAsia="zh-CN"/>
              </w:rPr>
              <w:t>2</w:t>
            </w:r>
            <w:r>
              <w:rPr>
                <w:rFonts w:hint="default" w:ascii="Times New Roman" w:hAnsi="Times New Roman" w:eastAsia="宋体" w:cs="Times New Roman"/>
                <w:color w:val="000000"/>
                <w:kern w:val="0"/>
                <w:sz w:val="24"/>
                <w:szCs w:val="24"/>
                <w:lang w:val="en-US" w:eastAsia="zh-CN"/>
              </w:rPr>
              <w:t>〕</w:t>
            </w:r>
            <w:r>
              <w:rPr>
                <w:rFonts w:hint="eastAsia" w:cs="Times New Roman"/>
                <w:color w:val="000000"/>
                <w:kern w:val="0"/>
                <w:sz w:val="24"/>
                <w:szCs w:val="24"/>
                <w:lang w:val="en-US" w:eastAsia="zh-CN"/>
              </w:rPr>
              <w:t>78号，于2023年3月22日完成验收，验收备案编号巴环验备</w:t>
            </w:r>
            <w:r>
              <w:rPr>
                <w:rFonts w:hint="default" w:ascii="Times New Roman" w:hAnsi="Times New Roman" w:eastAsia="宋体" w:cs="Times New Roman"/>
                <w:color w:val="000000"/>
                <w:kern w:val="0"/>
                <w:sz w:val="24"/>
                <w:szCs w:val="24"/>
                <w:lang w:val="en-US" w:eastAsia="zh-CN"/>
              </w:rPr>
              <w:t>〔202</w:t>
            </w:r>
            <w:r>
              <w:rPr>
                <w:rFonts w:hint="eastAsia" w:cs="Times New Roman"/>
                <w:color w:val="000000"/>
                <w:kern w:val="0"/>
                <w:sz w:val="24"/>
                <w:szCs w:val="24"/>
                <w:lang w:val="en-US" w:eastAsia="zh-CN"/>
              </w:rPr>
              <w:t>4</w:t>
            </w:r>
            <w:r>
              <w:rPr>
                <w:rFonts w:hint="default" w:ascii="Times New Roman" w:hAnsi="Times New Roman" w:eastAsia="宋体" w:cs="Times New Roman"/>
                <w:color w:val="000000"/>
                <w:kern w:val="0"/>
                <w:sz w:val="24"/>
                <w:szCs w:val="24"/>
                <w:lang w:val="en-US" w:eastAsia="zh-CN"/>
              </w:rPr>
              <w:t>〕</w:t>
            </w:r>
            <w:r>
              <w:rPr>
                <w:rFonts w:hint="eastAsia" w:cs="Times New Roman"/>
                <w:color w:val="000000"/>
                <w:kern w:val="0"/>
                <w:sz w:val="24"/>
                <w:szCs w:val="24"/>
                <w:lang w:val="en-US" w:eastAsia="zh-CN"/>
              </w:rPr>
              <w:t>23号。</w:t>
            </w:r>
          </w:p>
          <w:p w14:paraId="71976D6D">
            <w:pPr>
              <w:spacing w:line="360" w:lineRule="auto"/>
              <w:ind w:firstLine="482" w:firstLineChars="200"/>
              <w:rPr>
                <w:rFonts w:hint="default" w:ascii="Times New Roman" w:hAnsi="Times New Roman" w:cs="Times New Roman"/>
                <w:b/>
                <w:bCs/>
                <w:sz w:val="24"/>
                <w:szCs w:val="24"/>
              </w:rPr>
            </w:pPr>
            <w:r>
              <w:rPr>
                <w:rFonts w:hint="eastAsia" w:ascii="Times New Roman" w:hAnsi="Times New Roman" w:cs="Times New Roman"/>
                <w:b/>
                <w:bCs/>
                <w:sz w:val="24"/>
                <w:szCs w:val="24"/>
                <w:lang w:val="en-US" w:eastAsia="zh-CN"/>
              </w:rPr>
              <w:t>2.4</w:t>
            </w:r>
            <w:r>
              <w:rPr>
                <w:rFonts w:hint="default" w:ascii="Times New Roman" w:hAnsi="Times New Roman" w:cs="Times New Roman"/>
                <w:b/>
                <w:bCs/>
                <w:sz w:val="24"/>
                <w:szCs w:val="24"/>
              </w:rPr>
              <w:t>监测要求</w:t>
            </w:r>
          </w:p>
          <w:p w14:paraId="5B86399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sz w:val="24"/>
                <w:szCs w:val="24"/>
              </w:rPr>
              <w:t>参照《排污单位自行监测技术指南总则》（HJ819-2017）的相关要求，项目</w:t>
            </w:r>
            <w:r>
              <w:rPr>
                <w:rFonts w:hint="default" w:ascii="Times New Roman" w:hAnsi="Times New Roman" w:cs="Times New Roman"/>
                <w:sz w:val="24"/>
                <w:szCs w:val="24"/>
                <w:lang w:eastAsia="zh-CN"/>
              </w:rPr>
              <w:t>只有生活污水，经化粪池预处理后定期拉运至</w:t>
            </w:r>
            <w:r>
              <w:rPr>
                <w:rFonts w:hint="default" w:ascii="Times New Roman" w:hAnsi="Times New Roman" w:eastAsia="宋体" w:cs="Times New Roman"/>
                <w:sz w:val="24"/>
                <w:szCs w:val="24"/>
              </w:rPr>
              <w:t>焉耆县河北巴州生态产业园污水处理厂</w:t>
            </w:r>
            <w:r>
              <w:rPr>
                <w:rFonts w:hint="default" w:ascii="Times New Roman" w:hAnsi="Times New Roman" w:cs="Times New Roman"/>
                <w:sz w:val="24"/>
                <w:szCs w:val="24"/>
                <w:lang w:eastAsia="zh-CN"/>
              </w:rPr>
              <w:t>处理，属间接排放，</w:t>
            </w:r>
            <w:r>
              <w:rPr>
                <w:rFonts w:hint="default" w:ascii="Times New Roman" w:hAnsi="Times New Roman" w:cs="Times New Roman"/>
                <w:sz w:val="24"/>
                <w:szCs w:val="24"/>
                <w:lang w:val="en-US" w:eastAsia="zh-CN"/>
              </w:rPr>
              <w:t>因此，本评价不提出废水跟踪监测要求</w:t>
            </w:r>
            <w:r>
              <w:rPr>
                <w:rFonts w:hint="default" w:ascii="Times New Roman" w:hAnsi="Times New Roman" w:cs="Times New Roman"/>
                <w:sz w:val="24"/>
                <w:szCs w:val="24"/>
              </w:rPr>
              <w:t>。</w:t>
            </w:r>
          </w:p>
          <w:p w14:paraId="6511FC45">
            <w:pPr>
              <w:keepNext w:val="0"/>
              <w:keepLines w:val="0"/>
              <w:pageBreakBefore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b/>
                <w:bCs/>
                <w:color w:val="000000"/>
                <w:sz w:val="24"/>
                <w:szCs w:val="24"/>
                <w:highlight w:val="none"/>
                <w:lang w:val="en-US" w:eastAsia="zh-CN"/>
              </w:rPr>
              <w:t>3.</w:t>
            </w:r>
            <w:r>
              <w:rPr>
                <w:rFonts w:hint="default" w:ascii="Times New Roman" w:hAnsi="Times New Roman" w:eastAsia="宋体" w:cs="Times New Roman"/>
                <w:b/>
                <w:bCs/>
                <w:color w:val="000000"/>
                <w:sz w:val="24"/>
                <w:szCs w:val="24"/>
                <w:highlight w:val="none"/>
                <w:lang w:val="en-US" w:eastAsia="zh-CN"/>
              </w:rPr>
              <w:t>噪声</w:t>
            </w:r>
            <w:r>
              <w:rPr>
                <w:rFonts w:hint="default" w:ascii="Times New Roman" w:hAnsi="Times New Roman" w:eastAsia="宋体" w:cs="Times New Roman"/>
                <w:b/>
                <w:color w:val="000000"/>
                <w:sz w:val="24"/>
                <w:highlight w:val="none"/>
              </w:rPr>
              <w:t>环境影响和保护措施</w:t>
            </w:r>
          </w:p>
          <w:p w14:paraId="3C760D08">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color w:val="000000"/>
                <w:sz w:val="24"/>
                <w:highlight w:val="none"/>
              </w:rPr>
            </w:pPr>
            <w:r>
              <w:rPr>
                <w:rFonts w:hint="default" w:ascii="Times New Roman" w:hAnsi="Times New Roman" w:eastAsia="宋体" w:cs="Times New Roman"/>
                <w:b/>
                <w:bCs/>
                <w:color w:val="000000"/>
                <w:sz w:val="24"/>
                <w:szCs w:val="24"/>
                <w:highlight w:val="none"/>
                <w:lang w:val="en-US" w:eastAsia="zh-CN"/>
              </w:rPr>
              <w:t>3.1</w:t>
            </w:r>
            <w:r>
              <w:rPr>
                <w:rFonts w:hint="default" w:ascii="Times New Roman" w:hAnsi="Times New Roman" w:eastAsia="宋体" w:cs="Times New Roman"/>
                <w:b/>
                <w:bCs/>
                <w:color w:val="000000"/>
                <w:sz w:val="24"/>
                <w:highlight w:val="none"/>
              </w:rPr>
              <w:t>噪声污染工序及源强分析</w:t>
            </w:r>
          </w:p>
          <w:p w14:paraId="1DDA6CAC">
            <w:pPr>
              <w:keepNext w:val="0"/>
              <w:keepLines w:val="0"/>
              <w:pageBreakBefore w:val="0"/>
              <w:widowControl/>
              <w:kinsoku/>
              <w:wordWrap/>
              <w:overflowPunct/>
              <w:topLinePunct w:val="0"/>
              <w:autoSpaceDE/>
              <w:autoSpaceDN/>
              <w:bidi w:val="0"/>
              <w:adjustRightInd w:val="0"/>
              <w:snapToGrid w:val="0"/>
              <w:spacing w:line="360" w:lineRule="auto"/>
              <w:ind w:firstLine="482" w:firstLineChars="200"/>
              <w:jc w:val="left"/>
              <w:textAlignment w:val="auto"/>
              <w:rPr>
                <w:rFonts w:hint="eastAsia" w:ascii="Times New Roman" w:hAnsi="Times New Roman" w:eastAsia="宋体" w:cs="Times New Roman"/>
                <w:b/>
                <w:bCs/>
                <w:color w:val="000000"/>
                <w:sz w:val="24"/>
                <w:highlight w:val="none"/>
                <w:lang w:val="en-US" w:eastAsia="zh-CN"/>
              </w:rPr>
            </w:pPr>
            <w:r>
              <w:rPr>
                <w:rFonts w:hint="eastAsia" w:ascii="Times New Roman" w:hAnsi="Times New Roman" w:eastAsia="宋体" w:cs="Times New Roman"/>
                <w:b/>
                <w:bCs/>
                <w:color w:val="000000"/>
                <w:sz w:val="24"/>
                <w:highlight w:val="none"/>
                <w:lang w:val="en-US" w:eastAsia="zh-CN"/>
              </w:rPr>
              <w:t>3.1.1预测模型</w:t>
            </w:r>
          </w:p>
          <w:p w14:paraId="46073CE4">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ascii="Times New Roman" w:hAnsi="Times New Roman" w:eastAsia="宋体" w:cs="Times New Roman"/>
                <w:color w:val="302116"/>
                <w:sz w:val="24"/>
                <w:szCs w:val="24"/>
                <w:lang w:eastAsia="zh-CN"/>
              </w:rPr>
            </w:pPr>
            <w:r>
              <w:rPr>
                <w:rFonts w:ascii="Times New Roman" w:hAnsi="Times New Roman" w:eastAsia="宋体" w:cs="Times New Roman"/>
                <w:color w:val="302116"/>
                <w:sz w:val="24"/>
                <w:szCs w:val="24"/>
                <w:lang w:eastAsia="zh-CN"/>
              </w:rPr>
              <w:t>根据项目建设内容及《环境影响评价技术导则—声环境》（HJ2.4-2021）的要求，项目环评采用的模型为《环境影响评价技术导则声环境》</w:t>
            </w:r>
            <w:r>
              <w:rPr>
                <w:rFonts w:hint="eastAsia" w:ascii="Times New Roman" w:hAnsi="Times New Roman" w:eastAsia="宋体" w:cs="Times New Roman"/>
                <w:color w:val="302116"/>
                <w:sz w:val="24"/>
                <w:szCs w:val="24"/>
                <w:lang w:eastAsia="zh-CN"/>
              </w:rPr>
              <w:t>（</w:t>
            </w:r>
            <w:r>
              <w:rPr>
                <w:rFonts w:ascii="Times New Roman" w:hAnsi="Times New Roman" w:eastAsia="宋体" w:cs="Times New Roman"/>
                <w:color w:val="302116"/>
                <w:sz w:val="24"/>
                <w:szCs w:val="24"/>
                <w:lang w:eastAsia="zh-CN"/>
              </w:rPr>
              <w:t>HJ2.4</w:t>
            </w:r>
            <w:r>
              <w:rPr>
                <w:rFonts w:hint="eastAsia" w:cs="Times New Roman"/>
                <w:color w:val="302116"/>
                <w:sz w:val="24"/>
                <w:szCs w:val="24"/>
                <w:lang w:eastAsia="zh-CN"/>
              </w:rPr>
              <w:t>-</w:t>
            </w:r>
            <w:r>
              <w:rPr>
                <w:rFonts w:ascii="Times New Roman" w:hAnsi="Times New Roman" w:eastAsia="宋体" w:cs="Times New Roman"/>
                <w:color w:val="302116"/>
                <w:sz w:val="24"/>
                <w:szCs w:val="24"/>
                <w:lang w:eastAsia="zh-CN"/>
              </w:rPr>
              <w:t>2021</w:t>
            </w:r>
            <w:r>
              <w:rPr>
                <w:rFonts w:hint="eastAsia" w:ascii="Times New Roman" w:hAnsi="Times New Roman" w:eastAsia="宋体" w:cs="Times New Roman"/>
                <w:color w:val="302116"/>
                <w:sz w:val="24"/>
                <w:szCs w:val="24"/>
                <w:lang w:eastAsia="zh-CN"/>
              </w:rPr>
              <w:t>）</w:t>
            </w:r>
            <w:r>
              <w:rPr>
                <w:rFonts w:ascii="Times New Roman" w:hAnsi="Times New Roman" w:eastAsia="宋体" w:cs="Times New Roman"/>
                <w:color w:val="302116"/>
                <w:sz w:val="24"/>
                <w:szCs w:val="24"/>
                <w:lang w:eastAsia="zh-CN"/>
              </w:rPr>
              <w:t>附录A（规范性附录）户外声传播的衰减和附录B（规范性附录）中“B.1工业噪声预测计算模型”。</w:t>
            </w:r>
          </w:p>
          <w:p w14:paraId="3A0AA712">
            <w:pPr>
              <w:pStyle w:val="4"/>
              <w:tabs>
                <w:tab w:val="left" w:pos="1282"/>
              </w:tabs>
              <w:snapToGrid w:val="0"/>
              <w:spacing w:line="360" w:lineRule="auto"/>
              <w:ind w:left="479" w:leftChars="228" w:firstLine="0" w:firstLineChars="0"/>
              <w:jc w:val="both"/>
              <w:rPr>
                <w:rFonts w:ascii="Times New Roman" w:hAnsi="Times New Roman" w:eastAsia="宋体" w:cs="Times New Roman"/>
                <w:color w:val="000000"/>
                <w:sz w:val="24"/>
                <w:szCs w:val="24"/>
                <w:lang w:eastAsia="zh-CN"/>
              </w:rPr>
            </w:pPr>
            <w:r>
              <w:rPr>
                <w:rFonts w:hint="eastAsia" w:ascii="Times New Roman" w:hAnsi="Times New Roman" w:eastAsia="宋体" w:cs="Times New Roman"/>
                <w:color w:val="000000"/>
                <w:sz w:val="24"/>
                <w:szCs w:val="24"/>
                <w:lang w:val="en-US" w:eastAsia="zh-CN"/>
              </w:rPr>
              <w:t>3.1.2</w:t>
            </w:r>
            <w:r>
              <w:rPr>
                <w:rFonts w:ascii="Times New Roman" w:hAnsi="Times New Roman" w:eastAsia="宋体" w:cs="Times New Roman"/>
                <w:color w:val="000000"/>
                <w:sz w:val="24"/>
                <w:szCs w:val="24"/>
                <w:lang w:eastAsia="zh-CN"/>
              </w:rPr>
              <w:t>预测参数</w:t>
            </w:r>
          </w:p>
          <w:p w14:paraId="3E78834C">
            <w:pPr>
              <w:snapToGrid w:val="0"/>
              <w:spacing w:line="360" w:lineRule="auto"/>
              <w:ind w:firstLine="480" w:firstLineChars="200"/>
              <w:rPr>
                <w:rFonts w:ascii="Times New Roman" w:hAnsi="Times New Roman" w:eastAsia="宋体" w:cs="Times New Roman"/>
                <w:b w:val="0"/>
                <w:bCs w:val="0"/>
                <w:color w:val="302116"/>
                <w:sz w:val="24"/>
                <w:szCs w:val="24"/>
                <w:lang w:eastAsia="zh-CN"/>
              </w:rPr>
            </w:pPr>
            <w:r>
              <w:rPr>
                <w:rFonts w:ascii="Times New Roman" w:hAnsi="Times New Roman" w:cs="Times New Roman"/>
                <w:b w:val="0"/>
                <w:bCs w:val="0"/>
                <w:sz w:val="24"/>
                <w:szCs w:val="24"/>
                <w:lang w:eastAsia="zh-CN"/>
              </w:rPr>
              <w:t>（1）噪声源强</w:t>
            </w:r>
          </w:p>
          <w:p w14:paraId="7E660CEA">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b/>
                <w:bCs/>
                <w:color w:val="000000"/>
                <w:sz w:val="21"/>
                <w:szCs w:val="21"/>
                <w:highlight w:val="none"/>
              </w:rPr>
            </w:pPr>
            <w:r>
              <w:rPr>
                <w:rFonts w:ascii="Times New Roman" w:hAnsi="Times New Roman" w:eastAsia="宋体" w:cs="Times New Roman"/>
                <w:color w:val="302116"/>
                <w:sz w:val="24"/>
                <w:szCs w:val="24"/>
                <w:lang w:eastAsia="zh-CN"/>
              </w:rPr>
              <w:t>项目在生产过程中产生的噪声主要源自</w:t>
            </w:r>
            <w:r>
              <w:rPr>
                <w:rFonts w:hint="eastAsia" w:ascii="Times New Roman" w:hAnsi="Times New Roman" w:eastAsia="宋体" w:cs="Times New Roman"/>
                <w:color w:val="302116"/>
                <w:sz w:val="24"/>
                <w:szCs w:val="24"/>
                <w:lang w:val="en-US" w:eastAsia="zh-CN"/>
              </w:rPr>
              <w:t>空压</w:t>
            </w:r>
            <w:r>
              <w:rPr>
                <w:rFonts w:ascii="Times New Roman" w:hAnsi="Times New Roman" w:eastAsia="宋体" w:cs="Times New Roman"/>
                <w:color w:val="302116"/>
                <w:sz w:val="24"/>
                <w:szCs w:val="24"/>
                <w:lang w:eastAsia="zh-CN"/>
              </w:rPr>
              <w:t>机、</w:t>
            </w:r>
            <w:r>
              <w:rPr>
                <w:rFonts w:hint="eastAsia" w:ascii="Times New Roman" w:hAnsi="Times New Roman" w:eastAsia="宋体" w:cs="Times New Roman"/>
                <w:color w:val="302116"/>
                <w:sz w:val="24"/>
                <w:szCs w:val="24"/>
                <w:lang w:val="en-US" w:eastAsia="zh-CN"/>
              </w:rPr>
              <w:t>风机、搅拌机、压砖机、配料机</w:t>
            </w:r>
            <w:r>
              <w:rPr>
                <w:rFonts w:ascii="Times New Roman" w:hAnsi="Times New Roman" w:eastAsia="宋体" w:cs="Times New Roman"/>
                <w:color w:val="302116"/>
                <w:sz w:val="24"/>
                <w:szCs w:val="24"/>
                <w:lang w:eastAsia="zh-CN"/>
              </w:rPr>
              <w:t>等</w:t>
            </w:r>
            <w:r>
              <w:rPr>
                <w:rFonts w:hint="eastAsia" w:ascii="Times New Roman" w:hAnsi="Times New Roman" w:eastAsia="宋体" w:cs="Times New Roman"/>
                <w:color w:val="302116"/>
                <w:sz w:val="24"/>
                <w:szCs w:val="24"/>
                <w:lang w:eastAsia="zh-CN"/>
              </w:rPr>
              <w:t>，</w:t>
            </w:r>
            <w:r>
              <w:rPr>
                <w:rFonts w:ascii="Times New Roman" w:hAnsi="Times New Roman" w:eastAsia="宋体" w:cs="Times New Roman"/>
                <w:color w:val="302116"/>
                <w:sz w:val="24"/>
                <w:szCs w:val="24"/>
                <w:lang w:eastAsia="zh-CN"/>
              </w:rPr>
              <w:t>这些设备产生的噪声声级一般在</w:t>
            </w:r>
            <w:r>
              <w:rPr>
                <w:rFonts w:hint="eastAsia" w:ascii="Times New Roman" w:hAnsi="Times New Roman" w:eastAsia="宋体" w:cs="Times New Roman"/>
                <w:color w:val="302116"/>
                <w:sz w:val="24"/>
                <w:szCs w:val="24"/>
                <w:lang w:val="en-US" w:eastAsia="zh-CN"/>
              </w:rPr>
              <w:t>80</w:t>
            </w:r>
            <w:r>
              <w:rPr>
                <w:rFonts w:ascii="Times New Roman" w:hAnsi="Times New Roman" w:eastAsia="宋体" w:cs="Times New Roman"/>
                <w:color w:val="302116"/>
                <w:sz w:val="24"/>
                <w:szCs w:val="24"/>
                <w:lang w:eastAsia="zh-CN"/>
              </w:rPr>
              <w:t>dB以上。项目产生噪声的</w:t>
            </w:r>
            <w:r>
              <w:rPr>
                <w:rFonts w:hint="eastAsia" w:cs="Times New Roman"/>
                <w:color w:val="302116"/>
                <w:sz w:val="24"/>
                <w:szCs w:val="24"/>
                <w:lang w:eastAsia="zh-CN"/>
              </w:rPr>
              <w:t>源</w:t>
            </w:r>
            <w:r>
              <w:rPr>
                <w:rFonts w:ascii="Times New Roman" w:hAnsi="Times New Roman" w:eastAsia="宋体" w:cs="Times New Roman"/>
                <w:color w:val="302116"/>
                <w:sz w:val="24"/>
                <w:szCs w:val="24"/>
                <w:lang w:eastAsia="zh-CN"/>
              </w:rPr>
              <w:t>强调查清单见表</w:t>
            </w:r>
            <w:r>
              <w:rPr>
                <w:rFonts w:hint="eastAsia" w:ascii="Times New Roman" w:hAnsi="Times New Roman" w:eastAsia="宋体" w:cs="Times New Roman"/>
                <w:color w:val="302116"/>
                <w:sz w:val="24"/>
                <w:szCs w:val="24"/>
                <w:lang w:val="en-US" w:eastAsia="zh-CN"/>
              </w:rPr>
              <w:t>4-5</w:t>
            </w:r>
            <w:r>
              <w:rPr>
                <w:rFonts w:ascii="Times New Roman" w:hAnsi="Times New Roman" w:eastAsia="宋体" w:cs="Times New Roman"/>
                <w:color w:val="302116"/>
                <w:sz w:val="24"/>
                <w:szCs w:val="24"/>
                <w:lang w:eastAsia="zh-CN"/>
              </w:rPr>
              <w:t>、表</w:t>
            </w:r>
            <w:r>
              <w:rPr>
                <w:rFonts w:hint="eastAsia" w:ascii="Times New Roman" w:hAnsi="Times New Roman" w:eastAsia="宋体" w:cs="Times New Roman"/>
                <w:color w:val="302116"/>
                <w:sz w:val="24"/>
                <w:szCs w:val="24"/>
                <w:lang w:val="en-US" w:eastAsia="zh-CN"/>
              </w:rPr>
              <w:t>4-6</w:t>
            </w:r>
            <w:r>
              <w:rPr>
                <w:rFonts w:ascii="Times New Roman" w:hAnsi="Times New Roman" w:eastAsia="宋体" w:cs="Times New Roman"/>
                <w:color w:val="000000"/>
                <w:sz w:val="24"/>
                <w:szCs w:val="24"/>
                <w:lang w:eastAsia="zh-CN"/>
              </w:rPr>
              <w:t>。</w:t>
            </w:r>
          </w:p>
          <w:p w14:paraId="5D939364">
            <w:pPr>
              <w:pStyle w:val="23"/>
              <w:ind w:firstLine="0" w:firstLineChars="0"/>
              <w:jc w:val="center"/>
              <w:rPr>
                <w:rFonts w:ascii="宋体" w:hAnsi="宋体" w:eastAsia="宋体" w:cs="Times New Roman"/>
                <w:b/>
                <w:bCs/>
                <w:lang w:eastAsia="zh-CN"/>
              </w:rPr>
            </w:pPr>
            <w:r>
              <w:rPr>
                <w:rFonts w:hint="default" w:ascii="Times New Roman" w:hAnsi="Times New Roman" w:eastAsia="宋体" w:cs="Times New Roman"/>
                <w:b/>
                <w:bCs/>
                <w:color w:val="000000"/>
                <w:sz w:val="21"/>
                <w:szCs w:val="21"/>
                <w:highlight w:val="none"/>
              </w:rPr>
              <w:t>表</w:t>
            </w:r>
            <w:r>
              <w:rPr>
                <w:rFonts w:hint="eastAsia" w:ascii="Times New Roman" w:hAnsi="Times New Roman" w:eastAsia="宋体" w:cs="Times New Roman"/>
                <w:b/>
                <w:bCs/>
                <w:color w:val="000000"/>
                <w:sz w:val="21"/>
                <w:szCs w:val="21"/>
                <w:highlight w:val="none"/>
                <w:lang w:val="en-US" w:eastAsia="zh-CN"/>
              </w:rPr>
              <w:t>4-</w:t>
            </w:r>
            <w:bookmarkStart w:id="4" w:name="OLE_LINK67"/>
            <w:r>
              <w:rPr>
                <w:rFonts w:hint="eastAsia" w:ascii="Times New Roman" w:hAnsi="Times New Roman" w:eastAsia="宋体" w:cs="Times New Roman"/>
                <w:b/>
                <w:bCs/>
                <w:color w:val="000000"/>
                <w:sz w:val="21"/>
                <w:szCs w:val="21"/>
                <w:highlight w:val="none"/>
                <w:lang w:val="en-US" w:eastAsia="zh-CN"/>
              </w:rPr>
              <w:t xml:space="preserve">5 </w:t>
            </w:r>
            <w:r>
              <w:rPr>
                <w:rFonts w:ascii="宋体" w:hAnsi="宋体" w:eastAsia="宋体" w:cs="Times New Roman"/>
                <w:b/>
                <w:bCs/>
                <w:lang w:eastAsia="zh-CN"/>
              </w:rPr>
              <w:t>工业企业噪声源强调查清单（室外声源）</w:t>
            </w:r>
          </w:p>
          <w:tbl>
            <w:tblPr>
              <w:tblStyle w:val="25"/>
              <w:tblW w:w="0" w:type="auto"/>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536"/>
              <w:gridCol w:w="672"/>
              <w:gridCol w:w="672"/>
              <w:gridCol w:w="598"/>
              <w:gridCol w:w="1292"/>
              <w:gridCol w:w="811"/>
              <w:gridCol w:w="789"/>
              <w:gridCol w:w="652"/>
            </w:tblGrid>
            <w:tr w14:paraId="72F4E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trPr>
              <w:tc>
                <w:tcPr>
                  <w:tcW w:w="763" w:type="dxa"/>
                  <w:vMerge w:val="restart"/>
                  <w:noWrap w:val="0"/>
                  <w:vAlign w:val="center"/>
                </w:tcPr>
                <w:p w14:paraId="6D93A1D4">
                  <w:pPr>
                    <w:jc w:val="center"/>
                    <w:rPr>
                      <w:rFonts w:ascii="Times New Roman" w:hAnsi="Times New Roman" w:eastAsia="宋体" w:cs="Times New Roman"/>
                      <w:sz w:val="21"/>
                      <w:szCs w:val="21"/>
                    </w:rPr>
                  </w:pPr>
                  <w:r>
                    <w:rPr>
                      <w:rFonts w:ascii="Times New Roman" w:hAnsi="Times New Roman" w:eastAsia="宋体" w:cs="Times New Roman"/>
                      <w:b/>
                      <w:sz w:val="21"/>
                      <w:szCs w:val="21"/>
                    </w:rPr>
                    <w:t>序号</w:t>
                  </w:r>
                </w:p>
              </w:tc>
              <w:tc>
                <w:tcPr>
                  <w:tcW w:w="1536" w:type="dxa"/>
                  <w:vMerge w:val="restart"/>
                  <w:noWrap w:val="0"/>
                  <w:vAlign w:val="center"/>
                </w:tcPr>
                <w:p w14:paraId="12C1D376">
                  <w:pPr>
                    <w:jc w:val="center"/>
                    <w:rPr>
                      <w:rFonts w:ascii="Times New Roman" w:hAnsi="Times New Roman" w:eastAsia="宋体" w:cs="Times New Roman"/>
                      <w:sz w:val="21"/>
                      <w:szCs w:val="21"/>
                    </w:rPr>
                  </w:pPr>
                  <w:r>
                    <w:rPr>
                      <w:rFonts w:ascii="Times New Roman" w:hAnsi="Times New Roman" w:eastAsia="宋体" w:cs="Times New Roman"/>
                      <w:b/>
                      <w:sz w:val="21"/>
                      <w:szCs w:val="21"/>
                    </w:rPr>
                    <w:t>声源名称</w:t>
                  </w:r>
                </w:p>
              </w:tc>
              <w:tc>
                <w:tcPr>
                  <w:tcW w:w="1942" w:type="dxa"/>
                  <w:gridSpan w:val="3"/>
                  <w:noWrap w:val="0"/>
                  <w:vAlign w:val="center"/>
                </w:tcPr>
                <w:p w14:paraId="53EAA9FA">
                  <w:pPr>
                    <w:jc w:val="center"/>
                    <w:rPr>
                      <w:rFonts w:ascii="Times New Roman" w:hAnsi="Times New Roman" w:eastAsia="宋体" w:cs="Times New Roman"/>
                      <w:sz w:val="21"/>
                      <w:szCs w:val="21"/>
                    </w:rPr>
                  </w:pPr>
                  <w:r>
                    <w:rPr>
                      <w:rFonts w:ascii="Times New Roman" w:hAnsi="Times New Roman" w:eastAsia="宋体" w:cs="Times New Roman"/>
                      <w:b/>
                      <w:sz w:val="21"/>
                      <w:szCs w:val="21"/>
                    </w:rPr>
                    <w:t>空间相对位置/m</w:t>
                  </w:r>
                </w:p>
              </w:tc>
              <w:tc>
                <w:tcPr>
                  <w:tcW w:w="2103" w:type="dxa"/>
                  <w:gridSpan w:val="2"/>
                  <w:noWrap w:val="0"/>
                  <w:vAlign w:val="center"/>
                </w:tcPr>
                <w:p w14:paraId="23102022">
                  <w:pPr>
                    <w:jc w:val="center"/>
                    <w:rPr>
                      <w:rFonts w:ascii="Times New Roman" w:hAnsi="Times New Roman" w:eastAsia="宋体" w:cs="Times New Roman"/>
                      <w:sz w:val="21"/>
                      <w:szCs w:val="21"/>
                      <w:lang w:eastAsia="zh-CN"/>
                    </w:rPr>
                  </w:pPr>
                  <w:r>
                    <w:rPr>
                      <w:rFonts w:ascii="Times New Roman" w:hAnsi="Times New Roman" w:eastAsia="宋体" w:cs="Times New Roman"/>
                      <w:b/>
                      <w:sz w:val="21"/>
                      <w:szCs w:val="21"/>
                      <w:lang w:eastAsia="zh-CN"/>
                    </w:rPr>
                    <w:t>声源源强（任选一种）</w:t>
                  </w:r>
                </w:p>
              </w:tc>
              <w:tc>
                <w:tcPr>
                  <w:tcW w:w="789" w:type="dxa"/>
                  <w:vMerge w:val="restart"/>
                  <w:noWrap w:val="0"/>
                  <w:vAlign w:val="center"/>
                </w:tcPr>
                <w:p w14:paraId="20AAA146">
                  <w:pPr>
                    <w:jc w:val="center"/>
                    <w:rPr>
                      <w:rFonts w:ascii="Times New Roman" w:hAnsi="Times New Roman" w:eastAsia="宋体" w:cs="Times New Roman"/>
                      <w:sz w:val="21"/>
                      <w:szCs w:val="21"/>
                    </w:rPr>
                  </w:pPr>
                  <w:r>
                    <w:rPr>
                      <w:rFonts w:ascii="Times New Roman" w:hAnsi="Times New Roman" w:eastAsia="宋体" w:cs="Times New Roman"/>
                      <w:b/>
                      <w:sz w:val="21"/>
                      <w:szCs w:val="21"/>
                    </w:rPr>
                    <w:t>声源控制措施</w:t>
                  </w:r>
                </w:p>
              </w:tc>
              <w:tc>
                <w:tcPr>
                  <w:tcW w:w="652" w:type="dxa"/>
                  <w:vMerge w:val="restart"/>
                  <w:noWrap w:val="0"/>
                  <w:vAlign w:val="center"/>
                </w:tcPr>
                <w:p w14:paraId="261ADE97">
                  <w:pPr>
                    <w:jc w:val="center"/>
                    <w:rPr>
                      <w:rFonts w:ascii="Times New Roman" w:hAnsi="Times New Roman" w:eastAsia="宋体" w:cs="Times New Roman"/>
                      <w:sz w:val="21"/>
                      <w:szCs w:val="21"/>
                    </w:rPr>
                  </w:pPr>
                  <w:r>
                    <w:rPr>
                      <w:rFonts w:ascii="Times New Roman" w:hAnsi="Times New Roman" w:eastAsia="宋体" w:cs="Times New Roman"/>
                      <w:b/>
                      <w:sz w:val="21"/>
                      <w:szCs w:val="21"/>
                    </w:rPr>
                    <w:t>运行时段</w:t>
                  </w:r>
                </w:p>
              </w:tc>
            </w:tr>
            <w:tr w14:paraId="557C4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63" w:type="dxa"/>
                  <w:vMerge w:val="continue"/>
                  <w:shd w:val="clear" w:color="auto" w:fill="FFFFFF"/>
                  <w:noWrap w:val="0"/>
                  <w:vAlign w:val="center"/>
                </w:tcPr>
                <w:p w14:paraId="0B48D837">
                  <w:pPr>
                    <w:jc w:val="center"/>
                    <w:rPr>
                      <w:rFonts w:ascii="Times New Roman" w:hAnsi="Times New Roman" w:eastAsia="宋体" w:cs="Times New Roman"/>
                      <w:sz w:val="21"/>
                      <w:szCs w:val="21"/>
                    </w:rPr>
                  </w:pPr>
                </w:p>
              </w:tc>
              <w:tc>
                <w:tcPr>
                  <w:tcW w:w="1536" w:type="dxa"/>
                  <w:vMerge w:val="continue"/>
                  <w:shd w:val="clear" w:color="auto" w:fill="FFFFFF"/>
                  <w:noWrap w:val="0"/>
                  <w:vAlign w:val="center"/>
                </w:tcPr>
                <w:p w14:paraId="122819D1">
                  <w:pPr>
                    <w:jc w:val="center"/>
                    <w:rPr>
                      <w:rFonts w:ascii="Times New Roman" w:hAnsi="Times New Roman" w:eastAsia="宋体" w:cs="Times New Roman"/>
                      <w:sz w:val="21"/>
                      <w:szCs w:val="21"/>
                    </w:rPr>
                  </w:pPr>
                </w:p>
              </w:tc>
              <w:tc>
                <w:tcPr>
                  <w:tcW w:w="672" w:type="dxa"/>
                  <w:shd w:val="clear" w:color="auto" w:fill="FFFFFF"/>
                  <w:noWrap w:val="0"/>
                  <w:vAlign w:val="center"/>
                </w:tcPr>
                <w:p w14:paraId="454AED9F">
                  <w:pPr>
                    <w:jc w:val="center"/>
                    <w:rPr>
                      <w:rFonts w:ascii="Times New Roman" w:hAnsi="Times New Roman" w:eastAsia="宋体" w:cs="Times New Roman"/>
                      <w:sz w:val="21"/>
                      <w:szCs w:val="21"/>
                    </w:rPr>
                  </w:pPr>
                  <w:r>
                    <w:rPr>
                      <w:rFonts w:ascii="Times New Roman" w:hAnsi="Times New Roman" w:eastAsia="宋体" w:cs="Times New Roman"/>
                      <w:sz w:val="21"/>
                      <w:szCs w:val="21"/>
                    </w:rPr>
                    <w:t>X</w:t>
                  </w:r>
                </w:p>
              </w:tc>
              <w:tc>
                <w:tcPr>
                  <w:tcW w:w="672" w:type="dxa"/>
                  <w:shd w:val="clear" w:color="auto" w:fill="FFFFFF"/>
                  <w:noWrap w:val="0"/>
                  <w:vAlign w:val="center"/>
                </w:tcPr>
                <w:p w14:paraId="65AA01C4">
                  <w:pPr>
                    <w:jc w:val="center"/>
                    <w:rPr>
                      <w:rFonts w:ascii="Times New Roman" w:hAnsi="Times New Roman" w:eastAsia="宋体" w:cs="Times New Roman"/>
                      <w:sz w:val="21"/>
                      <w:szCs w:val="21"/>
                    </w:rPr>
                  </w:pPr>
                  <w:r>
                    <w:rPr>
                      <w:rFonts w:ascii="Times New Roman" w:hAnsi="Times New Roman" w:eastAsia="宋体" w:cs="Times New Roman"/>
                      <w:sz w:val="21"/>
                      <w:szCs w:val="21"/>
                    </w:rPr>
                    <w:t>Y</w:t>
                  </w:r>
                </w:p>
              </w:tc>
              <w:tc>
                <w:tcPr>
                  <w:tcW w:w="598" w:type="dxa"/>
                  <w:shd w:val="clear" w:color="auto" w:fill="FFFFFF"/>
                  <w:noWrap w:val="0"/>
                  <w:vAlign w:val="center"/>
                </w:tcPr>
                <w:p w14:paraId="5DCC3E20">
                  <w:pPr>
                    <w:jc w:val="center"/>
                    <w:rPr>
                      <w:rFonts w:ascii="Times New Roman" w:hAnsi="Times New Roman" w:eastAsia="宋体" w:cs="Times New Roman"/>
                      <w:sz w:val="21"/>
                      <w:szCs w:val="21"/>
                    </w:rPr>
                  </w:pPr>
                  <w:r>
                    <w:rPr>
                      <w:rFonts w:ascii="Times New Roman" w:hAnsi="Times New Roman" w:eastAsia="宋体" w:cs="Times New Roman"/>
                      <w:sz w:val="21"/>
                      <w:szCs w:val="21"/>
                    </w:rPr>
                    <w:t>Z</w:t>
                  </w:r>
                </w:p>
              </w:tc>
              <w:tc>
                <w:tcPr>
                  <w:tcW w:w="1292" w:type="dxa"/>
                  <w:shd w:val="clear" w:color="auto" w:fill="FFFFFF"/>
                  <w:noWrap w:val="0"/>
                  <w:vAlign w:val="center"/>
                </w:tcPr>
                <w:p w14:paraId="09708A1D">
                  <w:pPr>
                    <w:jc w:val="center"/>
                    <w:rPr>
                      <w:rFonts w:ascii="Times New Roman" w:hAnsi="Times New Roman" w:eastAsia="宋体" w:cs="Times New Roman"/>
                      <w:sz w:val="21"/>
                      <w:szCs w:val="21"/>
                    </w:rPr>
                  </w:pPr>
                  <w:r>
                    <w:rPr>
                      <w:rFonts w:ascii="Times New Roman" w:hAnsi="Times New Roman" w:eastAsia="宋体" w:cs="Times New Roman"/>
                      <w:sz w:val="21"/>
                      <w:szCs w:val="21"/>
                    </w:rPr>
                    <w:t>（声压级/距声源距离）/dB</w:t>
                  </w:r>
                  <w:r>
                    <w:rPr>
                      <w:rFonts w:hint="eastAsia" w:cs="Times New Roman"/>
                      <w:sz w:val="21"/>
                      <w:szCs w:val="21"/>
                      <w:lang w:eastAsia="zh-CN"/>
                    </w:rPr>
                    <w:t>（</w:t>
                  </w:r>
                  <w:r>
                    <w:rPr>
                      <w:rFonts w:ascii="Times New Roman" w:hAnsi="Times New Roman" w:eastAsia="宋体" w:cs="Times New Roman"/>
                      <w:sz w:val="21"/>
                      <w:szCs w:val="21"/>
                    </w:rPr>
                    <w:t>A</w:t>
                  </w:r>
                  <w:r>
                    <w:rPr>
                      <w:rFonts w:hint="eastAsia" w:cs="Times New Roman"/>
                      <w:sz w:val="21"/>
                      <w:szCs w:val="21"/>
                      <w:lang w:eastAsia="zh-CN"/>
                    </w:rPr>
                    <w:t>）</w:t>
                  </w:r>
                  <w:r>
                    <w:rPr>
                      <w:rFonts w:ascii="Times New Roman" w:hAnsi="Times New Roman" w:eastAsia="宋体" w:cs="Times New Roman"/>
                      <w:sz w:val="21"/>
                      <w:szCs w:val="21"/>
                    </w:rPr>
                    <w:t>/m）</w:t>
                  </w:r>
                </w:p>
              </w:tc>
              <w:tc>
                <w:tcPr>
                  <w:tcW w:w="811" w:type="dxa"/>
                  <w:shd w:val="clear" w:color="auto" w:fill="FFFFFF"/>
                  <w:noWrap w:val="0"/>
                  <w:vAlign w:val="center"/>
                </w:tcPr>
                <w:p w14:paraId="41ADB323">
                  <w:pPr>
                    <w:jc w:val="center"/>
                    <w:rPr>
                      <w:rFonts w:hint="eastAsia" w:ascii="Times New Roman" w:hAnsi="Times New Roman" w:eastAsia="宋体" w:cs="Times New Roman"/>
                      <w:sz w:val="21"/>
                      <w:szCs w:val="21"/>
                      <w:lang w:eastAsia="zh-CN"/>
                    </w:rPr>
                  </w:pPr>
                  <w:r>
                    <w:rPr>
                      <w:rFonts w:ascii="Times New Roman" w:hAnsi="Times New Roman" w:eastAsia="宋体" w:cs="Times New Roman"/>
                      <w:sz w:val="21"/>
                      <w:szCs w:val="21"/>
                    </w:rPr>
                    <w:t>声功率级/dB</w:t>
                  </w:r>
                  <w:r>
                    <w:rPr>
                      <w:rFonts w:hint="eastAsia" w:cs="Times New Roman"/>
                      <w:sz w:val="21"/>
                      <w:szCs w:val="21"/>
                      <w:lang w:eastAsia="zh-CN"/>
                    </w:rPr>
                    <w:t>（</w:t>
                  </w:r>
                  <w:r>
                    <w:rPr>
                      <w:rFonts w:ascii="Times New Roman" w:hAnsi="Times New Roman" w:eastAsia="宋体" w:cs="Times New Roman"/>
                      <w:sz w:val="21"/>
                      <w:szCs w:val="21"/>
                    </w:rPr>
                    <w:t>A</w:t>
                  </w:r>
                  <w:r>
                    <w:rPr>
                      <w:rFonts w:hint="eastAsia" w:cs="Times New Roman"/>
                      <w:sz w:val="21"/>
                      <w:szCs w:val="21"/>
                      <w:lang w:eastAsia="zh-CN"/>
                    </w:rPr>
                    <w:t>）</w:t>
                  </w:r>
                </w:p>
              </w:tc>
              <w:tc>
                <w:tcPr>
                  <w:tcW w:w="789" w:type="dxa"/>
                  <w:vMerge w:val="continue"/>
                  <w:shd w:val="clear" w:color="auto" w:fill="FFFFFF"/>
                  <w:noWrap w:val="0"/>
                  <w:vAlign w:val="center"/>
                </w:tcPr>
                <w:p w14:paraId="3C233B66">
                  <w:pPr>
                    <w:jc w:val="center"/>
                    <w:rPr>
                      <w:rFonts w:ascii="Times New Roman" w:hAnsi="Times New Roman" w:eastAsia="宋体" w:cs="Times New Roman"/>
                      <w:sz w:val="21"/>
                      <w:szCs w:val="21"/>
                    </w:rPr>
                  </w:pPr>
                </w:p>
              </w:tc>
              <w:tc>
                <w:tcPr>
                  <w:tcW w:w="652" w:type="dxa"/>
                  <w:vMerge w:val="continue"/>
                  <w:shd w:val="clear" w:color="auto" w:fill="FFFFFF"/>
                  <w:noWrap w:val="0"/>
                  <w:vAlign w:val="center"/>
                </w:tcPr>
                <w:p w14:paraId="5A1568C6">
                  <w:pPr>
                    <w:jc w:val="center"/>
                    <w:rPr>
                      <w:rFonts w:ascii="Times New Roman" w:hAnsi="Times New Roman" w:eastAsia="宋体" w:cs="Times New Roman"/>
                      <w:sz w:val="21"/>
                      <w:szCs w:val="21"/>
                    </w:rPr>
                  </w:pPr>
                </w:p>
              </w:tc>
            </w:tr>
            <w:tr w14:paraId="5E569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482" w:hRule="exact"/>
              </w:trPr>
              <w:tc>
                <w:tcPr>
                  <w:tcW w:w="763" w:type="dxa"/>
                  <w:shd w:val="clear" w:color="auto" w:fill="FFFFFF"/>
                  <w:noWrap w:val="0"/>
                  <w:vAlign w:val="center"/>
                </w:tcPr>
                <w:p w14:paraId="5676018F">
                  <w:pPr>
                    <w:jc w:val="center"/>
                  </w:pPr>
                  <w:r>
                    <w:rPr>
                      <w:rFonts w:ascii="Arial" w:hAnsi="Arial" w:eastAsia="Arial" w:cs="Arial"/>
                      <w:sz w:val="20"/>
                    </w:rPr>
                    <w:t>1</w:t>
                  </w:r>
                </w:p>
              </w:tc>
              <w:tc>
                <w:tcPr>
                  <w:tcW w:w="1536" w:type="dxa"/>
                  <w:shd w:val="clear" w:color="auto" w:fill="FFFFFF"/>
                  <w:noWrap w:val="0"/>
                  <w:vAlign w:val="center"/>
                </w:tcPr>
                <w:p w14:paraId="44EE7E36">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配煤机</w:t>
                  </w:r>
                </w:p>
              </w:tc>
              <w:tc>
                <w:tcPr>
                  <w:tcW w:w="672" w:type="dxa"/>
                  <w:shd w:val="clear" w:color="auto" w:fill="FFFFFF"/>
                  <w:noWrap w:val="0"/>
                  <w:vAlign w:val="center"/>
                </w:tcPr>
                <w:p w14:paraId="0BAB72C8">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52</w:t>
                  </w:r>
                </w:p>
              </w:tc>
              <w:tc>
                <w:tcPr>
                  <w:tcW w:w="672" w:type="dxa"/>
                  <w:shd w:val="clear" w:color="auto" w:fill="FFFFFF"/>
                  <w:noWrap w:val="0"/>
                  <w:vAlign w:val="center"/>
                </w:tcPr>
                <w:p w14:paraId="7A317EBC">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90</w:t>
                  </w:r>
                </w:p>
              </w:tc>
              <w:tc>
                <w:tcPr>
                  <w:tcW w:w="598" w:type="dxa"/>
                  <w:shd w:val="clear" w:color="auto" w:fill="FFFFFF"/>
                  <w:noWrap w:val="0"/>
                  <w:vAlign w:val="center"/>
                </w:tcPr>
                <w:p w14:paraId="518D8B08">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0.5</w:t>
                  </w:r>
                </w:p>
              </w:tc>
              <w:tc>
                <w:tcPr>
                  <w:tcW w:w="1292" w:type="dxa"/>
                  <w:shd w:val="clear" w:color="auto" w:fill="FFFFFF"/>
                  <w:noWrap w:val="0"/>
                  <w:vAlign w:val="center"/>
                </w:tcPr>
                <w:p w14:paraId="302E4A4F">
                  <w:pPr>
                    <w:jc w:val="center"/>
                    <w:rPr>
                      <w:rFonts w:hint="eastAsia" w:eastAsia="宋体"/>
                      <w:lang w:val="en-US" w:eastAsia="zh-CN"/>
                    </w:rPr>
                  </w:pPr>
                  <w:r>
                    <w:rPr>
                      <w:rFonts w:hint="eastAsia"/>
                      <w:lang w:val="en-US" w:eastAsia="zh-CN"/>
                    </w:rPr>
                    <w:t>/</w:t>
                  </w:r>
                </w:p>
              </w:tc>
              <w:tc>
                <w:tcPr>
                  <w:tcW w:w="811" w:type="dxa"/>
                  <w:shd w:val="clear" w:color="auto" w:fill="FFFFFF"/>
                  <w:noWrap w:val="0"/>
                  <w:vAlign w:val="center"/>
                </w:tcPr>
                <w:p w14:paraId="517EF4FB">
                  <w:pPr>
                    <w:jc w:val="center"/>
                  </w:pPr>
                  <w:r>
                    <w:rPr>
                      <w:rFonts w:ascii="Arial" w:hAnsi="Arial" w:eastAsia="Arial" w:cs="Arial"/>
                      <w:sz w:val="20"/>
                    </w:rPr>
                    <w:t>80</w:t>
                  </w:r>
                </w:p>
              </w:tc>
              <w:tc>
                <w:tcPr>
                  <w:tcW w:w="789" w:type="dxa"/>
                  <w:vMerge w:val="restart"/>
                  <w:shd w:val="clear" w:color="auto" w:fill="FFFFFF"/>
                  <w:noWrap w:val="0"/>
                  <w:vAlign w:val="center"/>
                </w:tcPr>
                <w:p w14:paraId="17FB5613">
                  <w:pPr>
                    <w:jc w:val="center"/>
                  </w:pPr>
                  <w:r>
                    <w:rPr>
                      <w:rFonts w:hint="default" w:ascii="Times New Roman" w:hAnsi="Times New Roman" w:cs="Times New Roman"/>
                      <w:sz w:val="21"/>
                      <w:szCs w:val="21"/>
                    </w:rPr>
                    <w:t>减振降噪和距离衰减</w:t>
                  </w:r>
                </w:p>
              </w:tc>
              <w:tc>
                <w:tcPr>
                  <w:tcW w:w="652" w:type="dxa"/>
                  <w:shd w:val="clear" w:color="auto" w:fill="FFFFFF"/>
                  <w:noWrap w:val="0"/>
                  <w:vAlign w:val="center"/>
                </w:tcPr>
                <w:p w14:paraId="326CF176">
                  <w:pPr>
                    <w:jc w:val="center"/>
                    <w:rPr>
                      <w:rFonts w:hint="eastAsia" w:eastAsia="宋体"/>
                      <w:lang w:eastAsia="zh-CN"/>
                    </w:rPr>
                  </w:pPr>
                  <w:r>
                    <w:rPr>
                      <w:rFonts w:hint="eastAsia" w:ascii="Arial" w:hAnsi="Arial" w:eastAsia="宋体" w:cs="Arial"/>
                      <w:sz w:val="20"/>
                      <w:lang w:val="en-US" w:eastAsia="zh-CN"/>
                    </w:rPr>
                    <w:t>8</w:t>
                  </w:r>
                </w:p>
              </w:tc>
            </w:tr>
            <w:tr w14:paraId="52FED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82" w:hRule="exact"/>
              </w:trPr>
              <w:tc>
                <w:tcPr>
                  <w:tcW w:w="763" w:type="dxa"/>
                  <w:shd w:val="clear" w:color="auto" w:fill="FFFFFF"/>
                  <w:noWrap w:val="0"/>
                  <w:vAlign w:val="center"/>
                </w:tcPr>
                <w:p w14:paraId="07445A78">
                  <w:pPr>
                    <w:jc w:val="center"/>
                  </w:pPr>
                  <w:r>
                    <w:rPr>
                      <w:rFonts w:ascii="Arial" w:hAnsi="Arial" w:eastAsia="Arial" w:cs="Arial"/>
                      <w:sz w:val="20"/>
                    </w:rPr>
                    <w:t>2</w:t>
                  </w:r>
                </w:p>
              </w:tc>
              <w:tc>
                <w:tcPr>
                  <w:tcW w:w="1536" w:type="dxa"/>
                  <w:shd w:val="clear" w:color="auto" w:fill="FFFFFF"/>
                  <w:noWrap w:val="0"/>
                  <w:vAlign w:val="center"/>
                </w:tcPr>
                <w:p w14:paraId="6F782F62">
                  <w:pPr>
                    <w:jc w:val="center"/>
                    <w:rPr>
                      <w:rFonts w:hint="eastAsia" w:ascii="Times New Roman" w:hAnsi="Times New Roman" w:eastAsia="宋体" w:cs="Times New Roman"/>
                      <w:lang w:val="en-US" w:eastAsia="zh-CN"/>
                    </w:rPr>
                  </w:pPr>
                  <w:r>
                    <w:rPr>
                      <w:rFonts w:hint="eastAsia" w:cs="Times New Roman"/>
                      <w:lang w:val="en-US" w:eastAsia="zh-CN"/>
                    </w:rPr>
                    <w:t>筛分机</w:t>
                  </w:r>
                </w:p>
              </w:tc>
              <w:tc>
                <w:tcPr>
                  <w:tcW w:w="672" w:type="dxa"/>
                  <w:shd w:val="clear" w:color="auto" w:fill="FFFFFF"/>
                  <w:noWrap w:val="0"/>
                  <w:vAlign w:val="center"/>
                </w:tcPr>
                <w:p w14:paraId="43778227">
                  <w:pPr>
                    <w:jc w:val="center"/>
                    <w:rPr>
                      <w:rFonts w:hint="default" w:ascii="Times New Roman" w:hAnsi="Times New Roman" w:eastAsia="宋体" w:cs="Times New Roman"/>
                      <w:lang w:val="en-US" w:eastAsia="zh-CN"/>
                    </w:rPr>
                  </w:pPr>
                  <w:r>
                    <w:rPr>
                      <w:rFonts w:hint="eastAsia" w:cs="Times New Roman"/>
                      <w:lang w:val="en-US" w:eastAsia="zh-CN"/>
                    </w:rPr>
                    <w:t>48</w:t>
                  </w:r>
                </w:p>
              </w:tc>
              <w:tc>
                <w:tcPr>
                  <w:tcW w:w="672" w:type="dxa"/>
                  <w:shd w:val="clear" w:color="auto" w:fill="FFFFFF"/>
                  <w:noWrap w:val="0"/>
                  <w:vAlign w:val="center"/>
                </w:tcPr>
                <w:p w14:paraId="3AEF6763">
                  <w:pPr>
                    <w:jc w:val="center"/>
                    <w:rPr>
                      <w:rFonts w:hint="default" w:ascii="Times New Roman" w:hAnsi="Times New Roman" w:eastAsia="宋体" w:cs="Times New Roman"/>
                      <w:lang w:val="en-US" w:eastAsia="zh-CN"/>
                    </w:rPr>
                  </w:pPr>
                  <w:r>
                    <w:rPr>
                      <w:rFonts w:hint="eastAsia" w:cs="Times New Roman"/>
                      <w:lang w:val="en-US" w:eastAsia="zh-CN"/>
                    </w:rPr>
                    <w:t>78</w:t>
                  </w:r>
                </w:p>
              </w:tc>
              <w:tc>
                <w:tcPr>
                  <w:tcW w:w="598" w:type="dxa"/>
                  <w:shd w:val="clear" w:color="auto" w:fill="FFFFFF"/>
                  <w:noWrap w:val="0"/>
                  <w:vAlign w:val="center"/>
                </w:tcPr>
                <w:p w14:paraId="7D87E7CA">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0.5</w:t>
                  </w:r>
                </w:p>
              </w:tc>
              <w:tc>
                <w:tcPr>
                  <w:tcW w:w="1292" w:type="dxa"/>
                  <w:shd w:val="clear" w:color="auto" w:fill="FFFFFF"/>
                  <w:noWrap w:val="0"/>
                  <w:vAlign w:val="center"/>
                </w:tcPr>
                <w:p w14:paraId="76BE0AB7">
                  <w:pPr>
                    <w:jc w:val="center"/>
                    <w:rPr>
                      <w:rFonts w:hint="eastAsia" w:eastAsia="宋体"/>
                      <w:lang w:val="en-US" w:eastAsia="zh-CN"/>
                    </w:rPr>
                  </w:pPr>
                  <w:r>
                    <w:rPr>
                      <w:rFonts w:hint="eastAsia"/>
                      <w:lang w:val="en-US" w:eastAsia="zh-CN"/>
                    </w:rPr>
                    <w:t>/</w:t>
                  </w:r>
                </w:p>
              </w:tc>
              <w:tc>
                <w:tcPr>
                  <w:tcW w:w="811" w:type="dxa"/>
                  <w:shd w:val="clear" w:color="auto" w:fill="FFFFFF"/>
                  <w:noWrap w:val="0"/>
                  <w:vAlign w:val="center"/>
                </w:tcPr>
                <w:p w14:paraId="3079AADB">
                  <w:pPr>
                    <w:jc w:val="center"/>
                  </w:pPr>
                  <w:r>
                    <w:rPr>
                      <w:rFonts w:ascii="Arial" w:hAnsi="Arial" w:eastAsia="Arial" w:cs="Arial"/>
                      <w:sz w:val="20"/>
                    </w:rPr>
                    <w:t>80</w:t>
                  </w:r>
                </w:p>
              </w:tc>
              <w:tc>
                <w:tcPr>
                  <w:tcW w:w="789" w:type="dxa"/>
                  <w:vMerge w:val="continue"/>
                  <w:shd w:val="clear" w:color="auto" w:fill="FFFFFF"/>
                  <w:noWrap w:val="0"/>
                  <w:vAlign w:val="center"/>
                </w:tcPr>
                <w:p w14:paraId="5CC6DB0B">
                  <w:pPr>
                    <w:jc w:val="center"/>
                  </w:pPr>
                </w:p>
              </w:tc>
              <w:tc>
                <w:tcPr>
                  <w:tcW w:w="652" w:type="dxa"/>
                  <w:shd w:val="clear" w:color="auto" w:fill="FFFFFF"/>
                  <w:noWrap w:val="0"/>
                  <w:vAlign w:val="center"/>
                </w:tcPr>
                <w:p w14:paraId="0F8DE729">
                  <w:pPr>
                    <w:jc w:val="center"/>
                    <w:rPr>
                      <w:rFonts w:hint="eastAsia" w:eastAsia="宋体"/>
                      <w:lang w:eastAsia="zh-CN"/>
                    </w:rPr>
                  </w:pPr>
                  <w:r>
                    <w:rPr>
                      <w:rFonts w:hint="eastAsia" w:ascii="Arial" w:hAnsi="Arial" w:eastAsia="宋体" w:cs="Arial"/>
                      <w:sz w:val="20"/>
                      <w:lang w:val="en-US" w:eastAsia="zh-CN"/>
                    </w:rPr>
                    <w:t>8</w:t>
                  </w:r>
                </w:p>
              </w:tc>
            </w:tr>
            <w:tr w14:paraId="0502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82" w:hRule="exact"/>
              </w:trPr>
              <w:tc>
                <w:tcPr>
                  <w:tcW w:w="763" w:type="dxa"/>
                  <w:shd w:val="clear" w:color="auto" w:fill="FFFFFF"/>
                  <w:noWrap w:val="0"/>
                  <w:vAlign w:val="center"/>
                </w:tcPr>
                <w:p w14:paraId="3DA41852">
                  <w:pPr>
                    <w:jc w:val="center"/>
                    <w:rPr>
                      <w:rFonts w:ascii="Arial" w:hAnsi="Arial" w:eastAsia="Arial" w:cs="Arial"/>
                      <w:sz w:val="20"/>
                    </w:rPr>
                  </w:pPr>
                </w:p>
              </w:tc>
              <w:tc>
                <w:tcPr>
                  <w:tcW w:w="1536" w:type="dxa"/>
                  <w:shd w:val="clear" w:color="auto" w:fill="FFFFFF"/>
                  <w:noWrap w:val="0"/>
                  <w:vAlign w:val="center"/>
                </w:tcPr>
                <w:p w14:paraId="05ECB6AA">
                  <w:pPr>
                    <w:jc w:val="center"/>
                    <w:rPr>
                      <w:rFonts w:hint="default" w:cs="Times New Roman"/>
                      <w:lang w:val="en-US" w:eastAsia="zh-CN"/>
                    </w:rPr>
                  </w:pPr>
                  <w:r>
                    <w:rPr>
                      <w:rFonts w:hint="eastAsia" w:cs="Times New Roman"/>
                      <w:lang w:val="en-US" w:eastAsia="zh-CN"/>
                    </w:rPr>
                    <w:t>雾炮机</w:t>
                  </w:r>
                </w:p>
              </w:tc>
              <w:tc>
                <w:tcPr>
                  <w:tcW w:w="672" w:type="dxa"/>
                  <w:shd w:val="clear" w:color="auto" w:fill="FFFFFF"/>
                  <w:noWrap w:val="0"/>
                  <w:vAlign w:val="center"/>
                </w:tcPr>
                <w:p w14:paraId="53A2005E">
                  <w:pPr>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lang w:val="en-US" w:eastAsia="zh-CN"/>
                    </w:rPr>
                    <w:t>55</w:t>
                  </w:r>
                </w:p>
              </w:tc>
              <w:tc>
                <w:tcPr>
                  <w:tcW w:w="672" w:type="dxa"/>
                  <w:shd w:val="clear" w:color="auto" w:fill="FFFFFF"/>
                  <w:noWrap w:val="0"/>
                  <w:vAlign w:val="center"/>
                </w:tcPr>
                <w:p w14:paraId="66F08B44">
                  <w:pPr>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lang w:val="en-US" w:eastAsia="zh-CN"/>
                    </w:rPr>
                    <w:t>90</w:t>
                  </w:r>
                </w:p>
              </w:tc>
              <w:tc>
                <w:tcPr>
                  <w:tcW w:w="598" w:type="dxa"/>
                  <w:shd w:val="clear" w:color="auto" w:fill="FFFFFF"/>
                  <w:noWrap w:val="0"/>
                  <w:vAlign w:val="center"/>
                </w:tcPr>
                <w:p w14:paraId="0331ECBC">
                  <w:pPr>
                    <w:jc w:val="center"/>
                    <w:rPr>
                      <w:rFonts w:hint="eastAsia" w:ascii="Times New Roman" w:hAnsi="Times New Roman" w:eastAsia="宋体" w:cs="Times New Roman"/>
                      <w:lang w:val="en-US" w:eastAsia="zh-CN"/>
                    </w:rPr>
                  </w:pPr>
                </w:p>
              </w:tc>
              <w:tc>
                <w:tcPr>
                  <w:tcW w:w="1292" w:type="dxa"/>
                  <w:shd w:val="clear" w:color="auto" w:fill="FFFFFF"/>
                  <w:noWrap w:val="0"/>
                  <w:vAlign w:val="center"/>
                </w:tcPr>
                <w:p w14:paraId="73203C98">
                  <w:pPr>
                    <w:jc w:val="center"/>
                    <w:rPr>
                      <w:rFonts w:hint="eastAsia"/>
                      <w:lang w:val="en-US" w:eastAsia="zh-CN"/>
                    </w:rPr>
                  </w:pPr>
                  <w:r>
                    <w:rPr>
                      <w:rFonts w:hint="eastAsia"/>
                      <w:lang w:val="en-US" w:eastAsia="zh-CN"/>
                    </w:rPr>
                    <w:t>/</w:t>
                  </w:r>
                </w:p>
              </w:tc>
              <w:tc>
                <w:tcPr>
                  <w:tcW w:w="811" w:type="dxa"/>
                  <w:shd w:val="clear" w:color="auto" w:fill="FFFFFF"/>
                  <w:noWrap w:val="0"/>
                  <w:vAlign w:val="center"/>
                </w:tcPr>
                <w:p w14:paraId="285EFB4D">
                  <w:pPr>
                    <w:jc w:val="center"/>
                    <w:rPr>
                      <w:rFonts w:ascii="Arial" w:hAnsi="Arial" w:eastAsia="Arial" w:cs="Arial"/>
                      <w:sz w:val="20"/>
                    </w:rPr>
                  </w:pPr>
                  <w:r>
                    <w:rPr>
                      <w:rFonts w:ascii="Arial" w:hAnsi="Arial" w:eastAsia="Arial" w:cs="Arial"/>
                      <w:sz w:val="20"/>
                    </w:rPr>
                    <w:t>80</w:t>
                  </w:r>
                </w:p>
              </w:tc>
              <w:tc>
                <w:tcPr>
                  <w:tcW w:w="789" w:type="dxa"/>
                  <w:vMerge w:val="continue"/>
                  <w:shd w:val="clear" w:color="auto" w:fill="FFFFFF"/>
                  <w:noWrap w:val="0"/>
                  <w:vAlign w:val="center"/>
                </w:tcPr>
                <w:p w14:paraId="5274D940">
                  <w:pPr>
                    <w:jc w:val="center"/>
                  </w:pPr>
                </w:p>
              </w:tc>
              <w:tc>
                <w:tcPr>
                  <w:tcW w:w="652" w:type="dxa"/>
                  <w:shd w:val="clear" w:color="auto" w:fill="FFFFFF"/>
                  <w:noWrap w:val="0"/>
                  <w:vAlign w:val="center"/>
                </w:tcPr>
                <w:p w14:paraId="3FA25508">
                  <w:pPr>
                    <w:jc w:val="center"/>
                    <w:rPr>
                      <w:rFonts w:hint="eastAsia" w:ascii="Arial" w:hAnsi="Arial" w:eastAsia="宋体" w:cs="Arial"/>
                      <w:sz w:val="20"/>
                      <w:lang w:val="en-US" w:eastAsia="zh-CN"/>
                    </w:rPr>
                  </w:pPr>
                  <w:r>
                    <w:rPr>
                      <w:rFonts w:hint="eastAsia" w:ascii="Arial" w:hAnsi="Arial" w:eastAsia="宋体" w:cs="Arial"/>
                      <w:sz w:val="20"/>
                      <w:lang w:val="en-US" w:eastAsia="zh-CN"/>
                    </w:rPr>
                    <w:t>8</w:t>
                  </w:r>
                </w:p>
              </w:tc>
            </w:tr>
            <w:tr w14:paraId="60909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82" w:hRule="exact"/>
              </w:trPr>
              <w:tc>
                <w:tcPr>
                  <w:tcW w:w="763" w:type="dxa"/>
                  <w:shd w:val="clear" w:color="auto" w:fill="FFFFFF"/>
                  <w:noWrap w:val="0"/>
                  <w:vAlign w:val="center"/>
                </w:tcPr>
                <w:p w14:paraId="603881AA">
                  <w:pPr>
                    <w:jc w:val="center"/>
                  </w:pPr>
                  <w:r>
                    <w:rPr>
                      <w:rFonts w:ascii="Arial" w:hAnsi="Arial" w:eastAsia="Arial" w:cs="Arial"/>
                      <w:sz w:val="20"/>
                    </w:rPr>
                    <w:t>3</w:t>
                  </w:r>
                </w:p>
              </w:tc>
              <w:tc>
                <w:tcPr>
                  <w:tcW w:w="1536" w:type="dxa"/>
                  <w:shd w:val="clear" w:color="auto" w:fill="FFFFFF"/>
                  <w:noWrap w:val="0"/>
                  <w:vAlign w:val="center"/>
                </w:tcPr>
                <w:p w14:paraId="3E279885">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铲车</w:t>
                  </w:r>
                </w:p>
              </w:tc>
              <w:tc>
                <w:tcPr>
                  <w:tcW w:w="672" w:type="dxa"/>
                  <w:shd w:val="clear" w:color="auto" w:fill="FFFFFF"/>
                  <w:noWrap w:val="0"/>
                  <w:vAlign w:val="center"/>
                </w:tcPr>
                <w:p w14:paraId="74500E3E">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65</w:t>
                  </w:r>
                </w:p>
              </w:tc>
              <w:tc>
                <w:tcPr>
                  <w:tcW w:w="672" w:type="dxa"/>
                  <w:shd w:val="clear" w:color="auto" w:fill="FFFFFF"/>
                  <w:noWrap w:val="0"/>
                  <w:vAlign w:val="center"/>
                </w:tcPr>
                <w:p w14:paraId="2DD7E3D9">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76</w:t>
                  </w:r>
                </w:p>
              </w:tc>
              <w:tc>
                <w:tcPr>
                  <w:tcW w:w="598" w:type="dxa"/>
                  <w:shd w:val="clear" w:color="auto" w:fill="FFFFFF"/>
                  <w:noWrap w:val="0"/>
                  <w:vAlign w:val="center"/>
                </w:tcPr>
                <w:p w14:paraId="50FAAA6E">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1.2</w:t>
                  </w:r>
                </w:p>
              </w:tc>
              <w:tc>
                <w:tcPr>
                  <w:tcW w:w="1292" w:type="dxa"/>
                  <w:shd w:val="clear" w:color="auto" w:fill="FFFFFF"/>
                  <w:noWrap w:val="0"/>
                  <w:vAlign w:val="center"/>
                </w:tcPr>
                <w:p w14:paraId="740469DD">
                  <w:pPr>
                    <w:jc w:val="center"/>
                    <w:rPr>
                      <w:rFonts w:hint="eastAsia" w:eastAsia="宋体"/>
                      <w:lang w:val="en-US" w:eastAsia="zh-CN"/>
                    </w:rPr>
                  </w:pPr>
                  <w:r>
                    <w:rPr>
                      <w:rFonts w:hint="eastAsia"/>
                      <w:lang w:val="en-US" w:eastAsia="zh-CN"/>
                    </w:rPr>
                    <w:t>/</w:t>
                  </w:r>
                </w:p>
              </w:tc>
              <w:tc>
                <w:tcPr>
                  <w:tcW w:w="811" w:type="dxa"/>
                  <w:shd w:val="clear" w:color="auto" w:fill="FFFFFF"/>
                  <w:noWrap w:val="0"/>
                  <w:vAlign w:val="center"/>
                </w:tcPr>
                <w:p w14:paraId="34A68779">
                  <w:pPr>
                    <w:jc w:val="center"/>
                  </w:pPr>
                  <w:r>
                    <w:rPr>
                      <w:rFonts w:ascii="Arial" w:hAnsi="Arial" w:eastAsia="Arial" w:cs="Arial"/>
                      <w:sz w:val="20"/>
                    </w:rPr>
                    <w:t>80</w:t>
                  </w:r>
                </w:p>
              </w:tc>
              <w:tc>
                <w:tcPr>
                  <w:tcW w:w="789" w:type="dxa"/>
                  <w:vMerge w:val="continue"/>
                  <w:shd w:val="clear" w:color="auto" w:fill="FFFFFF"/>
                  <w:noWrap w:val="0"/>
                  <w:vAlign w:val="center"/>
                </w:tcPr>
                <w:p w14:paraId="0DEB2AD7">
                  <w:pPr>
                    <w:jc w:val="center"/>
                  </w:pPr>
                </w:p>
              </w:tc>
              <w:tc>
                <w:tcPr>
                  <w:tcW w:w="652" w:type="dxa"/>
                  <w:shd w:val="clear" w:color="auto" w:fill="FFFFFF"/>
                  <w:noWrap w:val="0"/>
                  <w:vAlign w:val="center"/>
                </w:tcPr>
                <w:p w14:paraId="59605859">
                  <w:pPr>
                    <w:jc w:val="center"/>
                    <w:rPr>
                      <w:rFonts w:hint="eastAsia" w:eastAsia="宋体"/>
                      <w:lang w:eastAsia="zh-CN"/>
                    </w:rPr>
                  </w:pPr>
                  <w:r>
                    <w:rPr>
                      <w:rFonts w:hint="eastAsia" w:ascii="Arial" w:hAnsi="Arial" w:eastAsia="宋体" w:cs="Arial"/>
                      <w:sz w:val="20"/>
                      <w:lang w:val="en-US" w:eastAsia="zh-CN"/>
                    </w:rPr>
                    <w:t>8</w:t>
                  </w:r>
                </w:p>
              </w:tc>
            </w:tr>
            <w:tr w14:paraId="3F70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82" w:hRule="exact"/>
              </w:trPr>
              <w:tc>
                <w:tcPr>
                  <w:tcW w:w="763" w:type="dxa"/>
                  <w:shd w:val="clear" w:color="auto" w:fill="FFFFFF"/>
                  <w:noWrap w:val="0"/>
                  <w:vAlign w:val="center"/>
                </w:tcPr>
                <w:p w14:paraId="528212AB">
                  <w:pPr>
                    <w:jc w:val="center"/>
                  </w:pPr>
                  <w:r>
                    <w:rPr>
                      <w:rFonts w:ascii="Arial" w:hAnsi="Arial" w:eastAsia="Arial" w:cs="Arial"/>
                      <w:sz w:val="20"/>
                    </w:rPr>
                    <w:t>4</w:t>
                  </w:r>
                </w:p>
              </w:tc>
              <w:tc>
                <w:tcPr>
                  <w:tcW w:w="1536" w:type="dxa"/>
                  <w:shd w:val="clear" w:color="auto" w:fill="FFFFFF"/>
                  <w:noWrap w:val="0"/>
                  <w:vAlign w:val="center"/>
                </w:tcPr>
                <w:p w14:paraId="2E1FA80D">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车辆运行噪声</w:t>
                  </w:r>
                </w:p>
              </w:tc>
              <w:tc>
                <w:tcPr>
                  <w:tcW w:w="672" w:type="dxa"/>
                  <w:shd w:val="clear" w:color="auto" w:fill="FFFFFF"/>
                  <w:noWrap w:val="0"/>
                  <w:vAlign w:val="center"/>
                </w:tcPr>
                <w:p w14:paraId="5B0D057D">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70</w:t>
                  </w:r>
                </w:p>
              </w:tc>
              <w:tc>
                <w:tcPr>
                  <w:tcW w:w="672" w:type="dxa"/>
                  <w:shd w:val="clear" w:color="auto" w:fill="FFFFFF"/>
                  <w:noWrap w:val="0"/>
                  <w:vAlign w:val="center"/>
                </w:tcPr>
                <w:p w14:paraId="3C1D4FEA">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79</w:t>
                  </w:r>
                </w:p>
              </w:tc>
              <w:tc>
                <w:tcPr>
                  <w:tcW w:w="598" w:type="dxa"/>
                  <w:shd w:val="clear" w:color="auto" w:fill="FFFFFF"/>
                  <w:noWrap w:val="0"/>
                  <w:vAlign w:val="center"/>
                </w:tcPr>
                <w:p w14:paraId="5552068A">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1.2</w:t>
                  </w:r>
                </w:p>
              </w:tc>
              <w:tc>
                <w:tcPr>
                  <w:tcW w:w="1292" w:type="dxa"/>
                  <w:shd w:val="clear" w:color="auto" w:fill="FFFFFF"/>
                  <w:noWrap w:val="0"/>
                  <w:vAlign w:val="center"/>
                </w:tcPr>
                <w:p w14:paraId="057643C3">
                  <w:pPr>
                    <w:jc w:val="center"/>
                    <w:rPr>
                      <w:rFonts w:hint="eastAsia" w:eastAsia="宋体"/>
                      <w:lang w:val="en-US" w:eastAsia="zh-CN"/>
                    </w:rPr>
                  </w:pPr>
                  <w:r>
                    <w:rPr>
                      <w:rFonts w:hint="eastAsia"/>
                      <w:lang w:val="en-US" w:eastAsia="zh-CN"/>
                    </w:rPr>
                    <w:t>/</w:t>
                  </w:r>
                </w:p>
              </w:tc>
              <w:tc>
                <w:tcPr>
                  <w:tcW w:w="811" w:type="dxa"/>
                  <w:shd w:val="clear" w:color="auto" w:fill="FFFFFF"/>
                  <w:noWrap w:val="0"/>
                  <w:vAlign w:val="center"/>
                </w:tcPr>
                <w:p w14:paraId="2863E431">
                  <w:pPr>
                    <w:jc w:val="center"/>
                  </w:pPr>
                  <w:r>
                    <w:rPr>
                      <w:rFonts w:ascii="Arial" w:hAnsi="Arial" w:eastAsia="Arial" w:cs="Arial"/>
                      <w:sz w:val="20"/>
                    </w:rPr>
                    <w:t>80</w:t>
                  </w:r>
                </w:p>
              </w:tc>
              <w:tc>
                <w:tcPr>
                  <w:tcW w:w="789" w:type="dxa"/>
                  <w:vMerge w:val="continue"/>
                  <w:shd w:val="clear" w:color="auto" w:fill="FFFFFF"/>
                  <w:noWrap w:val="0"/>
                  <w:vAlign w:val="center"/>
                </w:tcPr>
                <w:p w14:paraId="6821EA56">
                  <w:pPr>
                    <w:jc w:val="center"/>
                  </w:pPr>
                </w:p>
              </w:tc>
              <w:tc>
                <w:tcPr>
                  <w:tcW w:w="652" w:type="dxa"/>
                  <w:shd w:val="clear" w:color="auto" w:fill="FFFFFF"/>
                  <w:noWrap w:val="0"/>
                  <w:vAlign w:val="center"/>
                </w:tcPr>
                <w:p w14:paraId="0B7CF9ED">
                  <w:pPr>
                    <w:jc w:val="center"/>
                    <w:rPr>
                      <w:rFonts w:hint="eastAsia" w:eastAsia="宋体"/>
                      <w:lang w:eastAsia="zh-CN"/>
                    </w:rPr>
                  </w:pPr>
                  <w:r>
                    <w:rPr>
                      <w:rFonts w:hint="eastAsia" w:ascii="Arial" w:hAnsi="Arial" w:eastAsia="宋体" w:cs="Arial"/>
                      <w:sz w:val="20"/>
                      <w:lang w:val="en-US" w:eastAsia="zh-CN"/>
                    </w:rPr>
                    <w:t>8</w:t>
                  </w:r>
                </w:p>
              </w:tc>
            </w:tr>
          </w:tbl>
          <w:p w14:paraId="042FC42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b w:val="0"/>
                <w:bCs/>
                <w:sz w:val="21"/>
                <w:szCs w:val="21"/>
                <w:lang w:val="en-US" w:eastAsia="zh-CN"/>
              </w:rPr>
            </w:pPr>
            <w:r>
              <w:rPr>
                <w:rFonts w:hint="default" w:ascii="Times New Roman" w:hAnsi="Times New Roman" w:eastAsia="宋体" w:cs="Times New Roman"/>
                <w:b w:val="0"/>
                <w:bCs/>
                <w:sz w:val="21"/>
                <w:szCs w:val="21"/>
                <w:lang w:val="en-US" w:eastAsia="zh-CN"/>
              </w:rPr>
              <w:t>表中坐标以厂界中心（</w:t>
            </w:r>
            <w:bookmarkStart w:id="5" w:name="PO_6"/>
            <w:r>
              <w:rPr>
                <w:rFonts w:hint="eastAsia" w:ascii="Times New Roman" w:hAnsi="Times New Roman" w:eastAsia="宋体" w:cs="Times New Roman"/>
                <w:b w:val="0"/>
                <w:bCs/>
                <w:sz w:val="21"/>
                <w:szCs w:val="21"/>
                <w:lang w:val="en-US" w:eastAsia="zh-CN"/>
              </w:rPr>
              <w:t>86.31811478</w:t>
            </w:r>
            <w:r>
              <w:rPr>
                <w:rFonts w:hint="default" w:ascii="Times New Roman" w:hAnsi="Times New Roman" w:eastAsia="宋体" w:cs="Times New Roman"/>
                <w:b w:val="0"/>
                <w:bCs/>
                <w:sz w:val="21"/>
                <w:szCs w:val="21"/>
                <w:lang w:val="en-US" w:eastAsia="zh-CN"/>
              </w:rPr>
              <w:t>,</w:t>
            </w:r>
            <w:bookmarkEnd w:id="5"/>
            <w:r>
              <w:rPr>
                <w:rFonts w:hint="eastAsia" w:ascii="Times New Roman" w:hAnsi="Times New Roman" w:eastAsia="宋体" w:cs="Times New Roman"/>
                <w:b w:val="0"/>
                <w:bCs/>
                <w:sz w:val="21"/>
                <w:szCs w:val="21"/>
                <w:lang w:val="en-US" w:eastAsia="zh-CN"/>
              </w:rPr>
              <w:t>41.83232540</w:t>
            </w:r>
            <w:r>
              <w:rPr>
                <w:rFonts w:hint="default" w:ascii="Times New Roman" w:hAnsi="Times New Roman" w:eastAsia="宋体" w:cs="Times New Roman"/>
                <w:b w:val="0"/>
                <w:bCs/>
                <w:sz w:val="21"/>
                <w:szCs w:val="21"/>
                <w:lang w:val="en-US" w:eastAsia="zh-CN"/>
              </w:rPr>
              <w:t>）为坐标原点，正东向为X轴正方向，正北向为Y轴正方向</w:t>
            </w:r>
          </w:p>
          <w:bookmarkEnd w:id="4"/>
          <w:p w14:paraId="1CE4E857">
            <w:pPr>
              <w:pStyle w:val="4"/>
              <w:tabs>
                <w:tab w:val="left" w:pos="1282"/>
              </w:tabs>
              <w:snapToGrid w:val="0"/>
              <w:spacing w:line="360" w:lineRule="auto"/>
              <w:ind w:left="479" w:leftChars="228" w:firstLine="0" w:firstLineChars="0"/>
              <w:jc w:val="both"/>
              <w:rPr>
                <w:rFonts w:ascii="Times New Roman" w:hAnsi="Times New Roman" w:eastAsia="宋体" w:cs="Times New Roman"/>
                <w:color w:val="000000"/>
                <w:sz w:val="24"/>
                <w:szCs w:val="24"/>
                <w:lang w:eastAsia="zh-CN"/>
              </w:rPr>
            </w:pPr>
            <w:r>
              <w:rPr>
                <w:rFonts w:hint="eastAsia" w:ascii="Times New Roman" w:hAnsi="Times New Roman" w:eastAsia="宋体" w:cs="Times New Roman"/>
                <w:color w:val="000000"/>
                <w:sz w:val="24"/>
                <w:szCs w:val="24"/>
                <w:lang w:val="en-US" w:eastAsia="zh-CN"/>
              </w:rPr>
              <w:t>3.1.3</w:t>
            </w:r>
            <w:r>
              <w:rPr>
                <w:rFonts w:ascii="Times New Roman" w:hAnsi="Times New Roman" w:eastAsia="宋体" w:cs="Times New Roman"/>
                <w:color w:val="000000"/>
                <w:sz w:val="24"/>
                <w:szCs w:val="24"/>
                <w:lang w:eastAsia="zh-CN"/>
              </w:rPr>
              <w:t>预测结果</w:t>
            </w:r>
          </w:p>
          <w:p w14:paraId="64117908">
            <w:pPr>
              <w:snapToGrid w:val="0"/>
              <w:spacing w:line="360" w:lineRule="auto"/>
              <w:ind w:firstLine="480" w:firstLineChars="200"/>
              <w:rPr>
                <w:rFonts w:ascii="Times New Roman" w:hAnsi="Times New Roman" w:eastAsia="宋体" w:cs="Times New Roman"/>
                <w:color w:val="302116"/>
                <w:sz w:val="24"/>
                <w:szCs w:val="24"/>
                <w:lang w:eastAsia="zh-CN"/>
              </w:rPr>
            </w:pPr>
            <w:r>
              <w:rPr>
                <w:rFonts w:ascii="Times New Roman" w:hAnsi="Times New Roman" w:eastAsia="宋体" w:cs="Times New Roman"/>
                <w:color w:val="302116"/>
                <w:sz w:val="24"/>
                <w:szCs w:val="24"/>
                <w:lang w:eastAsia="zh-CN"/>
              </w:rPr>
              <w:t>通过预测模型计算，项目厂界噪声预测结果与达标分析见表</w:t>
            </w:r>
            <w:r>
              <w:rPr>
                <w:rFonts w:hint="eastAsia" w:ascii="Times New Roman" w:hAnsi="Times New Roman" w:eastAsia="宋体" w:cs="Times New Roman"/>
                <w:color w:val="302116"/>
                <w:sz w:val="24"/>
                <w:szCs w:val="24"/>
                <w:lang w:val="en-US" w:eastAsia="zh-CN"/>
              </w:rPr>
              <w:t>4-6</w:t>
            </w:r>
            <w:r>
              <w:rPr>
                <w:rFonts w:ascii="Times New Roman" w:hAnsi="Times New Roman" w:eastAsia="宋体" w:cs="Times New Roman"/>
                <w:color w:val="302116"/>
                <w:sz w:val="24"/>
                <w:szCs w:val="24"/>
                <w:lang w:eastAsia="zh-CN"/>
              </w:rPr>
              <w:t>。</w:t>
            </w:r>
          </w:p>
          <w:p w14:paraId="7A0311C8">
            <w:pPr>
              <w:adjustRightInd w:val="0"/>
              <w:snapToGrid w:val="0"/>
              <w:jc w:val="center"/>
              <w:rPr>
                <w:rFonts w:ascii="Times New Roman" w:hAnsi="Times New Roman" w:cs="Times New Roman"/>
                <w:b/>
                <w:lang w:eastAsia="zh-CN"/>
              </w:rPr>
            </w:pPr>
            <w:r>
              <w:rPr>
                <w:rFonts w:ascii="宋体" w:hAnsi="宋体" w:eastAsia="宋体" w:cs="Times New Roman"/>
                <w:b/>
                <w:sz w:val="21"/>
                <w:szCs w:val="21"/>
                <w:lang w:eastAsia="zh-CN"/>
              </w:rPr>
              <w:t>表</w:t>
            </w:r>
            <w:r>
              <w:rPr>
                <w:rFonts w:hint="eastAsia" w:ascii="Times New Roman" w:hAnsi="Times New Roman" w:eastAsia="宋体" w:cs="Times New Roman"/>
                <w:b/>
                <w:sz w:val="21"/>
                <w:szCs w:val="21"/>
                <w:lang w:val="en-US" w:eastAsia="zh-CN"/>
              </w:rPr>
              <w:t>4-6</w:t>
            </w:r>
            <w:r>
              <w:rPr>
                <w:rFonts w:ascii="宋体" w:hAnsi="宋体" w:eastAsia="宋体" w:cs="Times New Roman"/>
                <w:b/>
                <w:sz w:val="21"/>
                <w:szCs w:val="21"/>
                <w:lang w:eastAsia="zh-CN"/>
              </w:rPr>
              <w:t xml:space="preserve"> 厂界噪声预测结果与达标分析表</w:t>
            </w:r>
            <w:bookmarkStart w:id="6" w:name="PT_7"/>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803"/>
              <w:gridCol w:w="803"/>
              <w:gridCol w:w="803"/>
              <w:gridCol w:w="993"/>
              <w:gridCol w:w="1417"/>
              <w:gridCol w:w="1418"/>
              <w:gridCol w:w="1188"/>
            </w:tblGrid>
            <w:tr w14:paraId="17A02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101" w:type="dxa"/>
                  <w:vMerge w:val="restart"/>
                  <w:noWrap w:val="0"/>
                  <w:vAlign w:val="center"/>
                </w:tcPr>
                <w:p w14:paraId="2A2677A9">
                  <w:pPr>
                    <w:jc w:val="center"/>
                    <w:rPr>
                      <w:rFonts w:ascii="Times New Roman" w:hAnsi="Times New Roman" w:eastAsia="宋体" w:cs="Times New Roman"/>
                      <w:sz w:val="21"/>
                      <w:szCs w:val="21"/>
                    </w:rPr>
                  </w:pPr>
                  <w:r>
                    <w:rPr>
                      <w:rFonts w:ascii="Times New Roman" w:hAnsi="Times New Roman" w:eastAsia="宋体" w:cs="Times New Roman"/>
                      <w:b/>
                      <w:sz w:val="21"/>
                      <w:szCs w:val="21"/>
                    </w:rPr>
                    <w:t>预测方位</w:t>
                  </w:r>
                </w:p>
              </w:tc>
              <w:tc>
                <w:tcPr>
                  <w:tcW w:w="2409" w:type="dxa"/>
                  <w:gridSpan w:val="3"/>
                  <w:noWrap w:val="0"/>
                  <w:vAlign w:val="center"/>
                </w:tcPr>
                <w:p w14:paraId="567453CF">
                  <w:pPr>
                    <w:jc w:val="center"/>
                    <w:rPr>
                      <w:rFonts w:ascii="Times New Roman" w:hAnsi="Times New Roman" w:eastAsia="宋体" w:cs="Times New Roman"/>
                      <w:sz w:val="21"/>
                      <w:szCs w:val="21"/>
                    </w:rPr>
                  </w:pPr>
                  <w:r>
                    <w:rPr>
                      <w:rFonts w:hint="eastAsia" w:ascii="Times New Roman" w:hAnsi="Times New Roman" w:eastAsia="宋体" w:cs="Times New Roman"/>
                      <w:b/>
                      <w:sz w:val="21"/>
                      <w:szCs w:val="21"/>
                      <w:lang w:val="en-US" w:eastAsia="zh-CN"/>
                    </w:rPr>
                    <w:t>最大值点</w:t>
                  </w:r>
                  <w:r>
                    <w:rPr>
                      <w:rFonts w:ascii="Times New Roman" w:hAnsi="Times New Roman" w:eastAsia="宋体" w:cs="Times New Roman"/>
                      <w:b/>
                      <w:sz w:val="21"/>
                      <w:szCs w:val="21"/>
                    </w:rPr>
                    <w:t>空间相对位置/m</w:t>
                  </w:r>
                </w:p>
              </w:tc>
              <w:tc>
                <w:tcPr>
                  <w:tcW w:w="993" w:type="dxa"/>
                  <w:vMerge w:val="restart"/>
                  <w:noWrap w:val="0"/>
                  <w:vAlign w:val="center"/>
                </w:tcPr>
                <w:p w14:paraId="13B0B3FB">
                  <w:pPr>
                    <w:jc w:val="center"/>
                    <w:rPr>
                      <w:rFonts w:ascii="Times New Roman" w:hAnsi="Times New Roman" w:eastAsia="宋体" w:cs="Times New Roman"/>
                      <w:sz w:val="21"/>
                      <w:szCs w:val="21"/>
                    </w:rPr>
                  </w:pPr>
                  <w:r>
                    <w:rPr>
                      <w:rFonts w:ascii="Times New Roman" w:hAnsi="Times New Roman" w:eastAsia="宋体" w:cs="Times New Roman"/>
                      <w:b/>
                      <w:sz w:val="21"/>
                      <w:szCs w:val="21"/>
                    </w:rPr>
                    <w:t>时段</w:t>
                  </w:r>
                </w:p>
              </w:tc>
              <w:tc>
                <w:tcPr>
                  <w:tcW w:w="1417" w:type="dxa"/>
                  <w:vMerge w:val="restart"/>
                  <w:noWrap w:val="0"/>
                  <w:vAlign w:val="center"/>
                </w:tcPr>
                <w:p w14:paraId="15FCE2CC">
                  <w:pPr>
                    <w:jc w:val="center"/>
                    <w:rPr>
                      <w:rFonts w:ascii="Times New Roman" w:hAnsi="Times New Roman" w:eastAsia="宋体" w:cs="Times New Roman"/>
                      <w:sz w:val="21"/>
                      <w:szCs w:val="21"/>
                    </w:rPr>
                  </w:pPr>
                  <w:r>
                    <w:rPr>
                      <w:rFonts w:hint="eastAsia" w:ascii="Times New Roman" w:hAnsi="Times New Roman" w:eastAsia="宋体" w:cs="Times New Roman"/>
                      <w:b/>
                      <w:sz w:val="21"/>
                      <w:szCs w:val="21"/>
                    </w:rPr>
                    <w:t>贡献值</w:t>
                  </w:r>
                  <w:r>
                    <w:rPr>
                      <w:rFonts w:ascii="Times New Roman" w:hAnsi="Times New Roman" w:eastAsia="宋体" w:cs="Times New Roman"/>
                      <w:b/>
                      <w:sz w:val="21"/>
                      <w:szCs w:val="21"/>
                    </w:rPr>
                    <w:t>（dB</w:t>
                  </w:r>
                  <w:r>
                    <w:rPr>
                      <w:rFonts w:hint="eastAsia" w:ascii="Times New Roman" w:hAnsi="Times New Roman" w:eastAsia="宋体" w:cs="Times New Roman"/>
                      <w:b/>
                      <w:sz w:val="21"/>
                      <w:szCs w:val="21"/>
                      <w:lang w:eastAsia="zh-CN"/>
                    </w:rPr>
                    <w:t>（</w:t>
                  </w:r>
                  <w:r>
                    <w:rPr>
                      <w:rFonts w:ascii="Times New Roman" w:hAnsi="Times New Roman" w:eastAsia="宋体" w:cs="Times New Roman"/>
                      <w:b/>
                      <w:sz w:val="21"/>
                      <w:szCs w:val="21"/>
                    </w:rPr>
                    <w:t>A</w:t>
                  </w:r>
                  <w:r>
                    <w:rPr>
                      <w:rFonts w:hint="eastAsia" w:ascii="Times New Roman" w:hAnsi="Times New Roman" w:eastAsia="宋体" w:cs="Times New Roman"/>
                      <w:b/>
                      <w:sz w:val="21"/>
                      <w:szCs w:val="21"/>
                      <w:lang w:eastAsia="zh-CN"/>
                    </w:rPr>
                    <w:t>）</w:t>
                  </w:r>
                  <w:r>
                    <w:rPr>
                      <w:rFonts w:ascii="Times New Roman" w:hAnsi="Times New Roman" w:eastAsia="宋体" w:cs="Times New Roman"/>
                      <w:b/>
                      <w:sz w:val="21"/>
                      <w:szCs w:val="21"/>
                    </w:rPr>
                    <w:t>）</w:t>
                  </w:r>
                </w:p>
              </w:tc>
              <w:tc>
                <w:tcPr>
                  <w:tcW w:w="1418" w:type="dxa"/>
                  <w:vMerge w:val="restart"/>
                  <w:noWrap w:val="0"/>
                  <w:vAlign w:val="center"/>
                </w:tcPr>
                <w:p w14:paraId="334E8BDD">
                  <w:pPr>
                    <w:jc w:val="center"/>
                    <w:rPr>
                      <w:rFonts w:ascii="Times New Roman" w:hAnsi="Times New Roman" w:eastAsia="宋体" w:cs="Times New Roman"/>
                      <w:sz w:val="21"/>
                      <w:szCs w:val="21"/>
                    </w:rPr>
                  </w:pPr>
                  <w:r>
                    <w:rPr>
                      <w:rFonts w:ascii="Times New Roman" w:hAnsi="Times New Roman" w:eastAsia="宋体" w:cs="Times New Roman"/>
                      <w:b/>
                      <w:sz w:val="21"/>
                      <w:szCs w:val="21"/>
                    </w:rPr>
                    <w:t>标准限值（dB</w:t>
                  </w:r>
                  <w:r>
                    <w:rPr>
                      <w:rFonts w:hint="eastAsia" w:ascii="Times New Roman" w:hAnsi="Times New Roman" w:eastAsia="宋体" w:cs="Times New Roman"/>
                      <w:b/>
                      <w:sz w:val="21"/>
                      <w:szCs w:val="21"/>
                      <w:lang w:eastAsia="zh-CN"/>
                    </w:rPr>
                    <w:t>（</w:t>
                  </w:r>
                  <w:r>
                    <w:rPr>
                      <w:rFonts w:ascii="Times New Roman" w:hAnsi="Times New Roman" w:eastAsia="宋体" w:cs="Times New Roman"/>
                      <w:b/>
                      <w:sz w:val="21"/>
                      <w:szCs w:val="21"/>
                    </w:rPr>
                    <w:t>A</w:t>
                  </w:r>
                  <w:r>
                    <w:rPr>
                      <w:rFonts w:hint="eastAsia" w:ascii="Times New Roman" w:hAnsi="Times New Roman" w:eastAsia="宋体" w:cs="Times New Roman"/>
                      <w:b/>
                      <w:sz w:val="21"/>
                      <w:szCs w:val="21"/>
                      <w:lang w:eastAsia="zh-CN"/>
                    </w:rPr>
                    <w:t>）</w:t>
                  </w:r>
                  <w:r>
                    <w:rPr>
                      <w:rFonts w:ascii="Times New Roman" w:hAnsi="Times New Roman" w:eastAsia="宋体" w:cs="Times New Roman"/>
                      <w:b/>
                      <w:sz w:val="21"/>
                      <w:szCs w:val="21"/>
                    </w:rPr>
                    <w:t>）</w:t>
                  </w:r>
                </w:p>
              </w:tc>
              <w:tc>
                <w:tcPr>
                  <w:tcW w:w="1188" w:type="dxa"/>
                  <w:vMerge w:val="restart"/>
                  <w:noWrap w:val="0"/>
                  <w:vAlign w:val="center"/>
                </w:tcPr>
                <w:p w14:paraId="74553096">
                  <w:pPr>
                    <w:jc w:val="center"/>
                    <w:rPr>
                      <w:rFonts w:ascii="Times New Roman" w:hAnsi="Times New Roman" w:eastAsia="宋体" w:cs="Times New Roman"/>
                      <w:sz w:val="21"/>
                      <w:szCs w:val="21"/>
                    </w:rPr>
                  </w:pPr>
                  <w:r>
                    <w:rPr>
                      <w:rFonts w:ascii="Times New Roman" w:hAnsi="Times New Roman" w:eastAsia="宋体" w:cs="Times New Roman"/>
                      <w:b/>
                      <w:sz w:val="21"/>
                      <w:szCs w:val="21"/>
                    </w:rPr>
                    <w:t>达标情况</w:t>
                  </w:r>
                </w:p>
              </w:tc>
            </w:tr>
            <w:tr w14:paraId="60B45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01" w:type="dxa"/>
                  <w:vMerge w:val="continue"/>
                  <w:shd w:val="clear" w:color="auto" w:fill="FFFFFF"/>
                  <w:noWrap w:val="0"/>
                  <w:vAlign w:val="center"/>
                </w:tcPr>
                <w:p w14:paraId="69166A83">
                  <w:pPr>
                    <w:jc w:val="center"/>
                    <w:rPr>
                      <w:rFonts w:ascii="Times New Roman" w:hAnsi="Times New Roman" w:eastAsia="宋体" w:cs="Times New Roman"/>
                      <w:sz w:val="21"/>
                      <w:szCs w:val="21"/>
                    </w:rPr>
                  </w:pPr>
                </w:p>
              </w:tc>
              <w:tc>
                <w:tcPr>
                  <w:tcW w:w="803" w:type="dxa"/>
                  <w:shd w:val="clear" w:color="auto" w:fill="FFFFFF"/>
                  <w:noWrap w:val="0"/>
                  <w:vAlign w:val="center"/>
                </w:tcPr>
                <w:p w14:paraId="1B593508">
                  <w:pPr>
                    <w:jc w:val="center"/>
                    <w:rPr>
                      <w:rFonts w:ascii="Times New Roman" w:hAnsi="Times New Roman" w:eastAsia="宋体" w:cs="Times New Roman"/>
                      <w:sz w:val="21"/>
                      <w:szCs w:val="21"/>
                    </w:rPr>
                  </w:pPr>
                  <w:r>
                    <w:rPr>
                      <w:rFonts w:ascii="Times New Roman" w:hAnsi="Times New Roman" w:eastAsia="宋体" w:cs="Times New Roman"/>
                      <w:sz w:val="21"/>
                      <w:szCs w:val="21"/>
                    </w:rPr>
                    <w:t>X</w:t>
                  </w:r>
                </w:p>
              </w:tc>
              <w:tc>
                <w:tcPr>
                  <w:tcW w:w="803" w:type="dxa"/>
                  <w:shd w:val="clear" w:color="auto" w:fill="FFFFFF"/>
                  <w:noWrap w:val="0"/>
                  <w:vAlign w:val="center"/>
                </w:tcPr>
                <w:p w14:paraId="6B2579CF">
                  <w:pPr>
                    <w:jc w:val="center"/>
                    <w:rPr>
                      <w:rFonts w:ascii="Times New Roman" w:hAnsi="Times New Roman" w:eastAsia="宋体" w:cs="Times New Roman"/>
                      <w:sz w:val="21"/>
                      <w:szCs w:val="21"/>
                    </w:rPr>
                  </w:pPr>
                  <w:r>
                    <w:rPr>
                      <w:rFonts w:ascii="Times New Roman" w:hAnsi="Times New Roman" w:eastAsia="宋体" w:cs="Times New Roman"/>
                      <w:sz w:val="21"/>
                      <w:szCs w:val="21"/>
                    </w:rPr>
                    <w:t>Y</w:t>
                  </w:r>
                </w:p>
              </w:tc>
              <w:tc>
                <w:tcPr>
                  <w:tcW w:w="803" w:type="dxa"/>
                  <w:shd w:val="clear" w:color="auto" w:fill="FFFFFF"/>
                  <w:noWrap w:val="0"/>
                  <w:vAlign w:val="center"/>
                </w:tcPr>
                <w:p w14:paraId="7A0A0352">
                  <w:pPr>
                    <w:jc w:val="center"/>
                    <w:rPr>
                      <w:rFonts w:ascii="Times New Roman" w:hAnsi="Times New Roman" w:eastAsia="宋体" w:cs="Times New Roman"/>
                      <w:sz w:val="21"/>
                      <w:szCs w:val="21"/>
                    </w:rPr>
                  </w:pPr>
                  <w:r>
                    <w:rPr>
                      <w:rFonts w:ascii="Times New Roman" w:hAnsi="Times New Roman" w:eastAsia="宋体" w:cs="Times New Roman"/>
                      <w:sz w:val="21"/>
                      <w:szCs w:val="21"/>
                    </w:rPr>
                    <w:t>Z</w:t>
                  </w:r>
                </w:p>
              </w:tc>
              <w:tc>
                <w:tcPr>
                  <w:tcW w:w="993" w:type="dxa"/>
                  <w:vMerge w:val="continue"/>
                  <w:shd w:val="clear" w:color="auto" w:fill="FFFFFF"/>
                  <w:noWrap w:val="0"/>
                  <w:vAlign w:val="center"/>
                </w:tcPr>
                <w:p w14:paraId="79194D4C">
                  <w:pPr>
                    <w:jc w:val="center"/>
                    <w:rPr>
                      <w:rFonts w:ascii="Times New Roman" w:hAnsi="Times New Roman" w:eastAsia="宋体" w:cs="Times New Roman"/>
                      <w:sz w:val="21"/>
                      <w:szCs w:val="21"/>
                    </w:rPr>
                  </w:pPr>
                </w:p>
              </w:tc>
              <w:tc>
                <w:tcPr>
                  <w:tcW w:w="1417" w:type="dxa"/>
                  <w:vMerge w:val="continue"/>
                  <w:shd w:val="clear" w:color="auto" w:fill="FFFFFF"/>
                  <w:noWrap w:val="0"/>
                  <w:vAlign w:val="center"/>
                </w:tcPr>
                <w:p w14:paraId="23F44B24">
                  <w:pPr>
                    <w:jc w:val="center"/>
                    <w:rPr>
                      <w:rFonts w:ascii="Times New Roman" w:hAnsi="Times New Roman" w:eastAsia="宋体" w:cs="Times New Roman"/>
                      <w:sz w:val="21"/>
                      <w:szCs w:val="21"/>
                    </w:rPr>
                  </w:pPr>
                </w:p>
              </w:tc>
              <w:tc>
                <w:tcPr>
                  <w:tcW w:w="1418" w:type="dxa"/>
                  <w:vMerge w:val="continue"/>
                  <w:shd w:val="clear" w:color="auto" w:fill="FFFFFF"/>
                  <w:noWrap w:val="0"/>
                  <w:vAlign w:val="center"/>
                </w:tcPr>
                <w:p w14:paraId="5315B09C">
                  <w:pPr>
                    <w:jc w:val="center"/>
                    <w:rPr>
                      <w:rFonts w:ascii="Times New Roman" w:hAnsi="Times New Roman" w:eastAsia="宋体" w:cs="Times New Roman"/>
                      <w:sz w:val="21"/>
                      <w:szCs w:val="21"/>
                    </w:rPr>
                  </w:pPr>
                </w:p>
                <w:bookmarkEnd w:id="6"/>
              </w:tc>
              <w:tc>
                <w:tcPr>
                  <w:tcW w:w="1188" w:type="dxa"/>
                  <w:vMerge w:val="continue"/>
                  <w:shd w:val="clear" w:color="auto" w:fill="FFFFFF"/>
                  <w:noWrap w:val="0"/>
                  <w:vAlign w:val="center"/>
                </w:tcPr>
                <w:p w14:paraId="3A9131E5">
                  <w:pPr>
                    <w:jc w:val="center"/>
                    <w:rPr>
                      <w:rFonts w:ascii="Times New Roman" w:hAnsi="Times New Roman" w:eastAsia="宋体" w:cs="Times New Roman"/>
                      <w:sz w:val="21"/>
                      <w:szCs w:val="21"/>
                    </w:rPr>
                  </w:pPr>
                </w:p>
              </w:tc>
            </w:tr>
            <w:tr w14:paraId="18D9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2" w:hRule="exact"/>
                <w:jc w:val="center"/>
              </w:trPr>
              <w:tc>
                <w:tcPr>
                  <w:tcW w:w="1101" w:type="dxa"/>
                  <w:vMerge w:val="restart"/>
                  <w:shd w:val="clear" w:color="auto" w:fill="FFFFFF"/>
                  <w:noWrap w:val="0"/>
                  <w:vAlign w:val="center"/>
                </w:tcPr>
                <w:p w14:paraId="0A2B447B">
                  <w:pPr>
                    <w:jc w:val="center"/>
                  </w:pPr>
                  <w:r>
                    <w:rPr>
                      <w:rFonts w:ascii="Arial" w:hAnsi="Arial" w:eastAsia="Arial" w:cs="Arial"/>
                      <w:sz w:val="20"/>
                    </w:rPr>
                    <w:t>东侧</w:t>
                  </w:r>
                </w:p>
              </w:tc>
              <w:tc>
                <w:tcPr>
                  <w:tcW w:w="803" w:type="dxa"/>
                  <w:shd w:val="clear" w:color="auto" w:fill="FFFFFF"/>
                  <w:noWrap w:val="0"/>
                  <w:vAlign w:val="center"/>
                </w:tcPr>
                <w:p w14:paraId="76A82C95">
                  <w:pPr>
                    <w:jc w:val="center"/>
                    <w:rPr>
                      <w:rFonts w:hint="default" w:eastAsia="宋体"/>
                      <w:b w:val="0"/>
                      <w:bCs/>
                      <w:lang w:val="en-US" w:eastAsia="zh-CN"/>
                    </w:rPr>
                  </w:pPr>
                  <w:r>
                    <w:rPr>
                      <w:rFonts w:hint="eastAsia"/>
                      <w:b w:val="0"/>
                      <w:bCs/>
                      <w:lang w:val="en-US" w:eastAsia="zh-CN"/>
                    </w:rPr>
                    <w:t>-176</w:t>
                  </w:r>
                </w:p>
              </w:tc>
              <w:tc>
                <w:tcPr>
                  <w:tcW w:w="803" w:type="dxa"/>
                  <w:shd w:val="clear" w:color="auto" w:fill="FFFFFF"/>
                  <w:noWrap w:val="0"/>
                  <w:vAlign w:val="center"/>
                </w:tcPr>
                <w:p w14:paraId="11742CCF">
                  <w:pPr>
                    <w:jc w:val="center"/>
                    <w:rPr>
                      <w:rFonts w:hint="default" w:eastAsia="宋体"/>
                      <w:b w:val="0"/>
                      <w:bCs/>
                      <w:lang w:val="en-US" w:eastAsia="zh-CN"/>
                    </w:rPr>
                  </w:pPr>
                  <w:r>
                    <w:rPr>
                      <w:rFonts w:hint="eastAsia"/>
                      <w:b w:val="0"/>
                      <w:bCs/>
                      <w:lang w:val="en-US" w:eastAsia="zh-CN"/>
                    </w:rPr>
                    <w:t>90</w:t>
                  </w:r>
                </w:p>
              </w:tc>
              <w:tc>
                <w:tcPr>
                  <w:tcW w:w="803" w:type="dxa"/>
                  <w:shd w:val="clear" w:color="auto" w:fill="FFFFFF"/>
                  <w:noWrap w:val="0"/>
                  <w:vAlign w:val="center"/>
                </w:tcPr>
                <w:p w14:paraId="14D6B5B9">
                  <w:pPr>
                    <w:jc w:val="center"/>
                    <w:rPr>
                      <w:b w:val="0"/>
                      <w:bCs/>
                    </w:rPr>
                  </w:pPr>
                  <w:r>
                    <w:rPr>
                      <w:rFonts w:ascii="Arial" w:hAnsi="Arial" w:eastAsia="Arial" w:cs="Arial"/>
                      <w:b w:val="0"/>
                      <w:bCs/>
                      <w:sz w:val="20"/>
                    </w:rPr>
                    <w:t>1.2</w:t>
                  </w:r>
                </w:p>
              </w:tc>
              <w:tc>
                <w:tcPr>
                  <w:tcW w:w="993" w:type="dxa"/>
                  <w:shd w:val="clear" w:color="auto" w:fill="FFFFFF"/>
                  <w:noWrap w:val="0"/>
                  <w:vAlign w:val="center"/>
                </w:tcPr>
                <w:p w14:paraId="0705B25B">
                  <w:pPr>
                    <w:jc w:val="center"/>
                  </w:pPr>
                  <w:r>
                    <w:rPr>
                      <w:rFonts w:ascii="Arial" w:hAnsi="Arial" w:eastAsia="Arial" w:cs="Arial"/>
                      <w:sz w:val="20"/>
                    </w:rPr>
                    <w:t>昼间</w:t>
                  </w:r>
                </w:p>
              </w:tc>
              <w:tc>
                <w:tcPr>
                  <w:tcW w:w="1417" w:type="dxa"/>
                  <w:shd w:val="clear" w:color="auto" w:fill="FFFFFF"/>
                  <w:noWrap w:val="0"/>
                  <w:vAlign w:val="center"/>
                </w:tcPr>
                <w:p w14:paraId="29883D81">
                  <w:pPr>
                    <w:jc w:val="center"/>
                    <w:rPr>
                      <w:rFonts w:hint="default" w:eastAsia="宋体"/>
                      <w:b w:val="0"/>
                      <w:bCs/>
                      <w:lang w:val="en-US" w:eastAsia="zh-CN"/>
                    </w:rPr>
                  </w:pPr>
                  <w:r>
                    <w:rPr>
                      <w:rFonts w:hint="eastAsia" w:ascii="Arial" w:hAnsi="Arial" w:eastAsia="宋体" w:cs="Arial"/>
                      <w:b w:val="0"/>
                      <w:bCs/>
                      <w:sz w:val="20"/>
                      <w:lang w:val="en-US" w:eastAsia="zh-CN"/>
                    </w:rPr>
                    <w:t>43.5</w:t>
                  </w:r>
                </w:p>
              </w:tc>
              <w:tc>
                <w:tcPr>
                  <w:tcW w:w="1418" w:type="dxa"/>
                  <w:shd w:val="clear" w:color="auto" w:fill="FFFFFF"/>
                  <w:noWrap w:val="0"/>
                  <w:vAlign w:val="center"/>
                </w:tcPr>
                <w:p w14:paraId="04D80069">
                  <w:pPr>
                    <w:jc w:val="center"/>
                  </w:pPr>
                  <w:r>
                    <w:rPr>
                      <w:rFonts w:ascii="Arial" w:hAnsi="Arial" w:eastAsia="Arial" w:cs="Arial"/>
                      <w:sz w:val="20"/>
                    </w:rPr>
                    <w:t>65</w:t>
                  </w:r>
                </w:p>
              </w:tc>
              <w:tc>
                <w:tcPr>
                  <w:tcW w:w="1188" w:type="dxa"/>
                  <w:shd w:val="clear" w:color="auto" w:fill="FFFFFF"/>
                  <w:noWrap w:val="0"/>
                  <w:vAlign w:val="center"/>
                </w:tcPr>
                <w:p w14:paraId="655B5F1B">
                  <w:pPr>
                    <w:jc w:val="center"/>
                  </w:pPr>
                  <w:r>
                    <w:rPr>
                      <w:rFonts w:ascii="Arial" w:hAnsi="Arial" w:eastAsia="Arial" w:cs="Arial"/>
                      <w:sz w:val="20"/>
                    </w:rPr>
                    <w:t>达标</w:t>
                  </w:r>
                </w:p>
              </w:tc>
            </w:tr>
            <w:tr w14:paraId="5261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1101" w:type="dxa"/>
                  <w:vMerge w:val="continue"/>
                  <w:shd w:val="clear" w:color="auto" w:fill="FFFFFF"/>
                  <w:noWrap w:val="0"/>
                  <w:vAlign w:val="center"/>
                </w:tcPr>
                <w:p w14:paraId="5ADE87CC">
                  <w:pPr>
                    <w:jc w:val="center"/>
                  </w:pPr>
                </w:p>
              </w:tc>
              <w:tc>
                <w:tcPr>
                  <w:tcW w:w="803" w:type="dxa"/>
                  <w:shd w:val="clear" w:color="auto" w:fill="FFFFFF"/>
                  <w:noWrap w:val="0"/>
                  <w:vAlign w:val="center"/>
                </w:tcPr>
                <w:p w14:paraId="6961766F">
                  <w:pPr>
                    <w:jc w:val="center"/>
                    <w:rPr>
                      <w:rFonts w:hint="default" w:eastAsia="宋体"/>
                      <w:b w:val="0"/>
                      <w:bCs/>
                      <w:lang w:val="en-US" w:eastAsia="zh-CN"/>
                    </w:rPr>
                  </w:pPr>
                  <w:r>
                    <w:rPr>
                      <w:rFonts w:hint="eastAsia"/>
                      <w:b w:val="0"/>
                      <w:bCs/>
                      <w:lang w:val="en-US" w:eastAsia="zh-CN"/>
                    </w:rPr>
                    <w:t>-176</w:t>
                  </w:r>
                </w:p>
              </w:tc>
              <w:tc>
                <w:tcPr>
                  <w:tcW w:w="803" w:type="dxa"/>
                  <w:shd w:val="clear" w:color="auto" w:fill="FFFFFF"/>
                  <w:noWrap w:val="0"/>
                  <w:vAlign w:val="center"/>
                </w:tcPr>
                <w:p w14:paraId="6BBDC55A">
                  <w:pPr>
                    <w:jc w:val="center"/>
                    <w:rPr>
                      <w:rFonts w:hint="default" w:eastAsia="宋体"/>
                      <w:b w:val="0"/>
                      <w:bCs/>
                      <w:lang w:val="en-US" w:eastAsia="zh-CN"/>
                    </w:rPr>
                  </w:pPr>
                  <w:r>
                    <w:rPr>
                      <w:rFonts w:hint="eastAsia"/>
                      <w:b w:val="0"/>
                      <w:bCs/>
                      <w:lang w:val="en-US" w:eastAsia="zh-CN"/>
                    </w:rPr>
                    <w:t>90</w:t>
                  </w:r>
                </w:p>
              </w:tc>
              <w:tc>
                <w:tcPr>
                  <w:tcW w:w="803" w:type="dxa"/>
                  <w:shd w:val="clear" w:color="auto" w:fill="FFFFFF"/>
                  <w:noWrap w:val="0"/>
                  <w:vAlign w:val="center"/>
                </w:tcPr>
                <w:p w14:paraId="05037FD9">
                  <w:pPr>
                    <w:jc w:val="center"/>
                    <w:rPr>
                      <w:b w:val="0"/>
                      <w:bCs/>
                    </w:rPr>
                  </w:pPr>
                  <w:r>
                    <w:rPr>
                      <w:rFonts w:ascii="Arial" w:hAnsi="Arial" w:eastAsia="Arial" w:cs="Arial"/>
                      <w:b w:val="0"/>
                      <w:bCs/>
                      <w:sz w:val="20"/>
                    </w:rPr>
                    <w:t>1.2</w:t>
                  </w:r>
                </w:p>
              </w:tc>
              <w:tc>
                <w:tcPr>
                  <w:tcW w:w="993" w:type="dxa"/>
                  <w:shd w:val="clear" w:color="auto" w:fill="FFFFFF"/>
                  <w:noWrap w:val="0"/>
                  <w:vAlign w:val="center"/>
                </w:tcPr>
                <w:p w14:paraId="18EE1647">
                  <w:pPr>
                    <w:jc w:val="center"/>
                  </w:pPr>
                  <w:r>
                    <w:rPr>
                      <w:rFonts w:ascii="Arial" w:hAnsi="Arial" w:eastAsia="Arial" w:cs="Arial"/>
                      <w:sz w:val="20"/>
                    </w:rPr>
                    <w:t>夜间</w:t>
                  </w:r>
                </w:p>
              </w:tc>
              <w:tc>
                <w:tcPr>
                  <w:tcW w:w="1417" w:type="dxa"/>
                  <w:shd w:val="clear" w:color="auto" w:fill="FFFFFF"/>
                  <w:noWrap w:val="0"/>
                  <w:vAlign w:val="center"/>
                </w:tcPr>
                <w:p w14:paraId="6585A21C">
                  <w:pPr>
                    <w:jc w:val="center"/>
                    <w:rPr>
                      <w:rFonts w:hint="default" w:eastAsia="宋体"/>
                      <w:b w:val="0"/>
                      <w:bCs/>
                      <w:lang w:val="en-US" w:eastAsia="zh-CN"/>
                    </w:rPr>
                  </w:pPr>
                  <w:r>
                    <w:rPr>
                      <w:rFonts w:hint="eastAsia"/>
                      <w:b w:val="0"/>
                      <w:bCs/>
                      <w:lang w:val="en-US" w:eastAsia="zh-CN"/>
                    </w:rPr>
                    <w:t>43.5</w:t>
                  </w:r>
                </w:p>
              </w:tc>
              <w:tc>
                <w:tcPr>
                  <w:tcW w:w="1418" w:type="dxa"/>
                  <w:shd w:val="clear" w:color="auto" w:fill="FFFFFF"/>
                  <w:noWrap w:val="0"/>
                  <w:vAlign w:val="center"/>
                </w:tcPr>
                <w:p w14:paraId="455F2FDB">
                  <w:pPr>
                    <w:jc w:val="center"/>
                  </w:pPr>
                  <w:r>
                    <w:rPr>
                      <w:rFonts w:ascii="Arial" w:hAnsi="Arial" w:eastAsia="Arial" w:cs="Arial"/>
                      <w:sz w:val="20"/>
                    </w:rPr>
                    <w:t>55</w:t>
                  </w:r>
                </w:p>
              </w:tc>
              <w:tc>
                <w:tcPr>
                  <w:tcW w:w="1188" w:type="dxa"/>
                  <w:shd w:val="clear" w:color="auto" w:fill="FFFFFF"/>
                  <w:noWrap w:val="0"/>
                  <w:vAlign w:val="center"/>
                </w:tcPr>
                <w:p w14:paraId="4C452400">
                  <w:pPr>
                    <w:jc w:val="center"/>
                  </w:pPr>
                  <w:r>
                    <w:rPr>
                      <w:rFonts w:ascii="Arial" w:hAnsi="Arial" w:eastAsia="Arial" w:cs="Arial"/>
                      <w:sz w:val="20"/>
                    </w:rPr>
                    <w:t>达标</w:t>
                  </w:r>
                </w:p>
              </w:tc>
            </w:tr>
            <w:tr w14:paraId="063F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1101" w:type="dxa"/>
                  <w:vMerge w:val="restart"/>
                  <w:shd w:val="clear" w:color="auto" w:fill="FFFFFF"/>
                  <w:noWrap w:val="0"/>
                  <w:vAlign w:val="center"/>
                </w:tcPr>
                <w:p w14:paraId="5FC6C870">
                  <w:pPr>
                    <w:jc w:val="center"/>
                  </w:pPr>
                  <w:r>
                    <w:rPr>
                      <w:rFonts w:ascii="Arial" w:hAnsi="Arial" w:eastAsia="Arial" w:cs="Arial"/>
                      <w:sz w:val="20"/>
                    </w:rPr>
                    <w:t>南侧</w:t>
                  </w:r>
                </w:p>
              </w:tc>
              <w:tc>
                <w:tcPr>
                  <w:tcW w:w="803" w:type="dxa"/>
                  <w:shd w:val="clear" w:color="auto" w:fill="FFFFFF"/>
                  <w:noWrap w:val="0"/>
                  <w:vAlign w:val="center"/>
                </w:tcPr>
                <w:p w14:paraId="324402E1">
                  <w:pPr>
                    <w:jc w:val="center"/>
                    <w:rPr>
                      <w:rFonts w:hint="default" w:eastAsia="宋体"/>
                      <w:lang w:val="en-US" w:eastAsia="zh-CN"/>
                    </w:rPr>
                  </w:pPr>
                  <w:r>
                    <w:rPr>
                      <w:rFonts w:hint="eastAsia"/>
                      <w:lang w:val="en-US" w:eastAsia="zh-CN"/>
                    </w:rPr>
                    <w:t>40</w:t>
                  </w:r>
                </w:p>
              </w:tc>
              <w:tc>
                <w:tcPr>
                  <w:tcW w:w="803" w:type="dxa"/>
                  <w:shd w:val="clear" w:color="auto" w:fill="FFFFFF"/>
                  <w:noWrap w:val="0"/>
                  <w:vAlign w:val="center"/>
                </w:tcPr>
                <w:p w14:paraId="1820F72D">
                  <w:pPr>
                    <w:jc w:val="center"/>
                    <w:rPr>
                      <w:rFonts w:hint="default" w:eastAsia="宋体"/>
                      <w:lang w:val="en-US" w:eastAsia="zh-CN"/>
                    </w:rPr>
                  </w:pPr>
                  <w:r>
                    <w:rPr>
                      <w:rFonts w:hint="eastAsia"/>
                      <w:lang w:val="en-US" w:eastAsia="zh-CN"/>
                    </w:rPr>
                    <w:t>-197</w:t>
                  </w:r>
                </w:p>
              </w:tc>
              <w:tc>
                <w:tcPr>
                  <w:tcW w:w="803" w:type="dxa"/>
                  <w:shd w:val="clear" w:color="auto" w:fill="FFFFFF"/>
                  <w:noWrap w:val="0"/>
                  <w:vAlign w:val="center"/>
                </w:tcPr>
                <w:p w14:paraId="0B3604BA">
                  <w:pPr>
                    <w:jc w:val="center"/>
                  </w:pPr>
                  <w:r>
                    <w:rPr>
                      <w:rFonts w:ascii="Arial" w:hAnsi="Arial" w:eastAsia="Arial" w:cs="Arial"/>
                      <w:sz w:val="20"/>
                    </w:rPr>
                    <w:t>1.2</w:t>
                  </w:r>
                </w:p>
              </w:tc>
              <w:tc>
                <w:tcPr>
                  <w:tcW w:w="993" w:type="dxa"/>
                  <w:shd w:val="clear" w:color="auto" w:fill="FFFFFF"/>
                  <w:noWrap w:val="0"/>
                  <w:vAlign w:val="center"/>
                </w:tcPr>
                <w:p w14:paraId="49C4B725">
                  <w:pPr>
                    <w:jc w:val="center"/>
                  </w:pPr>
                  <w:r>
                    <w:rPr>
                      <w:rFonts w:ascii="Arial" w:hAnsi="Arial" w:eastAsia="Arial" w:cs="Arial"/>
                      <w:sz w:val="20"/>
                    </w:rPr>
                    <w:t>昼间</w:t>
                  </w:r>
                </w:p>
              </w:tc>
              <w:tc>
                <w:tcPr>
                  <w:tcW w:w="1417" w:type="dxa"/>
                  <w:shd w:val="clear" w:color="auto" w:fill="FFFFFF"/>
                  <w:noWrap w:val="0"/>
                  <w:vAlign w:val="center"/>
                </w:tcPr>
                <w:p w14:paraId="40061A0F">
                  <w:pPr>
                    <w:jc w:val="center"/>
                  </w:pPr>
                  <w:r>
                    <w:rPr>
                      <w:rFonts w:ascii="Arial" w:hAnsi="Arial" w:eastAsia="Arial" w:cs="Arial"/>
                      <w:sz w:val="20"/>
                    </w:rPr>
                    <w:t>38.4</w:t>
                  </w:r>
                </w:p>
              </w:tc>
              <w:tc>
                <w:tcPr>
                  <w:tcW w:w="1418" w:type="dxa"/>
                  <w:shd w:val="clear" w:color="auto" w:fill="FFFFFF"/>
                  <w:noWrap w:val="0"/>
                  <w:vAlign w:val="center"/>
                </w:tcPr>
                <w:p w14:paraId="7F582357">
                  <w:pPr>
                    <w:jc w:val="center"/>
                  </w:pPr>
                  <w:r>
                    <w:rPr>
                      <w:rFonts w:ascii="Arial" w:hAnsi="Arial" w:eastAsia="Arial" w:cs="Arial"/>
                      <w:sz w:val="20"/>
                    </w:rPr>
                    <w:t>65</w:t>
                  </w:r>
                </w:p>
              </w:tc>
              <w:tc>
                <w:tcPr>
                  <w:tcW w:w="1188" w:type="dxa"/>
                  <w:shd w:val="clear" w:color="auto" w:fill="FFFFFF"/>
                  <w:noWrap w:val="0"/>
                  <w:vAlign w:val="center"/>
                </w:tcPr>
                <w:p w14:paraId="448EB3DB">
                  <w:pPr>
                    <w:jc w:val="center"/>
                  </w:pPr>
                  <w:r>
                    <w:rPr>
                      <w:rFonts w:ascii="Arial" w:hAnsi="Arial" w:eastAsia="Arial" w:cs="Arial"/>
                      <w:sz w:val="20"/>
                    </w:rPr>
                    <w:t>达标</w:t>
                  </w:r>
                </w:p>
              </w:tc>
            </w:tr>
            <w:tr w14:paraId="3BED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1101" w:type="dxa"/>
                  <w:vMerge w:val="continue"/>
                  <w:shd w:val="clear" w:color="auto" w:fill="FFFFFF"/>
                  <w:noWrap w:val="0"/>
                  <w:vAlign w:val="center"/>
                </w:tcPr>
                <w:p w14:paraId="7B6E96AF">
                  <w:pPr>
                    <w:jc w:val="center"/>
                  </w:pPr>
                </w:p>
              </w:tc>
              <w:tc>
                <w:tcPr>
                  <w:tcW w:w="803" w:type="dxa"/>
                  <w:shd w:val="clear" w:color="auto" w:fill="FFFFFF"/>
                  <w:noWrap w:val="0"/>
                  <w:vAlign w:val="center"/>
                </w:tcPr>
                <w:p w14:paraId="2F1F3E41">
                  <w:pPr>
                    <w:jc w:val="center"/>
                    <w:rPr>
                      <w:rFonts w:hint="default" w:eastAsia="宋体"/>
                      <w:lang w:val="en-US" w:eastAsia="zh-CN"/>
                    </w:rPr>
                  </w:pPr>
                  <w:r>
                    <w:rPr>
                      <w:rFonts w:hint="eastAsia"/>
                      <w:lang w:val="en-US" w:eastAsia="zh-CN"/>
                    </w:rPr>
                    <w:t>40</w:t>
                  </w:r>
                </w:p>
              </w:tc>
              <w:tc>
                <w:tcPr>
                  <w:tcW w:w="803" w:type="dxa"/>
                  <w:shd w:val="clear" w:color="auto" w:fill="FFFFFF"/>
                  <w:noWrap w:val="0"/>
                  <w:vAlign w:val="center"/>
                </w:tcPr>
                <w:p w14:paraId="3DB4DC77">
                  <w:pPr>
                    <w:jc w:val="center"/>
                    <w:rPr>
                      <w:rFonts w:hint="default" w:eastAsia="宋体"/>
                      <w:lang w:val="en-US" w:eastAsia="zh-CN"/>
                    </w:rPr>
                  </w:pPr>
                  <w:r>
                    <w:rPr>
                      <w:rFonts w:hint="eastAsia"/>
                      <w:lang w:val="en-US" w:eastAsia="zh-CN"/>
                    </w:rPr>
                    <w:t>-197</w:t>
                  </w:r>
                </w:p>
              </w:tc>
              <w:tc>
                <w:tcPr>
                  <w:tcW w:w="803" w:type="dxa"/>
                  <w:shd w:val="clear" w:color="auto" w:fill="FFFFFF"/>
                  <w:noWrap w:val="0"/>
                  <w:vAlign w:val="center"/>
                </w:tcPr>
                <w:p w14:paraId="480A7DBF">
                  <w:pPr>
                    <w:jc w:val="center"/>
                  </w:pPr>
                  <w:r>
                    <w:rPr>
                      <w:rFonts w:ascii="Arial" w:hAnsi="Arial" w:eastAsia="Arial" w:cs="Arial"/>
                      <w:sz w:val="20"/>
                    </w:rPr>
                    <w:t>1.2</w:t>
                  </w:r>
                </w:p>
              </w:tc>
              <w:tc>
                <w:tcPr>
                  <w:tcW w:w="993" w:type="dxa"/>
                  <w:shd w:val="clear" w:color="auto" w:fill="FFFFFF"/>
                  <w:noWrap w:val="0"/>
                  <w:vAlign w:val="center"/>
                </w:tcPr>
                <w:p w14:paraId="0454F00E">
                  <w:pPr>
                    <w:jc w:val="center"/>
                  </w:pPr>
                  <w:r>
                    <w:rPr>
                      <w:rFonts w:ascii="Arial" w:hAnsi="Arial" w:eastAsia="Arial" w:cs="Arial"/>
                      <w:sz w:val="20"/>
                    </w:rPr>
                    <w:t>夜间</w:t>
                  </w:r>
                </w:p>
              </w:tc>
              <w:tc>
                <w:tcPr>
                  <w:tcW w:w="1417" w:type="dxa"/>
                  <w:shd w:val="clear" w:color="auto" w:fill="FFFFFF"/>
                  <w:noWrap w:val="0"/>
                  <w:vAlign w:val="center"/>
                </w:tcPr>
                <w:p w14:paraId="510EA4A4">
                  <w:pPr>
                    <w:jc w:val="center"/>
                  </w:pPr>
                  <w:r>
                    <w:rPr>
                      <w:rFonts w:ascii="Arial" w:hAnsi="Arial" w:eastAsia="Arial" w:cs="Arial"/>
                      <w:sz w:val="20"/>
                    </w:rPr>
                    <w:t>38.4</w:t>
                  </w:r>
                </w:p>
              </w:tc>
              <w:tc>
                <w:tcPr>
                  <w:tcW w:w="1418" w:type="dxa"/>
                  <w:shd w:val="clear" w:color="auto" w:fill="FFFFFF"/>
                  <w:noWrap w:val="0"/>
                  <w:vAlign w:val="center"/>
                </w:tcPr>
                <w:p w14:paraId="2E300D60">
                  <w:pPr>
                    <w:jc w:val="center"/>
                  </w:pPr>
                  <w:r>
                    <w:rPr>
                      <w:rFonts w:ascii="Arial" w:hAnsi="Arial" w:eastAsia="Arial" w:cs="Arial"/>
                      <w:sz w:val="20"/>
                    </w:rPr>
                    <w:t>55</w:t>
                  </w:r>
                </w:p>
              </w:tc>
              <w:tc>
                <w:tcPr>
                  <w:tcW w:w="1188" w:type="dxa"/>
                  <w:shd w:val="clear" w:color="auto" w:fill="FFFFFF"/>
                  <w:noWrap w:val="0"/>
                  <w:vAlign w:val="center"/>
                </w:tcPr>
                <w:p w14:paraId="7875153F">
                  <w:pPr>
                    <w:jc w:val="center"/>
                  </w:pPr>
                  <w:r>
                    <w:rPr>
                      <w:rFonts w:ascii="Arial" w:hAnsi="Arial" w:eastAsia="Arial" w:cs="Arial"/>
                      <w:sz w:val="20"/>
                    </w:rPr>
                    <w:t>达标</w:t>
                  </w:r>
                </w:p>
              </w:tc>
            </w:tr>
            <w:tr w14:paraId="2820B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1101" w:type="dxa"/>
                  <w:vMerge w:val="restart"/>
                  <w:shd w:val="clear" w:color="auto" w:fill="FFFFFF"/>
                  <w:noWrap w:val="0"/>
                  <w:vAlign w:val="center"/>
                </w:tcPr>
                <w:p w14:paraId="74199D8F">
                  <w:pPr>
                    <w:jc w:val="center"/>
                  </w:pPr>
                  <w:r>
                    <w:rPr>
                      <w:rFonts w:ascii="Arial" w:hAnsi="Arial" w:eastAsia="Arial" w:cs="Arial"/>
                      <w:sz w:val="20"/>
                    </w:rPr>
                    <w:t>西侧</w:t>
                  </w:r>
                </w:p>
              </w:tc>
              <w:tc>
                <w:tcPr>
                  <w:tcW w:w="803" w:type="dxa"/>
                  <w:shd w:val="clear" w:color="auto" w:fill="FFFFFF"/>
                  <w:noWrap w:val="0"/>
                  <w:vAlign w:val="center"/>
                </w:tcPr>
                <w:p w14:paraId="3E8CCC21">
                  <w:pPr>
                    <w:jc w:val="center"/>
                    <w:rPr>
                      <w:rFonts w:hint="default" w:eastAsia="宋体"/>
                      <w:lang w:val="en-US" w:eastAsia="zh-CN"/>
                    </w:rPr>
                  </w:pPr>
                  <w:r>
                    <w:rPr>
                      <w:rFonts w:hint="eastAsia"/>
                      <w:lang w:val="en-US" w:eastAsia="zh-CN"/>
                    </w:rPr>
                    <w:t>156</w:t>
                  </w:r>
                </w:p>
              </w:tc>
              <w:tc>
                <w:tcPr>
                  <w:tcW w:w="803" w:type="dxa"/>
                  <w:shd w:val="clear" w:color="auto" w:fill="FFFFFF"/>
                  <w:noWrap w:val="0"/>
                  <w:vAlign w:val="center"/>
                </w:tcPr>
                <w:p w14:paraId="2F43B495">
                  <w:pPr>
                    <w:jc w:val="center"/>
                    <w:rPr>
                      <w:rFonts w:hint="default" w:eastAsia="宋体"/>
                      <w:lang w:val="en-US" w:eastAsia="zh-CN"/>
                    </w:rPr>
                  </w:pPr>
                  <w:r>
                    <w:rPr>
                      <w:rFonts w:hint="eastAsia"/>
                      <w:lang w:val="en-US" w:eastAsia="zh-CN"/>
                    </w:rPr>
                    <w:t>90</w:t>
                  </w:r>
                </w:p>
              </w:tc>
              <w:tc>
                <w:tcPr>
                  <w:tcW w:w="803" w:type="dxa"/>
                  <w:shd w:val="clear" w:color="auto" w:fill="FFFFFF"/>
                  <w:noWrap w:val="0"/>
                  <w:vAlign w:val="center"/>
                </w:tcPr>
                <w:p w14:paraId="1342E920">
                  <w:pPr>
                    <w:jc w:val="center"/>
                  </w:pPr>
                  <w:r>
                    <w:rPr>
                      <w:rFonts w:ascii="Arial" w:hAnsi="Arial" w:eastAsia="Arial" w:cs="Arial"/>
                      <w:sz w:val="20"/>
                    </w:rPr>
                    <w:t>1.2</w:t>
                  </w:r>
                </w:p>
              </w:tc>
              <w:tc>
                <w:tcPr>
                  <w:tcW w:w="993" w:type="dxa"/>
                  <w:shd w:val="clear" w:color="auto" w:fill="FFFFFF"/>
                  <w:noWrap w:val="0"/>
                  <w:vAlign w:val="center"/>
                </w:tcPr>
                <w:p w14:paraId="4D47BF91">
                  <w:pPr>
                    <w:jc w:val="center"/>
                  </w:pPr>
                  <w:r>
                    <w:rPr>
                      <w:rFonts w:ascii="Arial" w:hAnsi="Arial" w:eastAsia="Arial" w:cs="Arial"/>
                      <w:sz w:val="20"/>
                    </w:rPr>
                    <w:t>昼间</w:t>
                  </w:r>
                </w:p>
              </w:tc>
              <w:tc>
                <w:tcPr>
                  <w:tcW w:w="1417" w:type="dxa"/>
                  <w:shd w:val="clear" w:color="auto" w:fill="FFFFFF"/>
                  <w:noWrap w:val="0"/>
                  <w:vAlign w:val="center"/>
                </w:tcPr>
                <w:p w14:paraId="05590656">
                  <w:pPr>
                    <w:jc w:val="center"/>
                    <w:rPr>
                      <w:rFonts w:hint="default" w:eastAsia="宋体"/>
                      <w:lang w:val="en-US" w:eastAsia="zh-CN"/>
                    </w:rPr>
                  </w:pPr>
                  <w:r>
                    <w:rPr>
                      <w:rFonts w:hint="eastAsia" w:ascii="Arial" w:hAnsi="Arial" w:eastAsia="宋体" w:cs="Arial"/>
                      <w:sz w:val="20"/>
                      <w:lang w:val="en-US" w:eastAsia="zh-CN"/>
                    </w:rPr>
                    <w:t>44.1</w:t>
                  </w:r>
                </w:p>
              </w:tc>
              <w:tc>
                <w:tcPr>
                  <w:tcW w:w="1418" w:type="dxa"/>
                  <w:shd w:val="clear" w:color="auto" w:fill="FFFFFF"/>
                  <w:noWrap w:val="0"/>
                  <w:vAlign w:val="center"/>
                </w:tcPr>
                <w:p w14:paraId="4235A3BA">
                  <w:pPr>
                    <w:jc w:val="center"/>
                  </w:pPr>
                  <w:r>
                    <w:rPr>
                      <w:rFonts w:ascii="Arial" w:hAnsi="Arial" w:eastAsia="Arial" w:cs="Arial"/>
                      <w:sz w:val="20"/>
                    </w:rPr>
                    <w:t>65</w:t>
                  </w:r>
                </w:p>
              </w:tc>
              <w:tc>
                <w:tcPr>
                  <w:tcW w:w="1188" w:type="dxa"/>
                  <w:shd w:val="clear" w:color="auto" w:fill="FFFFFF"/>
                  <w:noWrap w:val="0"/>
                  <w:vAlign w:val="center"/>
                </w:tcPr>
                <w:p w14:paraId="5C15CE7C">
                  <w:pPr>
                    <w:jc w:val="center"/>
                  </w:pPr>
                  <w:r>
                    <w:rPr>
                      <w:rFonts w:ascii="Arial" w:hAnsi="Arial" w:eastAsia="Arial" w:cs="Arial"/>
                      <w:sz w:val="20"/>
                    </w:rPr>
                    <w:t>达标</w:t>
                  </w:r>
                </w:p>
              </w:tc>
            </w:tr>
            <w:tr w14:paraId="5110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1101" w:type="dxa"/>
                  <w:vMerge w:val="continue"/>
                  <w:shd w:val="clear" w:color="auto" w:fill="FFFFFF"/>
                  <w:noWrap w:val="0"/>
                  <w:vAlign w:val="center"/>
                </w:tcPr>
                <w:p w14:paraId="25359E22">
                  <w:pPr>
                    <w:jc w:val="center"/>
                  </w:pPr>
                </w:p>
              </w:tc>
              <w:tc>
                <w:tcPr>
                  <w:tcW w:w="803" w:type="dxa"/>
                  <w:shd w:val="clear" w:color="auto" w:fill="FFFFFF"/>
                  <w:noWrap w:val="0"/>
                  <w:vAlign w:val="center"/>
                </w:tcPr>
                <w:p w14:paraId="51C33011">
                  <w:pPr>
                    <w:jc w:val="center"/>
                    <w:rPr>
                      <w:rFonts w:hint="default" w:eastAsia="宋体"/>
                      <w:lang w:val="en-US" w:eastAsia="zh-CN"/>
                    </w:rPr>
                  </w:pPr>
                  <w:r>
                    <w:rPr>
                      <w:rFonts w:hint="eastAsia"/>
                      <w:lang w:val="en-US" w:eastAsia="zh-CN"/>
                    </w:rPr>
                    <w:t>156</w:t>
                  </w:r>
                </w:p>
              </w:tc>
              <w:tc>
                <w:tcPr>
                  <w:tcW w:w="803" w:type="dxa"/>
                  <w:shd w:val="clear" w:color="auto" w:fill="FFFFFF"/>
                  <w:noWrap w:val="0"/>
                  <w:vAlign w:val="center"/>
                </w:tcPr>
                <w:p w14:paraId="0ED138FF">
                  <w:pPr>
                    <w:jc w:val="center"/>
                    <w:rPr>
                      <w:rFonts w:hint="default" w:eastAsia="宋体"/>
                      <w:lang w:val="en-US" w:eastAsia="zh-CN"/>
                    </w:rPr>
                  </w:pPr>
                  <w:r>
                    <w:rPr>
                      <w:rFonts w:hint="eastAsia"/>
                      <w:lang w:val="en-US" w:eastAsia="zh-CN"/>
                    </w:rPr>
                    <w:t>90</w:t>
                  </w:r>
                </w:p>
              </w:tc>
              <w:tc>
                <w:tcPr>
                  <w:tcW w:w="803" w:type="dxa"/>
                  <w:shd w:val="clear" w:color="auto" w:fill="FFFFFF"/>
                  <w:noWrap w:val="0"/>
                  <w:vAlign w:val="center"/>
                </w:tcPr>
                <w:p w14:paraId="1353B9AE">
                  <w:pPr>
                    <w:jc w:val="center"/>
                  </w:pPr>
                  <w:r>
                    <w:rPr>
                      <w:rFonts w:ascii="Arial" w:hAnsi="Arial" w:eastAsia="Arial" w:cs="Arial"/>
                      <w:sz w:val="20"/>
                    </w:rPr>
                    <w:t>1.2</w:t>
                  </w:r>
                </w:p>
              </w:tc>
              <w:tc>
                <w:tcPr>
                  <w:tcW w:w="993" w:type="dxa"/>
                  <w:shd w:val="clear" w:color="auto" w:fill="FFFFFF"/>
                  <w:noWrap w:val="0"/>
                  <w:vAlign w:val="center"/>
                </w:tcPr>
                <w:p w14:paraId="130D8A9C">
                  <w:pPr>
                    <w:jc w:val="center"/>
                  </w:pPr>
                  <w:r>
                    <w:rPr>
                      <w:rFonts w:ascii="Arial" w:hAnsi="Arial" w:eastAsia="Arial" w:cs="Arial"/>
                      <w:sz w:val="20"/>
                    </w:rPr>
                    <w:t>夜间</w:t>
                  </w:r>
                </w:p>
              </w:tc>
              <w:tc>
                <w:tcPr>
                  <w:tcW w:w="1417" w:type="dxa"/>
                  <w:shd w:val="clear" w:color="auto" w:fill="FFFFFF"/>
                  <w:noWrap w:val="0"/>
                  <w:vAlign w:val="center"/>
                </w:tcPr>
                <w:p w14:paraId="7666043C">
                  <w:pPr>
                    <w:jc w:val="center"/>
                    <w:rPr>
                      <w:rFonts w:hint="default" w:eastAsia="宋体"/>
                      <w:lang w:val="en-US" w:eastAsia="zh-CN"/>
                    </w:rPr>
                  </w:pPr>
                  <w:r>
                    <w:rPr>
                      <w:rFonts w:hint="eastAsia"/>
                      <w:lang w:val="en-US" w:eastAsia="zh-CN"/>
                    </w:rPr>
                    <w:t>44.1</w:t>
                  </w:r>
                </w:p>
              </w:tc>
              <w:tc>
                <w:tcPr>
                  <w:tcW w:w="1418" w:type="dxa"/>
                  <w:shd w:val="clear" w:color="auto" w:fill="FFFFFF"/>
                  <w:noWrap w:val="0"/>
                  <w:vAlign w:val="center"/>
                </w:tcPr>
                <w:p w14:paraId="31EF29DD">
                  <w:pPr>
                    <w:jc w:val="center"/>
                  </w:pPr>
                  <w:r>
                    <w:rPr>
                      <w:rFonts w:ascii="Arial" w:hAnsi="Arial" w:eastAsia="Arial" w:cs="Arial"/>
                      <w:sz w:val="20"/>
                    </w:rPr>
                    <w:t>55</w:t>
                  </w:r>
                </w:p>
              </w:tc>
              <w:tc>
                <w:tcPr>
                  <w:tcW w:w="1188" w:type="dxa"/>
                  <w:shd w:val="clear" w:color="auto" w:fill="FFFFFF"/>
                  <w:noWrap w:val="0"/>
                  <w:vAlign w:val="center"/>
                </w:tcPr>
                <w:p w14:paraId="40062C12">
                  <w:pPr>
                    <w:jc w:val="center"/>
                  </w:pPr>
                  <w:r>
                    <w:rPr>
                      <w:rFonts w:ascii="Arial" w:hAnsi="Arial" w:eastAsia="Arial" w:cs="Arial"/>
                      <w:sz w:val="20"/>
                    </w:rPr>
                    <w:t>达标</w:t>
                  </w:r>
                </w:p>
              </w:tc>
            </w:tr>
            <w:tr w14:paraId="0A5E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1101" w:type="dxa"/>
                  <w:vMerge w:val="restart"/>
                  <w:shd w:val="clear" w:color="auto" w:fill="FFFFFF"/>
                  <w:noWrap w:val="0"/>
                  <w:vAlign w:val="center"/>
                </w:tcPr>
                <w:p w14:paraId="58D42B85">
                  <w:pPr>
                    <w:jc w:val="center"/>
                  </w:pPr>
                  <w:r>
                    <w:rPr>
                      <w:rFonts w:ascii="Arial" w:hAnsi="Arial" w:eastAsia="Arial" w:cs="Arial"/>
                      <w:sz w:val="20"/>
                    </w:rPr>
                    <w:t>北侧</w:t>
                  </w:r>
                </w:p>
              </w:tc>
              <w:tc>
                <w:tcPr>
                  <w:tcW w:w="803" w:type="dxa"/>
                  <w:shd w:val="clear" w:color="auto" w:fill="FFFFFF"/>
                  <w:noWrap w:val="0"/>
                  <w:vAlign w:val="center"/>
                </w:tcPr>
                <w:p w14:paraId="1C1BAD32">
                  <w:pPr>
                    <w:jc w:val="center"/>
                    <w:rPr>
                      <w:rFonts w:hint="default" w:eastAsia="宋体"/>
                      <w:lang w:val="en-US" w:eastAsia="zh-CN"/>
                    </w:rPr>
                  </w:pPr>
                  <w:r>
                    <w:rPr>
                      <w:rFonts w:hint="eastAsia"/>
                      <w:lang w:val="en-US" w:eastAsia="zh-CN"/>
                    </w:rPr>
                    <w:t>40</w:t>
                  </w:r>
                </w:p>
              </w:tc>
              <w:tc>
                <w:tcPr>
                  <w:tcW w:w="803" w:type="dxa"/>
                  <w:shd w:val="clear" w:color="auto" w:fill="FFFFFF"/>
                  <w:noWrap w:val="0"/>
                  <w:vAlign w:val="center"/>
                </w:tcPr>
                <w:p w14:paraId="534006EE">
                  <w:pPr>
                    <w:jc w:val="center"/>
                    <w:rPr>
                      <w:rFonts w:hint="default" w:eastAsia="宋体"/>
                      <w:lang w:val="en-US" w:eastAsia="zh-CN"/>
                    </w:rPr>
                  </w:pPr>
                  <w:r>
                    <w:rPr>
                      <w:rFonts w:hint="eastAsia"/>
                      <w:lang w:val="en-US" w:eastAsia="zh-CN"/>
                    </w:rPr>
                    <w:t>203</w:t>
                  </w:r>
                </w:p>
              </w:tc>
              <w:tc>
                <w:tcPr>
                  <w:tcW w:w="803" w:type="dxa"/>
                  <w:shd w:val="clear" w:color="auto" w:fill="FFFFFF"/>
                  <w:noWrap w:val="0"/>
                  <w:vAlign w:val="center"/>
                </w:tcPr>
                <w:p w14:paraId="0E5B6B44">
                  <w:pPr>
                    <w:jc w:val="center"/>
                  </w:pPr>
                  <w:r>
                    <w:rPr>
                      <w:rFonts w:ascii="Arial" w:hAnsi="Arial" w:eastAsia="Arial" w:cs="Arial"/>
                      <w:sz w:val="20"/>
                    </w:rPr>
                    <w:t>1.2</w:t>
                  </w:r>
                </w:p>
              </w:tc>
              <w:tc>
                <w:tcPr>
                  <w:tcW w:w="993" w:type="dxa"/>
                  <w:shd w:val="clear" w:color="auto" w:fill="FFFFFF"/>
                  <w:noWrap w:val="0"/>
                  <w:vAlign w:val="center"/>
                </w:tcPr>
                <w:p w14:paraId="7AC09E3D">
                  <w:pPr>
                    <w:jc w:val="center"/>
                  </w:pPr>
                  <w:r>
                    <w:rPr>
                      <w:rFonts w:ascii="Arial" w:hAnsi="Arial" w:eastAsia="Arial" w:cs="Arial"/>
                      <w:sz w:val="20"/>
                    </w:rPr>
                    <w:t>昼间</w:t>
                  </w:r>
                </w:p>
              </w:tc>
              <w:tc>
                <w:tcPr>
                  <w:tcW w:w="1417" w:type="dxa"/>
                  <w:shd w:val="clear" w:color="auto" w:fill="FFFFFF"/>
                  <w:noWrap w:val="0"/>
                  <w:vAlign w:val="center"/>
                </w:tcPr>
                <w:p w14:paraId="24984DB5">
                  <w:pPr>
                    <w:jc w:val="center"/>
                    <w:rPr>
                      <w:rFonts w:hint="default" w:eastAsia="宋体"/>
                      <w:lang w:val="en-US" w:eastAsia="zh-CN"/>
                    </w:rPr>
                  </w:pPr>
                  <w:r>
                    <w:rPr>
                      <w:rFonts w:hint="eastAsia"/>
                      <w:lang w:val="en-US" w:eastAsia="zh-CN"/>
                    </w:rPr>
                    <w:t>45.6</w:t>
                  </w:r>
                </w:p>
              </w:tc>
              <w:tc>
                <w:tcPr>
                  <w:tcW w:w="1418" w:type="dxa"/>
                  <w:shd w:val="clear" w:color="auto" w:fill="FFFFFF"/>
                  <w:noWrap w:val="0"/>
                  <w:vAlign w:val="center"/>
                </w:tcPr>
                <w:p w14:paraId="6017A0C7">
                  <w:pPr>
                    <w:jc w:val="center"/>
                  </w:pPr>
                  <w:r>
                    <w:rPr>
                      <w:rFonts w:ascii="Arial" w:hAnsi="Arial" w:eastAsia="Arial" w:cs="Arial"/>
                      <w:sz w:val="20"/>
                    </w:rPr>
                    <w:t>65</w:t>
                  </w:r>
                </w:p>
              </w:tc>
              <w:tc>
                <w:tcPr>
                  <w:tcW w:w="1188" w:type="dxa"/>
                  <w:shd w:val="clear" w:color="auto" w:fill="FFFFFF"/>
                  <w:noWrap w:val="0"/>
                  <w:vAlign w:val="center"/>
                </w:tcPr>
                <w:p w14:paraId="5DCC9434">
                  <w:pPr>
                    <w:jc w:val="center"/>
                  </w:pPr>
                  <w:r>
                    <w:rPr>
                      <w:rFonts w:ascii="Arial" w:hAnsi="Arial" w:eastAsia="Arial" w:cs="Arial"/>
                      <w:sz w:val="20"/>
                    </w:rPr>
                    <w:t>达标</w:t>
                  </w:r>
                </w:p>
              </w:tc>
            </w:tr>
            <w:tr w14:paraId="5FAA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1101" w:type="dxa"/>
                  <w:vMerge w:val="continue"/>
                  <w:shd w:val="clear" w:color="auto" w:fill="FFFFFF"/>
                  <w:noWrap w:val="0"/>
                  <w:vAlign w:val="center"/>
                </w:tcPr>
                <w:p w14:paraId="4C94EF74">
                  <w:pPr>
                    <w:jc w:val="center"/>
                  </w:pPr>
                </w:p>
              </w:tc>
              <w:tc>
                <w:tcPr>
                  <w:tcW w:w="803" w:type="dxa"/>
                  <w:shd w:val="clear" w:color="auto" w:fill="FFFFFF"/>
                  <w:noWrap w:val="0"/>
                  <w:vAlign w:val="center"/>
                </w:tcPr>
                <w:p w14:paraId="1979F4E9">
                  <w:pPr>
                    <w:jc w:val="center"/>
                    <w:rPr>
                      <w:rFonts w:hint="default" w:eastAsia="宋体"/>
                      <w:lang w:val="en-US" w:eastAsia="zh-CN"/>
                    </w:rPr>
                  </w:pPr>
                  <w:r>
                    <w:rPr>
                      <w:rFonts w:hint="eastAsia"/>
                      <w:lang w:val="en-US" w:eastAsia="zh-CN"/>
                    </w:rPr>
                    <w:t>40</w:t>
                  </w:r>
                </w:p>
              </w:tc>
              <w:tc>
                <w:tcPr>
                  <w:tcW w:w="803" w:type="dxa"/>
                  <w:shd w:val="clear" w:color="auto" w:fill="FFFFFF"/>
                  <w:noWrap w:val="0"/>
                  <w:vAlign w:val="center"/>
                </w:tcPr>
                <w:p w14:paraId="598B6FC8">
                  <w:pPr>
                    <w:jc w:val="center"/>
                    <w:rPr>
                      <w:rFonts w:hint="default" w:eastAsia="宋体"/>
                      <w:lang w:val="en-US" w:eastAsia="zh-CN"/>
                    </w:rPr>
                  </w:pPr>
                  <w:r>
                    <w:rPr>
                      <w:rFonts w:hint="eastAsia"/>
                      <w:lang w:val="en-US" w:eastAsia="zh-CN"/>
                    </w:rPr>
                    <w:t>203</w:t>
                  </w:r>
                </w:p>
              </w:tc>
              <w:tc>
                <w:tcPr>
                  <w:tcW w:w="803" w:type="dxa"/>
                  <w:shd w:val="clear" w:color="auto" w:fill="FFFFFF"/>
                  <w:noWrap w:val="0"/>
                  <w:vAlign w:val="center"/>
                </w:tcPr>
                <w:p w14:paraId="1CEAA772">
                  <w:pPr>
                    <w:jc w:val="center"/>
                  </w:pPr>
                  <w:r>
                    <w:rPr>
                      <w:rFonts w:ascii="Arial" w:hAnsi="Arial" w:eastAsia="Arial" w:cs="Arial"/>
                      <w:sz w:val="20"/>
                    </w:rPr>
                    <w:t>1.2</w:t>
                  </w:r>
                </w:p>
              </w:tc>
              <w:tc>
                <w:tcPr>
                  <w:tcW w:w="993" w:type="dxa"/>
                  <w:shd w:val="clear" w:color="auto" w:fill="FFFFFF"/>
                  <w:noWrap w:val="0"/>
                  <w:vAlign w:val="center"/>
                </w:tcPr>
                <w:p w14:paraId="76158346">
                  <w:pPr>
                    <w:jc w:val="center"/>
                  </w:pPr>
                  <w:r>
                    <w:rPr>
                      <w:rFonts w:ascii="Arial" w:hAnsi="Arial" w:eastAsia="Arial" w:cs="Arial"/>
                      <w:sz w:val="20"/>
                    </w:rPr>
                    <w:t>夜间</w:t>
                  </w:r>
                </w:p>
              </w:tc>
              <w:tc>
                <w:tcPr>
                  <w:tcW w:w="1417" w:type="dxa"/>
                  <w:shd w:val="clear" w:color="auto" w:fill="FFFFFF"/>
                  <w:noWrap w:val="0"/>
                  <w:vAlign w:val="center"/>
                </w:tcPr>
                <w:p w14:paraId="5F9512BA">
                  <w:pPr>
                    <w:jc w:val="center"/>
                    <w:rPr>
                      <w:rFonts w:hint="default" w:eastAsia="宋体"/>
                      <w:lang w:val="en-US" w:eastAsia="zh-CN"/>
                    </w:rPr>
                  </w:pPr>
                  <w:r>
                    <w:rPr>
                      <w:rFonts w:hint="eastAsia"/>
                      <w:lang w:val="en-US" w:eastAsia="zh-CN"/>
                    </w:rPr>
                    <w:t>45.6</w:t>
                  </w:r>
                </w:p>
              </w:tc>
              <w:tc>
                <w:tcPr>
                  <w:tcW w:w="1418" w:type="dxa"/>
                  <w:shd w:val="clear" w:color="auto" w:fill="FFFFFF"/>
                  <w:noWrap w:val="0"/>
                  <w:vAlign w:val="center"/>
                </w:tcPr>
                <w:p w14:paraId="3F1D345C">
                  <w:pPr>
                    <w:jc w:val="center"/>
                  </w:pPr>
                  <w:r>
                    <w:rPr>
                      <w:rFonts w:ascii="Arial" w:hAnsi="Arial" w:eastAsia="Arial" w:cs="Arial"/>
                      <w:sz w:val="20"/>
                    </w:rPr>
                    <w:t>55</w:t>
                  </w:r>
                </w:p>
              </w:tc>
              <w:tc>
                <w:tcPr>
                  <w:tcW w:w="1188" w:type="dxa"/>
                  <w:shd w:val="clear" w:color="auto" w:fill="FFFFFF"/>
                  <w:noWrap w:val="0"/>
                  <w:vAlign w:val="center"/>
                </w:tcPr>
                <w:p w14:paraId="2DF827EF">
                  <w:pPr>
                    <w:jc w:val="center"/>
                  </w:pPr>
                  <w:r>
                    <w:rPr>
                      <w:rFonts w:ascii="Arial" w:hAnsi="Arial" w:eastAsia="Arial" w:cs="Arial"/>
                      <w:sz w:val="20"/>
                    </w:rPr>
                    <w:t>达标</w:t>
                  </w:r>
                </w:p>
              </w:tc>
            </w:tr>
          </w:tbl>
          <w:p w14:paraId="5F2B8731">
            <w:pPr>
              <w:rPr>
                <w:rFonts w:ascii="Times New Roman" w:hAnsi="Times New Roman" w:cs="Times New Roman"/>
              </w:rPr>
            </w:pPr>
            <w:r>
              <w:rPr>
                <w:rFonts w:hint="default" w:ascii="Times New Roman" w:hAnsi="Times New Roman" w:eastAsia="宋体" w:cs="Times New Roman"/>
                <w:b w:val="0"/>
                <w:bCs/>
                <w:sz w:val="21"/>
                <w:szCs w:val="21"/>
                <w:lang w:val="en-US" w:eastAsia="zh-CN"/>
              </w:rPr>
              <w:t>表中坐标以厂界中心（</w:t>
            </w:r>
            <w:r>
              <w:rPr>
                <w:rFonts w:hint="eastAsia" w:ascii="Times New Roman" w:hAnsi="Times New Roman" w:eastAsia="宋体" w:cs="Times New Roman"/>
                <w:b w:val="0"/>
                <w:bCs/>
                <w:sz w:val="21"/>
                <w:szCs w:val="21"/>
                <w:lang w:val="en-US" w:eastAsia="zh-CN"/>
              </w:rPr>
              <w:t>86.31811478</w:t>
            </w:r>
            <w:r>
              <w:rPr>
                <w:rFonts w:hint="default" w:ascii="Times New Roman" w:hAnsi="Times New Roman" w:eastAsia="宋体" w:cs="Times New Roman"/>
                <w:b w:val="0"/>
                <w:bCs/>
                <w:sz w:val="21"/>
                <w:szCs w:val="21"/>
                <w:lang w:val="en-US" w:eastAsia="zh-CN"/>
              </w:rPr>
              <w:t>,</w:t>
            </w:r>
            <w:r>
              <w:rPr>
                <w:rFonts w:hint="eastAsia" w:ascii="Times New Roman" w:hAnsi="Times New Roman" w:eastAsia="宋体" w:cs="Times New Roman"/>
                <w:b w:val="0"/>
                <w:bCs/>
                <w:sz w:val="21"/>
                <w:szCs w:val="21"/>
                <w:lang w:val="en-US" w:eastAsia="zh-CN"/>
              </w:rPr>
              <w:t>41.83232540</w:t>
            </w:r>
            <w:r>
              <w:rPr>
                <w:rFonts w:hint="default" w:ascii="Times New Roman" w:hAnsi="Times New Roman" w:eastAsia="宋体" w:cs="Times New Roman"/>
                <w:b w:val="0"/>
                <w:bCs/>
                <w:sz w:val="21"/>
                <w:szCs w:val="21"/>
                <w:lang w:val="en-US" w:eastAsia="zh-CN"/>
              </w:rPr>
              <w:t>）为坐标原点，正东向为X轴正方向，正北向为Y轴正方向</w:t>
            </w:r>
          </w:p>
          <w:p w14:paraId="18184E17">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Times New Roman" w:hAnsi="Times New Roman" w:eastAsia="宋体" w:cs="Times New Roman"/>
                <w:color w:val="000000"/>
                <w:sz w:val="24"/>
                <w:szCs w:val="24"/>
                <w:lang w:eastAsia="zh-CN"/>
              </w:rPr>
            </w:pPr>
            <w:r>
              <w:rPr>
                <w:rFonts w:ascii="Times New Roman" w:hAnsi="Times New Roman" w:eastAsia="宋体" w:cs="Times New Roman"/>
                <w:color w:val="000000"/>
                <w:sz w:val="24"/>
                <w:szCs w:val="24"/>
                <w:lang w:eastAsia="zh-CN"/>
              </w:rPr>
              <w:t>由上表可知，正常工况下，项目厂界噪声满足《工业企业厂界环境噪声排放标准》</w:t>
            </w:r>
            <w:r>
              <w:rPr>
                <w:rFonts w:hint="eastAsia" w:ascii="Times New Roman" w:hAnsi="Times New Roman" w:eastAsia="宋体" w:cs="Times New Roman"/>
                <w:color w:val="000000"/>
                <w:sz w:val="24"/>
                <w:szCs w:val="24"/>
                <w:lang w:eastAsia="zh-CN"/>
              </w:rPr>
              <w:t>（</w:t>
            </w:r>
            <w:r>
              <w:rPr>
                <w:rFonts w:ascii="Times New Roman" w:hAnsi="Times New Roman" w:eastAsia="宋体" w:cs="Times New Roman"/>
                <w:color w:val="000000"/>
                <w:sz w:val="24"/>
                <w:szCs w:val="24"/>
                <w:lang w:eastAsia="zh-CN"/>
              </w:rPr>
              <w:t>GB12348.2008</w:t>
            </w:r>
            <w:r>
              <w:rPr>
                <w:rFonts w:hint="eastAsia" w:ascii="Times New Roman" w:hAnsi="Times New Roman" w:eastAsia="宋体" w:cs="Times New Roman"/>
                <w:color w:val="000000"/>
                <w:sz w:val="24"/>
                <w:szCs w:val="24"/>
                <w:lang w:eastAsia="zh-CN"/>
              </w:rPr>
              <w:t>）</w:t>
            </w:r>
            <w:bookmarkStart w:id="7" w:name="PO_3"/>
            <w:r>
              <w:rPr>
                <w:rFonts w:ascii="Times New Roman" w:hAnsi="Times New Roman" w:eastAsia="宋体" w:cs="Times New Roman"/>
                <w:color w:val="000000"/>
                <w:sz w:val="24"/>
                <w:szCs w:val="24"/>
                <w:lang w:eastAsia="zh-CN"/>
              </w:rPr>
              <w:t>3</w:t>
            </w:r>
            <w:bookmarkEnd w:id="7"/>
            <w:r>
              <w:rPr>
                <w:rFonts w:ascii="Times New Roman" w:hAnsi="Times New Roman" w:eastAsia="宋体" w:cs="Times New Roman"/>
                <w:color w:val="000000"/>
                <w:sz w:val="24"/>
                <w:szCs w:val="24"/>
                <w:lang w:eastAsia="zh-CN"/>
              </w:rPr>
              <w:t>类标准。</w:t>
            </w:r>
          </w:p>
          <w:p w14:paraId="01F4CF2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为了进一步减少本项目噪声对周围声环境的影响，本项目拟采取下述噪声防治措施：</w:t>
            </w:r>
          </w:p>
          <w:p w14:paraId="091C7A0E">
            <w:pPr>
              <w:keepNext w:val="0"/>
              <w:keepLines w:val="0"/>
              <w:pageBreakBefore w:val="0"/>
              <w:widowControl w:val="0"/>
              <w:kinsoku/>
              <w:wordWrap/>
              <w:overflowPunct/>
              <w:topLinePunct w:val="0"/>
              <w:autoSpaceDE/>
              <w:autoSpaceDN/>
              <w:bidi w:val="0"/>
              <w:adjustRightInd w:val="0"/>
              <w:snapToGrid w:val="0"/>
              <w:spacing w:line="360" w:lineRule="auto"/>
              <w:ind w:firstLine="456" w:firstLineChars="200"/>
              <w:textAlignment w:val="auto"/>
              <w:rPr>
                <w:rFonts w:hint="default" w:ascii="Times New Roman" w:hAnsi="Times New Roman" w:eastAsia="宋体" w:cs="Times New Roman"/>
                <w:spacing w:val="-6"/>
                <w:sz w:val="24"/>
                <w:szCs w:val="24"/>
              </w:rPr>
            </w:pPr>
            <w:r>
              <w:rPr>
                <w:rFonts w:hint="default" w:ascii="Times New Roman" w:hAnsi="Times New Roman" w:eastAsia="宋体" w:cs="Times New Roman"/>
                <w:spacing w:val="-6"/>
                <w:sz w:val="24"/>
                <w:szCs w:val="24"/>
              </w:rPr>
              <w:fldChar w:fldCharType="begin"/>
            </w:r>
            <w:r>
              <w:rPr>
                <w:rFonts w:hint="default" w:ascii="Times New Roman" w:hAnsi="Times New Roman" w:eastAsia="宋体" w:cs="Times New Roman"/>
                <w:spacing w:val="-6"/>
                <w:sz w:val="24"/>
                <w:szCs w:val="24"/>
              </w:rPr>
              <w:instrText xml:space="preserve"> = 1 \* GB3 \* MERGEFORMAT </w:instrText>
            </w:r>
            <w:r>
              <w:rPr>
                <w:rFonts w:hint="default" w:ascii="Times New Roman" w:hAnsi="Times New Roman" w:eastAsia="宋体" w:cs="Times New Roman"/>
                <w:spacing w:val="-6"/>
                <w:sz w:val="24"/>
                <w:szCs w:val="24"/>
              </w:rPr>
              <w:fldChar w:fldCharType="separate"/>
            </w:r>
            <w:r>
              <w:rPr>
                <w:rFonts w:hint="default" w:ascii="Times New Roman" w:hAnsi="Times New Roman" w:eastAsia="宋体" w:cs="Times New Roman"/>
                <w:spacing w:val="-6"/>
                <w:sz w:val="24"/>
                <w:szCs w:val="24"/>
              </w:rPr>
              <w:t>①</w:t>
            </w:r>
            <w:r>
              <w:rPr>
                <w:rFonts w:hint="default" w:ascii="Times New Roman" w:hAnsi="Times New Roman" w:eastAsia="宋体" w:cs="Times New Roman"/>
                <w:spacing w:val="-6"/>
                <w:sz w:val="24"/>
                <w:szCs w:val="24"/>
              </w:rPr>
              <w:fldChar w:fldCharType="end"/>
            </w:r>
            <w:r>
              <w:rPr>
                <w:rFonts w:hint="default" w:ascii="Times New Roman" w:hAnsi="Times New Roman" w:eastAsia="宋体" w:cs="Times New Roman"/>
                <w:spacing w:val="-6"/>
                <w:sz w:val="24"/>
                <w:szCs w:val="24"/>
              </w:rPr>
              <w:t>选用技术先进、低噪声机械设备；合理布局，使高噪声设备尽量远离厂界；</w:t>
            </w:r>
          </w:p>
          <w:p w14:paraId="762DF5B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color w:val="000000"/>
                <w:sz w:val="24"/>
                <w:szCs w:val="24"/>
                <w:lang w:eastAsia="zh-CN"/>
              </w:rPr>
            </w:pPr>
            <w:r>
              <w:rPr>
                <w:rFonts w:hint="default" w:ascii="Times New Roman" w:hAnsi="Times New Roman" w:cs="Times New Roman"/>
                <w:kern w:val="24"/>
                <w:sz w:val="24"/>
                <w:szCs w:val="24"/>
              </w:rPr>
              <w:t>②在设备运行时，加强设备的维修与日常保养，使之正常运转，特别是对高噪声设备</w:t>
            </w:r>
            <w:r>
              <w:rPr>
                <w:rFonts w:hint="eastAsia" w:cs="Times New Roman"/>
                <w:kern w:val="24"/>
                <w:sz w:val="24"/>
                <w:szCs w:val="24"/>
                <w:lang w:eastAsia="zh-CN"/>
              </w:rPr>
              <w:t>须</w:t>
            </w:r>
            <w:r>
              <w:rPr>
                <w:rFonts w:hint="eastAsia" w:ascii="Times New Roman" w:hAnsi="Times New Roman" w:cs="Times New Roman"/>
                <w:kern w:val="24"/>
                <w:sz w:val="24"/>
                <w:szCs w:val="24"/>
                <w:lang w:eastAsia="zh-CN"/>
              </w:rPr>
              <w:t>定期</w:t>
            </w:r>
            <w:r>
              <w:rPr>
                <w:rFonts w:hint="default" w:ascii="Times New Roman" w:hAnsi="Times New Roman" w:cs="Times New Roman"/>
                <w:kern w:val="24"/>
                <w:sz w:val="24"/>
                <w:szCs w:val="24"/>
              </w:rPr>
              <w:t>进行检修；</w:t>
            </w:r>
          </w:p>
          <w:p w14:paraId="6CDFC425">
            <w:pPr>
              <w:keepNext w:val="0"/>
              <w:keepLines w:val="0"/>
              <w:pageBreakBefore w:val="0"/>
              <w:widowControl w:val="0"/>
              <w:kinsoku/>
              <w:wordWrap/>
              <w:overflowPunct/>
              <w:topLinePunct w:val="0"/>
              <w:bidi w:val="0"/>
              <w:adjustRightInd w:val="0"/>
              <w:snapToGrid w:val="0"/>
              <w:spacing w:line="360" w:lineRule="auto"/>
              <w:ind w:firstLine="482" w:firstLineChars="200"/>
              <w:textAlignment w:val="auto"/>
              <w:rPr>
                <w:rFonts w:hint="default" w:ascii="Times New Roman" w:hAnsi="Times New Roman" w:eastAsia="宋体" w:cs="Times New Roman"/>
                <w:b/>
                <w:bCs/>
                <w:color w:val="000000"/>
                <w:sz w:val="24"/>
                <w:highlight w:val="none"/>
              </w:rPr>
            </w:pPr>
            <w:r>
              <w:rPr>
                <w:rFonts w:hint="default" w:ascii="Times New Roman" w:hAnsi="Times New Roman" w:eastAsia="宋体" w:cs="Times New Roman"/>
                <w:b/>
                <w:bCs/>
                <w:color w:val="000000"/>
                <w:sz w:val="24"/>
                <w:highlight w:val="none"/>
                <w:lang w:val="en-US" w:eastAsia="zh-CN"/>
              </w:rPr>
              <w:t>3.</w:t>
            </w:r>
            <w:r>
              <w:rPr>
                <w:rFonts w:hint="eastAsia" w:ascii="Times New Roman" w:hAnsi="Times New Roman" w:eastAsia="宋体" w:cs="Times New Roman"/>
                <w:b/>
                <w:bCs/>
                <w:color w:val="000000"/>
                <w:sz w:val="24"/>
                <w:highlight w:val="none"/>
                <w:lang w:val="en-US" w:eastAsia="zh-CN"/>
              </w:rPr>
              <w:t>2</w:t>
            </w:r>
            <w:r>
              <w:rPr>
                <w:rFonts w:hint="default" w:ascii="Times New Roman" w:hAnsi="Times New Roman" w:eastAsia="宋体" w:cs="Times New Roman"/>
                <w:b/>
                <w:bCs/>
                <w:color w:val="000000"/>
                <w:sz w:val="24"/>
                <w:highlight w:val="none"/>
              </w:rPr>
              <w:t>监测要求</w:t>
            </w:r>
          </w:p>
          <w:p w14:paraId="78CDEC71">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color w:val="000000"/>
                <w:sz w:val="24"/>
                <w:highlight w:val="none"/>
              </w:rPr>
            </w:pPr>
            <w:r>
              <w:rPr>
                <w:rFonts w:hint="default" w:ascii="Times New Roman" w:hAnsi="Times New Roman" w:eastAsia="宋体" w:cs="Times New Roman"/>
                <w:color w:val="000000"/>
                <w:sz w:val="24"/>
                <w:highlight w:val="none"/>
              </w:rPr>
              <w:t>参照《排污单位自行监测技术指南总则》（HJ819-2017）的相关要求，本项目噪声监测计划</w:t>
            </w:r>
            <w:r>
              <w:rPr>
                <w:rFonts w:hint="default" w:ascii="Times New Roman" w:hAnsi="Times New Roman" w:eastAsia="宋体" w:cs="Times New Roman"/>
                <w:color w:val="000000"/>
                <w:sz w:val="24"/>
                <w:highlight w:val="none"/>
                <w:lang w:eastAsia="zh-CN"/>
              </w:rPr>
              <w:t>见表</w:t>
            </w:r>
            <w:r>
              <w:rPr>
                <w:rFonts w:hint="eastAsia" w:ascii="Times New Roman" w:hAnsi="Times New Roman" w:eastAsia="宋体" w:cs="Times New Roman"/>
                <w:color w:val="000000"/>
                <w:sz w:val="24"/>
                <w:highlight w:val="none"/>
                <w:lang w:val="en-US" w:eastAsia="zh-CN"/>
              </w:rPr>
              <w:t>4-7</w:t>
            </w:r>
            <w:r>
              <w:rPr>
                <w:rFonts w:hint="default" w:ascii="Times New Roman" w:hAnsi="Times New Roman" w:eastAsia="宋体" w:cs="Times New Roman"/>
                <w:color w:val="000000"/>
                <w:sz w:val="24"/>
                <w:highlight w:val="none"/>
              </w:rPr>
              <w:t>。</w:t>
            </w:r>
          </w:p>
          <w:p w14:paraId="04FB35B4">
            <w:pPr>
              <w:keepNext w:val="0"/>
              <w:keepLines w:val="0"/>
              <w:pageBreakBefore w:val="0"/>
              <w:widowControl w:val="0"/>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表</w:t>
            </w:r>
            <w:r>
              <w:rPr>
                <w:rFonts w:hint="eastAsia" w:ascii="Times New Roman" w:hAnsi="Times New Roman" w:eastAsia="宋体" w:cs="Times New Roman"/>
                <w:b/>
                <w:bCs/>
                <w:color w:val="000000"/>
                <w:sz w:val="21"/>
                <w:szCs w:val="21"/>
                <w:highlight w:val="none"/>
                <w:lang w:val="en-US" w:eastAsia="zh-CN"/>
              </w:rPr>
              <w:t xml:space="preserve">4-7 </w:t>
            </w:r>
            <w:r>
              <w:rPr>
                <w:rFonts w:hint="default" w:ascii="Times New Roman" w:hAnsi="Times New Roman" w:eastAsia="宋体" w:cs="Times New Roman"/>
                <w:b/>
                <w:bCs/>
                <w:color w:val="000000"/>
                <w:sz w:val="21"/>
                <w:szCs w:val="21"/>
                <w:highlight w:val="none"/>
              </w:rPr>
              <w:t>噪声环境监测计划</w:t>
            </w:r>
          </w:p>
          <w:tbl>
            <w:tblPr>
              <w:tblStyle w:val="25"/>
              <w:tblW w:w="4998"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1826"/>
              <w:gridCol w:w="1197"/>
              <w:gridCol w:w="3500"/>
            </w:tblGrid>
            <w:tr w14:paraId="778958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94" w:type="pct"/>
                  <w:tcBorders>
                    <w:tl2br w:val="nil"/>
                    <w:tr2bl w:val="nil"/>
                  </w:tcBorders>
                  <w:noWrap w:val="0"/>
                  <w:vAlign w:val="center"/>
                </w:tcPr>
                <w:p w14:paraId="3F6B2F67">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监测点位</w:t>
                  </w:r>
                </w:p>
              </w:tc>
              <w:tc>
                <w:tcPr>
                  <w:tcW w:w="1149" w:type="pct"/>
                  <w:tcBorders>
                    <w:tl2br w:val="nil"/>
                    <w:tr2bl w:val="nil"/>
                  </w:tcBorders>
                  <w:noWrap w:val="0"/>
                  <w:vAlign w:val="center"/>
                </w:tcPr>
                <w:p w14:paraId="6CF6D7DE">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监测项目</w:t>
                  </w:r>
                </w:p>
              </w:tc>
              <w:tc>
                <w:tcPr>
                  <w:tcW w:w="753" w:type="pct"/>
                  <w:tcBorders>
                    <w:tl2br w:val="nil"/>
                    <w:tr2bl w:val="nil"/>
                  </w:tcBorders>
                  <w:noWrap w:val="0"/>
                  <w:vAlign w:val="center"/>
                </w:tcPr>
                <w:p w14:paraId="176DE3A5">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监测频次</w:t>
                  </w:r>
                </w:p>
              </w:tc>
              <w:tc>
                <w:tcPr>
                  <w:tcW w:w="2202" w:type="pct"/>
                  <w:tcBorders>
                    <w:tl2br w:val="nil"/>
                    <w:tr2bl w:val="nil"/>
                  </w:tcBorders>
                  <w:noWrap w:val="0"/>
                  <w:vAlign w:val="center"/>
                </w:tcPr>
                <w:p w14:paraId="6BDA418D">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执行标准</w:t>
                  </w:r>
                </w:p>
              </w:tc>
            </w:tr>
            <w:tr w14:paraId="1C552F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94" w:type="pct"/>
                  <w:tcBorders>
                    <w:tl2br w:val="nil"/>
                    <w:tr2bl w:val="nil"/>
                  </w:tcBorders>
                  <w:noWrap w:val="0"/>
                  <w:vAlign w:val="center"/>
                </w:tcPr>
                <w:p w14:paraId="25B7487C">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厂界外1米</w:t>
                  </w:r>
                </w:p>
              </w:tc>
              <w:tc>
                <w:tcPr>
                  <w:tcW w:w="1149" w:type="pct"/>
                  <w:tcBorders>
                    <w:tl2br w:val="nil"/>
                    <w:tr2bl w:val="nil"/>
                  </w:tcBorders>
                  <w:noWrap w:val="0"/>
                  <w:vAlign w:val="center"/>
                </w:tcPr>
                <w:p w14:paraId="288189B1">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连续等效A声级</w:t>
                  </w:r>
                </w:p>
              </w:tc>
              <w:tc>
                <w:tcPr>
                  <w:tcW w:w="753" w:type="pct"/>
                  <w:tcBorders>
                    <w:tl2br w:val="nil"/>
                    <w:tr2bl w:val="nil"/>
                  </w:tcBorders>
                  <w:noWrap w:val="0"/>
                  <w:vAlign w:val="center"/>
                </w:tcPr>
                <w:p w14:paraId="0EC28062">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1次/季度</w:t>
                  </w:r>
                </w:p>
              </w:tc>
              <w:tc>
                <w:tcPr>
                  <w:tcW w:w="2202" w:type="pct"/>
                  <w:tcBorders>
                    <w:tl2br w:val="nil"/>
                    <w:tr2bl w:val="nil"/>
                  </w:tcBorders>
                  <w:noWrap w:val="0"/>
                  <w:vAlign w:val="center"/>
                </w:tcPr>
                <w:p w14:paraId="03414ED6">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kern w:val="0"/>
                      <w:szCs w:val="21"/>
                      <w:highlight w:val="none"/>
                    </w:rPr>
                    <w:t>《工业企业厂界环境噪声排放标准》（GB12348-2008）中</w:t>
                  </w:r>
                  <w:r>
                    <w:rPr>
                      <w:rFonts w:hint="default" w:ascii="Times New Roman" w:hAnsi="Times New Roman" w:eastAsia="宋体" w:cs="Times New Roman"/>
                      <w:color w:val="000000"/>
                      <w:kern w:val="0"/>
                      <w:szCs w:val="21"/>
                      <w:highlight w:val="none"/>
                      <w:lang w:val="en-US" w:eastAsia="zh-CN"/>
                    </w:rPr>
                    <w:t>3</w:t>
                  </w:r>
                  <w:r>
                    <w:rPr>
                      <w:rFonts w:hint="default" w:ascii="Times New Roman" w:hAnsi="Times New Roman" w:eastAsia="宋体" w:cs="Times New Roman"/>
                      <w:color w:val="000000"/>
                      <w:kern w:val="0"/>
                      <w:szCs w:val="21"/>
                      <w:highlight w:val="none"/>
                    </w:rPr>
                    <w:t>类标准</w:t>
                  </w:r>
                </w:p>
              </w:tc>
            </w:tr>
          </w:tbl>
          <w:p w14:paraId="4482952B">
            <w:pPr>
              <w:pStyle w:val="42"/>
              <w:spacing w:before="9" w:line="343" w:lineRule="auto"/>
              <w:ind w:left="100" w:right="95" w:firstLine="563"/>
              <w:jc w:val="both"/>
              <w:rPr>
                <w:rFonts w:hint="default" w:ascii="Times New Roman" w:hAnsi="Times New Roman" w:eastAsia="宋体" w:cs="Times New Roman"/>
                <w:spacing w:val="2"/>
                <w:sz w:val="24"/>
                <w:szCs w:val="24"/>
                <w:lang w:val="en-US" w:eastAsia="zh-CN"/>
              </w:rPr>
            </w:pPr>
          </w:p>
        </w:tc>
      </w:tr>
    </w:tbl>
    <w:p w14:paraId="181AB132">
      <w:pPr>
        <w:adjustRightInd w:val="0"/>
        <w:snapToGrid w:val="0"/>
        <w:spacing w:line="360" w:lineRule="auto"/>
        <w:rPr>
          <w:rFonts w:hint="eastAsia" w:ascii="宋体" w:cs="宋体"/>
          <w:b/>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1"/>
        <w:gridCol w:w="8190"/>
      </w:tblGrid>
      <w:tr w14:paraId="191033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871" w:type="dxa"/>
            <w:tcBorders>
              <w:tl2br w:val="nil"/>
              <w:tr2bl w:val="nil"/>
            </w:tcBorders>
            <w:noWrap w:val="0"/>
            <w:vAlign w:val="top"/>
          </w:tcPr>
          <w:p w14:paraId="312BF474">
            <w:pPr>
              <w:pStyle w:val="18"/>
              <w:rPr>
                <w:rFonts w:hint="default" w:ascii="Times New Roman" w:hAnsi="Times New Roman" w:eastAsia="宋体" w:cs="Times New Roman"/>
                <w:b/>
                <w:color w:val="000000"/>
                <w:kern w:val="0"/>
                <w:sz w:val="28"/>
                <w:szCs w:val="28"/>
                <w:highlight w:val="none"/>
                <w:vertAlign w:val="baseline"/>
              </w:rPr>
            </w:pPr>
          </w:p>
        </w:tc>
        <w:tc>
          <w:tcPr>
            <w:tcW w:w="8190" w:type="dxa"/>
            <w:tcBorders>
              <w:tl2br w:val="nil"/>
              <w:tr2bl w:val="nil"/>
            </w:tcBorders>
            <w:noWrap w:val="0"/>
            <w:vAlign w:val="top"/>
          </w:tcPr>
          <w:p w14:paraId="6D6FFBB6">
            <w:pPr>
              <w:pStyle w:val="11"/>
              <w:keepNext w:val="0"/>
              <w:keepLines w:val="0"/>
              <w:pageBreakBefore w:val="0"/>
              <w:widowControl w:val="0"/>
              <w:kinsoku/>
              <w:wordWrap/>
              <w:overflowPunct/>
              <w:topLinePunct w:val="0"/>
              <w:autoSpaceDE/>
              <w:autoSpaceDN/>
              <w:bidi w:val="0"/>
              <w:adjustRightInd w:val="0"/>
              <w:snapToGrid w:val="0"/>
              <w:spacing w:before="157" w:beforeLines="50" w:line="360" w:lineRule="auto"/>
              <w:ind w:left="0" w:leftChars="0" w:firstLine="0" w:firstLineChars="0"/>
              <w:textAlignment w:val="auto"/>
              <w:rPr>
                <w:rFonts w:hint="default"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b/>
                <w:bCs/>
                <w:color w:val="000000"/>
                <w:sz w:val="24"/>
                <w:szCs w:val="24"/>
                <w:highlight w:val="none"/>
                <w:lang w:val="en-US" w:eastAsia="zh-CN"/>
              </w:rPr>
              <w:t>4.</w:t>
            </w:r>
            <w:r>
              <w:rPr>
                <w:rFonts w:hint="default" w:ascii="Times New Roman" w:hAnsi="Times New Roman" w:eastAsia="宋体" w:cs="Times New Roman"/>
                <w:b/>
                <w:bCs/>
                <w:color w:val="000000"/>
                <w:sz w:val="24"/>
                <w:szCs w:val="24"/>
                <w:highlight w:val="none"/>
                <w:lang w:val="en-US" w:eastAsia="zh-CN"/>
              </w:rPr>
              <w:t>固体废物环境影响和保护措施</w:t>
            </w:r>
          </w:p>
          <w:p w14:paraId="4ABBBD14">
            <w:pPr>
              <w:widowControl/>
              <w:spacing w:line="360" w:lineRule="auto"/>
              <w:ind w:firstLine="482" w:firstLineChars="200"/>
              <w:jc w:val="left"/>
              <w:rPr>
                <w:rFonts w:hint="default" w:ascii="Times New Roman" w:hAnsi="Times New Roman" w:eastAsia="宋体" w:cs="Times New Roman"/>
                <w:b/>
                <w:bCs/>
                <w:color w:val="000000"/>
                <w:sz w:val="24"/>
                <w:highlight w:val="none"/>
              </w:rPr>
            </w:pPr>
            <w:r>
              <w:rPr>
                <w:rFonts w:hint="default" w:ascii="Times New Roman" w:hAnsi="Times New Roman" w:eastAsia="宋体" w:cs="Times New Roman"/>
                <w:b/>
                <w:bCs/>
                <w:color w:val="000000"/>
                <w:sz w:val="24"/>
                <w:highlight w:val="none"/>
                <w:lang w:val="en-US" w:eastAsia="zh-CN"/>
              </w:rPr>
              <w:t>4.1</w:t>
            </w:r>
            <w:r>
              <w:rPr>
                <w:rFonts w:hint="default" w:ascii="Times New Roman" w:hAnsi="Times New Roman" w:eastAsia="宋体" w:cs="Times New Roman"/>
                <w:b/>
                <w:bCs/>
                <w:color w:val="000000"/>
                <w:sz w:val="24"/>
                <w:highlight w:val="none"/>
              </w:rPr>
              <w:t>固体废物产生情况和处置情况</w:t>
            </w:r>
          </w:p>
          <w:p w14:paraId="5E6671AC">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000000"/>
                <w:sz w:val="24"/>
                <w:highlight w:val="none"/>
                <w:lang w:val="en-US" w:eastAsia="zh-CN"/>
              </w:rPr>
            </w:pPr>
            <w:r>
              <w:rPr>
                <w:rFonts w:hint="eastAsia" w:ascii="Times New Roman" w:hAnsi="Times New Roman" w:eastAsia="宋体" w:cs="Times New Roman"/>
                <w:color w:val="000000"/>
                <w:sz w:val="24"/>
                <w:highlight w:val="none"/>
                <w:lang w:val="en-US" w:eastAsia="zh-CN"/>
              </w:rPr>
              <w:t>本项目产生的固体废物主要为洗车沉淀池底泥与职工生活垃圾。</w:t>
            </w:r>
          </w:p>
          <w:p w14:paraId="309D3897">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000000"/>
                <w:sz w:val="24"/>
                <w:highlight w:val="none"/>
                <w:lang w:eastAsia="zh-CN"/>
              </w:rPr>
            </w:pPr>
            <w:r>
              <w:rPr>
                <w:rFonts w:hint="eastAsia" w:ascii="Times New Roman" w:hAnsi="Times New Roman" w:eastAsia="宋体" w:cs="Times New Roman"/>
                <w:color w:val="000000"/>
                <w:sz w:val="24"/>
                <w:highlight w:val="none"/>
                <w:lang w:val="en-US" w:eastAsia="zh-CN"/>
              </w:rPr>
              <w:t>（</w:t>
            </w:r>
            <w:r>
              <w:rPr>
                <w:rFonts w:hint="default" w:ascii="Times New Roman" w:hAnsi="Times New Roman" w:eastAsia="宋体" w:cs="Times New Roman"/>
                <w:color w:val="000000"/>
                <w:sz w:val="24"/>
                <w:highlight w:val="none"/>
                <w:lang w:val="en-US" w:eastAsia="zh-CN"/>
              </w:rPr>
              <w:t>1</w:t>
            </w:r>
            <w:r>
              <w:rPr>
                <w:rFonts w:hint="eastAsia" w:ascii="Times New Roman" w:hAnsi="Times New Roman" w:eastAsia="宋体" w:cs="Times New Roman"/>
                <w:color w:val="000000"/>
                <w:sz w:val="24"/>
                <w:highlight w:val="none"/>
                <w:lang w:val="en-US" w:eastAsia="zh-CN"/>
              </w:rPr>
              <w:t>）洗车沉淀池底泥</w:t>
            </w:r>
          </w:p>
          <w:p w14:paraId="787785B2">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000000"/>
                <w:sz w:val="24"/>
                <w:highlight w:val="none"/>
                <w:lang w:eastAsia="zh-CN"/>
              </w:rPr>
            </w:pPr>
            <w:r>
              <w:rPr>
                <w:rFonts w:hint="eastAsia" w:ascii="Times New Roman" w:hAnsi="Times New Roman" w:eastAsia="宋体" w:cs="Times New Roman"/>
                <w:color w:val="000000"/>
                <w:sz w:val="24"/>
                <w:highlight w:val="none"/>
                <w:lang w:val="en-US" w:eastAsia="zh-CN"/>
              </w:rPr>
              <w:t>沉淀池底泥主要为煤渣，属于一般固废。根据业主提供资料可知，煤渣的产生量约为</w:t>
            </w:r>
            <w:r>
              <w:rPr>
                <w:rFonts w:hint="default" w:ascii="Times New Roman" w:hAnsi="Times New Roman" w:eastAsia="宋体" w:cs="Times New Roman"/>
                <w:color w:val="000000"/>
                <w:sz w:val="24"/>
                <w:highlight w:val="none"/>
                <w:lang w:val="en-US" w:eastAsia="zh-CN"/>
              </w:rPr>
              <w:t>1.5t/a</w:t>
            </w:r>
            <w:r>
              <w:rPr>
                <w:rFonts w:hint="eastAsia" w:ascii="Times New Roman" w:hAnsi="Times New Roman" w:eastAsia="宋体" w:cs="Times New Roman"/>
                <w:color w:val="000000"/>
                <w:sz w:val="24"/>
                <w:highlight w:val="none"/>
                <w:lang w:val="en-US" w:eastAsia="zh-CN"/>
              </w:rPr>
              <w:t>，定期清掏后掺入原煤外售。</w:t>
            </w:r>
          </w:p>
          <w:p w14:paraId="233689E7">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000000"/>
                <w:sz w:val="24"/>
                <w:highlight w:val="none"/>
                <w:lang w:eastAsia="zh-CN"/>
              </w:rPr>
            </w:pPr>
            <w:r>
              <w:rPr>
                <w:rFonts w:hint="eastAsia" w:ascii="Times New Roman" w:hAnsi="Times New Roman" w:eastAsia="宋体" w:cs="Times New Roman"/>
                <w:color w:val="000000"/>
                <w:sz w:val="24"/>
                <w:highlight w:val="none"/>
                <w:lang w:val="en-US" w:eastAsia="zh-CN"/>
              </w:rPr>
              <w:t>（</w:t>
            </w:r>
            <w:r>
              <w:rPr>
                <w:rFonts w:hint="default" w:ascii="Times New Roman" w:hAnsi="Times New Roman" w:eastAsia="宋体" w:cs="Times New Roman"/>
                <w:color w:val="000000"/>
                <w:sz w:val="24"/>
                <w:highlight w:val="none"/>
                <w:lang w:val="en-US" w:eastAsia="zh-CN"/>
              </w:rPr>
              <w:t>2</w:t>
            </w:r>
            <w:r>
              <w:rPr>
                <w:rFonts w:hint="eastAsia" w:ascii="Times New Roman" w:hAnsi="Times New Roman" w:eastAsia="宋体" w:cs="Times New Roman"/>
                <w:color w:val="000000"/>
                <w:sz w:val="24"/>
                <w:highlight w:val="none"/>
                <w:lang w:val="en-US" w:eastAsia="zh-CN"/>
              </w:rPr>
              <w:t>）员工产生的生活垃圾</w:t>
            </w:r>
          </w:p>
          <w:p w14:paraId="6962D26A">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sz w:val="24"/>
                <w:highlight w:val="none"/>
                <w:lang w:eastAsia="zh-CN"/>
              </w:rPr>
            </w:pPr>
            <w:r>
              <w:rPr>
                <w:rFonts w:hint="eastAsia" w:ascii="Times New Roman" w:hAnsi="Times New Roman" w:eastAsia="宋体" w:cs="Times New Roman"/>
                <w:color w:val="000000"/>
                <w:sz w:val="24"/>
                <w:highlight w:val="none"/>
                <w:lang w:val="en-US" w:eastAsia="zh-CN"/>
              </w:rPr>
              <w:t>本项目劳动定员为</w:t>
            </w:r>
            <w:r>
              <w:rPr>
                <w:rFonts w:hint="default" w:ascii="Times New Roman" w:hAnsi="Times New Roman" w:eastAsia="宋体" w:cs="Times New Roman"/>
                <w:color w:val="000000"/>
                <w:sz w:val="24"/>
                <w:highlight w:val="none"/>
                <w:lang w:val="en-US" w:eastAsia="zh-CN"/>
              </w:rPr>
              <w:t>10</w:t>
            </w:r>
            <w:r>
              <w:rPr>
                <w:rFonts w:hint="eastAsia" w:ascii="Times New Roman" w:hAnsi="Times New Roman" w:eastAsia="宋体" w:cs="Times New Roman"/>
                <w:color w:val="000000"/>
                <w:sz w:val="24"/>
                <w:highlight w:val="none"/>
                <w:lang w:val="en-US" w:eastAsia="zh-CN"/>
              </w:rPr>
              <w:t>人，生活垃圾产生量按</w:t>
            </w:r>
            <w:r>
              <w:rPr>
                <w:rFonts w:hint="default" w:ascii="Times New Roman" w:hAnsi="Times New Roman" w:eastAsia="宋体" w:cs="Times New Roman"/>
                <w:color w:val="000000"/>
                <w:sz w:val="24"/>
                <w:highlight w:val="none"/>
                <w:lang w:val="en-US" w:eastAsia="zh-CN"/>
              </w:rPr>
              <w:t>0.5kg/d/</w:t>
            </w:r>
            <w:r>
              <w:rPr>
                <w:rFonts w:hint="eastAsia" w:ascii="Times New Roman" w:hAnsi="Times New Roman" w:eastAsia="宋体" w:cs="Times New Roman"/>
                <w:color w:val="000000"/>
                <w:sz w:val="24"/>
                <w:highlight w:val="none"/>
                <w:lang w:val="en-US" w:eastAsia="zh-CN"/>
              </w:rPr>
              <w:t>人</w:t>
            </w:r>
            <w:r>
              <w:rPr>
                <w:rFonts w:hint="eastAsia" w:cs="Times New Roman"/>
                <w:color w:val="000000"/>
                <w:sz w:val="24"/>
                <w:highlight w:val="none"/>
                <w:lang w:val="en-US" w:eastAsia="zh-CN"/>
              </w:rPr>
              <w:t>）计</w:t>
            </w:r>
            <w:r>
              <w:rPr>
                <w:rFonts w:hint="eastAsia" w:ascii="Times New Roman" w:hAnsi="Times New Roman" w:eastAsia="宋体" w:cs="Times New Roman"/>
                <w:color w:val="000000"/>
                <w:sz w:val="24"/>
                <w:highlight w:val="none"/>
                <w:lang w:val="en-US" w:eastAsia="zh-CN"/>
              </w:rPr>
              <w:t>，厂区设置有食宿，年工作天数为</w:t>
            </w:r>
            <w:r>
              <w:rPr>
                <w:rFonts w:hint="default" w:ascii="Times New Roman" w:hAnsi="Times New Roman" w:eastAsia="宋体" w:cs="Times New Roman"/>
                <w:color w:val="000000"/>
                <w:sz w:val="24"/>
                <w:highlight w:val="none"/>
                <w:lang w:val="en-US" w:eastAsia="zh-CN"/>
              </w:rPr>
              <w:t>300</w:t>
            </w:r>
            <w:r>
              <w:rPr>
                <w:rFonts w:hint="eastAsia" w:ascii="Times New Roman" w:hAnsi="Times New Roman" w:eastAsia="宋体" w:cs="Times New Roman"/>
                <w:color w:val="000000"/>
                <w:sz w:val="24"/>
                <w:highlight w:val="none"/>
                <w:lang w:val="en-US" w:eastAsia="zh-CN"/>
              </w:rPr>
              <w:t>天，全年生活垃圾约</w:t>
            </w:r>
            <w:r>
              <w:rPr>
                <w:rFonts w:hint="default" w:ascii="Times New Roman" w:hAnsi="Times New Roman" w:eastAsia="宋体" w:cs="Times New Roman"/>
                <w:color w:val="000000"/>
                <w:sz w:val="24"/>
                <w:highlight w:val="none"/>
                <w:lang w:val="en-US" w:eastAsia="zh-CN"/>
              </w:rPr>
              <w:t>1.5t/a</w:t>
            </w:r>
            <w:r>
              <w:rPr>
                <w:rFonts w:hint="eastAsia" w:ascii="Times New Roman" w:hAnsi="Times New Roman" w:eastAsia="宋体" w:cs="Times New Roman"/>
                <w:color w:val="000000"/>
                <w:sz w:val="24"/>
                <w:highlight w:val="none"/>
                <w:lang w:val="en-US" w:eastAsia="zh-CN"/>
              </w:rPr>
              <w:t>。生活垃圾属无毒无害废物，建设单位在办公室设置生活垃圾箱，将员工产生的生活垃圾集中分类收集，交由环卫部门统一处理。</w:t>
            </w:r>
          </w:p>
          <w:p w14:paraId="00696401">
            <w:pPr>
              <w:pStyle w:val="71"/>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default" w:ascii="Times New Roman" w:hAnsi="Times New Roman" w:eastAsia="宋体" w:cs="Times New Roman"/>
                <w:b/>
                <w:bCs w:val="0"/>
                <w:color w:val="000000"/>
                <w:sz w:val="28"/>
                <w:szCs w:val="28"/>
                <w:highlight w:val="none"/>
                <w:lang w:val="en-US" w:eastAsia="zh-CN"/>
              </w:rPr>
            </w:pPr>
            <w:r>
              <w:rPr>
                <w:rFonts w:hint="eastAsia" w:ascii="Times New Roman" w:hAnsi="Times New Roman" w:eastAsia="宋体" w:cs="Times New Roman"/>
                <w:b/>
                <w:bCs w:val="0"/>
                <w:color w:val="000000"/>
                <w:sz w:val="28"/>
                <w:szCs w:val="28"/>
                <w:highlight w:val="none"/>
                <w:lang w:val="en-US" w:eastAsia="zh-CN"/>
              </w:rPr>
              <w:t>5.</w:t>
            </w:r>
            <w:r>
              <w:rPr>
                <w:rFonts w:hint="default" w:ascii="Times New Roman" w:hAnsi="Times New Roman" w:eastAsia="宋体" w:cs="Times New Roman"/>
                <w:b/>
                <w:bCs w:val="0"/>
                <w:color w:val="000000"/>
                <w:sz w:val="28"/>
                <w:szCs w:val="28"/>
                <w:highlight w:val="none"/>
                <w:lang w:val="en-US" w:eastAsia="zh-CN"/>
              </w:rPr>
              <w:t>地下水影响分析</w:t>
            </w:r>
          </w:p>
          <w:p w14:paraId="1B29A93B">
            <w:pPr>
              <w:pStyle w:val="71"/>
              <w:keepNext w:val="0"/>
              <w:keepLines w:val="0"/>
              <w:pageBreakBefore w:val="0"/>
              <w:widowControl w:val="0"/>
              <w:kinsoku/>
              <w:wordWrap/>
              <w:overflowPunct/>
              <w:topLinePunct w:val="0"/>
              <w:autoSpaceDE/>
              <w:autoSpaceDN/>
              <w:bidi w:val="0"/>
              <w:adjustRightInd w:val="0"/>
              <w:snapToGrid w:val="0"/>
              <w:spacing w:line="360" w:lineRule="auto"/>
              <w:ind w:left="0"/>
              <w:textAlignment w:val="auto"/>
              <w:rPr>
                <w:rFonts w:hint="default" w:ascii="Times New Roman" w:hAnsi="Times New Roman" w:eastAsia="宋体" w:cs="Times New Roman"/>
                <w:b/>
                <w:bCs w:val="0"/>
                <w:color w:val="000000"/>
                <w:sz w:val="24"/>
                <w:szCs w:val="24"/>
                <w:highlight w:val="none"/>
                <w:lang w:val="en-US" w:eastAsia="zh-CN"/>
              </w:rPr>
            </w:pPr>
            <w:r>
              <w:rPr>
                <w:rFonts w:hint="default" w:ascii="Times New Roman" w:hAnsi="Times New Roman" w:eastAsia="宋体" w:cs="Times New Roman"/>
                <w:b/>
                <w:bCs w:val="0"/>
                <w:color w:val="000000"/>
                <w:sz w:val="24"/>
                <w:szCs w:val="24"/>
                <w:highlight w:val="none"/>
                <w:lang w:val="en-US" w:eastAsia="zh-CN"/>
              </w:rPr>
              <w:t>5.1污染源及污染途径</w:t>
            </w:r>
          </w:p>
          <w:p w14:paraId="6ED8A03B">
            <w:pPr>
              <w:pStyle w:val="71"/>
              <w:keepNext w:val="0"/>
              <w:keepLines w:val="0"/>
              <w:pageBreakBefore w:val="0"/>
              <w:widowControl w:val="0"/>
              <w:kinsoku/>
              <w:wordWrap/>
              <w:overflowPunct/>
              <w:topLinePunct w:val="0"/>
              <w:autoSpaceDE/>
              <w:autoSpaceDN/>
              <w:bidi w:val="0"/>
              <w:adjustRightInd w:val="0"/>
              <w:snapToGrid w:val="0"/>
              <w:spacing w:line="360" w:lineRule="auto"/>
              <w:ind w:left="0"/>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lang w:val="en-US" w:eastAsia="zh-CN"/>
              </w:rPr>
              <w:t>项目运营期地下水的污染源主要为防渗化粪池、储罐区、沉淀池、</w:t>
            </w:r>
            <w:r>
              <w:rPr>
                <w:rFonts w:hint="eastAsia" w:ascii="Times New Roman" w:hAnsi="Times New Roman" w:eastAsia="宋体" w:cs="Times New Roman"/>
                <w:color w:val="000000"/>
                <w:sz w:val="24"/>
                <w:szCs w:val="24"/>
                <w:highlight w:val="none"/>
                <w:lang w:val="en-US" w:eastAsia="zh-CN"/>
              </w:rPr>
              <w:t>危险废物贮存库</w:t>
            </w:r>
            <w:r>
              <w:rPr>
                <w:rFonts w:hint="default" w:ascii="Times New Roman" w:hAnsi="Times New Roman" w:eastAsia="宋体" w:cs="Times New Roman"/>
                <w:color w:val="000000"/>
                <w:sz w:val="24"/>
                <w:szCs w:val="24"/>
                <w:highlight w:val="none"/>
                <w:lang w:val="en-US" w:eastAsia="zh-CN"/>
              </w:rPr>
              <w:t>等发生</w:t>
            </w:r>
            <w:r>
              <w:rPr>
                <w:rFonts w:hint="eastAsia" w:cs="Times New Roman"/>
                <w:color w:val="000000"/>
                <w:sz w:val="24"/>
                <w:szCs w:val="24"/>
                <w:highlight w:val="none"/>
                <w:lang w:val="en-US" w:eastAsia="zh-CN"/>
              </w:rPr>
              <w:t>泄漏</w:t>
            </w:r>
            <w:r>
              <w:rPr>
                <w:rFonts w:hint="default" w:ascii="Times New Roman" w:hAnsi="Times New Roman" w:eastAsia="宋体" w:cs="Times New Roman"/>
                <w:color w:val="000000"/>
                <w:sz w:val="24"/>
                <w:szCs w:val="24"/>
                <w:highlight w:val="none"/>
                <w:lang w:val="en-US" w:eastAsia="zh-CN"/>
              </w:rPr>
              <w:t>，主要污染途径为垂直下渗。</w:t>
            </w:r>
          </w:p>
          <w:p w14:paraId="4DCA7461">
            <w:pPr>
              <w:pStyle w:val="71"/>
              <w:keepNext w:val="0"/>
              <w:keepLines w:val="0"/>
              <w:pageBreakBefore w:val="0"/>
              <w:widowControl w:val="0"/>
              <w:kinsoku/>
              <w:wordWrap/>
              <w:overflowPunct/>
              <w:topLinePunct w:val="0"/>
              <w:autoSpaceDE/>
              <w:autoSpaceDN/>
              <w:bidi w:val="0"/>
              <w:adjustRightInd w:val="0"/>
              <w:snapToGrid w:val="0"/>
              <w:spacing w:line="360" w:lineRule="auto"/>
              <w:ind w:left="0"/>
              <w:textAlignment w:val="auto"/>
              <w:rPr>
                <w:rFonts w:hint="default" w:ascii="Times New Roman" w:hAnsi="Times New Roman" w:eastAsia="宋体" w:cs="Times New Roman"/>
                <w:b/>
                <w:bCs w:val="0"/>
                <w:color w:val="000000"/>
                <w:sz w:val="24"/>
                <w:szCs w:val="24"/>
                <w:highlight w:val="none"/>
                <w:lang w:eastAsia="zh-CN"/>
              </w:rPr>
            </w:pPr>
            <w:r>
              <w:rPr>
                <w:rFonts w:hint="default" w:ascii="Times New Roman" w:hAnsi="Times New Roman" w:eastAsia="宋体" w:cs="Times New Roman"/>
                <w:b/>
                <w:bCs w:val="0"/>
                <w:color w:val="000000"/>
                <w:sz w:val="24"/>
                <w:szCs w:val="24"/>
                <w:highlight w:val="none"/>
                <w:lang w:val="en-US" w:eastAsia="zh-CN"/>
              </w:rPr>
              <w:t>5.2防控措施</w:t>
            </w:r>
          </w:p>
          <w:p w14:paraId="4D2AEE14">
            <w:pPr>
              <w:pStyle w:val="71"/>
              <w:keepNext w:val="0"/>
              <w:keepLines w:val="0"/>
              <w:pageBreakBefore w:val="0"/>
              <w:widowControl w:val="0"/>
              <w:kinsoku/>
              <w:wordWrap/>
              <w:overflowPunct/>
              <w:topLinePunct w:val="0"/>
              <w:autoSpaceDE/>
              <w:autoSpaceDN/>
              <w:bidi w:val="0"/>
              <w:adjustRightInd w:val="0"/>
              <w:snapToGrid w:val="0"/>
              <w:spacing w:line="360" w:lineRule="auto"/>
              <w:ind w:left="0"/>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lang w:val="en-US" w:eastAsia="zh-CN"/>
              </w:rPr>
              <w:t>（1）预防措施</w:t>
            </w:r>
          </w:p>
          <w:p w14:paraId="2E3F3D29">
            <w:pPr>
              <w:pStyle w:val="71"/>
              <w:keepNext w:val="0"/>
              <w:keepLines w:val="0"/>
              <w:pageBreakBefore w:val="0"/>
              <w:widowControl w:val="0"/>
              <w:kinsoku/>
              <w:wordWrap/>
              <w:overflowPunct/>
              <w:topLinePunct w:val="0"/>
              <w:autoSpaceDE/>
              <w:autoSpaceDN/>
              <w:bidi w:val="0"/>
              <w:adjustRightInd w:val="0"/>
              <w:snapToGrid w:val="0"/>
              <w:spacing w:line="360" w:lineRule="auto"/>
              <w:ind w:left="0"/>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lang w:val="en-US" w:eastAsia="zh-CN"/>
              </w:rPr>
              <w:t>预防措施主要是在本项目工程设计、施工时，应严把设计、施工质量关，杜绝因材质、制管、防腐涂层、焊接缺陷及运行失误造成的管线泄漏</w:t>
            </w:r>
            <w:r>
              <w:rPr>
                <w:rFonts w:hint="eastAsia" w:ascii="Times New Roman" w:hAnsi="Times New Roman" w:eastAsia="宋体" w:cs="Times New Roman"/>
                <w:color w:val="000000"/>
                <w:sz w:val="24"/>
                <w:szCs w:val="24"/>
                <w:highlight w:val="none"/>
                <w:lang w:val="en-US" w:eastAsia="zh-CN"/>
              </w:rPr>
              <w:t>，在</w:t>
            </w:r>
            <w:r>
              <w:rPr>
                <w:rFonts w:hint="default" w:ascii="Times New Roman" w:hAnsi="Times New Roman" w:eastAsia="宋体" w:cs="Times New Roman"/>
                <w:color w:val="000000"/>
                <w:sz w:val="24"/>
                <w:szCs w:val="24"/>
                <w:highlight w:val="none"/>
                <w:lang w:val="en-US" w:eastAsia="zh-CN"/>
              </w:rPr>
              <w:t>生产运行过程中，必须严格控制生产装置的跑冒滴漏，强化监控手段，定期检查，杜绝厂区存在长期事故排放的点源。</w:t>
            </w:r>
          </w:p>
          <w:p w14:paraId="30AF01C5">
            <w:pPr>
              <w:pStyle w:val="71"/>
              <w:keepNext w:val="0"/>
              <w:keepLines w:val="0"/>
              <w:pageBreakBefore w:val="0"/>
              <w:widowControl w:val="0"/>
              <w:kinsoku/>
              <w:wordWrap/>
              <w:overflowPunct/>
              <w:topLinePunct w:val="0"/>
              <w:autoSpaceDE/>
              <w:autoSpaceDN/>
              <w:bidi w:val="0"/>
              <w:adjustRightInd w:val="0"/>
              <w:snapToGrid w:val="0"/>
              <w:spacing w:line="360" w:lineRule="auto"/>
              <w:ind w:left="0"/>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lang w:val="en-US" w:eastAsia="zh-CN"/>
              </w:rPr>
              <w:t>（2）防渗分区措施</w:t>
            </w:r>
          </w:p>
          <w:p w14:paraId="08E21CB7">
            <w:pPr>
              <w:pStyle w:val="71"/>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lang w:val="en-US" w:eastAsia="zh-CN"/>
              </w:rPr>
              <w:t>为有效预防地下水污染，本项目采取分区防渗措施。本项目按重点防渗区</w:t>
            </w:r>
            <w:r>
              <w:rPr>
                <w:rFonts w:hint="eastAsia" w:ascii="Times New Roman" w:hAnsi="Times New Roman" w:eastAsia="宋体" w:cs="Times New Roman"/>
                <w:color w:val="000000"/>
                <w:sz w:val="24"/>
                <w:szCs w:val="24"/>
                <w:highlight w:val="none"/>
                <w:lang w:val="en-US" w:eastAsia="zh-CN"/>
              </w:rPr>
              <w:t>、</w:t>
            </w:r>
            <w:r>
              <w:rPr>
                <w:rFonts w:hint="default" w:ascii="Times New Roman" w:hAnsi="Times New Roman" w:cs="Times New Roman"/>
                <w:sz w:val="24"/>
                <w:szCs w:val="24"/>
              </w:rPr>
              <w:t>一般防渗区</w:t>
            </w:r>
            <w:r>
              <w:rPr>
                <w:rFonts w:hint="default" w:ascii="Times New Roman" w:hAnsi="Times New Roman" w:eastAsia="宋体" w:cs="Times New Roman"/>
                <w:color w:val="000000"/>
                <w:sz w:val="24"/>
                <w:szCs w:val="24"/>
                <w:highlight w:val="none"/>
                <w:lang w:val="en-US" w:eastAsia="zh-CN"/>
              </w:rPr>
              <w:t>和简单防渗区分区域进行防渗处理。</w:t>
            </w:r>
          </w:p>
          <w:p w14:paraId="5DF2BADB">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一般防渗区</w:t>
            </w:r>
          </w:p>
          <w:p w14:paraId="7BAB4549">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rPr>
              <w:t>指对地下水环境有污染的物料或者污染物</w:t>
            </w:r>
            <w:r>
              <w:rPr>
                <w:rFonts w:hint="default" w:ascii="Times New Roman" w:hAnsi="Times New Roman" w:cs="Times New Roman"/>
                <w:sz w:val="24"/>
                <w:szCs w:val="24"/>
                <w:lang w:eastAsia="zh-CN"/>
              </w:rPr>
              <w:t>泄漏</w:t>
            </w:r>
            <w:r>
              <w:rPr>
                <w:rFonts w:hint="default" w:ascii="Times New Roman" w:hAnsi="Times New Roman" w:cs="Times New Roman"/>
                <w:sz w:val="24"/>
                <w:szCs w:val="24"/>
              </w:rPr>
              <w:t>后，可及时发现和处理的区域或部位，主要为</w:t>
            </w:r>
            <w:r>
              <w:rPr>
                <w:rFonts w:hint="eastAsia" w:ascii="Times New Roman" w:hAnsi="Times New Roman" w:cs="Times New Roman"/>
                <w:sz w:val="24"/>
                <w:szCs w:val="24"/>
                <w:lang w:eastAsia="zh-CN"/>
              </w:rPr>
              <w:t>一般</w:t>
            </w:r>
            <w:r>
              <w:rPr>
                <w:rFonts w:hint="default" w:ascii="Times New Roman" w:hAnsi="Times New Roman" w:cs="Times New Roman"/>
                <w:sz w:val="24"/>
                <w:szCs w:val="24"/>
                <w:lang w:eastAsia="zh-CN"/>
              </w:rPr>
              <w:t>化粪池、</w:t>
            </w:r>
            <w:r>
              <w:rPr>
                <w:rFonts w:hint="eastAsia" w:cs="Times New Roman"/>
                <w:sz w:val="24"/>
                <w:szCs w:val="24"/>
                <w:lang w:val="en-US" w:eastAsia="zh-CN"/>
              </w:rPr>
              <w:t>煤棚</w:t>
            </w:r>
            <w:r>
              <w:rPr>
                <w:rFonts w:hint="default" w:ascii="Times New Roman" w:hAnsi="Times New Roman" w:cs="Times New Roman"/>
                <w:sz w:val="24"/>
                <w:szCs w:val="24"/>
              </w:rPr>
              <w:t>。该区域防渗技术要求：等效黏土防渗层Mb≥1.5m，K≤1×10</w:t>
            </w:r>
            <w:r>
              <w:rPr>
                <w:rFonts w:hint="eastAsia" w:ascii="Times New Roman" w:hAnsi="Times New Roman" w:cs="Times New Roman"/>
                <w:sz w:val="24"/>
                <w:szCs w:val="24"/>
                <w:vertAlign w:val="superscript"/>
                <w:lang w:val="en-US" w:eastAsia="zh-CN"/>
              </w:rPr>
              <w:t>-</w:t>
            </w:r>
            <w:r>
              <w:rPr>
                <w:rFonts w:hint="default" w:ascii="Times New Roman" w:hAnsi="Times New Roman" w:cs="Times New Roman"/>
                <w:sz w:val="24"/>
                <w:szCs w:val="24"/>
                <w:vertAlign w:val="superscript"/>
              </w:rPr>
              <w:t>7</w:t>
            </w:r>
            <w:r>
              <w:rPr>
                <w:rFonts w:hint="default" w:ascii="Times New Roman" w:hAnsi="Times New Roman" w:cs="Times New Roman"/>
                <w:sz w:val="24"/>
                <w:szCs w:val="24"/>
              </w:rPr>
              <w:t>cm/s或参照GB16889执行。</w:t>
            </w:r>
          </w:p>
          <w:p w14:paraId="1B029942">
            <w:pPr>
              <w:spacing w:line="360" w:lineRule="auto"/>
              <w:ind w:firstLine="480" w:firstLineChars="200"/>
              <w:rPr>
                <w:rFonts w:hint="default" w:ascii="Times New Roman" w:hAnsi="Times New Roman" w:eastAsia="宋体" w:cs="Times New Roman"/>
                <w:color w:val="000000"/>
                <w:sz w:val="24"/>
                <w:highlight w:val="none"/>
              </w:rPr>
            </w:pPr>
            <w:r>
              <w:rPr>
                <w:rFonts w:hint="default" w:ascii="Times New Roman" w:hAnsi="Times New Roman" w:eastAsia="宋体" w:cs="Times New Roman"/>
                <w:color w:val="000000"/>
                <w:sz w:val="24"/>
                <w:highlight w:val="none"/>
              </w:rPr>
              <w:fldChar w:fldCharType="begin"/>
            </w:r>
            <w:r>
              <w:rPr>
                <w:rFonts w:hint="default" w:ascii="Times New Roman" w:hAnsi="Times New Roman" w:eastAsia="宋体" w:cs="Times New Roman"/>
                <w:color w:val="000000"/>
                <w:sz w:val="24"/>
                <w:highlight w:val="none"/>
              </w:rPr>
              <w:instrText xml:space="preserve"> = 3 \* GB3 \* MERGEFORMAT </w:instrText>
            </w:r>
            <w:r>
              <w:rPr>
                <w:rFonts w:hint="default" w:ascii="Times New Roman" w:hAnsi="Times New Roman" w:eastAsia="宋体" w:cs="Times New Roman"/>
                <w:color w:val="000000"/>
                <w:sz w:val="24"/>
                <w:highlight w:val="none"/>
              </w:rPr>
              <w:fldChar w:fldCharType="separate"/>
            </w:r>
            <w:r>
              <w:t>③</w:t>
            </w:r>
            <w:r>
              <w:rPr>
                <w:rFonts w:hint="eastAsia"/>
                <w:lang w:eastAsia="zh-CN"/>
              </w:rPr>
              <w:t>简单</w:t>
            </w:r>
            <w:r>
              <w:rPr>
                <w:rFonts w:hint="default" w:ascii="Times New Roman" w:hAnsi="Times New Roman" w:eastAsia="宋体" w:cs="Times New Roman"/>
                <w:color w:val="000000"/>
                <w:sz w:val="24"/>
                <w:highlight w:val="none"/>
              </w:rPr>
              <w:fldChar w:fldCharType="end"/>
            </w:r>
            <w:r>
              <w:rPr>
                <w:rFonts w:hint="default" w:ascii="Times New Roman" w:hAnsi="Times New Roman" w:eastAsia="宋体" w:cs="Times New Roman"/>
                <w:color w:val="000000"/>
                <w:sz w:val="24"/>
                <w:highlight w:val="none"/>
              </w:rPr>
              <w:t>防渗区</w:t>
            </w:r>
          </w:p>
          <w:p w14:paraId="137E9176">
            <w:pPr>
              <w:spacing w:line="360" w:lineRule="auto"/>
              <w:ind w:firstLine="480" w:firstLineChars="200"/>
              <w:rPr>
                <w:rFonts w:hint="default" w:ascii="Times New Roman" w:hAnsi="Times New Roman" w:eastAsia="宋体" w:cs="Times New Roman"/>
                <w:color w:val="000000"/>
                <w:sz w:val="24"/>
                <w:highlight w:val="none"/>
              </w:rPr>
            </w:pPr>
            <w:r>
              <w:rPr>
                <w:rFonts w:hint="default" w:ascii="Times New Roman" w:hAnsi="Times New Roman" w:eastAsia="宋体" w:cs="Times New Roman"/>
                <w:color w:val="000000"/>
                <w:sz w:val="24"/>
                <w:szCs w:val="24"/>
                <w:highlight w:val="none"/>
                <w:lang w:val="en-US" w:eastAsia="zh-CN"/>
              </w:rPr>
              <w:t>其他生产生活设施为简单防渗区，</w:t>
            </w:r>
            <w:r>
              <w:rPr>
                <w:rFonts w:hint="default" w:ascii="Times New Roman" w:hAnsi="Times New Roman" w:eastAsia="宋体" w:cs="Times New Roman"/>
                <w:color w:val="000000"/>
                <w:sz w:val="24"/>
                <w:highlight w:val="none"/>
              </w:rPr>
              <w:t>采取的防渗措施为地面</w:t>
            </w:r>
            <w:r>
              <w:rPr>
                <w:rFonts w:hint="eastAsia" w:ascii="Times New Roman" w:hAnsi="Times New Roman" w:eastAsia="宋体" w:cs="Times New Roman"/>
                <w:color w:val="000000"/>
                <w:sz w:val="24"/>
                <w:highlight w:val="none"/>
                <w:lang w:eastAsia="zh-CN"/>
              </w:rPr>
              <w:t>混凝土浇筑</w:t>
            </w:r>
            <w:r>
              <w:rPr>
                <w:rFonts w:hint="default" w:ascii="Times New Roman" w:hAnsi="Times New Roman" w:eastAsia="宋体" w:cs="Times New Roman"/>
                <w:color w:val="000000"/>
                <w:sz w:val="24"/>
                <w:highlight w:val="none"/>
              </w:rPr>
              <w:t>底板，达到简单防渗要求。</w:t>
            </w:r>
          </w:p>
          <w:p w14:paraId="77FE4476">
            <w:pPr>
              <w:spacing w:line="360" w:lineRule="auto"/>
              <w:ind w:firstLine="480" w:firstLineChars="200"/>
              <w:rPr>
                <w:rFonts w:hint="default" w:ascii="Times New Roman" w:hAnsi="Times New Roman" w:eastAsia="宋体" w:cs="Times New Roman"/>
                <w:color w:val="000000"/>
                <w:sz w:val="24"/>
                <w:highlight w:val="none"/>
              </w:rPr>
            </w:pPr>
            <w:r>
              <w:rPr>
                <w:rFonts w:hint="default" w:ascii="Times New Roman" w:hAnsi="Times New Roman" w:cs="Times New Roman"/>
                <w:sz w:val="24"/>
                <w:szCs w:val="24"/>
              </w:rPr>
              <w:t>针对不同的防渗区域采取不同防渗措施，并给出不同分区的具体防渗要求。项目分区防渗要求见</w:t>
            </w:r>
            <w:r>
              <w:rPr>
                <w:rFonts w:hint="default" w:ascii="Times New Roman" w:hAnsi="Times New Roman" w:cs="Times New Roman"/>
                <w:sz w:val="24"/>
                <w:szCs w:val="24"/>
                <w:lang w:eastAsia="zh-CN"/>
              </w:rPr>
              <w:t>下表。</w:t>
            </w:r>
          </w:p>
          <w:p w14:paraId="5BE33271">
            <w:pPr>
              <w:pStyle w:val="71"/>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val="0"/>
                <w:color w:val="000000"/>
                <w:sz w:val="24"/>
                <w:szCs w:val="24"/>
                <w:highlight w:val="none"/>
              </w:rPr>
            </w:pPr>
            <w:r>
              <w:rPr>
                <w:rFonts w:hint="default" w:ascii="Times New Roman" w:hAnsi="Times New Roman" w:eastAsia="宋体" w:cs="Times New Roman"/>
                <w:b/>
                <w:bCs w:val="0"/>
                <w:color w:val="000000"/>
                <w:sz w:val="21"/>
                <w:szCs w:val="21"/>
                <w:highlight w:val="none"/>
              </w:rPr>
              <w:t>表</w:t>
            </w:r>
            <w:r>
              <w:rPr>
                <w:rFonts w:hint="eastAsia" w:ascii="Times New Roman" w:hAnsi="Times New Roman" w:eastAsia="宋体" w:cs="Times New Roman"/>
                <w:b/>
                <w:bCs w:val="0"/>
                <w:color w:val="000000"/>
                <w:sz w:val="21"/>
                <w:szCs w:val="21"/>
                <w:highlight w:val="none"/>
                <w:lang w:val="en-US" w:eastAsia="zh-CN"/>
              </w:rPr>
              <w:t>4-</w:t>
            </w:r>
            <w:r>
              <w:rPr>
                <w:rFonts w:hint="eastAsia" w:cs="Times New Roman"/>
                <w:b/>
                <w:bCs w:val="0"/>
                <w:color w:val="000000"/>
                <w:sz w:val="21"/>
                <w:szCs w:val="21"/>
                <w:highlight w:val="none"/>
                <w:lang w:val="en-US" w:eastAsia="zh-CN"/>
              </w:rPr>
              <w:t>8</w:t>
            </w:r>
            <w:r>
              <w:rPr>
                <w:rFonts w:hint="eastAsia" w:ascii="Times New Roman" w:hAnsi="Times New Roman" w:eastAsia="宋体" w:cs="Times New Roman"/>
                <w:b/>
                <w:bCs w:val="0"/>
                <w:color w:val="000000"/>
                <w:sz w:val="21"/>
                <w:szCs w:val="21"/>
                <w:highlight w:val="none"/>
                <w:lang w:val="en-US" w:eastAsia="zh-CN"/>
              </w:rPr>
              <w:t xml:space="preserve"> </w:t>
            </w:r>
            <w:r>
              <w:rPr>
                <w:rFonts w:hint="default" w:ascii="Times New Roman" w:hAnsi="Times New Roman" w:eastAsia="宋体" w:cs="Times New Roman"/>
                <w:b/>
                <w:bCs w:val="0"/>
                <w:color w:val="000000"/>
                <w:sz w:val="21"/>
                <w:szCs w:val="21"/>
                <w:highlight w:val="none"/>
              </w:rPr>
              <w:t>项目污染地下水途径及防治措施一览表</w:t>
            </w:r>
          </w:p>
          <w:tbl>
            <w:tblPr>
              <w:tblStyle w:val="25"/>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357"/>
              <w:gridCol w:w="1404"/>
              <w:gridCol w:w="5213"/>
            </w:tblGrid>
            <w:tr w14:paraId="516EF5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31" w:type="pct"/>
                  <w:gridSpan w:val="2"/>
                  <w:tcBorders>
                    <w:tl2br w:val="nil"/>
                    <w:tr2bl w:val="nil"/>
                  </w:tcBorders>
                  <w:noWrap w:val="0"/>
                  <w:vAlign w:val="center"/>
                </w:tcPr>
                <w:p w14:paraId="17CEFEC7">
                  <w:pPr>
                    <w:jc w:val="center"/>
                    <w:rPr>
                      <w:rFonts w:hint="default" w:ascii="Times New Roman" w:hAnsi="Times New Roman" w:cs="Times New Roman"/>
                      <w:color w:val="000000"/>
                      <w:sz w:val="21"/>
                      <w:szCs w:val="21"/>
                      <w:lang w:eastAsia="zh-CN"/>
                    </w:rPr>
                  </w:pPr>
                  <w:r>
                    <w:rPr>
                      <w:rFonts w:hint="default" w:ascii="Times New Roman" w:hAnsi="Times New Roman" w:cs="Times New Roman"/>
                      <w:color w:val="000000"/>
                      <w:sz w:val="21"/>
                      <w:szCs w:val="21"/>
                      <w:lang w:eastAsia="zh-CN"/>
                    </w:rPr>
                    <w:t>防渗区域</w:t>
                  </w:r>
                </w:p>
              </w:tc>
              <w:tc>
                <w:tcPr>
                  <w:tcW w:w="3268" w:type="pct"/>
                  <w:tcBorders>
                    <w:tl2br w:val="nil"/>
                    <w:tr2bl w:val="nil"/>
                  </w:tcBorders>
                  <w:noWrap w:val="0"/>
                  <w:vAlign w:val="center"/>
                </w:tcPr>
                <w:p w14:paraId="50D757DA">
                  <w:pPr>
                    <w:jc w:val="center"/>
                    <w:rPr>
                      <w:rFonts w:hint="default" w:ascii="Times New Roman" w:hAnsi="Times New Roman" w:eastAsia="宋体" w:cs="Times New Roman"/>
                      <w:color w:val="000000"/>
                      <w:sz w:val="21"/>
                      <w:szCs w:val="21"/>
                      <w:lang w:eastAsia="zh-CN"/>
                    </w:rPr>
                  </w:pPr>
                  <w:r>
                    <w:rPr>
                      <w:rFonts w:hint="default" w:ascii="Times New Roman" w:hAnsi="Times New Roman" w:cs="Times New Roman"/>
                      <w:color w:val="000000"/>
                      <w:sz w:val="21"/>
                      <w:szCs w:val="21"/>
                      <w:lang w:eastAsia="zh-CN"/>
                    </w:rPr>
                    <w:t>具体要求</w:t>
                  </w:r>
                </w:p>
              </w:tc>
            </w:tr>
            <w:tr w14:paraId="64BA43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50" w:type="pct"/>
                  <w:tcBorders>
                    <w:tl2br w:val="nil"/>
                    <w:tr2bl w:val="nil"/>
                  </w:tcBorders>
                  <w:noWrap w:val="0"/>
                  <w:vAlign w:val="center"/>
                </w:tcPr>
                <w:p w14:paraId="4776E3C6">
                  <w:pPr>
                    <w:jc w:val="center"/>
                    <w:rPr>
                      <w:rFonts w:hint="default" w:ascii="Times New Roman" w:hAnsi="Times New Roman" w:eastAsia="宋体" w:cs="Times New Roman"/>
                      <w:color w:val="000000"/>
                      <w:sz w:val="21"/>
                      <w:szCs w:val="21"/>
                      <w:lang w:eastAsia="zh-CN"/>
                    </w:rPr>
                  </w:pPr>
                  <w:r>
                    <w:rPr>
                      <w:rFonts w:hint="default" w:ascii="Times New Roman" w:hAnsi="Times New Roman" w:cs="Times New Roman"/>
                      <w:color w:val="000000"/>
                      <w:sz w:val="21"/>
                      <w:szCs w:val="21"/>
                      <w:lang w:eastAsia="zh-CN"/>
                    </w:rPr>
                    <w:t>一般防渗区</w:t>
                  </w:r>
                </w:p>
              </w:tc>
              <w:tc>
                <w:tcPr>
                  <w:tcW w:w="880" w:type="pct"/>
                  <w:tcBorders>
                    <w:tl2br w:val="nil"/>
                    <w:tr2bl w:val="nil"/>
                  </w:tcBorders>
                  <w:noWrap w:val="0"/>
                  <w:vAlign w:val="center"/>
                </w:tcPr>
                <w:p w14:paraId="6855524E">
                  <w:pPr>
                    <w:jc w:val="center"/>
                    <w:rPr>
                      <w:rFonts w:hint="default" w:ascii="Times New Roman" w:hAnsi="Times New Roman" w:eastAsia="宋体" w:cs="Times New Roman"/>
                      <w:color w:val="000000"/>
                      <w:sz w:val="21"/>
                      <w:szCs w:val="21"/>
                      <w:lang w:eastAsia="zh-CN"/>
                    </w:rPr>
                  </w:pPr>
                  <w:r>
                    <w:rPr>
                      <w:rFonts w:hint="default" w:ascii="Times New Roman" w:hAnsi="Times New Roman" w:cs="Times New Roman"/>
                      <w:sz w:val="21"/>
                      <w:szCs w:val="21"/>
                      <w:lang w:eastAsia="zh-CN"/>
                    </w:rPr>
                    <w:t>化粪池、</w:t>
                  </w:r>
                  <w:r>
                    <w:rPr>
                      <w:rFonts w:hint="eastAsia" w:cs="Times New Roman"/>
                      <w:sz w:val="21"/>
                      <w:szCs w:val="21"/>
                      <w:lang w:val="en-US" w:eastAsia="zh-CN"/>
                    </w:rPr>
                    <w:t>煤棚</w:t>
                  </w:r>
                </w:p>
              </w:tc>
              <w:tc>
                <w:tcPr>
                  <w:tcW w:w="3268" w:type="pct"/>
                  <w:tcBorders>
                    <w:tl2br w:val="nil"/>
                    <w:tr2bl w:val="nil"/>
                  </w:tcBorders>
                  <w:noWrap w:val="0"/>
                  <w:vAlign w:val="center"/>
                </w:tcPr>
                <w:p w14:paraId="77F2C32B">
                  <w:pPr>
                    <w:jc w:val="center"/>
                    <w:rPr>
                      <w:rFonts w:hint="default" w:ascii="Times New Roman" w:hAnsi="Times New Roman" w:cs="Times New Roman"/>
                      <w:color w:val="000000"/>
                      <w:sz w:val="21"/>
                      <w:szCs w:val="21"/>
                    </w:rPr>
                  </w:pPr>
                  <w:r>
                    <w:rPr>
                      <w:rFonts w:hint="default" w:ascii="Times New Roman" w:hAnsi="Times New Roman" w:cs="Times New Roman"/>
                      <w:sz w:val="21"/>
                      <w:szCs w:val="21"/>
                    </w:rPr>
                    <w:t>等效黏土防渗层Mb≥1.5m，K≤1×10</w:t>
                  </w:r>
                  <w:r>
                    <w:rPr>
                      <w:rFonts w:hint="eastAsia" w:ascii="Times New Roman" w:hAnsi="Times New Roman" w:cs="Times New Roman"/>
                      <w:sz w:val="21"/>
                      <w:szCs w:val="21"/>
                      <w:vertAlign w:val="superscript"/>
                      <w:lang w:val="en-US" w:eastAsia="zh-CN"/>
                    </w:rPr>
                    <w:t>-</w:t>
                  </w:r>
                  <w:r>
                    <w:rPr>
                      <w:rFonts w:hint="default" w:ascii="Times New Roman" w:hAnsi="Times New Roman" w:cs="Times New Roman"/>
                      <w:sz w:val="21"/>
                      <w:szCs w:val="21"/>
                      <w:vertAlign w:val="superscript"/>
                    </w:rPr>
                    <w:t>7</w:t>
                  </w:r>
                  <w:r>
                    <w:rPr>
                      <w:rFonts w:hint="default" w:ascii="Times New Roman" w:hAnsi="Times New Roman" w:cs="Times New Roman"/>
                      <w:sz w:val="21"/>
                      <w:szCs w:val="21"/>
                    </w:rPr>
                    <w:t>cm/s或参照GB16889执行</w:t>
                  </w:r>
                </w:p>
              </w:tc>
            </w:tr>
            <w:tr w14:paraId="50336D7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50" w:type="pct"/>
                  <w:tcBorders>
                    <w:tl2br w:val="nil"/>
                    <w:tr2bl w:val="nil"/>
                  </w:tcBorders>
                  <w:noWrap w:val="0"/>
                  <w:vAlign w:val="center"/>
                </w:tcPr>
                <w:p w14:paraId="03E1E872">
                  <w:pPr>
                    <w:jc w:val="center"/>
                    <w:rPr>
                      <w:rFonts w:hint="default" w:ascii="Times New Roman" w:hAnsi="Times New Roman" w:cs="Times New Roman"/>
                      <w:color w:val="000000"/>
                      <w:sz w:val="21"/>
                      <w:szCs w:val="21"/>
                      <w:lang w:eastAsia="zh-CN"/>
                    </w:rPr>
                  </w:pPr>
                  <w:r>
                    <w:rPr>
                      <w:rFonts w:hint="default" w:ascii="Times New Roman" w:hAnsi="Times New Roman" w:cs="Times New Roman"/>
                      <w:color w:val="000000"/>
                      <w:sz w:val="21"/>
                      <w:szCs w:val="21"/>
                      <w:lang w:eastAsia="zh-CN"/>
                    </w:rPr>
                    <w:t>简单防渗区</w:t>
                  </w:r>
                </w:p>
              </w:tc>
              <w:tc>
                <w:tcPr>
                  <w:tcW w:w="880" w:type="pct"/>
                  <w:tcBorders>
                    <w:tl2br w:val="nil"/>
                    <w:tr2bl w:val="nil"/>
                  </w:tcBorders>
                  <w:noWrap w:val="0"/>
                  <w:vAlign w:val="center"/>
                </w:tcPr>
                <w:p w14:paraId="47A67C6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eastAsia="zh-CN"/>
                    </w:rPr>
                    <w:t>办公区</w:t>
                  </w:r>
                  <w:r>
                    <w:rPr>
                      <w:rFonts w:hint="eastAsia" w:ascii="Times New Roman" w:hAnsi="Times New Roman" w:cs="Times New Roman"/>
                      <w:color w:val="000000"/>
                      <w:sz w:val="21"/>
                      <w:szCs w:val="21"/>
                      <w:lang w:val="en-US" w:eastAsia="zh-CN"/>
                    </w:rPr>
                    <w:t>等其他生产生活区域</w:t>
                  </w:r>
                </w:p>
              </w:tc>
              <w:tc>
                <w:tcPr>
                  <w:tcW w:w="3268" w:type="pct"/>
                  <w:tcBorders>
                    <w:tl2br w:val="nil"/>
                    <w:tr2bl w:val="nil"/>
                  </w:tcBorders>
                  <w:noWrap w:val="0"/>
                  <w:vAlign w:val="center"/>
                </w:tcPr>
                <w:p w14:paraId="53EB5DB2">
                  <w:pPr>
                    <w:jc w:val="center"/>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地面混凝土</w:t>
                  </w:r>
                  <w:r>
                    <w:rPr>
                      <w:rFonts w:hint="eastAsia" w:ascii="Times New Roman" w:hAnsi="Times New Roman" w:eastAsia="宋体" w:cs="Times New Roman"/>
                      <w:color w:val="000000"/>
                      <w:sz w:val="21"/>
                      <w:szCs w:val="21"/>
                      <w:lang w:eastAsia="zh-CN"/>
                    </w:rPr>
                    <w:t>浇筑</w:t>
                  </w:r>
                  <w:r>
                    <w:rPr>
                      <w:rFonts w:hint="default" w:ascii="Times New Roman" w:hAnsi="Times New Roman" w:eastAsia="宋体" w:cs="Times New Roman"/>
                      <w:color w:val="000000"/>
                      <w:sz w:val="21"/>
                      <w:szCs w:val="21"/>
                      <w:lang w:eastAsia="zh-CN"/>
                    </w:rPr>
                    <w:t>底板</w:t>
                  </w:r>
                </w:p>
              </w:tc>
            </w:tr>
          </w:tbl>
          <w:p w14:paraId="45A75BE0">
            <w:pPr>
              <w:pageBreakBefore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（3）跟踪监测要求</w:t>
            </w:r>
          </w:p>
          <w:p w14:paraId="1D71007D">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color w:val="000000"/>
                <w:kern w:val="2"/>
                <w:sz w:val="24"/>
                <w:szCs w:val="32"/>
                <w:highlight w:val="none"/>
                <w:lang w:val="en-US" w:eastAsia="zh-CN" w:bidi="ar-SA"/>
              </w:rPr>
            </w:pPr>
            <w:r>
              <w:rPr>
                <w:rFonts w:hint="default" w:ascii="Times New Roman" w:hAnsi="Times New Roman" w:eastAsia="宋体" w:cs="Times New Roman"/>
                <w:b w:val="0"/>
                <w:bCs w:val="0"/>
                <w:sz w:val="24"/>
                <w:szCs w:val="24"/>
              </w:rPr>
              <w:t>根据项目生产特点和主要污染物的排放情况，</w:t>
            </w:r>
            <w:r>
              <w:rPr>
                <w:rFonts w:hint="default" w:ascii="Times New Roman" w:hAnsi="Times New Roman" w:cs="Times New Roman"/>
                <w:b w:val="0"/>
                <w:bCs w:val="0"/>
                <w:sz w:val="24"/>
                <w:szCs w:val="24"/>
              </w:rPr>
              <w:t>其废污水、危险废</w:t>
            </w:r>
            <w:r>
              <w:rPr>
                <w:rFonts w:hint="eastAsia" w:ascii="Times New Roman" w:hAnsi="Times New Roman" w:cs="Times New Roman"/>
                <w:b w:val="0"/>
                <w:bCs w:val="0"/>
                <w:sz w:val="24"/>
                <w:szCs w:val="24"/>
                <w:lang w:eastAsia="zh-CN"/>
              </w:rPr>
              <w:t>物在</w:t>
            </w:r>
            <w:r>
              <w:rPr>
                <w:rFonts w:hint="default" w:ascii="Times New Roman" w:hAnsi="Times New Roman" w:cs="Times New Roman"/>
                <w:b w:val="0"/>
                <w:bCs w:val="0"/>
                <w:sz w:val="24"/>
                <w:szCs w:val="24"/>
              </w:rPr>
              <w:t>正常情况下不</w:t>
            </w:r>
            <w:r>
              <w:rPr>
                <w:rFonts w:hint="eastAsia" w:cs="Times New Roman"/>
                <w:b w:val="0"/>
                <w:bCs w:val="0"/>
                <w:sz w:val="24"/>
                <w:szCs w:val="24"/>
                <w:lang w:eastAsia="zh-CN"/>
              </w:rPr>
              <w:t>直接</w:t>
            </w:r>
            <w:r>
              <w:rPr>
                <w:rFonts w:hint="default" w:ascii="Times New Roman" w:hAnsi="Times New Roman" w:cs="Times New Roman"/>
                <w:b w:val="0"/>
                <w:bCs w:val="0"/>
                <w:sz w:val="24"/>
                <w:szCs w:val="24"/>
              </w:rPr>
              <w:t>渗入地面，可杜绝地下水、土壤的污染途径</w:t>
            </w:r>
            <w:r>
              <w:rPr>
                <w:rFonts w:hint="default" w:ascii="Times New Roman" w:hAnsi="Times New Roman" w:cs="Times New Roman"/>
                <w:b w:val="0"/>
                <w:bCs w:val="0"/>
                <w:sz w:val="24"/>
                <w:szCs w:val="24"/>
                <w:lang w:eastAsia="zh-CN"/>
              </w:rPr>
              <w:t>，故不开展地下水及土壤</w:t>
            </w:r>
            <w:r>
              <w:rPr>
                <w:rFonts w:hint="eastAsia" w:cs="Times New Roman"/>
                <w:b w:val="0"/>
                <w:bCs w:val="0"/>
                <w:sz w:val="24"/>
                <w:szCs w:val="24"/>
                <w:lang w:eastAsia="zh-CN"/>
              </w:rPr>
              <w:t>监测</w:t>
            </w:r>
            <w:r>
              <w:rPr>
                <w:rFonts w:hint="default" w:ascii="Times New Roman" w:hAnsi="Times New Roman" w:eastAsia="宋体" w:cs="Times New Roman"/>
                <w:b w:val="0"/>
                <w:bCs w:val="0"/>
                <w:sz w:val="24"/>
                <w:szCs w:val="24"/>
                <w:lang w:eastAsia="zh-CN"/>
              </w:rPr>
              <w:t>。</w:t>
            </w:r>
          </w:p>
          <w:p w14:paraId="29A944AA">
            <w:pPr>
              <w:pStyle w:val="3"/>
              <w:keepNext/>
              <w:keepLines/>
              <w:pageBreakBefore w:val="0"/>
              <w:widowControl/>
              <w:kinsoku/>
              <w:wordWrap/>
              <w:overflowPunct/>
              <w:topLinePunct w:val="0"/>
              <w:autoSpaceDE/>
              <w:autoSpaceDN/>
              <w:bidi w:val="0"/>
              <w:adjustRightInd w:val="0"/>
              <w:snapToGrid w:val="0"/>
              <w:spacing w:after="0" w:line="360" w:lineRule="auto"/>
              <w:textAlignment w:val="auto"/>
              <w:rPr>
                <w:rFonts w:hint="default" w:ascii="Times New Roman" w:hAnsi="Times New Roman" w:eastAsia="宋体" w:cs="Times New Roman"/>
                <w:b/>
                <w:bCs/>
                <w:color w:val="000000"/>
                <w:sz w:val="28"/>
                <w:szCs w:val="28"/>
                <w:highlight w:val="none"/>
              </w:rPr>
            </w:pPr>
            <w:r>
              <w:rPr>
                <w:rFonts w:hint="eastAsia" w:ascii="Times New Roman" w:hAnsi="Times New Roman" w:eastAsia="宋体" w:cs="Times New Roman"/>
                <w:b/>
                <w:bCs/>
                <w:color w:val="000000"/>
                <w:sz w:val="28"/>
                <w:szCs w:val="28"/>
                <w:highlight w:val="none"/>
                <w:lang w:val="en-US" w:eastAsia="zh-CN"/>
              </w:rPr>
              <w:t>6.</w:t>
            </w:r>
            <w:r>
              <w:rPr>
                <w:rFonts w:hint="default" w:ascii="Times New Roman" w:hAnsi="Times New Roman" w:eastAsia="宋体" w:cs="Times New Roman"/>
                <w:b/>
                <w:bCs/>
                <w:color w:val="000000"/>
                <w:sz w:val="28"/>
                <w:szCs w:val="28"/>
                <w:highlight w:val="none"/>
              </w:rPr>
              <w:t>环境风险评价</w:t>
            </w:r>
          </w:p>
          <w:p w14:paraId="6D4A98BE">
            <w:pPr>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000000"/>
                <w:sz w:val="24"/>
                <w:highlight w:val="none"/>
              </w:rPr>
            </w:pPr>
            <w:r>
              <w:rPr>
                <w:rFonts w:hint="default" w:ascii="Times New Roman" w:hAnsi="Times New Roman" w:eastAsia="宋体" w:cs="Times New Roman"/>
                <w:b/>
                <w:bCs/>
                <w:color w:val="000000"/>
                <w:sz w:val="24"/>
                <w:highlight w:val="none"/>
                <w:lang w:val="en-US" w:eastAsia="zh-CN"/>
              </w:rPr>
              <w:t>6.1</w:t>
            </w:r>
            <w:r>
              <w:rPr>
                <w:rFonts w:hint="default" w:ascii="Times New Roman" w:hAnsi="Times New Roman" w:eastAsia="宋体" w:cs="Times New Roman"/>
                <w:b/>
                <w:bCs/>
                <w:color w:val="000000"/>
                <w:sz w:val="24"/>
                <w:highlight w:val="none"/>
              </w:rPr>
              <w:t>本项目风险物质识别</w:t>
            </w:r>
          </w:p>
          <w:p w14:paraId="5A984B4B">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环境风险是指突发性事故造成的重大</w:t>
            </w:r>
            <w:r>
              <w:rPr>
                <w:rFonts w:hint="eastAsia" w:cs="Times New Roman"/>
                <w:b w:val="0"/>
                <w:bCs w:val="0"/>
                <w:sz w:val="24"/>
                <w:szCs w:val="24"/>
                <w:lang w:eastAsia="zh-CN"/>
              </w:rPr>
              <w:t>环境污染</w:t>
            </w:r>
            <w:r>
              <w:rPr>
                <w:rFonts w:hint="default" w:ascii="Times New Roman" w:hAnsi="Times New Roman" w:eastAsia="宋体" w:cs="Times New Roman"/>
                <w:b w:val="0"/>
                <w:bCs w:val="0"/>
                <w:sz w:val="24"/>
                <w:szCs w:val="24"/>
              </w:rPr>
              <w:t>事件，其特点是危害大、影响范围广、发生概率具有很大的不确定性。环境风险评价的目的是分析和预测项目存在的潜在危险、有害因素，项目建设和运行期间可能发生的突发性事件或事故（一般不包括人为破坏及自然灾害），引起有毒有害和易燃易爆等物质泄漏，针对所造成的人身安全、环境影响及其损害程度，提出合理可行的防范、应急与减缓措施，以使建设项目事故率、损失和环境影响达到可接受水平。</w:t>
            </w:r>
          </w:p>
          <w:p w14:paraId="4B371957">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以《建设项目环境风险评价技术导则》（HJ169-2018）为指导，对本项目</w:t>
            </w:r>
            <w:r>
              <w:rPr>
                <w:rFonts w:hint="eastAsia" w:cs="Times New Roman"/>
                <w:b w:val="0"/>
                <w:bCs w:val="0"/>
                <w:sz w:val="24"/>
                <w:szCs w:val="24"/>
                <w:lang w:eastAsia="zh-CN"/>
              </w:rPr>
              <w:t>进行</w:t>
            </w:r>
            <w:r>
              <w:rPr>
                <w:rFonts w:hint="default" w:ascii="Times New Roman" w:hAnsi="Times New Roman" w:eastAsia="宋体" w:cs="Times New Roman"/>
                <w:b w:val="0"/>
                <w:bCs w:val="0"/>
                <w:sz w:val="24"/>
                <w:szCs w:val="24"/>
              </w:rPr>
              <w:t>环境风险识别可知，本项目生产工艺简单，主要涉及物料为煤炭，不属于有毒有害、易燃易爆的产品，也不属于危险化学品，不构成重大危险源，不产生有毒有害物质，环境风险较小。并且本项目所使用的原辅材料不属于《建设项目环境风险评价技术导则》（HJ169-2018）附录B中表B.1“突发环境事件风险物质及临界量”范畴内的环境风险物质。其生产、运输、储存过程不会对环境及人类产生严重的</w:t>
            </w:r>
            <w:r>
              <w:rPr>
                <w:rFonts w:hint="eastAsia" w:cs="Times New Roman"/>
                <w:b w:val="0"/>
                <w:bCs w:val="0"/>
                <w:sz w:val="24"/>
                <w:szCs w:val="24"/>
                <w:lang w:eastAsia="zh-CN"/>
              </w:rPr>
              <w:t>破坏性</w:t>
            </w:r>
            <w:r>
              <w:rPr>
                <w:rFonts w:hint="default" w:ascii="Times New Roman" w:hAnsi="Times New Roman" w:eastAsia="宋体" w:cs="Times New Roman"/>
                <w:b w:val="0"/>
                <w:bCs w:val="0"/>
                <w:sz w:val="24"/>
                <w:szCs w:val="24"/>
              </w:rPr>
              <w:t>影响。</w:t>
            </w:r>
          </w:p>
          <w:p w14:paraId="23A38056">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项目环境风险主要表现为堆煤自燃起火以及粉尘和气体爆炸。</w:t>
            </w:r>
          </w:p>
          <w:p w14:paraId="6C558D71">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①自燃起火</w:t>
            </w:r>
          </w:p>
          <w:p w14:paraId="2069D236">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煤炭经过长期大量的堆积后，随着时间缓慢进行的氧化反应而发热，使煤的温度逐渐升高，最终导致自燃起火。自燃起火与其他的燃烧状态不同，是在温度缓慢上升的同时，按以下过程进行：煤的堆积低温氧化发热—放热—内部干燥—温度急剧上升—自燃起火。自燃起火的因素很多：与煤的物理化学性质有关，如煤的粒度、表面系数、煤的性质状态（水分、挥发成分及含碳量等）等；与煤的堆积状态有关</w:t>
            </w:r>
            <w:r>
              <w:rPr>
                <w:rFonts w:hint="eastAsia" w:cs="Times New Roman"/>
                <w:b w:val="0"/>
                <w:bCs w:val="0"/>
                <w:sz w:val="24"/>
                <w:szCs w:val="24"/>
                <w:lang w:eastAsia="zh-CN"/>
              </w:rPr>
              <w:t>，</w:t>
            </w:r>
            <w:r>
              <w:rPr>
                <w:rFonts w:hint="default" w:ascii="Times New Roman" w:hAnsi="Times New Roman" w:eastAsia="宋体" w:cs="Times New Roman"/>
                <w:b w:val="0"/>
                <w:bCs w:val="0"/>
                <w:sz w:val="24"/>
                <w:szCs w:val="24"/>
              </w:rPr>
              <w:t>如堆积方法、堆积形状、贮煤量、贮煤期限等；与环境因素有关，如空气的温度和湿度、风向和风速及通风状态等。</w:t>
            </w:r>
          </w:p>
          <w:p w14:paraId="59127667">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②粉尘和气体爆炸</w:t>
            </w:r>
          </w:p>
          <w:p w14:paraId="7B73CBCF">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原料在运输过程中如在空气中形成粉尘雾，当粉尘浓度和着火能量达到一定</w:t>
            </w:r>
            <w:r>
              <w:rPr>
                <w:rFonts w:hint="eastAsia" w:cs="Times New Roman"/>
                <w:b w:val="0"/>
                <w:bCs w:val="0"/>
                <w:sz w:val="24"/>
                <w:szCs w:val="24"/>
                <w:lang w:eastAsia="zh-CN"/>
              </w:rPr>
              <w:t>数值</w:t>
            </w:r>
            <w:r>
              <w:rPr>
                <w:rFonts w:hint="default" w:ascii="Times New Roman" w:hAnsi="Times New Roman" w:eastAsia="宋体" w:cs="Times New Roman"/>
                <w:b w:val="0"/>
                <w:bCs w:val="0"/>
                <w:sz w:val="24"/>
                <w:szCs w:val="24"/>
              </w:rPr>
              <w:t>时，就有可能起火或粉尘爆炸。因为粉尘中</w:t>
            </w:r>
          </w:p>
          <w:p w14:paraId="7135C54F">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rPr>
              <w:t>含有在碳化过程中产生的甲烷、微量的乙烷及丙烷等可燃性气体，由于装卸运输等原因，粉尘被粉碎而</w:t>
            </w:r>
            <w:r>
              <w:rPr>
                <w:rFonts w:hint="eastAsia" w:cs="Times New Roman"/>
                <w:b w:val="0"/>
                <w:bCs w:val="0"/>
                <w:sz w:val="24"/>
                <w:szCs w:val="24"/>
                <w:lang w:eastAsia="zh-CN"/>
              </w:rPr>
              <w:t>露出新</w:t>
            </w:r>
            <w:r>
              <w:rPr>
                <w:rFonts w:hint="default" w:ascii="Times New Roman" w:hAnsi="Times New Roman" w:eastAsia="宋体" w:cs="Times New Roman"/>
                <w:b w:val="0"/>
                <w:bCs w:val="0"/>
                <w:sz w:val="24"/>
                <w:szCs w:val="24"/>
              </w:rPr>
              <w:t>表面，这些可燃性气体</w:t>
            </w:r>
            <w:r>
              <w:rPr>
                <w:rFonts w:hint="eastAsia" w:cs="Times New Roman"/>
                <w:b w:val="0"/>
                <w:bCs w:val="0"/>
                <w:sz w:val="24"/>
                <w:szCs w:val="24"/>
                <w:lang w:eastAsia="zh-CN"/>
              </w:rPr>
              <w:t>随之</w:t>
            </w:r>
            <w:r>
              <w:rPr>
                <w:rFonts w:hint="default" w:ascii="Times New Roman" w:hAnsi="Times New Roman" w:eastAsia="宋体" w:cs="Times New Roman"/>
                <w:b w:val="0"/>
                <w:bCs w:val="0"/>
                <w:sz w:val="24"/>
                <w:szCs w:val="24"/>
              </w:rPr>
              <w:t>散到大气中，其爆炸的下限浓</w:t>
            </w:r>
            <w:r>
              <w:rPr>
                <w:rFonts w:hint="default" w:ascii="Times New Roman" w:hAnsi="Times New Roman" w:eastAsia="宋体" w:cs="Times New Roman"/>
                <w:b w:val="0"/>
                <w:bCs w:val="0"/>
                <w:sz w:val="24"/>
                <w:szCs w:val="24"/>
                <w:lang w:val="en-US" w:eastAsia="zh-CN"/>
              </w:rPr>
              <w:t>度显著下降</w:t>
            </w:r>
            <w:r>
              <w:rPr>
                <w:rFonts w:hint="eastAsia" w:cs="Times New Roman"/>
                <w:b w:val="0"/>
                <w:bCs w:val="0"/>
                <w:sz w:val="24"/>
                <w:szCs w:val="24"/>
                <w:lang w:val="en-US" w:eastAsia="zh-CN"/>
              </w:rPr>
              <w:t>，</w:t>
            </w:r>
            <w:r>
              <w:rPr>
                <w:rFonts w:hint="default" w:ascii="Times New Roman" w:hAnsi="Times New Roman" w:eastAsia="宋体" w:cs="Times New Roman"/>
                <w:b w:val="0"/>
                <w:bCs w:val="0"/>
                <w:sz w:val="24"/>
                <w:szCs w:val="24"/>
                <w:lang w:val="en-US" w:eastAsia="zh-CN"/>
              </w:rPr>
              <w:t>爆炸的危险性增加。</w:t>
            </w:r>
          </w:p>
          <w:p w14:paraId="370270A1">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eastAsia" w:cs="Times New Roman"/>
                <w:b w:val="0"/>
                <w:bCs w:val="0"/>
                <w:sz w:val="24"/>
                <w:szCs w:val="24"/>
                <w:lang w:val="en-US" w:eastAsia="zh-CN"/>
              </w:rPr>
            </w:pPr>
            <w:r>
              <w:rPr>
                <w:rFonts w:hint="eastAsia" w:cs="Times New Roman"/>
                <w:b w:val="0"/>
                <w:bCs w:val="0"/>
                <w:sz w:val="24"/>
                <w:szCs w:val="24"/>
                <w:lang w:val="en-US" w:eastAsia="zh-CN"/>
              </w:rPr>
              <w:t>③沉淀池泄露</w:t>
            </w:r>
          </w:p>
          <w:p w14:paraId="613D9C03">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eastAsia"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rPr>
              <w:t>池壁、底板混凝土开裂、防渗层老化破损，含煤泥废水渗入土壤、地下水，造成区域土壤、地下水SS、煤粉污染</w:t>
            </w:r>
            <w:r>
              <w:rPr>
                <w:rFonts w:hint="eastAsia" w:ascii="Times New Roman" w:hAnsi="Times New Roman" w:eastAsia="宋体" w:cs="Times New Roman"/>
                <w:b w:val="0"/>
                <w:bCs w:val="0"/>
                <w:sz w:val="24"/>
                <w:szCs w:val="24"/>
                <w:lang w:eastAsia="zh-CN"/>
              </w:rPr>
              <w:t>。</w:t>
            </w:r>
          </w:p>
          <w:p w14:paraId="76A7ACC0">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2" w:firstLineChars="200"/>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6.1.2 环境敏感目标调查</w:t>
            </w:r>
          </w:p>
          <w:p w14:paraId="46C2E740">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项目位于库尔勒市</w:t>
            </w:r>
            <w:r>
              <w:rPr>
                <w:rFonts w:hint="eastAsia" w:cs="Times New Roman"/>
                <w:b w:val="0"/>
                <w:bCs w:val="0"/>
                <w:sz w:val="24"/>
                <w:szCs w:val="24"/>
                <w:lang w:val="en-US" w:eastAsia="zh-CN"/>
              </w:rPr>
              <w:t>塔什店镇特变电工西侧</w:t>
            </w:r>
            <w:r>
              <w:rPr>
                <w:rFonts w:hint="default" w:ascii="Times New Roman" w:hAnsi="Times New Roman" w:eastAsia="宋体" w:cs="Times New Roman"/>
                <w:b w:val="0"/>
                <w:bCs w:val="0"/>
                <w:sz w:val="24"/>
                <w:szCs w:val="24"/>
                <w:lang w:val="en-US" w:eastAsia="zh-CN"/>
              </w:rPr>
              <w:t>，项目区外500m范围</w:t>
            </w:r>
          </w:p>
          <w:p w14:paraId="42424785">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内无自然保护区、风景名胜区、居住区、地下水集中式饮用水水源、矿泉水、温泉等大气、声、地下水环境保护目标。</w:t>
            </w:r>
          </w:p>
          <w:p w14:paraId="235FE25C">
            <w:pPr>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000000"/>
                <w:sz w:val="24"/>
                <w:highlight w:val="none"/>
                <w:lang w:val="en-US" w:eastAsia="zh-CN"/>
              </w:rPr>
            </w:pPr>
            <w:r>
              <w:rPr>
                <w:rFonts w:hint="default" w:ascii="Times New Roman" w:hAnsi="Times New Roman" w:eastAsia="宋体" w:cs="Times New Roman"/>
                <w:b/>
                <w:bCs/>
                <w:color w:val="000000"/>
                <w:sz w:val="24"/>
                <w:highlight w:val="none"/>
                <w:lang w:val="en-US" w:eastAsia="zh-CN"/>
              </w:rPr>
              <w:t>6.2环境风险潜势初判</w:t>
            </w:r>
          </w:p>
          <w:p w14:paraId="2427D1FD">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根据对本项目的分析，本项目涉及的原材料、工艺流程不涉及危险。根据《建设项目环境风险评价技术导则》（HJ169-2018）评价工作等级划分，本项目环境风险潜势综合等级为Ⅰ级，进行简单分析评价。</w:t>
            </w:r>
          </w:p>
          <w:p w14:paraId="200BC91C">
            <w:pPr>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000000"/>
                <w:sz w:val="24"/>
                <w:highlight w:val="none"/>
                <w:lang w:val="en-US" w:eastAsia="zh-CN"/>
              </w:rPr>
            </w:pPr>
            <w:r>
              <w:rPr>
                <w:rFonts w:hint="default" w:ascii="Times New Roman" w:hAnsi="Times New Roman" w:eastAsia="宋体" w:cs="Times New Roman"/>
                <w:b/>
                <w:bCs/>
                <w:color w:val="000000"/>
                <w:sz w:val="24"/>
                <w:highlight w:val="none"/>
                <w:lang w:val="en-US" w:eastAsia="zh-CN"/>
              </w:rPr>
              <w:t>6.3风险防范措施</w:t>
            </w:r>
          </w:p>
          <w:p w14:paraId="4EFC5A06">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①煤堆场表面采取洒水喷淋降尘措施，生产作业时扬起煤尘可大幅减少，有利于防止煤堆自然发火；</w:t>
            </w:r>
          </w:p>
          <w:p w14:paraId="63D063BD">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②煤棚区域内喷淋洒水，有利于捕集空气中的逸散粉尘，可</w:t>
            </w:r>
            <w:r>
              <w:rPr>
                <w:rFonts w:hint="eastAsia" w:cs="Times New Roman"/>
                <w:b w:val="0"/>
                <w:bCs w:val="0"/>
                <w:sz w:val="24"/>
                <w:szCs w:val="24"/>
                <w:lang w:eastAsia="zh-CN"/>
              </w:rPr>
              <w:t>降低</w:t>
            </w:r>
            <w:r>
              <w:rPr>
                <w:rFonts w:hint="default" w:ascii="Times New Roman" w:hAnsi="Times New Roman" w:eastAsia="宋体" w:cs="Times New Roman"/>
                <w:b w:val="0"/>
                <w:bCs w:val="0"/>
                <w:sz w:val="24"/>
                <w:szCs w:val="24"/>
              </w:rPr>
              <w:t>作业区上空煤炭粉尘量，避免粉尘爆炸。</w:t>
            </w:r>
          </w:p>
          <w:p w14:paraId="1370C54C">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③在煤棚生产区各处悬挂禁止火种带入、禁止吸烟等警示牌；</w:t>
            </w:r>
          </w:p>
          <w:p w14:paraId="2018A7B3">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④在煤棚配电室、办公室等地</w:t>
            </w:r>
            <w:r>
              <w:rPr>
                <w:rFonts w:hint="eastAsia" w:cs="Times New Roman"/>
                <w:b w:val="0"/>
                <w:bCs w:val="0"/>
                <w:sz w:val="24"/>
                <w:szCs w:val="24"/>
                <w:lang w:eastAsia="zh-CN"/>
              </w:rPr>
              <w:t>方配</w:t>
            </w:r>
            <w:r>
              <w:rPr>
                <w:rFonts w:hint="default" w:ascii="Times New Roman" w:hAnsi="Times New Roman" w:eastAsia="宋体" w:cs="Times New Roman"/>
                <w:b w:val="0"/>
                <w:bCs w:val="0"/>
                <w:sz w:val="24"/>
                <w:szCs w:val="24"/>
              </w:rPr>
              <w:t>备不同类型的灭火器具，以便在煤棚发生火灾时用于防灭火工作；</w:t>
            </w:r>
          </w:p>
          <w:p w14:paraId="2813696D">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⑤煤棚</w:t>
            </w:r>
            <w:r>
              <w:rPr>
                <w:rFonts w:hint="eastAsia" w:cs="Times New Roman"/>
                <w:b w:val="0"/>
                <w:bCs w:val="0"/>
                <w:sz w:val="24"/>
                <w:szCs w:val="24"/>
                <w:lang w:eastAsia="zh-CN"/>
              </w:rPr>
              <w:t>电气设备</w:t>
            </w:r>
            <w:r>
              <w:rPr>
                <w:rFonts w:hint="default" w:ascii="Times New Roman" w:hAnsi="Times New Roman" w:eastAsia="宋体" w:cs="Times New Roman"/>
                <w:b w:val="0"/>
                <w:bCs w:val="0"/>
                <w:sz w:val="24"/>
                <w:szCs w:val="24"/>
              </w:rPr>
              <w:t>的高低压供电线路均按《煤矿安全规程》的要求选取，加强对其管理与维护，避免因发生短路和绝缘材料破坏漏</w:t>
            </w:r>
          </w:p>
          <w:p w14:paraId="7B262BE1">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电而引起的火灾事故；</w:t>
            </w:r>
          </w:p>
          <w:p w14:paraId="53A43046">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⑥加强对储煤棚工作面日常管理工作，对煤堆自然发火情况组织日常安全检查，及时掌握煤堆自然发火情况，以便及时采取有效</w:t>
            </w:r>
          </w:p>
          <w:p w14:paraId="415A8F63">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的防火、灭火措施，有效预防煤堆火灾事故的发生。</w:t>
            </w:r>
          </w:p>
          <w:p w14:paraId="729E1260">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⑦煤堆场四周设置固定的防风抑尘网，减少粉尘对周围环境的影响；</w:t>
            </w:r>
          </w:p>
          <w:p w14:paraId="669DC0E9">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⑧加强安全监督和管理，</w:t>
            </w:r>
            <w:r>
              <w:rPr>
                <w:rFonts w:hint="eastAsia" w:cs="Times New Roman"/>
                <w:b w:val="0"/>
                <w:bCs w:val="0"/>
                <w:sz w:val="24"/>
                <w:szCs w:val="24"/>
                <w:lang w:eastAsia="zh-CN"/>
              </w:rPr>
              <w:t>增强</w:t>
            </w:r>
            <w:r>
              <w:rPr>
                <w:rFonts w:hint="default" w:ascii="Times New Roman" w:hAnsi="Times New Roman" w:eastAsia="宋体" w:cs="Times New Roman"/>
                <w:b w:val="0"/>
                <w:bCs w:val="0"/>
                <w:sz w:val="24"/>
                <w:szCs w:val="24"/>
              </w:rPr>
              <w:t>职工的安全意识和环境意识，坚决杜绝人为事故发生。</w:t>
            </w:r>
          </w:p>
          <w:p w14:paraId="7B55127C">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eastAsia"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rPr>
              <w:t>⑨沉淀池整体采用C30钢筋混凝土浇筑，内壁涂刷 2mm 厚环氧树脂防渗防腐层，池壁、底板设置伸缩缝止水带，施工完成后做闭水试验，确保无渗漏方可投用</w:t>
            </w:r>
            <w:r>
              <w:rPr>
                <w:rFonts w:hint="eastAsia" w:ascii="Times New Roman" w:hAnsi="Times New Roman" w:eastAsia="宋体" w:cs="Times New Roman"/>
                <w:b w:val="0"/>
                <w:bCs w:val="0"/>
                <w:sz w:val="24"/>
                <w:szCs w:val="24"/>
                <w:lang w:eastAsia="zh-CN"/>
              </w:rPr>
              <w:t>；</w:t>
            </w:r>
            <w:r>
              <w:rPr>
                <w:rFonts w:hint="default" w:ascii="Times New Roman" w:hAnsi="Times New Roman" w:eastAsia="宋体" w:cs="Times New Roman"/>
                <w:b w:val="0"/>
                <w:bCs w:val="0"/>
                <w:sz w:val="24"/>
                <w:szCs w:val="24"/>
              </w:rPr>
              <w:t>每季度开展池体防渗巡检，重点检查底板、墙角、伸缩缝有无裂缝、渗水痕迹，建立巡检台账</w:t>
            </w:r>
            <w:r>
              <w:rPr>
                <w:rFonts w:hint="eastAsia" w:ascii="Times New Roman" w:hAnsi="Times New Roman" w:eastAsia="宋体" w:cs="Times New Roman"/>
                <w:b w:val="0"/>
                <w:bCs w:val="0"/>
                <w:sz w:val="24"/>
                <w:szCs w:val="24"/>
                <w:lang w:eastAsia="zh-CN"/>
              </w:rPr>
              <w:t>；</w:t>
            </w:r>
            <w:r>
              <w:rPr>
                <w:rFonts w:hint="default" w:ascii="Times New Roman" w:hAnsi="Times New Roman" w:eastAsia="宋体" w:cs="Times New Roman"/>
                <w:b w:val="0"/>
                <w:bCs w:val="0"/>
                <w:sz w:val="24"/>
                <w:szCs w:val="24"/>
              </w:rPr>
              <w:t>沉淀池四周设置15cm高混凝土防渗围堰，即使池壁轻微渗漏，废水也被围堰截留，不会向外扩散。</w:t>
            </w:r>
          </w:p>
          <w:p w14:paraId="35B54952">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⑩定期采样监测，确保废气污染物达标排放，同时加强污染治理设施管理，进行定期或不定期检查，建立废气事故性排放的应急制度和响应措施，将事故性排放的影响降至最低；做好环境保护、安全生产宣传以及相关技术培训等工作。</w:t>
            </w:r>
          </w:p>
          <w:p w14:paraId="2EA25CD9">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rPr>
            </w:pPr>
            <w:r>
              <w:rPr>
                <w:rFonts w:hint="eastAsia" w:ascii="微软雅黑" w:hAnsi="微软雅黑" w:eastAsia="微软雅黑" w:cs="微软雅黑"/>
                <w:b w:val="0"/>
                <w:bCs w:val="0"/>
                <w:sz w:val="24"/>
                <w:szCs w:val="24"/>
              </w:rPr>
              <w:t>⑪</w:t>
            </w:r>
            <w:r>
              <w:rPr>
                <w:rFonts w:hint="default" w:ascii="Times New Roman" w:hAnsi="Times New Roman" w:eastAsia="宋体" w:cs="Times New Roman"/>
                <w:b w:val="0"/>
                <w:bCs w:val="0"/>
                <w:sz w:val="24"/>
                <w:szCs w:val="24"/>
              </w:rPr>
              <w:t>企业应编制《环境风险应急预案》，对于重大或不可接受的风险（主要是火灾爆炸造成重大人员伤害等），应制定应急</w:t>
            </w:r>
            <w:r>
              <w:rPr>
                <w:rFonts w:hint="eastAsia" w:cs="Times New Roman"/>
                <w:b w:val="0"/>
                <w:bCs w:val="0"/>
                <w:sz w:val="24"/>
                <w:szCs w:val="24"/>
                <w:lang w:eastAsia="zh-CN"/>
              </w:rPr>
              <w:t>响应</w:t>
            </w:r>
            <w:r>
              <w:rPr>
                <w:rFonts w:hint="default" w:ascii="Times New Roman" w:hAnsi="Times New Roman" w:eastAsia="宋体" w:cs="Times New Roman"/>
                <w:b w:val="0"/>
                <w:bCs w:val="0"/>
                <w:sz w:val="24"/>
                <w:szCs w:val="24"/>
              </w:rPr>
              <w:t>方案，建立应急反应体系，当事件一旦发生时可迅速加以控制，使危害和损失降低到尽可能低的程度。</w:t>
            </w:r>
          </w:p>
          <w:p w14:paraId="2009C2A2">
            <w:pPr>
              <w:spacing w:line="360" w:lineRule="auto"/>
              <w:ind w:firstLine="482" w:firstLineChars="200"/>
              <w:rPr>
                <w:rFonts w:hint="default" w:ascii="Times New Roman" w:hAnsi="Times New Roman" w:eastAsia="宋体" w:cs="Times New Roman"/>
                <w:b/>
                <w:bCs/>
                <w:color w:val="000000" w:themeColor="text1"/>
                <w:sz w:val="24"/>
                <w:szCs w:val="24"/>
                <w:highlight w:val="none"/>
                <w:lang w:val="en-US" w:eastAsia="zh-CN" w:bidi="ar-SA"/>
                <w14:textFill>
                  <w14:solidFill>
                    <w14:schemeClr w14:val="tx1"/>
                  </w14:solidFill>
                </w14:textFill>
              </w:rPr>
            </w:pPr>
            <w:r>
              <w:rPr>
                <w:rFonts w:hint="eastAsia" w:ascii="Times New Roman" w:hAnsi="Times New Roman" w:cs="Times New Roman"/>
                <w:b/>
                <w:bCs/>
                <w:color w:val="000000" w:themeColor="text1"/>
                <w:sz w:val="24"/>
                <w:szCs w:val="24"/>
                <w:highlight w:val="none"/>
                <w:lang w:val="en-US" w:eastAsia="zh-CN" w:bidi="ar-SA"/>
                <w14:textFill>
                  <w14:solidFill>
                    <w14:schemeClr w14:val="tx1"/>
                  </w14:solidFill>
                </w14:textFill>
              </w:rPr>
              <w:t>6.5应急预案</w:t>
            </w:r>
          </w:p>
          <w:p w14:paraId="5F6D803E">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lang w:val="en-US" w:eastAsia="zh-CN"/>
              </w:rPr>
              <w:t>本项目针对环境风险事故拟采取多种防范措施，可将风险事故的概率降至较低的水平，但概率不会降为零，一旦发生事故仍需采取应急措施，控制和减少事故危害，根据《突发环境事件应急管理办法》</w:t>
            </w:r>
            <w:bookmarkStart w:id="9" w:name="_GoBack"/>
            <w:bookmarkEnd w:id="9"/>
            <w:r>
              <w:rPr>
                <w:rFonts w:hint="default" w:ascii="Times New Roman" w:hAnsi="Times New Roman" w:eastAsia="宋体" w:cs="Times New Roman"/>
                <w:b w:val="0"/>
                <w:bCs w:val="0"/>
                <w:sz w:val="24"/>
                <w:szCs w:val="24"/>
                <w:lang w:val="en-US" w:eastAsia="zh-CN"/>
              </w:rPr>
              <w:t>等文件要求，根据项目生产过</w:t>
            </w:r>
            <w:r>
              <w:rPr>
                <w:rFonts w:hint="eastAsia" w:ascii="Times New Roman" w:hAnsi="Times New Roman" w:eastAsia="宋体" w:cs="Times New Roman"/>
                <w:b w:val="0"/>
                <w:bCs w:val="0"/>
                <w:sz w:val="24"/>
                <w:szCs w:val="24"/>
                <w:lang w:val="en-US" w:eastAsia="zh-CN"/>
              </w:rPr>
              <w:t>程中</w:t>
            </w:r>
            <w:r>
              <w:rPr>
                <w:rFonts w:hint="default" w:ascii="Times New Roman" w:hAnsi="Times New Roman" w:eastAsia="宋体" w:cs="Times New Roman"/>
                <w:b w:val="0"/>
                <w:bCs w:val="0"/>
                <w:sz w:val="24"/>
                <w:szCs w:val="24"/>
                <w:lang w:val="en-US" w:eastAsia="zh-CN"/>
              </w:rPr>
              <w:t>存在的风险事故类型，制定适用于本项目的事故应急预案，应急预案主要包括以下内容</w:t>
            </w:r>
            <w:r>
              <w:rPr>
                <w:rFonts w:hint="eastAsia" w:ascii="Times New Roman" w:hAnsi="Times New Roman" w:eastAsia="宋体" w:cs="Times New Roman"/>
                <w:b w:val="0"/>
                <w:bCs w:val="0"/>
                <w:sz w:val="24"/>
                <w:szCs w:val="24"/>
                <w:lang w:val="en-US" w:eastAsia="zh-CN"/>
              </w:rPr>
              <w:t>：</w:t>
            </w:r>
          </w:p>
          <w:p w14:paraId="19653879">
            <w:pPr>
              <w:pStyle w:val="66"/>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表</w:t>
            </w:r>
            <w:r>
              <w:rPr>
                <w:rFonts w:hint="eastAsia" w:eastAsia="宋体" w:cs="Times New Roman"/>
                <w:b/>
                <w:bCs/>
                <w:color w:val="000000" w:themeColor="text1"/>
                <w:sz w:val="21"/>
                <w:szCs w:val="21"/>
                <w:highlight w:val="none"/>
                <w:lang w:val="en-US" w:eastAsia="zh-CN"/>
                <w14:textFill>
                  <w14:solidFill>
                    <w14:schemeClr w14:val="tx1"/>
                  </w14:solidFill>
                </w14:textFill>
              </w:rPr>
              <w:t>4-9</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 xml:space="preserve">  </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应急预案内容</w:t>
            </w:r>
          </w:p>
          <w:tbl>
            <w:tblPr>
              <w:tblStyle w:val="25"/>
              <w:tblW w:w="5669"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787"/>
              <w:gridCol w:w="2257"/>
              <w:gridCol w:w="4930"/>
            </w:tblGrid>
            <w:tr w14:paraId="34AD8F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02" w:type="dxa"/>
                  <w:tcBorders>
                    <w:tl2br w:val="nil"/>
                    <w:tr2bl w:val="nil"/>
                  </w:tcBorders>
                  <w:noWrap/>
                  <w:vAlign w:val="center"/>
                </w:tcPr>
                <w:p w14:paraId="380D87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序号</w:t>
                  </w:r>
                </w:p>
              </w:tc>
              <w:tc>
                <w:tcPr>
                  <w:tcW w:w="2310" w:type="dxa"/>
                  <w:tcBorders>
                    <w:tl2br w:val="nil"/>
                    <w:tr2bl w:val="nil"/>
                  </w:tcBorders>
                  <w:noWrap/>
                  <w:vAlign w:val="center"/>
                </w:tcPr>
                <w:p w14:paraId="5154F2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项目</w:t>
                  </w:r>
                </w:p>
              </w:tc>
              <w:tc>
                <w:tcPr>
                  <w:tcW w:w="5054" w:type="dxa"/>
                  <w:tcBorders>
                    <w:tl2br w:val="nil"/>
                    <w:tr2bl w:val="nil"/>
                  </w:tcBorders>
                  <w:noWrap/>
                  <w:vAlign w:val="center"/>
                </w:tcPr>
                <w:p w14:paraId="58ACC9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内容及要求</w:t>
                  </w:r>
                </w:p>
              </w:tc>
            </w:tr>
            <w:tr w14:paraId="34F51F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02" w:type="dxa"/>
                  <w:tcBorders>
                    <w:tl2br w:val="nil"/>
                    <w:tr2bl w:val="nil"/>
                  </w:tcBorders>
                  <w:noWrap/>
                  <w:vAlign w:val="center"/>
                </w:tcPr>
                <w:p w14:paraId="23D704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1</w:t>
                  </w:r>
                </w:p>
              </w:tc>
              <w:tc>
                <w:tcPr>
                  <w:tcW w:w="2310" w:type="dxa"/>
                  <w:tcBorders>
                    <w:tl2br w:val="nil"/>
                    <w:tr2bl w:val="nil"/>
                  </w:tcBorders>
                  <w:noWrap/>
                  <w:vAlign w:val="center"/>
                </w:tcPr>
                <w:p w14:paraId="7D8863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应急计划区</w:t>
                  </w:r>
                </w:p>
              </w:tc>
              <w:tc>
                <w:tcPr>
                  <w:tcW w:w="5054" w:type="dxa"/>
                  <w:tcBorders>
                    <w:tl2br w:val="nil"/>
                    <w:tr2bl w:val="nil"/>
                  </w:tcBorders>
                  <w:noWrap/>
                  <w:vAlign w:val="center"/>
                </w:tcPr>
                <w:p w14:paraId="516CE6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危险源</w:t>
                  </w:r>
                  <w:r>
                    <w:rPr>
                      <w:rFonts w:hint="eastAsia" w:cs="Times New Roman"/>
                      <w:b w:val="0"/>
                      <w:bC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生产</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车间</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污水处理站</w:t>
                  </w:r>
                  <w:r>
                    <w:rPr>
                      <w:rFonts w:hint="eastAsia" w:cs="Times New Roman"/>
                      <w:b w:val="0"/>
                      <w:bCs w:val="0"/>
                      <w:color w:val="000000" w:themeColor="text1"/>
                      <w:sz w:val="21"/>
                      <w:szCs w:val="21"/>
                      <w:highlight w:val="none"/>
                      <w:lang w:eastAsia="zh-CN"/>
                      <w14:textFill>
                        <w14:solidFill>
                          <w14:schemeClr w14:val="tx1"/>
                        </w14:solidFill>
                      </w14:textFill>
                    </w:rPr>
                    <w:t>）</w:t>
                  </w:r>
                </w:p>
              </w:tc>
            </w:tr>
            <w:tr w14:paraId="09CB919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02" w:type="dxa"/>
                  <w:tcBorders>
                    <w:tl2br w:val="nil"/>
                    <w:tr2bl w:val="nil"/>
                  </w:tcBorders>
                  <w:noWrap/>
                  <w:vAlign w:val="center"/>
                </w:tcPr>
                <w:p w14:paraId="7DF8C5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2</w:t>
                  </w:r>
                </w:p>
              </w:tc>
              <w:tc>
                <w:tcPr>
                  <w:tcW w:w="2310" w:type="dxa"/>
                  <w:tcBorders>
                    <w:tl2br w:val="nil"/>
                    <w:tr2bl w:val="nil"/>
                  </w:tcBorders>
                  <w:noWrap/>
                  <w:vAlign w:val="center"/>
                </w:tcPr>
                <w:p w14:paraId="2C759C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应急组织机构、人员</w:t>
                  </w:r>
                </w:p>
              </w:tc>
              <w:tc>
                <w:tcPr>
                  <w:tcW w:w="5054" w:type="dxa"/>
                  <w:tcBorders>
                    <w:tl2br w:val="nil"/>
                    <w:tr2bl w:val="nil"/>
                  </w:tcBorders>
                  <w:noWrap/>
                  <w:vAlign w:val="center"/>
                </w:tcPr>
                <w:p w14:paraId="52AD90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实施三级应急</w:t>
                  </w:r>
                  <w:r>
                    <w:rPr>
                      <w:rFonts w:hint="eastAsia" w:cs="Times New Roman"/>
                      <w:b w:val="0"/>
                      <w:bCs w:val="0"/>
                      <w:color w:val="000000" w:themeColor="text1"/>
                      <w:sz w:val="21"/>
                      <w:szCs w:val="21"/>
                      <w:highlight w:val="none"/>
                      <w:lang w:eastAsia="zh-CN"/>
                      <w14:textFill>
                        <w14:solidFill>
                          <w14:schemeClr w14:val="tx1"/>
                        </w14:solidFill>
                      </w14:textFill>
                    </w:rPr>
                    <w:t>组织</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机构，各级别主要负责人为应急计划、协调第一人，应急人员必须为培训上岗熟练工；区域应急组织结构由当地政府、相关行业专家、卫生安全相关单位组成，并由当地政府进行统一调度</w:t>
                  </w:r>
                </w:p>
              </w:tc>
            </w:tr>
            <w:tr w14:paraId="72F1A7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02" w:type="dxa"/>
                  <w:tcBorders>
                    <w:tl2br w:val="nil"/>
                    <w:tr2bl w:val="nil"/>
                  </w:tcBorders>
                  <w:noWrap/>
                  <w:vAlign w:val="center"/>
                </w:tcPr>
                <w:p w14:paraId="0664C3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3</w:t>
                  </w:r>
                </w:p>
              </w:tc>
              <w:tc>
                <w:tcPr>
                  <w:tcW w:w="2310" w:type="dxa"/>
                  <w:tcBorders>
                    <w:tl2br w:val="nil"/>
                    <w:tr2bl w:val="nil"/>
                  </w:tcBorders>
                  <w:noWrap/>
                  <w:vAlign w:val="center"/>
                </w:tcPr>
                <w:p w14:paraId="04C445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预案分级响应条件</w:t>
                  </w:r>
                </w:p>
              </w:tc>
              <w:tc>
                <w:tcPr>
                  <w:tcW w:w="5054" w:type="dxa"/>
                  <w:tcBorders>
                    <w:tl2br w:val="nil"/>
                    <w:tr2bl w:val="nil"/>
                  </w:tcBorders>
                  <w:noWrap/>
                  <w:vAlign w:val="center"/>
                </w:tcPr>
                <w:p w14:paraId="7E0FEC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根据事故的严重程度制定相应级别的应急预案，以及适合相应情况的处理措施</w:t>
                  </w:r>
                </w:p>
              </w:tc>
            </w:tr>
            <w:tr w14:paraId="4DC89C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02" w:type="dxa"/>
                  <w:tcBorders>
                    <w:tl2br w:val="nil"/>
                    <w:tr2bl w:val="nil"/>
                  </w:tcBorders>
                  <w:noWrap/>
                  <w:vAlign w:val="center"/>
                </w:tcPr>
                <w:p w14:paraId="4257AA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4</w:t>
                  </w:r>
                </w:p>
              </w:tc>
              <w:tc>
                <w:tcPr>
                  <w:tcW w:w="2310" w:type="dxa"/>
                  <w:tcBorders>
                    <w:tl2br w:val="nil"/>
                    <w:tr2bl w:val="nil"/>
                  </w:tcBorders>
                  <w:noWrap/>
                  <w:vAlign w:val="center"/>
                </w:tcPr>
                <w:p w14:paraId="5E575B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应急救援保障</w:t>
                  </w:r>
                </w:p>
              </w:tc>
              <w:tc>
                <w:tcPr>
                  <w:tcW w:w="5054" w:type="dxa"/>
                  <w:tcBorders>
                    <w:tl2br w:val="nil"/>
                    <w:tr2bl w:val="nil"/>
                  </w:tcBorders>
                  <w:noWrap/>
                  <w:vAlign w:val="center"/>
                </w:tcPr>
                <w:p w14:paraId="516C10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应急设施，设备与器材等</w:t>
                  </w:r>
                </w:p>
              </w:tc>
            </w:tr>
            <w:tr w14:paraId="73606B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02" w:type="dxa"/>
                  <w:tcBorders>
                    <w:tl2br w:val="nil"/>
                    <w:tr2bl w:val="nil"/>
                  </w:tcBorders>
                  <w:noWrap/>
                  <w:vAlign w:val="center"/>
                </w:tcPr>
                <w:p w14:paraId="0D1128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5</w:t>
                  </w:r>
                </w:p>
              </w:tc>
              <w:tc>
                <w:tcPr>
                  <w:tcW w:w="2310" w:type="dxa"/>
                  <w:tcBorders>
                    <w:tl2br w:val="nil"/>
                    <w:tr2bl w:val="nil"/>
                  </w:tcBorders>
                  <w:noWrap/>
                  <w:vAlign w:val="center"/>
                </w:tcPr>
                <w:p w14:paraId="2DEF62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报警、通讯联络方式</w:t>
                  </w:r>
                </w:p>
              </w:tc>
              <w:tc>
                <w:tcPr>
                  <w:tcW w:w="5054" w:type="dxa"/>
                  <w:tcBorders>
                    <w:tl2br w:val="nil"/>
                    <w:tr2bl w:val="nil"/>
                  </w:tcBorders>
                  <w:noWrap/>
                  <w:vAlign w:val="center"/>
                </w:tcPr>
                <w:p w14:paraId="13FF56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逐一细化应急状态下各主要负责单位的报警通讯方式、地点、电话号码以及相关配套的交通保障、管制、消防联络方法，涉及跨区域的还应与相关区域环境保护部门和上级环保部门保持联系，及时通报事故处理情况，以获得区域性支援</w:t>
                  </w:r>
                </w:p>
              </w:tc>
            </w:tr>
            <w:tr w14:paraId="24AB77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02" w:type="dxa"/>
                  <w:tcBorders>
                    <w:tl2br w:val="nil"/>
                    <w:tr2bl w:val="nil"/>
                  </w:tcBorders>
                  <w:noWrap/>
                  <w:vAlign w:val="center"/>
                </w:tcPr>
                <w:p w14:paraId="3A3E56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6</w:t>
                  </w:r>
                </w:p>
              </w:tc>
              <w:tc>
                <w:tcPr>
                  <w:tcW w:w="2310" w:type="dxa"/>
                  <w:tcBorders>
                    <w:tl2br w:val="nil"/>
                    <w:tr2bl w:val="nil"/>
                  </w:tcBorders>
                  <w:noWrap/>
                  <w:vAlign w:val="center"/>
                </w:tcPr>
                <w:p w14:paraId="2D8B9C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应急环境监测、抢险、救援及控制措施</w:t>
                  </w:r>
                </w:p>
              </w:tc>
              <w:tc>
                <w:tcPr>
                  <w:tcW w:w="5054" w:type="dxa"/>
                  <w:tcBorders>
                    <w:tl2br w:val="nil"/>
                    <w:tr2bl w:val="nil"/>
                  </w:tcBorders>
                  <w:noWrap/>
                  <w:vAlign w:val="center"/>
                </w:tcPr>
                <w:p w14:paraId="5A9C49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由专业队伍负责对事故现场进行侦查监测，对事故性质、参数与后果进行评估，为指挥部门提供决策依据</w:t>
                  </w:r>
                </w:p>
              </w:tc>
            </w:tr>
            <w:tr w14:paraId="4105CB9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02" w:type="dxa"/>
                  <w:tcBorders>
                    <w:tl2br w:val="nil"/>
                    <w:tr2bl w:val="nil"/>
                  </w:tcBorders>
                  <w:noWrap/>
                  <w:vAlign w:val="center"/>
                </w:tcPr>
                <w:p w14:paraId="3FCC52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7</w:t>
                  </w:r>
                </w:p>
              </w:tc>
              <w:tc>
                <w:tcPr>
                  <w:tcW w:w="2310" w:type="dxa"/>
                  <w:tcBorders>
                    <w:tl2br w:val="nil"/>
                    <w:tr2bl w:val="nil"/>
                  </w:tcBorders>
                  <w:noWrap/>
                  <w:vAlign w:val="center"/>
                </w:tcPr>
                <w:p w14:paraId="2C6C67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应急检测、防护措施、清除泄漏措施和器材</w:t>
                  </w:r>
                </w:p>
              </w:tc>
              <w:tc>
                <w:tcPr>
                  <w:tcW w:w="5054" w:type="dxa"/>
                  <w:tcBorders>
                    <w:tl2br w:val="nil"/>
                    <w:tr2bl w:val="nil"/>
                  </w:tcBorders>
                  <w:noWrap/>
                  <w:vAlign w:val="center"/>
                </w:tcPr>
                <w:p w14:paraId="7AD9E7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事故现场、厂区邻近区域、控制防火区域，控制和清除污染措施及相应设备的数量、使用方法、使用人员</w:t>
                  </w:r>
                </w:p>
              </w:tc>
            </w:tr>
            <w:tr w14:paraId="400636E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02" w:type="dxa"/>
                  <w:tcBorders>
                    <w:tl2br w:val="nil"/>
                    <w:tr2bl w:val="nil"/>
                  </w:tcBorders>
                  <w:noWrap/>
                  <w:vAlign w:val="center"/>
                </w:tcPr>
                <w:p w14:paraId="7FFC00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8</w:t>
                  </w:r>
                </w:p>
              </w:tc>
              <w:tc>
                <w:tcPr>
                  <w:tcW w:w="2310" w:type="dxa"/>
                  <w:tcBorders>
                    <w:tl2br w:val="nil"/>
                    <w:tr2bl w:val="nil"/>
                  </w:tcBorders>
                  <w:noWrap/>
                  <w:vAlign w:val="center"/>
                </w:tcPr>
                <w:p w14:paraId="22D1D6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人员紧急撤离、疏散，应急剂量控制、撤离组织计划</w:t>
                  </w:r>
                </w:p>
              </w:tc>
              <w:tc>
                <w:tcPr>
                  <w:tcW w:w="5054" w:type="dxa"/>
                  <w:tcBorders>
                    <w:tl2br w:val="nil"/>
                    <w:tr2bl w:val="nil"/>
                  </w:tcBorders>
                  <w:noWrap/>
                  <w:vAlign w:val="center"/>
                </w:tcPr>
                <w:p w14:paraId="2A94B6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事故现场、工厂邻近</w:t>
                  </w:r>
                  <w:r>
                    <w:rPr>
                      <w:rFonts w:hint="eastAsia" w:cs="Times New Roman"/>
                      <w:b w:val="0"/>
                      <w:bCs w:val="0"/>
                      <w:color w:val="000000" w:themeColor="text1"/>
                      <w:sz w:val="21"/>
                      <w:szCs w:val="21"/>
                      <w:highlight w:val="none"/>
                      <w:lang w:eastAsia="zh-CN"/>
                      <w14:textFill>
                        <w14:solidFill>
                          <w14:schemeClr w14:val="tx1"/>
                        </w14:solidFill>
                      </w14:textFill>
                    </w:rPr>
                    <w:t>区域</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、受事故影响的区域人员及公众对毒物应急剂量控制规定，撤离组织计划及救护，医疗救护与公众健康</w:t>
                  </w:r>
                </w:p>
              </w:tc>
            </w:tr>
            <w:tr w14:paraId="797CDD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02" w:type="dxa"/>
                  <w:tcBorders>
                    <w:tl2br w:val="nil"/>
                    <w:tr2bl w:val="nil"/>
                  </w:tcBorders>
                  <w:noWrap/>
                  <w:vAlign w:val="center"/>
                </w:tcPr>
                <w:p w14:paraId="0ADA98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9</w:t>
                  </w:r>
                </w:p>
              </w:tc>
              <w:tc>
                <w:tcPr>
                  <w:tcW w:w="2310" w:type="dxa"/>
                  <w:tcBorders>
                    <w:tl2br w:val="nil"/>
                    <w:tr2bl w:val="nil"/>
                  </w:tcBorders>
                  <w:noWrap/>
                  <w:vAlign w:val="center"/>
                </w:tcPr>
                <w:p w14:paraId="5C4335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事故应急救援关闭程序与恢复措施</w:t>
                  </w:r>
                </w:p>
              </w:tc>
              <w:tc>
                <w:tcPr>
                  <w:tcW w:w="5054" w:type="dxa"/>
                  <w:tcBorders>
                    <w:tl2br w:val="nil"/>
                    <w:tr2bl w:val="nil"/>
                  </w:tcBorders>
                  <w:noWrap/>
                  <w:vAlign w:val="center"/>
                </w:tcPr>
                <w:p w14:paraId="2C4DC7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规定应急状态终止程序</w:t>
                  </w:r>
                </w:p>
                <w:p w14:paraId="796AFD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事故现场</w:t>
                  </w:r>
                  <w:r>
                    <w:rPr>
                      <w:rFonts w:hint="eastAsia" w:cs="Times New Roman"/>
                      <w:b w:val="0"/>
                      <w:bCs w:val="0"/>
                      <w:color w:val="000000" w:themeColor="text1"/>
                      <w:sz w:val="21"/>
                      <w:szCs w:val="21"/>
                      <w:highlight w:val="none"/>
                      <w:lang w:eastAsia="zh-CN"/>
                      <w14:textFill>
                        <w14:solidFill>
                          <w14:schemeClr w14:val="tx1"/>
                        </w14:solidFill>
                      </w14:textFill>
                    </w:rPr>
                    <w:t>善后处理</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，恢复措施</w:t>
                  </w:r>
                </w:p>
                <w:p w14:paraId="05EBAF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邻近区域解除事故警戒及善后恢复措施</w:t>
                  </w:r>
                </w:p>
                <w:p w14:paraId="7CEF54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制定有关的环境恢复措施</w:t>
                  </w:r>
                </w:p>
                <w:p w14:paraId="565C71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组织专业人员对事故后的环境变化进行监测，对事故应急措施的环境可行性</w:t>
                  </w:r>
                  <w:r>
                    <w:rPr>
                      <w:rFonts w:hint="eastAsia" w:cs="Times New Roman"/>
                      <w:b w:val="0"/>
                      <w:bCs w:val="0"/>
                      <w:color w:val="000000" w:themeColor="text1"/>
                      <w:sz w:val="21"/>
                      <w:szCs w:val="21"/>
                      <w:highlight w:val="none"/>
                      <w:lang w:eastAsia="zh-CN"/>
                      <w14:textFill>
                        <w14:solidFill>
                          <w14:schemeClr w14:val="tx1"/>
                        </w14:solidFill>
                      </w14:textFill>
                    </w:rPr>
                    <w:t>进行</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影响评价</w:t>
                  </w:r>
                </w:p>
              </w:tc>
            </w:tr>
            <w:tr w14:paraId="7DC1BE1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02" w:type="dxa"/>
                  <w:tcBorders>
                    <w:tl2br w:val="nil"/>
                    <w:tr2bl w:val="nil"/>
                  </w:tcBorders>
                  <w:noWrap/>
                  <w:vAlign w:val="center"/>
                </w:tcPr>
                <w:p w14:paraId="1C7245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10</w:t>
                  </w:r>
                </w:p>
              </w:tc>
              <w:tc>
                <w:tcPr>
                  <w:tcW w:w="2310" w:type="dxa"/>
                  <w:tcBorders>
                    <w:tl2br w:val="nil"/>
                    <w:tr2bl w:val="nil"/>
                  </w:tcBorders>
                  <w:noWrap/>
                  <w:vAlign w:val="center"/>
                </w:tcPr>
                <w:p w14:paraId="62A1F9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应急培训计划</w:t>
                  </w:r>
                </w:p>
              </w:tc>
              <w:tc>
                <w:tcPr>
                  <w:tcW w:w="5054" w:type="dxa"/>
                  <w:tcBorders>
                    <w:tl2br w:val="nil"/>
                    <w:tr2bl w:val="nil"/>
                  </w:tcBorders>
                  <w:noWrap/>
                  <w:vAlign w:val="center"/>
                </w:tcPr>
                <w:p w14:paraId="574F83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应急计划制定后，平时安排人员培训与演练</w:t>
                  </w:r>
                </w:p>
              </w:tc>
            </w:tr>
            <w:tr w14:paraId="0330CF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02" w:type="dxa"/>
                  <w:tcBorders>
                    <w:tl2br w:val="nil"/>
                    <w:tr2bl w:val="nil"/>
                  </w:tcBorders>
                  <w:noWrap/>
                  <w:vAlign w:val="center"/>
                </w:tcPr>
                <w:p w14:paraId="74B3AA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11</w:t>
                  </w:r>
                </w:p>
              </w:tc>
              <w:tc>
                <w:tcPr>
                  <w:tcW w:w="2310" w:type="dxa"/>
                  <w:tcBorders>
                    <w:tl2br w:val="nil"/>
                    <w:tr2bl w:val="nil"/>
                  </w:tcBorders>
                  <w:noWrap/>
                  <w:vAlign w:val="center"/>
                </w:tcPr>
                <w:p w14:paraId="2F0964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公众教育和信息</w:t>
                  </w:r>
                </w:p>
              </w:tc>
              <w:tc>
                <w:tcPr>
                  <w:tcW w:w="5054" w:type="dxa"/>
                  <w:tcBorders>
                    <w:tl2br w:val="nil"/>
                    <w:tr2bl w:val="nil"/>
                  </w:tcBorders>
                  <w:noWrap/>
                  <w:vAlign w:val="center"/>
                </w:tcPr>
                <w:p w14:paraId="77DFA9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对企业邻近地区开展公众教育、培训和发布有关信息</w:t>
                  </w:r>
                </w:p>
              </w:tc>
            </w:tr>
          </w:tbl>
          <w:p w14:paraId="72E8FDDA">
            <w:pPr>
              <w:spacing w:line="360" w:lineRule="auto"/>
              <w:ind w:firstLine="482" w:firstLineChars="200"/>
              <w:rPr>
                <w:rFonts w:hint="default" w:ascii="Times New Roman" w:hAnsi="Times New Roman" w:eastAsia="宋体" w:cs="Times New Roman"/>
                <w:b/>
                <w:bCs/>
                <w:color w:val="000000" w:themeColor="text1"/>
                <w:sz w:val="24"/>
                <w:szCs w:val="24"/>
                <w:highlight w:val="none"/>
                <w:lang w:val="en-US" w:eastAsia="zh-CN" w:bidi="ar-SA"/>
                <w14:textFill>
                  <w14:solidFill>
                    <w14:schemeClr w14:val="tx1"/>
                  </w14:solidFill>
                </w14:textFill>
              </w:rPr>
            </w:pPr>
            <w:r>
              <w:rPr>
                <w:rFonts w:hint="eastAsia" w:ascii="Times New Roman" w:hAnsi="Times New Roman" w:cs="Times New Roman"/>
                <w:b/>
                <w:bCs/>
                <w:color w:val="000000" w:themeColor="text1"/>
                <w:sz w:val="24"/>
                <w:szCs w:val="24"/>
                <w:highlight w:val="none"/>
                <w:lang w:val="en-US" w:eastAsia="zh-CN" w:bidi="ar-SA"/>
                <w14:textFill>
                  <w14:solidFill>
                    <w14:schemeClr w14:val="tx1"/>
                  </w14:solidFill>
                </w14:textFill>
              </w:rPr>
              <w:t>6.5风险评价结论</w:t>
            </w:r>
          </w:p>
          <w:p w14:paraId="3B36950F">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通过风险调查、环境风险潜势初判可得，项目环境风险潜势为Ⅰ级，风险程度较小，且建设单位在采取并严格落实相应风险防范</w:t>
            </w:r>
          </w:p>
          <w:p w14:paraId="176458A0">
            <w:pPr>
              <w:pStyle w:val="3"/>
              <w:keepNext/>
              <w:keepLines/>
              <w:pageBreakBefore w:val="0"/>
              <w:widowControl/>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措施的前提下，项目风险事故发生的概率较小，风险水平控制在可接受程度内。建设项目简单分析</w:t>
            </w:r>
            <w:r>
              <w:rPr>
                <w:rFonts w:hint="eastAsia" w:cs="Times New Roman"/>
                <w:b w:val="0"/>
                <w:bCs w:val="0"/>
                <w:sz w:val="24"/>
                <w:szCs w:val="24"/>
                <w:lang w:eastAsia="zh-CN"/>
              </w:rPr>
              <w:t>内容</w:t>
            </w:r>
            <w:r>
              <w:rPr>
                <w:rFonts w:hint="default" w:ascii="Times New Roman" w:hAnsi="Times New Roman" w:eastAsia="宋体" w:cs="Times New Roman"/>
                <w:b w:val="0"/>
                <w:bCs w:val="0"/>
                <w:sz w:val="24"/>
                <w:szCs w:val="24"/>
              </w:rPr>
              <w:t>见表4-10。</w:t>
            </w:r>
          </w:p>
          <w:p w14:paraId="54E52D0A">
            <w:pPr>
              <w:pStyle w:val="66"/>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表4-10 环境风险简单分析内容表</w:t>
            </w:r>
          </w:p>
          <w:tbl>
            <w:tblPr>
              <w:tblStyle w:val="25"/>
              <w:tblW w:w="5669" w:type="dxa"/>
              <w:jc w:val="center"/>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
            <w:tblGrid>
              <w:gridCol w:w="1665"/>
              <w:gridCol w:w="1156"/>
              <w:gridCol w:w="1929"/>
              <w:gridCol w:w="1001"/>
              <w:gridCol w:w="2223"/>
            </w:tblGrid>
            <w:tr w14:paraId="5AFBD28B">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CellMar>
                  <w:top w:w="0" w:type="dxa"/>
                  <w:left w:w="108" w:type="dxa"/>
                  <w:bottom w:w="0" w:type="dxa"/>
                  <w:right w:w="108" w:type="dxa"/>
                </w:tblCellMar>
              </w:tblPrEx>
              <w:trPr>
                <w:trHeight w:val="23" w:hRule="atLeast"/>
                <w:jc w:val="center"/>
              </w:trPr>
              <w:tc>
                <w:tcPr>
                  <w:tcW w:w="1705" w:type="dxa"/>
                  <w:tcBorders>
                    <w:tl2br w:val="nil"/>
                    <w:tr2bl w:val="nil"/>
                  </w:tcBorders>
                  <w:noWrap/>
                  <w:vAlign w:val="center"/>
                </w:tcPr>
                <w:p w14:paraId="4EF84A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t>建设项目名称</w:t>
                  </w:r>
                </w:p>
              </w:tc>
              <w:tc>
                <w:tcPr>
                  <w:tcW w:w="6461" w:type="dxa"/>
                  <w:gridSpan w:val="4"/>
                  <w:tcBorders>
                    <w:tl2br w:val="nil"/>
                    <w:tr2bl w:val="nil"/>
                  </w:tcBorders>
                  <w:noWrap/>
                  <w:vAlign w:val="center"/>
                </w:tcPr>
                <w:p w14:paraId="5006CF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t>库尔勒国创煤炭有限公司煤炭存储、集运项目</w:t>
                  </w:r>
                </w:p>
              </w:tc>
            </w:tr>
            <w:tr w14:paraId="3B6056E0">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CellMar>
                  <w:top w:w="0" w:type="dxa"/>
                  <w:left w:w="108" w:type="dxa"/>
                  <w:bottom w:w="0" w:type="dxa"/>
                  <w:right w:w="108" w:type="dxa"/>
                </w:tblCellMar>
              </w:tblPrEx>
              <w:trPr>
                <w:trHeight w:val="23" w:hRule="atLeast"/>
                <w:jc w:val="center"/>
              </w:trPr>
              <w:tc>
                <w:tcPr>
                  <w:tcW w:w="1705" w:type="dxa"/>
                  <w:tcBorders>
                    <w:tl2br w:val="nil"/>
                    <w:tr2bl w:val="nil"/>
                  </w:tcBorders>
                  <w:noWrap/>
                  <w:vAlign w:val="center"/>
                </w:tcPr>
                <w:p w14:paraId="37E28F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t>建设地点</w:t>
                  </w:r>
                </w:p>
              </w:tc>
              <w:tc>
                <w:tcPr>
                  <w:tcW w:w="6461" w:type="dxa"/>
                  <w:gridSpan w:val="4"/>
                  <w:tcBorders>
                    <w:tl2br w:val="nil"/>
                    <w:tr2bl w:val="nil"/>
                  </w:tcBorders>
                  <w:noWrap/>
                  <w:vAlign w:val="center"/>
                </w:tcPr>
                <w:p w14:paraId="200CBD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val="en-US"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库尔勒</w:t>
                  </w:r>
                  <w:r>
                    <w:rPr>
                      <w:rFonts w:hint="eastAsia" w:cs="Times New Roman"/>
                      <w:b w:val="0"/>
                      <w:bCs w:val="0"/>
                      <w:color w:val="000000" w:themeColor="text1"/>
                      <w:sz w:val="21"/>
                      <w:szCs w:val="21"/>
                      <w:highlight w:val="none"/>
                      <w:lang w:val="en-US" w:eastAsia="zh-CN" w:bidi="ar-SA"/>
                      <w14:textFill>
                        <w14:solidFill>
                          <w14:schemeClr w14:val="tx1"/>
                        </w14:solidFill>
                      </w14:textFill>
                    </w:rPr>
                    <w:t>市塔什店镇</w:t>
                  </w:r>
                </w:p>
              </w:tc>
            </w:tr>
            <w:tr w14:paraId="198FB8DE">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CellMar>
                  <w:top w:w="0" w:type="dxa"/>
                  <w:left w:w="108" w:type="dxa"/>
                  <w:bottom w:w="0" w:type="dxa"/>
                  <w:right w:w="108" w:type="dxa"/>
                </w:tblCellMar>
              </w:tblPrEx>
              <w:trPr>
                <w:trHeight w:val="23" w:hRule="atLeast"/>
                <w:jc w:val="center"/>
              </w:trPr>
              <w:tc>
                <w:tcPr>
                  <w:tcW w:w="1705" w:type="dxa"/>
                  <w:tcBorders>
                    <w:tl2br w:val="nil"/>
                    <w:tr2bl w:val="nil"/>
                  </w:tcBorders>
                  <w:noWrap/>
                  <w:vAlign w:val="center"/>
                </w:tcPr>
                <w:p w14:paraId="7D681B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t>地理坐标</w:t>
                  </w:r>
                </w:p>
              </w:tc>
              <w:tc>
                <w:tcPr>
                  <w:tcW w:w="1182" w:type="dxa"/>
                  <w:tcBorders>
                    <w:tl2br w:val="nil"/>
                    <w:tr2bl w:val="nil"/>
                  </w:tcBorders>
                  <w:noWrap/>
                  <w:vAlign w:val="center"/>
                </w:tcPr>
                <w:p w14:paraId="19591D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bidi="ar-SA"/>
                      <w14:textFill>
                        <w14:solidFill>
                          <w14:schemeClr w14:val="tx1"/>
                        </w14:solidFill>
                      </w14:textFill>
                    </w:rPr>
                    <w:t>经度</w:t>
                  </w:r>
                </w:p>
              </w:tc>
              <w:tc>
                <w:tcPr>
                  <w:tcW w:w="1977" w:type="dxa"/>
                  <w:tcBorders>
                    <w:tl2br w:val="nil"/>
                    <w:tr2bl w:val="nil"/>
                  </w:tcBorders>
                  <w:noWrap/>
                  <w:vAlign w:val="center"/>
                </w:tcPr>
                <w:p w14:paraId="56745F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000000" w:themeColor="text1"/>
                      <w:sz w:val="21"/>
                      <w:szCs w:val="21"/>
                      <w:highlight w:val="none"/>
                      <w:lang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86</w:t>
                  </w:r>
                  <w:r>
                    <w:rPr>
                      <w:rFonts w:hint="eastAsia" w:ascii="Times New Roman" w:hAnsi="Times New Roman" w:cs="Times New Roman"/>
                      <w:b w:val="0"/>
                      <w:bCs w:val="0"/>
                      <w:color w:val="000000" w:themeColor="text1"/>
                      <w:sz w:val="21"/>
                      <w:szCs w:val="21"/>
                      <w:highlight w:val="none"/>
                      <w:lang w:val="en-US" w:eastAsia="zh-CN" w:bidi="ar-SA"/>
                      <w14:textFill>
                        <w14:solidFill>
                          <w14:schemeClr w14:val="tx1"/>
                        </w14:solidFill>
                      </w14:textFill>
                    </w:rPr>
                    <w:t>°</w:t>
                  </w:r>
                  <w:r>
                    <w:rPr>
                      <w:rFonts w:hint="eastAsia" w:cs="Times New Roman"/>
                      <w:b w:val="0"/>
                      <w:bCs w:val="0"/>
                      <w:color w:val="000000" w:themeColor="text1"/>
                      <w:sz w:val="21"/>
                      <w:szCs w:val="21"/>
                      <w:highlight w:val="none"/>
                      <w:lang w:val="en-US" w:eastAsia="zh-CN" w:bidi="ar-SA"/>
                      <w14:textFill>
                        <w14:solidFill>
                          <w14:schemeClr w14:val="tx1"/>
                        </w14:solidFill>
                      </w14:textFill>
                    </w:rPr>
                    <w:t>12</w:t>
                  </w:r>
                  <w:r>
                    <w:rPr>
                      <w:rFonts w:hint="eastAsia" w:ascii="Times New Roman" w:hAnsi="Times New Roman" w:cs="Times New Roman"/>
                      <w:b w:val="0"/>
                      <w:bCs w:val="0"/>
                      <w:color w:val="000000" w:themeColor="text1"/>
                      <w:sz w:val="21"/>
                      <w:szCs w:val="21"/>
                      <w:highlight w:val="none"/>
                      <w:lang w:val="en-US" w:eastAsia="zh-CN" w:bidi="ar-SA"/>
                      <w14:textFill>
                        <w14:solidFill>
                          <w14:schemeClr w14:val="tx1"/>
                        </w14:solidFill>
                      </w14:textFill>
                    </w:rPr>
                    <w:t>′</w:t>
                  </w:r>
                  <w:r>
                    <w:rPr>
                      <w:rFonts w:hint="eastAsia" w:cs="Times New Roman"/>
                      <w:b w:val="0"/>
                      <w:bCs w:val="0"/>
                      <w:color w:val="000000" w:themeColor="text1"/>
                      <w:sz w:val="21"/>
                      <w:szCs w:val="21"/>
                      <w:highlight w:val="none"/>
                      <w:lang w:val="en-US" w:eastAsia="zh-CN" w:bidi="ar-SA"/>
                      <w14:textFill>
                        <w14:solidFill>
                          <w14:schemeClr w14:val="tx1"/>
                        </w14:solidFill>
                      </w14:textFill>
                    </w:rPr>
                    <w:t>48.025</w:t>
                  </w:r>
                  <w:r>
                    <w:rPr>
                      <w:rFonts w:hint="eastAsia" w:ascii="Times New Roman" w:hAnsi="Times New Roman" w:cs="Times New Roman"/>
                      <w:b w:val="0"/>
                      <w:bCs w:val="0"/>
                      <w:color w:val="000000" w:themeColor="text1"/>
                      <w:sz w:val="21"/>
                      <w:szCs w:val="21"/>
                      <w:highlight w:val="none"/>
                      <w:lang w:val="en-US" w:eastAsia="zh-CN" w:bidi="ar-SA"/>
                      <w14:textFill>
                        <w14:solidFill>
                          <w14:schemeClr w14:val="tx1"/>
                        </w14:solidFill>
                      </w14:textFill>
                    </w:rPr>
                    <w:t>″</w:t>
                  </w:r>
                </w:p>
              </w:tc>
              <w:tc>
                <w:tcPr>
                  <w:tcW w:w="1023" w:type="dxa"/>
                  <w:tcBorders>
                    <w:tl2br w:val="nil"/>
                    <w:tr2bl w:val="nil"/>
                  </w:tcBorders>
                  <w:noWrap/>
                  <w:vAlign w:val="center"/>
                </w:tcPr>
                <w:p w14:paraId="2FBF39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纬度</w:t>
                  </w:r>
                </w:p>
              </w:tc>
              <w:tc>
                <w:tcPr>
                  <w:tcW w:w="2279" w:type="dxa"/>
                  <w:tcBorders>
                    <w:tl2br w:val="nil"/>
                    <w:tr2bl w:val="nil"/>
                  </w:tcBorders>
                  <w:noWrap/>
                  <w:vAlign w:val="center"/>
                </w:tcPr>
                <w:p w14:paraId="5115A5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bidi="ar-SA"/>
                      <w14:textFill>
                        <w14:solidFill>
                          <w14:schemeClr w14:val="tx1"/>
                        </w14:solidFill>
                      </w14:textFill>
                    </w:rPr>
                    <w:t>41°</w:t>
                  </w:r>
                  <w:r>
                    <w:rPr>
                      <w:rFonts w:hint="eastAsia" w:cs="Times New Roman"/>
                      <w:b w:val="0"/>
                      <w:bCs w:val="0"/>
                      <w:color w:val="000000" w:themeColor="text1"/>
                      <w:sz w:val="21"/>
                      <w:szCs w:val="21"/>
                      <w:highlight w:val="none"/>
                      <w:lang w:val="en-US" w:eastAsia="zh-CN" w:bidi="ar-SA"/>
                      <w14:textFill>
                        <w14:solidFill>
                          <w14:schemeClr w14:val="tx1"/>
                        </w14:solidFill>
                      </w14:textFill>
                    </w:rPr>
                    <w:t>50</w:t>
                  </w:r>
                  <w:r>
                    <w:rPr>
                      <w:rFonts w:hint="eastAsia" w:ascii="Times New Roman" w:hAnsi="Times New Roman" w:cs="Times New Roman"/>
                      <w:b w:val="0"/>
                      <w:bCs w:val="0"/>
                      <w:color w:val="000000" w:themeColor="text1"/>
                      <w:sz w:val="21"/>
                      <w:szCs w:val="21"/>
                      <w:highlight w:val="none"/>
                      <w:lang w:val="en-US" w:eastAsia="zh-CN" w:bidi="ar-SA"/>
                      <w14:textFill>
                        <w14:solidFill>
                          <w14:schemeClr w14:val="tx1"/>
                        </w14:solidFill>
                      </w14:textFill>
                    </w:rPr>
                    <w:t>′</w:t>
                  </w:r>
                  <w:r>
                    <w:rPr>
                      <w:rFonts w:hint="eastAsia" w:cs="Times New Roman"/>
                      <w:b w:val="0"/>
                      <w:bCs w:val="0"/>
                      <w:color w:val="000000" w:themeColor="text1"/>
                      <w:sz w:val="21"/>
                      <w:szCs w:val="21"/>
                      <w:highlight w:val="none"/>
                      <w:lang w:val="en-US" w:eastAsia="zh-CN" w:bidi="ar-SA"/>
                      <w14:textFill>
                        <w14:solidFill>
                          <w14:schemeClr w14:val="tx1"/>
                        </w14:solidFill>
                      </w14:textFill>
                    </w:rPr>
                    <w:t>39.923</w:t>
                  </w:r>
                  <w:r>
                    <w:rPr>
                      <w:rFonts w:hint="eastAsia" w:ascii="Times New Roman" w:hAnsi="Times New Roman" w:cs="Times New Roman"/>
                      <w:b w:val="0"/>
                      <w:bCs w:val="0"/>
                      <w:color w:val="000000" w:themeColor="text1"/>
                      <w:sz w:val="21"/>
                      <w:szCs w:val="21"/>
                      <w:highlight w:val="none"/>
                      <w:lang w:val="en-US" w:eastAsia="zh-CN" w:bidi="ar-SA"/>
                      <w14:textFill>
                        <w14:solidFill>
                          <w14:schemeClr w14:val="tx1"/>
                        </w14:solidFill>
                      </w14:textFill>
                    </w:rPr>
                    <w:t>″</w:t>
                  </w:r>
                </w:p>
              </w:tc>
            </w:tr>
            <w:tr w14:paraId="5CEB05DD">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CellMar>
                  <w:top w:w="0" w:type="dxa"/>
                  <w:left w:w="108" w:type="dxa"/>
                  <w:bottom w:w="0" w:type="dxa"/>
                  <w:right w:w="108" w:type="dxa"/>
                </w:tblCellMar>
              </w:tblPrEx>
              <w:trPr>
                <w:trHeight w:val="23" w:hRule="atLeast"/>
                <w:jc w:val="center"/>
              </w:trPr>
              <w:tc>
                <w:tcPr>
                  <w:tcW w:w="1705" w:type="dxa"/>
                  <w:tcBorders>
                    <w:tl2br w:val="nil"/>
                    <w:tr2bl w:val="nil"/>
                  </w:tcBorders>
                  <w:noWrap/>
                  <w:vAlign w:val="center"/>
                </w:tcPr>
                <w:p w14:paraId="787DCF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t>主要危险物质及分布</w:t>
                  </w:r>
                </w:p>
              </w:tc>
              <w:tc>
                <w:tcPr>
                  <w:tcW w:w="6461" w:type="dxa"/>
                  <w:gridSpan w:val="4"/>
                  <w:tcBorders>
                    <w:tl2br w:val="nil"/>
                    <w:tr2bl w:val="nil"/>
                  </w:tcBorders>
                  <w:noWrap/>
                  <w:vAlign w:val="center"/>
                </w:tcPr>
                <w:p w14:paraId="069CA9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val="en-US" w:bidi="ar-SA"/>
                      <w14:textFill>
                        <w14:solidFill>
                          <w14:schemeClr w14:val="tx1"/>
                        </w14:solidFill>
                      </w14:textFill>
                    </w:rPr>
                  </w:pPr>
                  <w:r>
                    <w:rPr>
                      <w:rFonts w:hint="eastAsia" w:cs="Times New Roman"/>
                      <w:b w:val="0"/>
                      <w:bCs w:val="0"/>
                      <w:color w:val="000000" w:themeColor="text1"/>
                      <w:sz w:val="21"/>
                      <w:szCs w:val="21"/>
                      <w:highlight w:val="none"/>
                      <w:lang w:val="en-US" w:eastAsia="zh-CN" w:bidi="ar-SA"/>
                      <w14:textFill>
                        <w14:solidFill>
                          <w14:schemeClr w14:val="tx1"/>
                        </w14:solidFill>
                      </w14:textFill>
                    </w:rPr>
                    <w:t>煤棚</w:t>
                  </w:r>
                </w:p>
              </w:tc>
            </w:tr>
            <w:tr w14:paraId="5FF8C3B8">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CellMar>
                  <w:top w:w="0" w:type="dxa"/>
                  <w:left w:w="108" w:type="dxa"/>
                  <w:bottom w:w="0" w:type="dxa"/>
                  <w:right w:w="108" w:type="dxa"/>
                </w:tblCellMar>
              </w:tblPrEx>
              <w:trPr>
                <w:trHeight w:val="23" w:hRule="atLeast"/>
                <w:jc w:val="center"/>
              </w:trPr>
              <w:tc>
                <w:tcPr>
                  <w:tcW w:w="1705" w:type="dxa"/>
                  <w:tcBorders>
                    <w:tl2br w:val="nil"/>
                    <w:tr2bl w:val="nil"/>
                  </w:tcBorders>
                  <w:noWrap/>
                  <w:vAlign w:val="center"/>
                </w:tcPr>
                <w:p w14:paraId="3B0568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t>环境影响途径及危害后果（大气、地表水、地下水）</w:t>
                  </w:r>
                </w:p>
              </w:tc>
              <w:tc>
                <w:tcPr>
                  <w:tcW w:w="6461" w:type="dxa"/>
                  <w:gridSpan w:val="4"/>
                  <w:tcBorders>
                    <w:tl2br w:val="nil"/>
                    <w:tr2bl w:val="nil"/>
                  </w:tcBorders>
                  <w:noWrap/>
                  <w:vAlign w:val="center"/>
                </w:tcPr>
                <w:p w14:paraId="6CE0CCF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eastAsia" w:cs="Times New Roman"/>
                      <w:b w:val="0"/>
                      <w:bCs w:val="0"/>
                      <w:color w:val="000000" w:themeColor="text1"/>
                      <w:sz w:val="21"/>
                      <w:szCs w:val="21"/>
                      <w:highlight w:val="none"/>
                      <w:lang w:val="en-US" w:eastAsia="zh-CN" w:bidi="ar-SA"/>
                      <w14:textFill>
                        <w14:solidFill>
                          <w14:schemeClr w14:val="tx1"/>
                        </w14:solidFill>
                      </w14:textFill>
                    </w:rPr>
                    <w:t>储煤</w:t>
                  </w: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由于管理不当等原因造成火灾事故</w:t>
                  </w:r>
                  <w:r>
                    <w:rPr>
                      <w:rFonts w:hint="eastAsia" w:cs="Times New Roman"/>
                      <w:b w:val="0"/>
                      <w:bCs w:val="0"/>
                      <w:color w:val="000000" w:themeColor="text1"/>
                      <w:sz w:val="21"/>
                      <w:szCs w:val="21"/>
                      <w:highlight w:val="none"/>
                      <w:lang w:val="en-US" w:eastAsia="zh-CN" w:bidi="ar-SA"/>
                      <w14:textFill>
                        <w14:solidFill>
                          <w14:schemeClr w14:val="tx1"/>
                        </w14:solidFill>
                      </w14:textFill>
                    </w:rPr>
                    <w:t>致使</w:t>
                  </w: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污染物进入大气环境。</w:t>
                  </w:r>
                </w:p>
              </w:tc>
            </w:tr>
            <w:tr w14:paraId="7E7A9C8D">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CellMar>
                  <w:top w:w="0" w:type="dxa"/>
                  <w:left w:w="108" w:type="dxa"/>
                  <w:bottom w:w="0" w:type="dxa"/>
                  <w:right w:w="108" w:type="dxa"/>
                </w:tblCellMar>
              </w:tblPrEx>
              <w:trPr>
                <w:trHeight w:val="23" w:hRule="atLeast"/>
                <w:jc w:val="center"/>
              </w:trPr>
              <w:tc>
                <w:tcPr>
                  <w:tcW w:w="1705" w:type="dxa"/>
                  <w:tcBorders>
                    <w:tl2br w:val="nil"/>
                    <w:tr2bl w:val="nil"/>
                  </w:tcBorders>
                  <w:noWrap/>
                  <w:vAlign w:val="center"/>
                </w:tcPr>
                <w:p w14:paraId="356F04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t>风险防范措施要求</w:t>
                  </w:r>
                </w:p>
              </w:tc>
              <w:tc>
                <w:tcPr>
                  <w:tcW w:w="6461" w:type="dxa"/>
                  <w:gridSpan w:val="4"/>
                  <w:tcBorders>
                    <w:tl2br w:val="nil"/>
                    <w:tr2bl w:val="nil"/>
                  </w:tcBorders>
                  <w:noWrap/>
                  <w:vAlign w:val="center"/>
                </w:tcPr>
                <w:p w14:paraId="5A42350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①煤堆场表面采取洒水喷淋降尘措施；</w:t>
                  </w:r>
                </w:p>
                <w:p w14:paraId="422DE9E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②煤棚区域内喷淋洒水，降低了作业区上空煤炭粉尘量，避免粉尘爆炸。</w:t>
                  </w:r>
                </w:p>
                <w:p w14:paraId="7641EE7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③在煤棚生产区各处悬挂禁止火种带入、禁止吸烟等警示牌；</w:t>
                  </w:r>
                </w:p>
                <w:p w14:paraId="798EBFE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④在煤棚配电室、办公室等地</w:t>
                  </w:r>
                  <w:r>
                    <w:rPr>
                      <w:rFonts w:hint="eastAsia" w:cs="Times New Roman"/>
                      <w:b w:val="0"/>
                      <w:bCs w:val="0"/>
                      <w:color w:val="000000" w:themeColor="text1"/>
                      <w:sz w:val="21"/>
                      <w:szCs w:val="21"/>
                      <w:highlight w:val="none"/>
                      <w:lang w:val="en-US" w:eastAsia="zh-CN" w:bidi="ar-SA"/>
                      <w14:textFill>
                        <w14:solidFill>
                          <w14:schemeClr w14:val="tx1"/>
                        </w14:solidFill>
                      </w14:textFill>
                    </w:rPr>
                    <w:t>方配</w:t>
                  </w: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备不同类型的灭火器具，以便在煤棚发生火灾时用于防灭火工作；</w:t>
                  </w:r>
                </w:p>
                <w:p w14:paraId="5886679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⑤煤棚</w:t>
                  </w:r>
                  <w:r>
                    <w:rPr>
                      <w:rFonts w:hint="eastAsia" w:cs="Times New Roman"/>
                      <w:b w:val="0"/>
                      <w:bCs w:val="0"/>
                      <w:color w:val="000000" w:themeColor="text1"/>
                      <w:sz w:val="21"/>
                      <w:szCs w:val="21"/>
                      <w:highlight w:val="none"/>
                      <w:lang w:val="en-US" w:eastAsia="zh-CN" w:bidi="ar-SA"/>
                      <w14:textFill>
                        <w14:solidFill>
                          <w14:schemeClr w14:val="tx1"/>
                        </w14:solidFill>
                      </w14:textFill>
                    </w:rPr>
                    <w:t>电气设备</w:t>
                  </w: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的高低压供电线路均按《煤矿安全规程》的要求选取，加强对其管理与维护，避免因发生短路和绝缘材料破坏漏电而引起的火灾事故；</w:t>
                  </w:r>
                </w:p>
                <w:p w14:paraId="70069E9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⑥加强对储煤棚工作面日常管理工作，对煤堆自然发火情况组织日常安全检查，及时掌握煤堆自然发火情况，以便及时采取有效的防火、灭火措施，有效预防煤堆火灾事故的发生。</w:t>
                  </w:r>
                </w:p>
                <w:p w14:paraId="3618B04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⑦煤堆场四周设置固定的防风抑尘网，减少粉尘对周围环境的影响；</w:t>
                  </w:r>
                </w:p>
                <w:p w14:paraId="1DAA500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⑧加强安全监督和管理，</w:t>
                  </w:r>
                  <w:r>
                    <w:rPr>
                      <w:rFonts w:hint="eastAsia" w:cs="Times New Roman"/>
                      <w:b w:val="0"/>
                      <w:bCs w:val="0"/>
                      <w:color w:val="000000" w:themeColor="text1"/>
                      <w:sz w:val="21"/>
                      <w:szCs w:val="21"/>
                      <w:highlight w:val="none"/>
                      <w:lang w:val="en-US" w:eastAsia="zh-CN" w:bidi="ar-SA"/>
                      <w14:textFill>
                        <w14:solidFill>
                          <w14:schemeClr w14:val="tx1"/>
                        </w14:solidFill>
                      </w14:textFill>
                    </w:rPr>
                    <w:t>增强</w:t>
                  </w: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职工的安全意识和环境意识，坚决杜绝人为事故发生。</w:t>
                  </w:r>
                </w:p>
                <w:p w14:paraId="7028421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⑨定期采样监测，确保废气污染物达标排放，同时加强污染治理设施管理，进行定期或不定期检查，建立废气事故性排放的应急制度和响应措施，将事故性排放的影响降至最低；做好环境保护、安全生产宣传以及相关技术培训等工作。</w:t>
                  </w:r>
                </w:p>
                <w:p w14:paraId="5422EAD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⑩企业应编制《环境风险应急预案》，对于重大或不可接受的风险（主要是火灾爆炸造成重大人员伤害等），应制定应急</w:t>
                  </w:r>
                  <w:r>
                    <w:rPr>
                      <w:rFonts w:hint="eastAsia" w:cs="Times New Roman"/>
                      <w:b w:val="0"/>
                      <w:bCs w:val="0"/>
                      <w:color w:val="000000" w:themeColor="text1"/>
                      <w:sz w:val="21"/>
                      <w:szCs w:val="21"/>
                      <w:highlight w:val="none"/>
                      <w:lang w:val="en-US" w:eastAsia="zh-CN" w:bidi="ar-SA"/>
                      <w14:textFill>
                        <w14:solidFill>
                          <w14:schemeClr w14:val="tx1"/>
                        </w14:solidFill>
                      </w14:textFill>
                    </w:rPr>
                    <w:t>响应</w:t>
                  </w: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方案。</w:t>
                  </w:r>
                </w:p>
              </w:tc>
            </w:tr>
            <w:tr w14:paraId="7F5FBBEA">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CellMar>
                  <w:top w:w="0" w:type="dxa"/>
                  <w:left w:w="108" w:type="dxa"/>
                  <w:bottom w:w="0" w:type="dxa"/>
                  <w:right w:w="108" w:type="dxa"/>
                </w:tblCellMar>
              </w:tblPrEx>
              <w:trPr>
                <w:trHeight w:val="23" w:hRule="atLeast"/>
                <w:jc w:val="center"/>
              </w:trPr>
              <w:tc>
                <w:tcPr>
                  <w:tcW w:w="1705" w:type="dxa"/>
                  <w:tcBorders>
                    <w:tl2br w:val="nil"/>
                    <w:tr2bl w:val="nil"/>
                  </w:tcBorders>
                  <w:noWrap/>
                  <w:vAlign w:val="center"/>
                </w:tcPr>
                <w:p w14:paraId="63FEEE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t>填表说明（列出项目相关信息及评价说明）</w:t>
                  </w:r>
                </w:p>
              </w:tc>
              <w:tc>
                <w:tcPr>
                  <w:tcW w:w="6461" w:type="dxa"/>
                  <w:gridSpan w:val="4"/>
                  <w:tcBorders>
                    <w:tl2br w:val="nil"/>
                    <w:tr2bl w:val="nil"/>
                  </w:tcBorders>
                  <w:noWrap/>
                  <w:vAlign w:val="center"/>
                </w:tcPr>
                <w:p w14:paraId="79851FB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val="0"/>
                      <w:bCs w:val="0"/>
                      <w:color w:val="000000" w:themeColor="text1"/>
                      <w:sz w:val="21"/>
                      <w:szCs w:val="21"/>
                      <w:highlight w:val="none"/>
                      <w:lang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根据环境风险潜势划分，该项目环境风险潜势为Ⅰ，评价工作等级为简单分析。在采取相应的防范措施及应急要求后，环境风险可以控制在可接受风险水平之内。</w:t>
                  </w:r>
                </w:p>
              </w:tc>
            </w:tr>
          </w:tbl>
          <w:p w14:paraId="6847FAA4">
            <w:pPr>
              <w:spacing w:line="360" w:lineRule="auto"/>
              <w:rPr>
                <w:rFonts w:hint="default" w:ascii="Times New Roman" w:hAnsi="Times New Roman" w:eastAsia="宋体" w:cs="Times New Roman"/>
                <w:b/>
                <w:sz w:val="24"/>
                <w:szCs w:val="24"/>
              </w:rPr>
            </w:pPr>
            <w:r>
              <w:rPr>
                <w:rFonts w:hint="eastAsia" w:ascii="Times New Roman" w:hAnsi="Times New Roman" w:eastAsia="宋体" w:cs="Times New Roman"/>
                <w:b/>
                <w:bCs/>
                <w:color w:val="000000"/>
                <w:kern w:val="0"/>
                <w:sz w:val="24"/>
                <w:szCs w:val="24"/>
                <w:highlight w:val="none"/>
                <w:lang w:val="en-US" w:eastAsia="zh-CN" w:bidi="ar"/>
              </w:rPr>
              <w:t>7.</w:t>
            </w:r>
            <w:r>
              <w:rPr>
                <w:rFonts w:hint="default" w:ascii="Times New Roman" w:hAnsi="Times New Roman" w:eastAsia="宋体" w:cs="Times New Roman"/>
                <w:b/>
                <w:sz w:val="24"/>
                <w:szCs w:val="24"/>
              </w:rPr>
              <w:t>环境管理</w:t>
            </w:r>
          </w:p>
          <w:p w14:paraId="73F7B574">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根据《固定污染源排污许可分类管理名录（2019 年版）》，项目属于</w:t>
            </w:r>
            <w:r>
              <w:rPr>
                <w:rFonts w:hint="eastAsia" w:ascii="Times New Roman" w:hAnsi="Times New Roman" w:cs="Times New Roman"/>
                <w:sz w:val="24"/>
                <w:szCs w:val="24"/>
                <w:lang w:val="en-US" w:eastAsia="zh-CN"/>
              </w:rPr>
              <w:t>四</w:t>
            </w:r>
            <w:r>
              <w:rPr>
                <w:rFonts w:hint="default" w:ascii="Times New Roman" w:hAnsi="Times New Roman" w:cs="Times New Roman"/>
                <w:sz w:val="24"/>
                <w:szCs w:val="24"/>
                <w:lang w:val="en-US" w:eastAsia="zh-CN"/>
              </w:rPr>
              <w:t>、煤炭开采和洗选业06</w:t>
            </w:r>
            <w:r>
              <w:rPr>
                <w:rFonts w:hint="eastAsia" w:ascii="Times New Roman" w:hAnsi="Times New Roman" w:cs="Times New Roman"/>
                <w:sz w:val="24"/>
                <w:szCs w:val="24"/>
                <w:lang w:val="en-US" w:eastAsia="zh-CN"/>
              </w:rPr>
              <w:t>-6煤炭储存、集运</w:t>
            </w:r>
            <w:r>
              <w:rPr>
                <w:rFonts w:hint="default" w:ascii="Times New Roman" w:hAnsi="Times New Roman" w:cs="Times New Roman"/>
                <w:sz w:val="24"/>
                <w:szCs w:val="24"/>
                <w:lang w:val="en-US" w:eastAsia="zh-CN"/>
              </w:rPr>
              <w:t>，属于</w:t>
            </w:r>
            <w:r>
              <w:rPr>
                <w:rFonts w:hint="eastAsia" w:cs="Times New Roman"/>
                <w:sz w:val="24"/>
                <w:szCs w:val="24"/>
                <w:lang w:val="en-US" w:eastAsia="zh-CN"/>
              </w:rPr>
              <w:t>登记</w:t>
            </w:r>
            <w:r>
              <w:rPr>
                <w:rFonts w:hint="default" w:ascii="Times New Roman" w:hAnsi="Times New Roman" w:cs="Times New Roman"/>
                <w:sz w:val="24"/>
                <w:szCs w:val="24"/>
                <w:lang w:val="en-US" w:eastAsia="zh-CN"/>
              </w:rPr>
              <w:t>管理。</w:t>
            </w:r>
          </w:p>
          <w:p w14:paraId="062485AD">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严格按照《排污单位自行监测技术指南 总则》（HJ819-2017）的执行污染防治运营管理要求，环境管理台账要求及排污许可执行报告要求，定期展开自行监测和信息公开。本项目监测计划见运营期环境影响和保护措施章节。</w:t>
            </w:r>
          </w:p>
          <w:p w14:paraId="221B1F04">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cs="Times New Roman"/>
                <w:sz w:val="24"/>
                <w:szCs w:val="24"/>
                <w:lang w:val="en-US" w:eastAsia="zh-CN"/>
              </w:rPr>
              <w:t>项目建成后应</w:t>
            </w:r>
            <w:r>
              <w:rPr>
                <w:rFonts w:hint="default" w:ascii="Times New Roman" w:hAnsi="Times New Roman" w:cs="Times New Roman"/>
                <w:sz w:val="24"/>
                <w:szCs w:val="24"/>
              </w:rPr>
              <w:t>根据《排污单位污染物排放口二维码标识技术规范》（HJ1297—2023）和《环境保护图形标志—固体废物贮存（处置）场》（GB 15562.2-1995）修改单，设置与之相适应的环境保护图形标志牌</w:t>
            </w:r>
            <w:r>
              <w:rPr>
                <w:rFonts w:hint="default" w:ascii="Times New Roman" w:hAnsi="Times New Roman" w:cs="Times New Roman"/>
                <w:sz w:val="24"/>
                <w:szCs w:val="24"/>
                <w:lang w:eastAsia="zh-CN"/>
              </w:rPr>
              <w:t>，必须使用由国家环境保护局统一定点制作和监制的环境保护图形标志牌，环境保护图形标志牌设置位置应距污染物排放口</w:t>
            </w:r>
            <w:r>
              <w:rPr>
                <w:rFonts w:hint="eastAsia" w:ascii="Times New Roman" w:hAnsi="Times New Roman" w:cs="Times New Roman"/>
                <w:sz w:val="24"/>
                <w:szCs w:val="24"/>
                <w:lang w:eastAsia="zh-CN"/>
              </w:rPr>
              <w:t>（</w:t>
            </w:r>
            <w:r>
              <w:rPr>
                <w:rFonts w:hint="default" w:ascii="Times New Roman" w:hAnsi="Times New Roman" w:cs="Times New Roman"/>
                <w:sz w:val="24"/>
                <w:szCs w:val="24"/>
                <w:lang w:eastAsia="zh-CN"/>
              </w:rPr>
              <w:t>源</w:t>
            </w:r>
            <w:r>
              <w:rPr>
                <w:rFonts w:hint="eastAsia" w:ascii="Times New Roman" w:hAnsi="Times New Roman" w:cs="Times New Roman"/>
                <w:sz w:val="24"/>
                <w:szCs w:val="24"/>
                <w:lang w:eastAsia="zh-CN"/>
              </w:rPr>
              <w:t>）</w:t>
            </w:r>
            <w:r>
              <w:rPr>
                <w:rFonts w:hint="default" w:ascii="Times New Roman" w:hAnsi="Times New Roman" w:cs="Times New Roman"/>
                <w:sz w:val="24"/>
                <w:szCs w:val="24"/>
                <w:lang w:eastAsia="zh-CN"/>
              </w:rPr>
              <w:t>及固体废物贮存</w:t>
            </w:r>
            <w:r>
              <w:rPr>
                <w:rFonts w:hint="eastAsia" w:ascii="Times New Roman" w:hAnsi="Times New Roman" w:cs="Times New Roman"/>
                <w:sz w:val="24"/>
                <w:szCs w:val="24"/>
                <w:lang w:eastAsia="zh-CN"/>
              </w:rPr>
              <w:t>（</w:t>
            </w:r>
            <w:r>
              <w:rPr>
                <w:rFonts w:hint="default" w:ascii="Times New Roman" w:hAnsi="Times New Roman" w:cs="Times New Roman"/>
                <w:sz w:val="24"/>
                <w:szCs w:val="24"/>
                <w:lang w:eastAsia="zh-CN"/>
              </w:rPr>
              <w:t>处置</w:t>
            </w:r>
            <w:r>
              <w:rPr>
                <w:rFonts w:hint="eastAsia" w:ascii="Times New Roman" w:hAnsi="Times New Roman" w:cs="Times New Roman"/>
                <w:sz w:val="24"/>
                <w:szCs w:val="24"/>
                <w:lang w:eastAsia="zh-CN"/>
              </w:rPr>
              <w:t>）</w:t>
            </w:r>
            <w:r>
              <w:rPr>
                <w:rFonts w:hint="default" w:ascii="Times New Roman" w:hAnsi="Times New Roman" w:cs="Times New Roman"/>
                <w:sz w:val="24"/>
                <w:szCs w:val="24"/>
                <w:lang w:eastAsia="zh-CN"/>
              </w:rPr>
              <w:t>场或采样点较近且醒目处，并能长久保留。</w:t>
            </w:r>
          </w:p>
          <w:p w14:paraId="4463B4BB">
            <w:pPr>
              <w:pStyle w:val="66"/>
              <w:keepNext w:val="0"/>
              <w:keepLines w:val="0"/>
              <w:pageBreakBefore w:val="0"/>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snapToGrid/>
                <w:kern w:val="2"/>
                <w:sz w:val="24"/>
                <w:szCs w:val="24"/>
                <w:lang w:val="en-US" w:eastAsia="zh-CN" w:bidi="ar-SA"/>
              </w:rPr>
              <w:t>建设单位应强化营运期的环境管理工作，确保项目运营不影响环境，不扰民。认真落实环保设施的“三同时”，本项目建成后建设单位自行开展项目竣工环境保护验收，验收后到环保部门进行备案登记，并随时接受环保部门的不定期监督检查。</w:t>
            </w:r>
          </w:p>
          <w:p w14:paraId="122852FE">
            <w:pPr>
              <w:pStyle w:val="66"/>
              <w:keepNext w:val="0"/>
              <w:keepLines w:val="0"/>
              <w:pageBreakBefore w:val="0"/>
              <w:kinsoku/>
              <w:wordWrap/>
              <w:overflowPunct/>
              <w:topLinePunct w:val="0"/>
              <w:autoSpaceDE/>
              <w:autoSpaceDN/>
              <w:bidi w:val="0"/>
              <w:adjustRightInd w:val="0"/>
              <w:snapToGrid w:val="0"/>
              <w:spacing w:after="0" w:line="360" w:lineRule="auto"/>
              <w:jc w:val="both"/>
              <w:textAlignment w:val="auto"/>
              <w:rPr>
                <w:rFonts w:hint="default" w:ascii="Times New Roman" w:hAnsi="Times New Roman" w:eastAsia="宋体" w:cs="Times New Roman"/>
                <w:color w:val="000000"/>
                <w:kern w:val="0"/>
                <w:sz w:val="24"/>
                <w:szCs w:val="24"/>
                <w:highlight w:val="none"/>
                <w:lang w:val="en-US" w:eastAsia="zh-CN" w:bidi="ar"/>
              </w:rPr>
            </w:pPr>
          </w:p>
          <w:p w14:paraId="39F8940E">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default" w:ascii="Times New Roman" w:hAnsi="Times New Roman" w:eastAsia="宋体" w:cs="Times New Roman"/>
                <w:color w:val="000000"/>
                <w:kern w:val="0"/>
                <w:sz w:val="24"/>
                <w:szCs w:val="24"/>
                <w:highlight w:val="none"/>
                <w:lang w:val="en-US" w:eastAsia="zh-CN" w:bidi="ar"/>
              </w:rPr>
            </w:pPr>
          </w:p>
          <w:p w14:paraId="2B303BDE">
            <w:pPr>
              <w:rPr>
                <w:rFonts w:hint="default" w:ascii="Times New Roman" w:hAnsi="Times New Roman" w:eastAsia="宋体" w:cs="Times New Roman"/>
                <w:color w:val="000000"/>
                <w:kern w:val="0"/>
                <w:sz w:val="24"/>
                <w:szCs w:val="24"/>
                <w:highlight w:val="none"/>
                <w:lang w:val="en-US" w:eastAsia="zh-CN" w:bidi="ar"/>
              </w:rPr>
            </w:pPr>
          </w:p>
          <w:p w14:paraId="1F360D5D">
            <w:pPr>
              <w:pStyle w:val="18"/>
              <w:ind w:left="0" w:leftChars="0" w:firstLine="0" w:firstLineChars="0"/>
              <w:rPr>
                <w:rFonts w:hint="default" w:ascii="Times New Roman" w:hAnsi="Times New Roman" w:eastAsia="宋体" w:cs="Times New Roman"/>
                <w:color w:val="000000"/>
                <w:kern w:val="0"/>
                <w:sz w:val="24"/>
                <w:szCs w:val="24"/>
                <w:highlight w:val="none"/>
                <w:lang w:val="en-US" w:eastAsia="zh-CN" w:bidi="ar"/>
              </w:rPr>
            </w:pPr>
          </w:p>
          <w:p w14:paraId="5E590094">
            <w:pPr>
              <w:pStyle w:val="18"/>
              <w:rPr>
                <w:rFonts w:hint="default" w:ascii="Times New Roman" w:hAnsi="Times New Roman" w:eastAsia="宋体" w:cs="Times New Roman"/>
                <w:color w:val="000000"/>
                <w:kern w:val="0"/>
                <w:sz w:val="24"/>
                <w:szCs w:val="24"/>
                <w:highlight w:val="none"/>
                <w:lang w:val="en-US" w:eastAsia="zh-CN" w:bidi="ar"/>
              </w:rPr>
            </w:pPr>
          </w:p>
          <w:p w14:paraId="03D0EB01">
            <w:pPr>
              <w:pStyle w:val="18"/>
              <w:rPr>
                <w:rFonts w:hint="default" w:ascii="Times New Roman" w:hAnsi="Times New Roman" w:eastAsia="宋体" w:cs="Times New Roman"/>
                <w:color w:val="000000"/>
                <w:kern w:val="0"/>
                <w:sz w:val="24"/>
                <w:szCs w:val="24"/>
                <w:highlight w:val="none"/>
                <w:lang w:val="en-US" w:eastAsia="zh-CN" w:bidi="ar"/>
              </w:rPr>
            </w:pPr>
          </w:p>
          <w:p w14:paraId="601BD778">
            <w:pPr>
              <w:pStyle w:val="18"/>
              <w:rPr>
                <w:rFonts w:hint="default" w:ascii="Times New Roman" w:hAnsi="Times New Roman" w:eastAsia="宋体" w:cs="Times New Roman"/>
                <w:color w:val="000000"/>
                <w:kern w:val="0"/>
                <w:sz w:val="24"/>
                <w:szCs w:val="24"/>
                <w:highlight w:val="none"/>
                <w:lang w:val="en-US" w:eastAsia="zh-CN" w:bidi="ar"/>
              </w:rPr>
            </w:pPr>
          </w:p>
          <w:p w14:paraId="7C789056">
            <w:pPr>
              <w:pStyle w:val="18"/>
              <w:rPr>
                <w:rFonts w:hint="default" w:ascii="Times New Roman" w:hAnsi="Times New Roman" w:eastAsia="宋体" w:cs="Times New Roman"/>
                <w:color w:val="000000"/>
                <w:kern w:val="0"/>
                <w:sz w:val="24"/>
                <w:szCs w:val="24"/>
                <w:highlight w:val="none"/>
                <w:lang w:val="en-US" w:eastAsia="zh-CN" w:bidi="ar"/>
              </w:rPr>
            </w:pPr>
          </w:p>
          <w:p w14:paraId="7B7D8C9C">
            <w:pPr>
              <w:pStyle w:val="18"/>
              <w:rPr>
                <w:rFonts w:hint="default" w:ascii="Times New Roman" w:hAnsi="Times New Roman" w:eastAsia="宋体" w:cs="Times New Roman"/>
                <w:color w:val="000000"/>
                <w:kern w:val="0"/>
                <w:sz w:val="24"/>
                <w:szCs w:val="24"/>
                <w:highlight w:val="none"/>
                <w:lang w:val="en-US" w:eastAsia="zh-CN" w:bidi="ar"/>
              </w:rPr>
            </w:pPr>
          </w:p>
          <w:p w14:paraId="2DF0B56D">
            <w:pPr>
              <w:pStyle w:val="18"/>
              <w:rPr>
                <w:rFonts w:hint="default" w:ascii="Times New Roman" w:hAnsi="Times New Roman" w:eastAsia="宋体" w:cs="Times New Roman"/>
                <w:color w:val="000000"/>
                <w:kern w:val="0"/>
                <w:sz w:val="24"/>
                <w:szCs w:val="24"/>
                <w:highlight w:val="none"/>
                <w:lang w:val="en-US" w:eastAsia="zh-CN" w:bidi="ar"/>
              </w:rPr>
            </w:pPr>
          </w:p>
          <w:p w14:paraId="3EE007C0">
            <w:pPr>
              <w:pStyle w:val="18"/>
              <w:rPr>
                <w:rFonts w:hint="default" w:ascii="Times New Roman" w:hAnsi="Times New Roman" w:eastAsia="宋体" w:cs="Times New Roman"/>
                <w:color w:val="000000"/>
                <w:kern w:val="0"/>
                <w:sz w:val="24"/>
                <w:szCs w:val="24"/>
                <w:highlight w:val="none"/>
                <w:lang w:val="en-US" w:eastAsia="zh-CN" w:bidi="ar"/>
              </w:rPr>
            </w:pPr>
          </w:p>
          <w:p w14:paraId="185E4EB5">
            <w:pPr>
              <w:pStyle w:val="18"/>
              <w:rPr>
                <w:rFonts w:hint="default" w:ascii="Times New Roman" w:hAnsi="Times New Roman" w:eastAsia="宋体" w:cs="Times New Roman"/>
                <w:color w:val="000000"/>
                <w:kern w:val="0"/>
                <w:sz w:val="24"/>
                <w:szCs w:val="24"/>
                <w:highlight w:val="none"/>
                <w:lang w:val="en-US" w:eastAsia="zh-CN" w:bidi="ar"/>
              </w:rPr>
            </w:pPr>
          </w:p>
          <w:p w14:paraId="6BB902A4">
            <w:pPr>
              <w:pStyle w:val="18"/>
              <w:ind w:left="0" w:leftChars="0" w:firstLine="0" w:firstLineChars="0"/>
              <w:rPr>
                <w:rFonts w:hint="default" w:ascii="Times New Roman" w:hAnsi="Times New Roman" w:eastAsia="宋体" w:cs="Times New Roman"/>
                <w:b/>
                <w:color w:val="000000"/>
                <w:kern w:val="0"/>
                <w:sz w:val="28"/>
                <w:szCs w:val="28"/>
                <w:highlight w:val="none"/>
                <w:vertAlign w:val="baseline"/>
              </w:rPr>
            </w:pPr>
          </w:p>
        </w:tc>
      </w:tr>
    </w:tbl>
    <w:p w14:paraId="1933AAB6">
      <w:pPr>
        <w:pStyle w:val="21"/>
        <w:jc w:val="both"/>
        <w:outlineLvl w:val="0"/>
        <w:rPr>
          <w:rFonts w:hint="eastAsia" w:ascii="宋体" w:hAnsi="宋体" w:eastAsia="宋体" w:cs="Times New Roman"/>
          <w:b/>
          <w:bCs/>
          <w:lang w:eastAsia="zh-CN"/>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4A50F9E3">
      <w:pPr>
        <w:pStyle w:val="21"/>
        <w:jc w:val="center"/>
        <w:outlineLvl w:val="0"/>
        <w:rPr>
          <w:rFonts w:ascii="黑体" w:hAnsi="黑体" w:eastAsia="黑体"/>
          <w:snapToGrid w:val="0"/>
          <w:sz w:val="30"/>
          <w:szCs w:val="30"/>
        </w:rPr>
      </w:pPr>
      <w:r>
        <w:rPr>
          <w:rFonts w:hint="eastAsia" w:ascii="黑体" w:hAnsi="黑体" w:eastAsia="黑体"/>
          <w:snapToGrid w:val="0"/>
          <w:sz w:val="30"/>
          <w:szCs w:val="30"/>
        </w:rPr>
        <w:t>五、</w:t>
      </w:r>
      <w:bookmarkStart w:id="8" w:name="_Hlk54167917"/>
      <w:r>
        <w:rPr>
          <w:rFonts w:hint="eastAsia" w:ascii="黑体" w:hAnsi="黑体" w:eastAsia="黑体"/>
          <w:snapToGrid w:val="0"/>
          <w:sz w:val="30"/>
          <w:szCs w:val="30"/>
        </w:rPr>
        <w:t>环境保护措施监督检查清单</w:t>
      </w:r>
      <w:bookmarkEnd w:id="8"/>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755"/>
        <w:gridCol w:w="1286"/>
        <w:gridCol w:w="1875"/>
        <w:gridCol w:w="222"/>
        <w:gridCol w:w="1884"/>
      </w:tblGrid>
      <w:tr w14:paraId="6FDCD4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tcBorders>
              <w:tl2br w:val="nil"/>
              <w:tr2bl w:val="nil"/>
            </w:tcBorders>
            <w:noWrap w:val="0"/>
            <w:vAlign w:val="top"/>
          </w:tcPr>
          <w:p w14:paraId="0445245E">
            <w:pPr>
              <w:adjustRightInd w:val="0"/>
              <w:snapToGrid w:val="0"/>
              <w:ind w:firstLine="840"/>
              <w:rPr>
                <w:rFonts w:hint="eastAsia" w:ascii="宋体" w:hAnsi="宋体" w:cs="宋体"/>
                <w:sz w:val="21"/>
                <w:szCs w:val="21"/>
              </w:rPr>
            </w:pPr>
            <w:r>
              <w:rPr>
                <w:rFonts w:hint="eastAsia" w:ascii="宋体" w:hAnsi="宋体" w:cs="宋体"/>
                <w:sz w:val="21"/>
                <w:szCs w:val="21"/>
              </w:rPr>
              <w:t>内容</w:t>
            </w:r>
          </w:p>
          <w:p w14:paraId="3AA4707F">
            <w:pPr>
              <w:adjustRightInd w:val="0"/>
              <w:snapToGrid w:val="0"/>
              <w:rPr>
                <w:rFonts w:hint="eastAsia" w:ascii="宋体" w:hAnsi="宋体" w:cs="宋体"/>
                <w:sz w:val="21"/>
                <w:szCs w:val="21"/>
              </w:rPr>
            </w:pPr>
            <w:r>
              <w:rPr>
                <w:rFonts w:hint="eastAsia" w:ascii="宋体" w:hAnsi="宋体" w:cs="宋体"/>
                <w:sz w:val="21"/>
                <w:szCs w:val="21"/>
              </w:rPr>
              <w:t>要素</w:t>
            </w:r>
          </w:p>
        </w:tc>
        <w:tc>
          <w:tcPr>
            <w:tcW w:w="1755" w:type="dxa"/>
            <w:tcBorders>
              <w:tl2br w:val="nil"/>
              <w:tr2bl w:val="nil"/>
            </w:tcBorders>
            <w:noWrap w:val="0"/>
            <w:vAlign w:val="center"/>
          </w:tcPr>
          <w:p w14:paraId="390CE94A">
            <w:pPr>
              <w:adjustRightInd w:val="0"/>
              <w:snapToGrid w:val="0"/>
              <w:jc w:val="center"/>
              <w:rPr>
                <w:rFonts w:hint="eastAsia" w:ascii="宋体" w:hAnsi="宋体" w:cs="宋体"/>
                <w:sz w:val="21"/>
                <w:szCs w:val="21"/>
              </w:rPr>
            </w:pPr>
            <w:r>
              <w:rPr>
                <w:rFonts w:hint="eastAsia" w:ascii="宋体" w:hAnsi="宋体" w:cs="宋体"/>
                <w:sz w:val="21"/>
                <w:szCs w:val="21"/>
              </w:rPr>
              <w:t>排放口</w:t>
            </w:r>
            <w:r>
              <w:rPr>
                <w:rFonts w:hint="eastAsia" w:ascii="宋体" w:hAnsi="宋体" w:cs="宋体"/>
                <w:sz w:val="21"/>
                <w:szCs w:val="21"/>
                <w:lang w:eastAsia="zh-CN"/>
              </w:rPr>
              <w:t>（</w:t>
            </w:r>
            <w:r>
              <w:rPr>
                <w:rFonts w:hint="eastAsia" w:ascii="宋体" w:hAnsi="宋体" w:cs="宋体"/>
                <w:sz w:val="21"/>
                <w:szCs w:val="21"/>
              </w:rPr>
              <w:t>编号、</w:t>
            </w:r>
          </w:p>
          <w:p w14:paraId="16ADE42A">
            <w:pPr>
              <w:adjustRightInd w:val="0"/>
              <w:snapToGrid w:val="0"/>
              <w:jc w:val="center"/>
              <w:rPr>
                <w:rFonts w:hint="eastAsia" w:ascii="宋体" w:hAnsi="宋体" w:cs="宋体"/>
                <w:sz w:val="21"/>
                <w:szCs w:val="21"/>
              </w:rPr>
            </w:pPr>
            <w:r>
              <w:rPr>
                <w:rFonts w:hint="eastAsia" w:ascii="宋体" w:hAnsi="宋体" w:cs="宋体"/>
                <w:sz w:val="21"/>
                <w:szCs w:val="21"/>
              </w:rPr>
              <w:t>名称</w:t>
            </w:r>
            <w:r>
              <w:rPr>
                <w:rFonts w:hint="eastAsia" w:ascii="宋体" w:hAnsi="宋体" w:cs="宋体"/>
                <w:sz w:val="21"/>
                <w:szCs w:val="21"/>
                <w:lang w:eastAsia="zh-CN"/>
              </w:rPr>
              <w:t>）</w:t>
            </w:r>
            <w:r>
              <w:rPr>
                <w:rFonts w:hint="eastAsia" w:ascii="宋体" w:hAnsi="宋体" w:cs="宋体"/>
                <w:sz w:val="21"/>
                <w:szCs w:val="21"/>
              </w:rPr>
              <w:t>/污染源</w:t>
            </w:r>
          </w:p>
        </w:tc>
        <w:tc>
          <w:tcPr>
            <w:tcW w:w="1286" w:type="dxa"/>
            <w:tcBorders>
              <w:tl2br w:val="nil"/>
              <w:tr2bl w:val="nil"/>
            </w:tcBorders>
            <w:noWrap w:val="0"/>
            <w:vAlign w:val="center"/>
          </w:tcPr>
          <w:p w14:paraId="7DFA8D5E">
            <w:pPr>
              <w:adjustRightInd w:val="0"/>
              <w:snapToGrid w:val="0"/>
              <w:jc w:val="center"/>
              <w:rPr>
                <w:rFonts w:hint="eastAsia" w:ascii="宋体" w:hAnsi="宋体" w:cs="宋体"/>
                <w:sz w:val="21"/>
                <w:szCs w:val="21"/>
              </w:rPr>
            </w:pPr>
            <w:r>
              <w:rPr>
                <w:rFonts w:hint="eastAsia" w:ascii="宋体" w:hAnsi="宋体" w:cs="宋体"/>
                <w:sz w:val="21"/>
                <w:szCs w:val="21"/>
              </w:rPr>
              <w:t>污染物项目</w:t>
            </w:r>
          </w:p>
        </w:tc>
        <w:tc>
          <w:tcPr>
            <w:tcW w:w="2097" w:type="dxa"/>
            <w:gridSpan w:val="2"/>
            <w:tcBorders>
              <w:tl2br w:val="nil"/>
              <w:tr2bl w:val="nil"/>
            </w:tcBorders>
            <w:noWrap w:val="0"/>
            <w:vAlign w:val="center"/>
          </w:tcPr>
          <w:p w14:paraId="619A2A83">
            <w:pPr>
              <w:adjustRightInd w:val="0"/>
              <w:snapToGrid w:val="0"/>
              <w:jc w:val="center"/>
              <w:rPr>
                <w:rFonts w:hint="eastAsia" w:ascii="宋体" w:hAnsi="宋体" w:cs="宋体"/>
                <w:sz w:val="21"/>
                <w:szCs w:val="21"/>
              </w:rPr>
            </w:pPr>
            <w:r>
              <w:rPr>
                <w:rFonts w:hint="eastAsia" w:ascii="宋体" w:hAnsi="宋体" w:cs="宋体"/>
                <w:sz w:val="21"/>
                <w:szCs w:val="21"/>
              </w:rPr>
              <w:t>环境保护措施</w:t>
            </w:r>
          </w:p>
        </w:tc>
        <w:tc>
          <w:tcPr>
            <w:tcW w:w="1884" w:type="dxa"/>
            <w:tcBorders>
              <w:tl2br w:val="nil"/>
              <w:tr2bl w:val="nil"/>
            </w:tcBorders>
            <w:noWrap w:val="0"/>
            <w:vAlign w:val="center"/>
          </w:tcPr>
          <w:p w14:paraId="12CBCF77">
            <w:pPr>
              <w:adjustRightInd w:val="0"/>
              <w:snapToGrid w:val="0"/>
              <w:jc w:val="center"/>
              <w:rPr>
                <w:rFonts w:hint="eastAsia" w:ascii="宋体" w:hAnsi="宋体" w:cs="宋体"/>
                <w:sz w:val="21"/>
                <w:szCs w:val="21"/>
              </w:rPr>
            </w:pPr>
            <w:r>
              <w:rPr>
                <w:rFonts w:hint="eastAsia" w:ascii="宋体" w:hAnsi="宋体" w:cs="宋体"/>
                <w:sz w:val="21"/>
                <w:szCs w:val="21"/>
              </w:rPr>
              <w:t>执行标准</w:t>
            </w:r>
          </w:p>
        </w:tc>
      </w:tr>
      <w:tr w14:paraId="145E14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tcBorders>
              <w:tl2br w:val="nil"/>
              <w:tr2bl w:val="nil"/>
            </w:tcBorders>
            <w:noWrap w:val="0"/>
            <w:vAlign w:val="center"/>
          </w:tcPr>
          <w:p w14:paraId="22EDE68C">
            <w:pPr>
              <w:adjustRightInd w:val="0"/>
              <w:snapToGrid w:val="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环境空气</w:t>
            </w:r>
          </w:p>
        </w:tc>
        <w:tc>
          <w:tcPr>
            <w:tcW w:w="1755" w:type="dxa"/>
            <w:tcBorders>
              <w:tl2br w:val="nil"/>
              <w:tr2bl w:val="nil"/>
            </w:tcBorders>
            <w:noWrap w:val="0"/>
            <w:vAlign w:val="center"/>
          </w:tcPr>
          <w:p w14:paraId="20827FE5">
            <w:pPr>
              <w:adjustRightInd w:val="0"/>
              <w:snapToGrid w:val="0"/>
              <w:jc w:val="center"/>
              <w:rPr>
                <w:rFonts w:hint="eastAsia" w:ascii="宋体" w:hAnsi="宋体" w:cs="宋体"/>
                <w:sz w:val="21"/>
                <w:szCs w:val="21"/>
                <w:lang w:val="en-US" w:eastAsia="zh-CN"/>
              </w:rPr>
            </w:pPr>
            <w:r>
              <w:rPr>
                <w:rFonts w:hint="eastAsia" w:ascii="宋体" w:hAnsi="宋体" w:cs="宋体"/>
                <w:sz w:val="21"/>
                <w:szCs w:val="21"/>
                <w:lang w:val="en-US" w:eastAsia="zh-CN"/>
              </w:rPr>
              <w:t>厂界</w:t>
            </w:r>
          </w:p>
        </w:tc>
        <w:tc>
          <w:tcPr>
            <w:tcW w:w="1286" w:type="dxa"/>
            <w:tcBorders>
              <w:tl2br w:val="nil"/>
              <w:tr2bl w:val="nil"/>
            </w:tcBorders>
            <w:noWrap w:val="0"/>
            <w:vAlign w:val="center"/>
          </w:tcPr>
          <w:p w14:paraId="7746BC4B">
            <w:pPr>
              <w:adjustRightInd w:val="0"/>
              <w:snapToGrid w:val="0"/>
              <w:jc w:val="center"/>
              <w:rPr>
                <w:rFonts w:hint="eastAsia" w:ascii="宋体" w:hAnsi="宋体" w:cs="宋体"/>
                <w:sz w:val="21"/>
                <w:szCs w:val="21"/>
                <w:lang w:val="en-US" w:eastAsia="zh-CN"/>
              </w:rPr>
            </w:pPr>
            <w:r>
              <w:rPr>
                <w:rFonts w:hint="eastAsia" w:ascii="宋体" w:hAnsi="宋体" w:cs="宋体"/>
                <w:sz w:val="21"/>
                <w:szCs w:val="21"/>
                <w:lang w:val="en-US" w:eastAsia="zh-CN"/>
              </w:rPr>
              <w:t>颗粒物</w:t>
            </w:r>
          </w:p>
        </w:tc>
        <w:tc>
          <w:tcPr>
            <w:tcW w:w="2097" w:type="dxa"/>
            <w:gridSpan w:val="2"/>
            <w:tcBorders>
              <w:tl2br w:val="nil"/>
              <w:tr2bl w:val="nil"/>
            </w:tcBorders>
            <w:noWrap w:val="0"/>
            <w:vAlign w:val="center"/>
          </w:tcPr>
          <w:p w14:paraId="2DE98933">
            <w:pPr>
              <w:adjustRightInd w:val="0"/>
              <w:snapToGrid w:val="0"/>
              <w:jc w:val="center"/>
              <w:rPr>
                <w:rFonts w:hint="eastAsia" w:ascii="宋体" w:hAnsi="宋体" w:cs="宋体"/>
                <w:sz w:val="21"/>
                <w:szCs w:val="21"/>
                <w:lang w:val="en-US" w:eastAsia="zh-CN"/>
              </w:rPr>
            </w:pPr>
            <w:r>
              <w:rPr>
                <w:rFonts w:hint="eastAsia" w:ascii="宋体" w:hAnsi="宋体" w:cs="宋体"/>
                <w:sz w:val="21"/>
                <w:szCs w:val="21"/>
                <w:lang w:val="en-US" w:eastAsia="zh-CN"/>
              </w:rPr>
              <w:t>洒水降尘、出入口设置洗车台，对车辆进行冲洗、煤棚</w:t>
            </w:r>
            <w:r>
              <w:rPr>
                <w:rFonts w:hint="default" w:ascii="宋体" w:hAnsi="宋体" w:cs="宋体"/>
                <w:sz w:val="21"/>
                <w:szCs w:val="21"/>
                <w:lang w:val="en-US" w:eastAsia="zh-CN"/>
              </w:rPr>
              <w:t>封闭</w:t>
            </w:r>
            <w:r>
              <w:rPr>
                <w:rFonts w:hint="eastAsia" w:ascii="宋体" w:hAnsi="宋体" w:cs="宋体"/>
                <w:sz w:val="21"/>
                <w:szCs w:val="21"/>
                <w:lang w:val="en-US" w:eastAsia="zh-CN"/>
              </w:rPr>
              <w:t>，采取雾炮降尘</w:t>
            </w:r>
          </w:p>
        </w:tc>
        <w:tc>
          <w:tcPr>
            <w:tcW w:w="1884" w:type="dxa"/>
            <w:tcBorders>
              <w:tl2br w:val="nil"/>
              <w:tr2bl w:val="nil"/>
            </w:tcBorders>
            <w:noWrap w:val="0"/>
            <w:vAlign w:val="center"/>
          </w:tcPr>
          <w:p w14:paraId="3537BB83">
            <w:pPr>
              <w:adjustRightInd w:val="0"/>
              <w:snapToGrid w:val="0"/>
              <w:jc w:val="center"/>
              <w:rPr>
                <w:rFonts w:hint="eastAsia" w:ascii="宋体" w:hAnsi="宋体" w:cs="宋体"/>
                <w:sz w:val="21"/>
                <w:szCs w:val="21"/>
                <w:lang w:val="en-US" w:eastAsia="zh-CN"/>
              </w:rPr>
            </w:pPr>
            <w:r>
              <w:rPr>
                <w:rFonts w:hint="eastAsia" w:ascii="宋体" w:hAnsi="宋体" w:cs="宋体"/>
                <w:sz w:val="21"/>
                <w:szCs w:val="21"/>
                <w:lang w:val="en-US" w:eastAsia="zh-CN"/>
              </w:rPr>
              <w:t>《煤炭工业污染物排放标准》（GB20426-2006）</w:t>
            </w:r>
          </w:p>
        </w:tc>
      </w:tr>
      <w:tr w14:paraId="4ABBB8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tcBorders>
              <w:tl2br w:val="nil"/>
              <w:tr2bl w:val="nil"/>
            </w:tcBorders>
            <w:noWrap w:val="0"/>
            <w:vAlign w:val="center"/>
          </w:tcPr>
          <w:p w14:paraId="7DFD6275">
            <w:pPr>
              <w:adjustRightInd w:val="0"/>
              <w:snapToGrid w:val="0"/>
              <w:jc w:val="center"/>
              <w:rPr>
                <w:rFonts w:hint="eastAsia" w:ascii="宋体" w:hAnsi="宋体" w:cs="宋体"/>
                <w:sz w:val="21"/>
                <w:szCs w:val="21"/>
              </w:rPr>
            </w:pPr>
            <w:r>
              <w:rPr>
                <w:rFonts w:hint="eastAsia" w:ascii="宋体" w:hAnsi="宋体" w:cs="宋体"/>
                <w:sz w:val="21"/>
                <w:szCs w:val="21"/>
              </w:rPr>
              <w:t>地表水环境</w:t>
            </w:r>
          </w:p>
        </w:tc>
        <w:tc>
          <w:tcPr>
            <w:tcW w:w="1755" w:type="dxa"/>
            <w:tcBorders>
              <w:tl2br w:val="nil"/>
              <w:tr2bl w:val="nil"/>
            </w:tcBorders>
            <w:noWrap w:val="0"/>
            <w:vAlign w:val="center"/>
          </w:tcPr>
          <w:p w14:paraId="09442044">
            <w:pPr>
              <w:ind w:left="8" w:leftChars="-3" w:hanging="14" w:hangingChars="7"/>
              <w:jc w:val="center"/>
              <w:rPr>
                <w:rFonts w:hint="eastAsia" w:ascii="宋体" w:hAnsi="宋体" w:cs="宋体"/>
                <w:sz w:val="21"/>
                <w:szCs w:val="21"/>
              </w:rPr>
            </w:pPr>
            <w:r>
              <w:rPr>
                <w:rFonts w:hint="default" w:ascii="Times New Roman" w:hAnsi="Times New Roman" w:cs="Times New Roman"/>
                <w:sz w:val="21"/>
                <w:szCs w:val="21"/>
              </w:rPr>
              <w:t>职工生活</w:t>
            </w:r>
          </w:p>
        </w:tc>
        <w:tc>
          <w:tcPr>
            <w:tcW w:w="1286" w:type="dxa"/>
            <w:tcBorders>
              <w:tl2br w:val="nil"/>
              <w:tr2bl w:val="nil"/>
            </w:tcBorders>
            <w:noWrap w:val="0"/>
            <w:vAlign w:val="center"/>
          </w:tcPr>
          <w:p w14:paraId="5D4C73C8">
            <w:pPr>
              <w:jc w:val="center"/>
              <w:rPr>
                <w:rFonts w:hint="eastAsia" w:ascii="宋体" w:hAnsi="宋体" w:cs="宋体"/>
                <w:sz w:val="21"/>
                <w:szCs w:val="21"/>
              </w:rPr>
            </w:pPr>
            <w:r>
              <w:rPr>
                <w:rFonts w:hint="default" w:ascii="Times New Roman" w:hAnsi="Times New Roman" w:cs="Times New Roman"/>
                <w:sz w:val="21"/>
                <w:szCs w:val="21"/>
              </w:rPr>
              <w:t>生活污水</w:t>
            </w:r>
          </w:p>
        </w:tc>
        <w:tc>
          <w:tcPr>
            <w:tcW w:w="2097" w:type="dxa"/>
            <w:gridSpan w:val="2"/>
            <w:tcBorders>
              <w:tl2br w:val="nil"/>
              <w:tr2bl w:val="nil"/>
            </w:tcBorders>
            <w:noWrap w:val="0"/>
            <w:vAlign w:val="center"/>
          </w:tcPr>
          <w:p w14:paraId="7B4BC52C">
            <w:pPr>
              <w:snapToGrid w:val="0"/>
              <w:jc w:val="center"/>
              <w:rPr>
                <w:rFonts w:hint="eastAsia" w:ascii="Times New Roman" w:hAnsi="Times New Roman" w:cs="Times New Roman"/>
                <w:sz w:val="21"/>
                <w:szCs w:val="21"/>
              </w:rPr>
            </w:pPr>
            <w:r>
              <w:rPr>
                <w:rFonts w:hint="default" w:ascii="Times New Roman" w:hAnsi="Times New Roman" w:cs="Times New Roman"/>
                <w:sz w:val="21"/>
                <w:szCs w:val="21"/>
              </w:rPr>
              <w:t>收集到化粪池处理后，定期拉运至</w:t>
            </w:r>
            <w:r>
              <w:rPr>
                <w:rFonts w:hint="eastAsia" w:ascii="Times New Roman" w:hAnsi="Times New Roman" w:cs="Times New Roman"/>
                <w:sz w:val="21"/>
                <w:szCs w:val="21"/>
                <w:lang w:val="en-US" w:eastAsia="zh-CN"/>
              </w:rPr>
              <w:t>河北巴州生态产业园污水处理厂</w:t>
            </w:r>
            <w:r>
              <w:rPr>
                <w:rFonts w:hint="default" w:ascii="Times New Roman" w:hAnsi="Times New Roman" w:cs="Times New Roman"/>
                <w:sz w:val="21"/>
                <w:szCs w:val="21"/>
              </w:rPr>
              <w:t>处理</w:t>
            </w:r>
          </w:p>
        </w:tc>
        <w:tc>
          <w:tcPr>
            <w:tcW w:w="1884" w:type="dxa"/>
            <w:tcBorders>
              <w:tl2br w:val="nil"/>
              <w:tr2bl w:val="nil"/>
            </w:tcBorders>
            <w:noWrap w:val="0"/>
            <w:vAlign w:val="center"/>
          </w:tcPr>
          <w:p w14:paraId="25CB3468">
            <w:pPr>
              <w:snapToGrid w:val="0"/>
              <w:jc w:val="center"/>
              <w:rPr>
                <w:rFonts w:hint="eastAsia" w:ascii="Times New Roman" w:hAnsi="Times New Roman" w:cs="Times New Roman"/>
                <w:sz w:val="21"/>
                <w:szCs w:val="21"/>
              </w:rPr>
            </w:pPr>
            <w:r>
              <w:rPr>
                <w:rFonts w:hint="default" w:ascii="Times New Roman" w:hAnsi="Times New Roman" w:cs="Times New Roman"/>
                <w:sz w:val="21"/>
                <w:szCs w:val="21"/>
              </w:rPr>
              <w:t>《污水综合排放标准》（GB8978-1996）中三级标准</w:t>
            </w:r>
          </w:p>
        </w:tc>
      </w:tr>
      <w:tr w14:paraId="61EE31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tcBorders>
              <w:tl2br w:val="nil"/>
              <w:tr2bl w:val="nil"/>
            </w:tcBorders>
            <w:noWrap w:val="0"/>
            <w:vAlign w:val="center"/>
          </w:tcPr>
          <w:p w14:paraId="7BF3846D">
            <w:pPr>
              <w:adjustRightInd w:val="0"/>
              <w:snapToGrid w:val="0"/>
              <w:jc w:val="center"/>
              <w:rPr>
                <w:rFonts w:hint="eastAsia" w:ascii="宋体" w:hAnsi="宋体" w:cs="宋体"/>
                <w:sz w:val="21"/>
                <w:szCs w:val="21"/>
              </w:rPr>
            </w:pPr>
            <w:r>
              <w:rPr>
                <w:rFonts w:hint="eastAsia" w:ascii="宋体" w:hAnsi="宋体" w:cs="宋体"/>
                <w:sz w:val="21"/>
                <w:szCs w:val="21"/>
              </w:rPr>
              <w:t>声环境</w:t>
            </w:r>
          </w:p>
        </w:tc>
        <w:tc>
          <w:tcPr>
            <w:tcW w:w="1755" w:type="dxa"/>
            <w:tcBorders>
              <w:tl2br w:val="nil"/>
              <w:tr2bl w:val="nil"/>
            </w:tcBorders>
            <w:noWrap w:val="0"/>
            <w:vAlign w:val="center"/>
          </w:tcPr>
          <w:p w14:paraId="515A7B8D">
            <w:pPr>
              <w:jc w:val="center"/>
              <w:rPr>
                <w:rFonts w:hint="eastAsia" w:ascii="宋体" w:hAnsi="宋体" w:cs="宋体"/>
                <w:sz w:val="21"/>
                <w:szCs w:val="21"/>
              </w:rPr>
            </w:pPr>
            <w:r>
              <w:rPr>
                <w:rFonts w:hint="default" w:ascii="Times New Roman" w:hAnsi="Times New Roman" w:cs="Times New Roman"/>
                <w:sz w:val="21"/>
                <w:szCs w:val="21"/>
                <w:lang w:eastAsia="zh-CN"/>
              </w:rPr>
              <w:t>设备噪声</w:t>
            </w:r>
          </w:p>
        </w:tc>
        <w:tc>
          <w:tcPr>
            <w:tcW w:w="1286" w:type="dxa"/>
            <w:tcBorders>
              <w:tl2br w:val="nil"/>
              <w:tr2bl w:val="nil"/>
            </w:tcBorders>
            <w:noWrap w:val="0"/>
            <w:vAlign w:val="center"/>
          </w:tcPr>
          <w:p w14:paraId="09FC58E1">
            <w:pPr>
              <w:adjustRightInd w:val="0"/>
              <w:snapToGrid w:val="0"/>
              <w:jc w:val="center"/>
              <w:rPr>
                <w:rFonts w:hint="eastAsia" w:ascii="宋体" w:hAnsi="宋体" w:cs="宋体"/>
                <w:sz w:val="21"/>
                <w:szCs w:val="21"/>
              </w:rPr>
            </w:pPr>
            <w:r>
              <w:rPr>
                <w:rFonts w:hint="default" w:ascii="Times New Roman" w:hAnsi="Times New Roman" w:cs="Times New Roman"/>
                <w:sz w:val="21"/>
                <w:szCs w:val="21"/>
              </w:rPr>
              <w:t>噪声</w:t>
            </w:r>
          </w:p>
        </w:tc>
        <w:tc>
          <w:tcPr>
            <w:tcW w:w="2097" w:type="dxa"/>
            <w:gridSpan w:val="2"/>
            <w:tcBorders>
              <w:tl2br w:val="nil"/>
              <w:tr2bl w:val="nil"/>
            </w:tcBorders>
            <w:noWrap w:val="0"/>
            <w:vAlign w:val="center"/>
          </w:tcPr>
          <w:p w14:paraId="6DD848D1">
            <w:pPr>
              <w:adjustRightInd w:val="0"/>
              <w:snapToGrid w:val="0"/>
              <w:jc w:val="center"/>
              <w:rPr>
                <w:rFonts w:hint="eastAsia" w:ascii="宋体" w:hAnsi="宋体" w:cs="宋体"/>
                <w:sz w:val="21"/>
                <w:szCs w:val="21"/>
              </w:rPr>
            </w:pPr>
            <w:r>
              <w:rPr>
                <w:rFonts w:hint="default" w:ascii="Times New Roman" w:hAnsi="Times New Roman" w:cs="Times New Roman"/>
                <w:sz w:val="21"/>
                <w:szCs w:val="21"/>
              </w:rPr>
              <w:t>减震、降噪和距离衰减</w:t>
            </w:r>
          </w:p>
        </w:tc>
        <w:tc>
          <w:tcPr>
            <w:tcW w:w="1884" w:type="dxa"/>
            <w:tcBorders>
              <w:tl2br w:val="nil"/>
              <w:tr2bl w:val="nil"/>
            </w:tcBorders>
            <w:noWrap w:val="0"/>
            <w:vAlign w:val="center"/>
          </w:tcPr>
          <w:p w14:paraId="40A98112">
            <w:pPr>
              <w:adjustRightInd w:val="0"/>
              <w:snapToGrid w:val="0"/>
              <w:jc w:val="center"/>
              <w:rPr>
                <w:rFonts w:hint="eastAsia" w:ascii="宋体" w:hAnsi="宋体" w:cs="宋体"/>
                <w:sz w:val="21"/>
                <w:szCs w:val="21"/>
              </w:rPr>
            </w:pPr>
            <w:r>
              <w:rPr>
                <w:rFonts w:hint="default" w:ascii="Times New Roman" w:hAnsi="Times New Roman" w:cs="Times New Roman"/>
                <w:sz w:val="21"/>
                <w:szCs w:val="21"/>
              </w:rPr>
              <w:t>《工业企业厂界环境噪声排放标准》（GB12348-2008）中的</w:t>
            </w:r>
            <w:r>
              <w:rPr>
                <w:rFonts w:hint="default" w:ascii="Times New Roman" w:hAnsi="Times New Roman" w:cs="Times New Roman"/>
                <w:sz w:val="21"/>
                <w:szCs w:val="21"/>
                <w:lang w:val="en-US" w:eastAsia="zh-CN"/>
              </w:rPr>
              <w:t>3</w:t>
            </w:r>
            <w:r>
              <w:rPr>
                <w:rFonts w:hint="default" w:ascii="Times New Roman" w:hAnsi="Times New Roman" w:cs="Times New Roman"/>
                <w:sz w:val="21"/>
                <w:szCs w:val="21"/>
              </w:rPr>
              <w:t>类标准值</w:t>
            </w:r>
          </w:p>
        </w:tc>
      </w:tr>
      <w:tr w14:paraId="7B346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tcBorders>
              <w:tl2br w:val="nil"/>
              <w:tr2bl w:val="nil"/>
            </w:tcBorders>
            <w:noWrap w:val="0"/>
            <w:vAlign w:val="center"/>
          </w:tcPr>
          <w:p w14:paraId="6F1B97FD">
            <w:pPr>
              <w:adjustRightInd w:val="0"/>
              <w:snapToGrid w:val="0"/>
              <w:jc w:val="center"/>
              <w:rPr>
                <w:rFonts w:hint="eastAsia" w:ascii="宋体" w:hAnsi="宋体" w:cs="宋体"/>
                <w:sz w:val="21"/>
                <w:szCs w:val="21"/>
              </w:rPr>
            </w:pPr>
            <w:r>
              <w:rPr>
                <w:rFonts w:hint="eastAsia" w:ascii="宋体" w:hAnsi="宋体" w:cs="宋体"/>
                <w:sz w:val="21"/>
                <w:szCs w:val="21"/>
              </w:rPr>
              <w:t>电磁辐射</w:t>
            </w:r>
          </w:p>
        </w:tc>
        <w:tc>
          <w:tcPr>
            <w:tcW w:w="7022" w:type="dxa"/>
            <w:gridSpan w:val="5"/>
            <w:tcBorders>
              <w:tl2br w:val="nil"/>
              <w:tr2bl w:val="nil"/>
            </w:tcBorders>
            <w:noWrap w:val="0"/>
            <w:vAlign w:val="center"/>
          </w:tcPr>
          <w:p w14:paraId="66761979">
            <w:pPr>
              <w:adjustRightInd w:val="0"/>
              <w:snapToGrid w:val="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w:t>
            </w:r>
          </w:p>
        </w:tc>
      </w:tr>
      <w:tr w14:paraId="2C45CA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1778" w:type="dxa"/>
            <w:vMerge w:val="restart"/>
            <w:tcBorders>
              <w:tl2br w:val="nil"/>
              <w:tr2bl w:val="nil"/>
            </w:tcBorders>
            <w:noWrap w:val="0"/>
            <w:vAlign w:val="center"/>
          </w:tcPr>
          <w:p w14:paraId="022BF63E">
            <w:pPr>
              <w:adjustRightInd w:val="0"/>
              <w:snapToGrid w:val="0"/>
              <w:jc w:val="center"/>
              <w:rPr>
                <w:rFonts w:hint="eastAsia" w:ascii="宋体" w:hAnsi="宋体" w:cs="宋体"/>
                <w:sz w:val="21"/>
                <w:szCs w:val="21"/>
              </w:rPr>
            </w:pPr>
            <w:r>
              <w:rPr>
                <w:rFonts w:hint="eastAsia" w:ascii="宋体" w:hAnsi="宋体" w:cs="宋体"/>
                <w:sz w:val="21"/>
                <w:szCs w:val="21"/>
              </w:rPr>
              <w:t>固体废物</w:t>
            </w:r>
          </w:p>
        </w:tc>
        <w:tc>
          <w:tcPr>
            <w:tcW w:w="1755" w:type="dxa"/>
            <w:tcBorders>
              <w:tl2br w:val="nil"/>
              <w:tr2bl w:val="nil"/>
            </w:tcBorders>
            <w:noWrap w:val="0"/>
            <w:vAlign w:val="center"/>
          </w:tcPr>
          <w:p w14:paraId="296AEBAD">
            <w:pPr>
              <w:adjustRightInd w:val="0"/>
              <w:snapToGrid w:val="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生产过程</w:t>
            </w:r>
          </w:p>
        </w:tc>
        <w:tc>
          <w:tcPr>
            <w:tcW w:w="1286" w:type="dxa"/>
            <w:tcBorders>
              <w:tl2br w:val="nil"/>
              <w:tr2bl w:val="nil"/>
            </w:tcBorders>
            <w:noWrap w:val="0"/>
            <w:vAlign w:val="center"/>
          </w:tcPr>
          <w:p w14:paraId="2EE9A53B">
            <w:pPr>
              <w:jc w:val="center"/>
              <w:rPr>
                <w:rFonts w:hint="eastAsia" w:ascii="宋体" w:hAnsi="宋体" w:cs="宋体"/>
                <w:sz w:val="21"/>
                <w:szCs w:val="21"/>
              </w:rPr>
            </w:pPr>
            <w:r>
              <w:rPr>
                <w:spacing w:val="-5"/>
                <w:sz w:val="21"/>
                <w:szCs w:val="21"/>
              </w:rPr>
              <w:t>沉淀池底泥</w:t>
            </w:r>
          </w:p>
        </w:tc>
        <w:tc>
          <w:tcPr>
            <w:tcW w:w="1875" w:type="dxa"/>
            <w:tcBorders>
              <w:tl2br w:val="nil"/>
              <w:tr2bl w:val="nil"/>
            </w:tcBorders>
            <w:noWrap w:val="0"/>
            <w:vAlign w:val="center"/>
          </w:tcPr>
          <w:p w14:paraId="117F4835">
            <w:pPr>
              <w:adjustRightInd w:val="0"/>
              <w:snapToGrid w:val="0"/>
              <w:jc w:val="center"/>
              <w:rPr>
                <w:rFonts w:hint="eastAsia" w:ascii="宋体" w:hAnsi="宋体" w:cs="宋体"/>
                <w:sz w:val="21"/>
                <w:szCs w:val="21"/>
              </w:rPr>
            </w:pPr>
            <w:r>
              <w:rPr>
                <w:rFonts w:hint="default" w:ascii="Times New Roman" w:hAnsi="Times New Roman" w:cs="Times New Roman"/>
                <w:sz w:val="21"/>
                <w:szCs w:val="21"/>
              </w:rPr>
              <w:t>回用于生产</w:t>
            </w:r>
          </w:p>
        </w:tc>
        <w:tc>
          <w:tcPr>
            <w:tcW w:w="2106" w:type="dxa"/>
            <w:gridSpan w:val="2"/>
            <w:tcBorders>
              <w:tl2br w:val="nil"/>
              <w:tr2bl w:val="nil"/>
            </w:tcBorders>
            <w:noWrap w:val="0"/>
            <w:vAlign w:val="center"/>
          </w:tcPr>
          <w:p w14:paraId="4138CE26">
            <w:pPr>
              <w:adjustRightInd w:val="0"/>
              <w:snapToGrid w:val="0"/>
              <w:jc w:val="center"/>
              <w:rPr>
                <w:rFonts w:hint="eastAsia" w:ascii="宋体" w:hAnsi="宋体" w:cs="宋体"/>
                <w:sz w:val="21"/>
                <w:szCs w:val="21"/>
              </w:rPr>
            </w:pPr>
            <w:r>
              <w:rPr>
                <w:rFonts w:hint="default" w:eastAsia="新宋体" w:cs="Times New Roman"/>
                <w:color w:val="000000"/>
                <w:sz w:val="21"/>
                <w:szCs w:val="21"/>
                <w:lang w:val="en-US" w:eastAsia="zh-CN"/>
              </w:rPr>
              <w:t>《一般工业固体废物贮存和填埋污染控制标准》（GB18599-2020）</w:t>
            </w:r>
          </w:p>
        </w:tc>
      </w:tr>
      <w:tr w14:paraId="677A2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1778" w:type="dxa"/>
            <w:vMerge w:val="continue"/>
            <w:tcBorders>
              <w:tl2br w:val="nil"/>
              <w:tr2bl w:val="nil"/>
            </w:tcBorders>
            <w:noWrap w:val="0"/>
            <w:vAlign w:val="center"/>
          </w:tcPr>
          <w:p w14:paraId="596C4DF1">
            <w:pPr>
              <w:adjustRightInd w:val="0"/>
              <w:snapToGrid w:val="0"/>
              <w:jc w:val="center"/>
              <w:rPr>
                <w:rFonts w:hint="eastAsia" w:ascii="宋体" w:hAnsi="宋体" w:cs="宋体"/>
                <w:sz w:val="21"/>
                <w:szCs w:val="21"/>
              </w:rPr>
            </w:pPr>
          </w:p>
        </w:tc>
        <w:tc>
          <w:tcPr>
            <w:tcW w:w="1755" w:type="dxa"/>
            <w:tcBorders>
              <w:tl2br w:val="nil"/>
              <w:tr2bl w:val="nil"/>
            </w:tcBorders>
            <w:noWrap w:val="0"/>
            <w:vAlign w:val="center"/>
          </w:tcPr>
          <w:p w14:paraId="046FF098">
            <w:pPr>
              <w:adjustRightInd w:val="0"/>
              <w:snapToGrid w:val="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员工生活</w:t>
            </w:r>
          </w:p>
        </w:tc>
        <w:tc>
          <w:tcPr>
            <w:tcW w:w="1286" w:type="dxa"/>
            <w:tcBorders>
              <w:tl2br w:val="nil"/>
              <w:tr2bl w:val="nil"/>
            </w:tcBorders>
            <w:noWrap w:val="0"/>
            <w:vAlign w:val="center"/>
          </w:tcPr>
          <w:p w14:paraId="2847EBA2">
            <w:pPr>
              <w:jc w:val="center"/>
              <w:rPr>
                <w:rFonts w:hint="eastAsia" w:ascii="宋体" w:hAnsi="宋体" w:cs="宋体"/>
                <w:sz w:val="21"/>
                <w:szCs w:val="21"/>
              </w:rPr>
            </w:pPr>
            <w:r>
              <w:rPr>
                <w:rFonts w:hint="default" w:ascii="Times New Roman" w:hAnsi="Times New Roman" w:cs="Times New Roman"/>
                <w:sz w:val="21"/>
                <w:szCs w:val="21"/>
              </w:rPr>
              <w:t>生活垃圾</w:t>
            </w:r>
          </w:p>
        </w:tc>
        <w:tc>
          <w:tcPr>
            <w:tcW w:w="1875" w:type="dxa"/>
            <w:tcBorders>
              <w:tl2br w:val="nil"/>
              <w:tr2bl w:val="nil"/>
            </w:tcBorders>
            <w:noWrap w:val="0"/>
            <w:vAlign w:val="center"/>
          </w:tcPr>
          <w:p w14:paraId="2E860CD6">
            <w:pPr>
              <w:adjustRightInd w:val="0"/>
              <w:snapToGrid w:val="0"/>
              <w:jc w:val="center"/>
              <w:rPr>
                <w:rFonts w:hint="eastAsia" w:ascii="宋体" w:hAnsi="宋体" w:cs="宋体"/>
                <w:sz w:val="21"/>
                <w:szCs w:val="21"/>
              </w:rPr>
            </w:pPr>
            <w:r>
              <w:rPr>
                <w:rFonts w:hint="default" w:ascii="Times New Roman" w:hAnsi="Times New Roman" w:cs="Times New Roman"/>
                <w:kern w:val="0"/>
                <w:sz w:val="21"/>
                <w:szCs w:val="21"/>
              </w:rPr>
              <w:t>分类收集后委托环卫部门及时清运</w:t>
            </w:r>
          </w:p>
        </w:tc>
        <w:tc>
          <w:tcPr>
            <w:tcW w:w="2106" w:type="dxa"/>
            <w:gridSpan w:val="2"/>
            <w:tcBorders>
              <w:tl2br w:val="nil"/>
              <w:tr2bl w:val="nil"/>
            </w:tcBorders>
            <w:noWrap w:val="0"/>
            <w:vAlign w:val="center"/>
          </w:tcPr>
          <w:p w14:paraId="542E4E38">
            <w:pPr>
              <w:adjustRightInd w:val="0"/>
              <w:snapToGrid w:val="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w:t>
            </w:r>
          </w:p>
        </w:tc>
      </w:tr>
      <w:tr w14:paraId="40E0C2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tcBorders>
              <w:tl2br w:val="nil"/>
              <w:tr2bl w:val="nil"/>
            </w:tcBorders>
            <w:noWrap w:val="0"/>
            <w:vAlign w:val="center"/>
          </w:tcPr>
          <w:p w14:paraId="687B94DB">
            <w:pPr>
              <w:adjustRightInd w:val="0"/>
              <w:snapToGrid w:val="0"/>
              <w:jc w:val="center"/>
              <w:rPr>
                <w:rFonts w:hint="eastAsia" w:ascii="宋体" w:hAnsi="宋体" w:cs="宋体"/>
                <w:sz w:val="21"/>
                <w:szCs w:val="21"/>
              </w:rPr>
            </w:pPr>
            <w:r>
              <w:rPr>
                <w:rFonts w:hint="eastAsia" w:ascii="宋体" w:hAnsi="宋体" w:cs="宋体"/>
                <w:sz w:val="21"/>
                <w:szCs w:val="21"/>
              </w:rPr>
              <w:t>土壤及地下水</w:t>
            </w:r>
          </w:p>
          <w:p w14:paraId="60AF8115">
            <w:pPr>
              <w:adjustRightInd w:val="0"/>
              <w:snapToGrid w:val="0"/>
              <w:jc w:val="center"/>
              <w:rPr>
                <w:rFonts w:hint="eastAsia" w:ascii="宋体" w:hAnsi="宋体" w:cs="宋体"/>
                <w:sz w:val="21"/>
                <w:szCs w:val="21"/>
              </w:rPr>
            </w:pPr>
            <w:r>
              <w:rPr>
                <w:rFonts w:hint="eastAsia" w:ascii="宋体" w:hAnsi="宋体" w:cs="宋体"/>
                <w:sz w:val="21"/>
                <w:szCs w:val="21"/>
              </w:rPr>
              <w:t>污染防治措施</w:t>
            </w:r>
          </w:p>
        </w:tc>
        <w:tc>
          <w:tcPr>
            <w:tcW w:w="7022" w:type="dxa"/>
            <w:gridSpan w:val="5"/>
            <w:tcBorders>
              <w:tl2br w:val="nil"/>
              <w:tr2bl w:val="nil"/>
            </w:tcBorders>
            <w:noWrap w:val="0"/>
            <w:vAlign w:val="center"/>
          </w:tcPr>
          <w:p w14:paraId="152CA8E0">
            <w:pPr>
              <w:adjustRightInd w:val="0"/>
              <w:snapToGrid w:val="0"/>
              <w:jc w:val="center"/>
              <w:rPr>
                <w:rFonts w:hint="eastAsia" w:ascii="宋体" w:hAnsi="宋体" w:cs="宋体"/>
                <w:sz w:val="21"/>
                <w:szCs w:val="21"/>
              </w:rPr>
            </w:pPr>
            <w:r>
              <w:rPr>
                <w:rFonts w:hint="default" w:ascii="Times New Roman" w:hAnsi="Times New Roman" w:cs="Times New Roman"/>
                <w:sz w:val="21"/>
                <w:szCs w:val="21"/>
              </w:rPr>
              <w:t>划分一般防渗区、重点防渗区、简单防渗区，防渗区则应按照不同分区要求，采取不同等级的防渗措施，并确保其可靠性和有效性</w:t>
            </w:r>
          </w:p>
        </w:tc>
      </w:tr>
      <w:tr w14:paraId="5F3580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tcBorders>
              <w:tl2br w:val="nil"/>
              <w:tr2bl w:val="nil"/>
            </w:tcBorders>
            <w:noWrap w:val="0"/>
            <w:vAlign w:val="center"/>
          </w:tcPr>
          <w:p w14:paraId="193252FE">
            <w:pPr>
              <w:adjustRightInd w:val="0"/>
              <w:snapToGrid w:val="0"/>
              <w:jc w:val="center"/>
              <w:rPr>
                <w:rFonts w:hint="eastAsia" w:ascii="宋体" w:hAnsi="宋体" w:cs="宋体"/>
                <w:sz w:val="21"/>
                <w:szCs w:val="21"/>
              </w:rPr>
            </w:pPr>
            <w:r>
              <w:rPr>
                <w:rFonts w:hint="eastAsia" w:ascii="宋体" w:hAnsi="宋体" w:cs="宋体"/>
                <w:sz w:val="21"/>
                <w:szCs w:val="21"/>
              </w:rPr>
              <w:t>生态保护措施</w:t>
            </w:r>
          </w:p>
        </w:tc>
        <w:tc>
          <w:tcPr>
            <w:tcW w:w="7022" w:type="dxa"/>
            <w:gridSpan w:val="5"/>
            <w:tcBorders>
              <w:tl2br w:val="nil"/>
              <w:tr2bl w:val="nil"/>
            </w:tcBorders>
            <w:noWrap w:val="0"/>
            <w:vAlign w:val="center"/>
          </w:tcPr>
          <w:p w14:paraId="2E73D6DE">
            <w:pPr>
              <w:adjustRightInd w:val="0"/>
              <w:snapToGrid w:val="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w:t>
            </w:r>
          </w:p>
        </w:tc>
      </w:tr>
      <w:tr w14:paraId="46BD9E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tcBorders>
              <w:tl2br w:val="nil"/>
              <w:tr2bl w:val="nil"/>
            </w:tcBorders>
            <w:noWrap w:val="0"/>
            <w:vAlign w:val="center"/>
          </w:tcPr>
          <w:p w14:paraId="720F4E7A">
            <w:pPr>
              <w:adjustRightInd w:val="0"/>
              <w:snapToGrid w:val="0"/>
              <w:jc w:val="center"/>
              <w:rPr>
                <w:rFonts w:ascii="宋体" w:hAnsi="宋体" w:cs="宋体"/>
                <w:spacing w:val="-8"/>
                <w:sz w:val="21"/>
                <w:szCs w:val="21"/>
              </w:rPr>
            </w:pPr>
            <w:r>
              <w:rPr>
                <w:rFonts w:hint="eastAsia" w:ascii="宋体" w:hAnsi="宋体" w:cs="宋体"/>
                <w:spacing w:val="-8"/>
                <w:sz w:val="21"/>
                <w:szCs w:val="21"/>
              </w:rPr>
              <w:t>环境风险</w:t>
            </w:r>
          </w:p>
          <w:p w14:paraId="433D50FD">
            <w:pPr>
              <w:adjustRightInd w:val="0"/>
              <w:snapToGrid w:val="0"/>
              <w:jc w:val="center"/>
              <w:rPr>
                <w:rFonts w:hint="eastAsia" w:ascii="宋体" w:hAnsi="宋体" w:cs="宋体"/>
                <w:spacing w:val="-8"/>
                <w:sz w:val="21"/>
                <w:szCs w:val="21"/>
              </w:rPr>
            </w:pPr>
            <w:r>
              <w:rPr>
                <w:rFonts w:hint="eastAsia" w:ascii="宋体" w:hAnsi="宋体" w:cs="宋体"/>
                <w:spacing w:val="-8"/>
                <w:sz w:val="21"/>
                <w:szCs w:val="21"/>
              </w:rPr>
              <w:t>防范措施</w:t>
            </w:r>
          </w:p>
        </w:tc>
        <w:tc>
          <w:tcPr>
            <w:tcW w:w="7022" w:type="dxa"/>
            <w:gridSpan w:val="5"/>
            <w:tcBorders>
              <w:tl2br w:val="nil"/>
              <w:tr2bl w:val="nil"/>
            </w:tcBorders>
            <w:noWrap w:val="0"/>
            <w:vAlign w:val="center"/>
          </w:tcPr>
          <w:p w14:paraId="0028C119">
            <w:pPr>
              <w:adjustRightInd w:val="0"/>
              <w:snapToGrid w:val="0"/>
              <w:jc w:val="left"/>
              <w:rPr>
                <w:rFonts w:hint="default" w:ascii="Times New Roman" w:hAnsi="Times New Roman" w:cs="Times New Roman"/>
                <w:sz w:val="21"/>
                <w:szCs w:val="21"/>
              </w:rPr>
            </w:pPr>
            <w:r>
              <w:rPr>
                <w:rFonts w:hint="default" w:ascii="Times New Roman" w:hAnsi="Times New Roman" w:cs="Times New Roman"/>
                <w:sz w:val="21"/>
                <w:szCs w:val="21"/>
              </w:rPr>
              <w:t>①煤堆场表面采取洒水喷淋降尘措施；</w:t>
            </w:r>
          </w:p>
          <w:p w14:paraId="27DD6863">
            <w:pPr>
              <w:adjustRightInd w:val="0"/>
              <w:snapToGrid w:val="0"/>
              <w:jc w:val="left"/>
              <w:rPr>
                <w:rFonts w:hint="default" w:ascii="Times New Roman" w:hAnsi="Times New Roman" w:cs="Times New Roman"/>
                <w:sz w:val="21"/>
                <w:szCs w:val="21"/>
              </w:rPr>
            </w:pPr>
            <w:r>
              <w:rPr>
                <w:rFonts w:hint="default" w:ascii="Times New Roman" w:hAnsi="Times New Roman" w:cs="Times New Roman"/>
                <w:sz w:val="21"/>
                <w:szCs w:val="21"/>
              </w:rPr>
              <w:t>②煤棚区域内喷淋洒水，降低了作业区煤炭粉尘量，避免粉尘爆炸。</w:t>
            </w:r>
          </w:p>
          <w:p w14:paraId="5CEB7F1F">
            <w:pPr>
              <w:adjustRightInd w:val="0"/>
              <w:snapToGrid w:val="0"/>
              <w:jc w:val="left"/>
              <w:rPr>
                <w:rFonts w:hint="default" w:ascii="Times New Roman" w:hAnsi="Times New Roman" w:cs="Times New Roman"/>
                <w:sz w:val="21"/>
                <w:szCs w:val="21"/>
              </w:rPr>
            </w:pPr>
            <w:r>
              <w:rPr>
                <w:rFonts w:hint="default" w:ascii="Times New Roman" w:hAnsi="Times New Roman" w:cs="Times New Roman"/>
                <w:sz w:val="21"/>
                <w:szCs w:val="21"/>
              </w:rPr>
              <w:t>③在煤棚生产区各处悬挂禁止火种带入、禁止吸烟等警示牌；</w:t>
            </w:r>
          </w:p>
          <w:p w14:paraId="6A4752ED">
            <w:pPr>
              <w:adjustRightInd w:val="0"/>
              <w:snapToGrid w:val="0"/>
              <w:jc w:val="left"/>
              <w:rPr>
                <w:rFonts w:hint="default" w:ascii="Times New Roman" w:hAnsi="Times New Roman" w:cs="Times New Roman"/>
                <w:sz w:val="21"/>
                <w:szCs w:val="21"/>
              </w:rPr>
            </w:pPr>
            <w:r>
              <w:rPr>
                <w:rFonts w:hint="default" w:ascii="Times New Roman" w:hAnsi="Times New Roman" w:cs="Times New Roman"/>
                <w:sz w:val="21"/>
                <w:szCs w:val="21"/>
              </w:rPr>
              <w:t>④在煤棚配电室、办公室等地</w:t>
            </w:r>
            <w:r>
              <w:rPr>
                <w:rFonts w:hint="eastAsia" w:cs="Times New Roman"/>
                <w:sz w:val="21"/>
                <w:szCs w:val="21"/>
                <w:lang w:eastAsia="zh-CN"/>
              </w:rPr>
              <w:t>方配</w:t>
            </w:r>
            <w:r>
              <w:rPr>
                <w:rFonts w:hint="default" w:ascii="Times New Roman" w:hAnsi="Times New Roman" w:cs="Times New Roman"/>
                <w:sz w:val="21"/>
                <w:szCs w:val="21"/>
              </w:rPr>
              <w:t>备不同类型的灭火器具，以便在煤棚发生火灾时用于防灭火工作；</w:t>
            </w:r>
          </w:p>
          <w:p w14:paraId="01F68C42">
            <w:pPr>
              <w:adjustRightInd w:val="0"/>
              <w:snapToGrid w:val="0"/>
              <w:jc w:val="left"/>
              <w:rPr>
                <w:rFonts w:hint="default" w:ascii="Times New Roman" w:hAnsi="Times New Roman" w:cs="Times New Roman"/>
                <w:sz w:val="21"/>
                <w:szCs w:val="21"/>
              </w:rPr>
            </w:pPr>
            <w:r>
              <w:rPr>
                <w:rFonts w:hint="default" w:ascii="Times New Roman" w:hAnsi="Times New Roman" w:cs="Times New Roman"/>
                <w:sz w:val="21"/>
                <w:szCs w:val="21"/>
              </w:rPr>
              <w:t>⑤煤棚</w:t>
            </w:r>
            <w:r>
              <w:rPr>
                <w:rFonts w:hint="eastAsia" w:cs="Times New Roman"/>
                <w:sz w:val="21"/>
                <w:szCs w:val="21"/>
                <w:lang w:eastAsia="zh-CN"/>
              </w:rPr>
              <w:t>电气设备</w:t>
            </w:r>
            <w:r>
              <w:rPr>
                <w:rFonts w:hint="default" w:ascii="Times New Roman" w:hAnsi="Times New Roman" w:cs="Times New Roman"/>
                <w:sz w:val="21"/>
                <w:szCs w:val="21"/>
              </w:rPr>
              <w:t>的高低压供电线路均按《煤矿安全规程》的要求选取，加强对其管理与维护，避免因发生短路和绝缘材料破坏漏电而引起的火灾事故；</w:t>
            </w:r>
          </w:p>
          <w:p w14:paraId="1DEE8F4D">
            <w:pPr>
              <w:adjustRightInd w:val="0"/>
              <w:snapToGrid w:val="0"/>
              <w:jc w:val="left"/>
              <w:rPr>
                <w:rFonts w:hint="default" w:ascii="Times New Roman" w:hAnsi="Times New Roman" w:cs="Times New Roman"/>
                <w:sz w:val="21"/>
                <w:szCs w:val="21"/>
              </w:rPr>
            </w:pPr>
            <w:r>
              <w:rPr>
                <w:rFonts w:hint="default" w:ascii="Times New Roman" w:hAnsi="Times New Roman" w:cs="Times New Roman"/>
                <w:sz w:val="21"/>
                <w:szCs w:val="21"/>
              </w:rPr>
              <w:t>⑥加强对储煤棚工作面日常管理工作，对煤堆自然发火情况组织日常安全检查，及时掌握煤堆自然发火情况，以便及时采取有效的防火、灭火措施，有效预防煤堆火灾事故的发生。</w:t>
            </w:r>
          </w:p>
          <w:p w14:paraId="7DBA8FA6">
            <w:pPr>
              <w:adjustRightInd w:val="0"/>
              <w:snapToGrid w:val="0"/>
              <w:jc w:val="left"/>
              <w:rPr>
                <w:rFonts w:hint="default" w:ascii="Times New Roman" w:hAnsi="Times New Roman" w:cs="Times New Roman"/>
                <w:sz w:val="21"/>
                <w:szCs w:val="21"/>
              </w:rPr>
            </w:pPr>
            <w:r>
              <w:rPr>
                <w:rFonts w:hint="default" w:ascii="Times New Roman" w:hAnsi="Times New Roman" w:cs="Times New Roman"/>
                <w:sz w:val="21"/>
                <w:szCs w:val="21"/>
              </w:rPr>
              <w:t>⑦煤堆场四周设置固定的防风抑尘网，减少粉尘对周围环境的影响；</w:t>
            </w:r>
          </w:p>
          <w:p w14:paraId="49BF2B9F">
            <w:pPr>
              <w:adjustRightInd w:val="0"/>
              <w:snapToGrid w:val="0"/>
              <w:jc w:val="left"/>
              <w:rPr>
                <w:rFonts w:hint="default" w:ascii="Times New Roman" w:hAnsi="Times New Roman" w:cs="Times New Roman"/>
                <w:sz w:val="21"/>
                <w:szCs w:val="21"/>
              </w:rPr>
            </w:pPr>
            <w:r>
              <w:rPr>
                <w:rFonts w:hint="default" w:ascii="Times New Roman" w:hAnsi="Times New Roman" w:cs="Times New Roman"/>
                <w:sz w:val="21"/>
                <w:szCs w:val="21"/>
              </w:rPr>
              <w:t>⑧加强安全监督和管理，</w:t>
            </w:r>
            <w:r>
              <w:rPr>
                <w:rFonts w:hint="eastAsia" w:cs="Times New Roman"/>
                <w:sz w:val="21"/>
                <w:szCs w:val="21"/>
                <w:lang w:eastAsia="zh-CN"/>
              </w:rPr>
              <w:t>增强</w:t>
            </w:r>
            <w:r>
              <w:rPr>
                <w:rFonts w:hint="default" w:ascii="Times New Roman" w:hAnsi="Times New Roman" w:cs="Times New Roman"/>
                <w:sz w:val="21"/>
                <w:szCs w:val="21"/>
              </w:rPr>
              <w:t>职工的安全意识和环境意识，坚决杜绝人为事故发生。</w:t>
            </w:r>
          </w:p>
          <w:p w14:paraId="3AF4EC75">
            <w:pPr>
              <w:adjustRightInd w:val="0"/>
              <w:snapToGrid w:val="0"/>
              <w:jc w:val="left"/>
              <w:rPr>
                <w:rFonts w:hint="default" w:ascii="Times New Roman" w:hAnsi="Times New Roman" w:cs="Times New Roman"/>
                <w:sz w:val="21"/>
                <w:szCs w:val="21"/>
              </w:rPr>
            </w:pPr>
            <w:r>
              <w:rPr>
                <w:rFonts w:hint="default" w:ascii="Times New Roman" w:hAnsi="Times New Roman" w:cs="Times New Roman"/>
                <w:sz w:val="21"/>
                <w:szCs w:val="21"/>
              </w:rPr>
              <w:t>⑨定期采样监测，确保废气污染物达标排放，同时加强污染治理设施管理，进行定期或不定期检查，建立废气事故性排放的应急制度和响应措施，将事故性排放的影响降至最低；做好环境保护、安全生产宣传以及相关技术培训等工作。</w:t>
            </w:r>
          </w:p>
          <w:p w14:paraId="371E3603">
            <w:pPr>
              <w:adjustRightInd w:val="0"/>
              <w:snapToGrid w:val="0"/>
              <w:jc w:val="left"/>
              <w:rPr>
                <w:rFonts w:hint="eastAsia" w:ascii="宋体" w:hAnsi="宋体" w:cs="宋体"/>
                <w:sz w:val="21"/>
                <w:szCs w:val="21"/>
              </w:rPr>
            </w:pPr>
            <w:r>
              <w:rPr>
                <w:rFonts w:hint="default" w:ascii="Times New Roman" w:hAnsi="Times New Roman" w:cs="Times New Roman"/>
                <w:sz w:val="21"/>
                <w:szCs w:val="21"/>
              </w:rPr>
              <w:t>⑩企业应编制《环境风险应急预案》，对于重大或不可接受的风险（主要是火灾爆炸造成重大人员伤害等），应制定应急</w:t>
            </w:r>
            <w:r>
              <w:rPr>
                <w:rFonts w:hint="eastAsia" w:cs="Times New Roman"/>
                <w:sz w:val="21"/>
                <w:szCs w:val="21"/>
                <w:lang w:eastAsia="zh-CN"/>
              </w:rPr>
              <w:t>响应</w:t>
            </w:r>
            <w:r>
              <w:rPr>
                <w:rFonts w:hint="default" w:ascii="Times New Roman" w:hAnsi="Times New Roman" w:cs="Times New Roman"/>
                <w:sz w:val="21"/>
                <w:szCs w:val="21"/>
              </w:rPr>
              <w:t>方案。</w:t>
            </w:r>
          </w:p>
        </w:tc>
      </w:tr>
      <w:tr w14:paraId="04E8CE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778" w:type="dxa"/>
            <w:tcBorders>
              <w:tl2br w:val="nil"/>
              <w:tr2bl w:val="nil"/>
            </w:tcBorders>
            <w:noWrap w:val="0"/>
            <w:vAlign w:val="center"/>
          </w:tcPr>
          <w:p w14:paraId="4337F00F">
            <w:pPr>
              <w:adjustRightInd w:val="0"/>
              <w:snapToGrid w:val="0"/>
              <w:jc w:val="center"/>
              <w:rPr>
                <w:rFonts w:ascii="宋体" w:hAnsi="宋体" w:cs="宋体"/>
                <w:spacing w:val="-8"/>
                <w:sz w:val="21"/>
                <w:szCs w:val="21"/>
              </w:rPr>
            </w:pPr>
            <w:r>
              <w:rPr>
                <w:rFonts w:hint="eastAsia" w:ascii="宋体" w:hAnsi="宋体" w:cs="宋体"/>
                <w:spacing w:val="-8"/>
                <w:sz w:val="21"/>
                <w:szCs w:val="21"/>
              </w:rPr>
              <w:t>其他环境</w:t>
            </w:r>
          </w:p>
          <w:p w14:paraId="25916F48">
            <w:pPr>
              <w:adjustRightInd w:val="0"/>
              <w:snapToGrid w:val="0"/>
              <w:jc w:val="center"/>
              <w:rPr>
                <w:rFonts w:hint="eastAsia" w:ascii="宋体" w:hAnsi="宋体" w:cs="宋体"/>
                <w:spacing w:val="-8"/>
                <w:sz w:val="21"/>
                <w:szCs w:val="21"/>
              </w:rPr>
            </w:pPr>
            <w:r>
              <w:rPr>
                <w:rFonts w:hint="eastAsia" w:ascii="宋体" w:hAnsi="宋体" w:cs="宋体"/>
                <w:spacing w:val="-8"/>
                <w:sz w:val="21"/>
                <w:szCs w:val="21"/>
              </w:rPr>
              <w:t>管理要求</w:t>
            </w:r>
          </w:p>
        </w:tc>
        <w:tc>
          <w:tcPr>
            <w:tcW w:w="7022" w:type="dxa"/>
            <w:gridSpan w:val="5"/>
            <w:tcBorders>
              <w:tl2br w:val="nil"/>
              <w:tr2bl w:val="nil"/>
            </w:tcBorders>
            <w:noWrap w:val="0"/>
            <w:vAlign w:val="center"/>
          </w:tcPr>
          <w:p w14:paraId="16AD1186">
            <w:pPr>
              <w:adjustRightInd w:val="0"/>
              <w:snapToGrid w:val="0"/>
              <w:jc w:val="left"/>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加强项目的环境管理，</w:t>
            </w:r>
            <w:r>
              <w:rPr>
                <w:rFonts w:hint="eastAsia" w:ascii="Times New Roman" w:hAnsi="Times New Roman" w:cs="Times New Roman"/>
                <w:sz w:val="21"/>
                <w:szCs w:val="21"/>
                <w:lang w:eastAsia="zh-CN"/>
              </w:rPr>
              <w:t>加大</w:t>
            </w:r>
            <w:r>
              <w:rPr>
                <w:rFonts w:hint="default" w:ascii="Times New Roman" w:hAnsi="Times New Roman" w:cs="Times New Roman"/>
                <w:sz w:val="21"/>
                <w:szCs w:val="21"/>
              </w:rPr>
              <w:t>环境监测的力度，必须严格控制污染物的排放总量，执行建设项目“三同时”制度，为了既发展生产又保护环境，实现建设项目的经济效益，社会效益和环境效益的统一，</w:t>
            </w:r>
            <w:r>
              <w:rPr>
                <w:rFonts w:hint="eastAsia" w:ascii="Times New Roman" w:hAnsi="Times New Roman" w:cs="Times New Roman"/>
                <w:sz w:val="21"/>
                <w:szCs w:val="21"/>
                <w:lang w:eastAsia="zh-CN"/>
              </w:rPr>
              <w:t>更好地</w:t>
            </w:r>
            <w:r>
              <w:rPr>
                <w:rFonts w:hint="default" w:ascii="Times New Roman" w:hAnsi="Times New Roman" w:cs="Times New Roman"/>
                <w:sz w:val="21"/>
                <w:szCs w:val="21"/>
              </w:rPr>
              <w:t>监控工程环保设施的运行及时掌握和了解污染治理措施的效果，必须设置相应的环保机构，制定项目环境管理和环境监测计划</w:t>
            </w:r>
            <w:r>
              <w:rPr>
                <w:rFonts w:hint="default" w:ascii="Times New Roman" w:hAnsi="Times New Roman" w:cs="Times New Roman"/>
                <w:sz w:val="21"/>
                <w:szCs w:val="21"/>
                <w:lang w:eastAsia="zh-CN"/>
              </w:rPr>
              <w:t>。</w:t>
            </w:r>
          </w:p>
          <w:p w14:paraId="7FBCA560">
            <w:pPr>
              <w:adjustRightInd w:val="0"/>
              <w:snapToGrid w:val="0"/>
              <w:jc w:val="left"/>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1.环境管理计划</w:t>
            </w:r>
          </w:p>
          <w:p w14:paraId="4C5DA7D8">
            <w:pPr>
              <w:adjustRightInd w:val="0"/>
              <w:snapToGrid w:val="0"/>
              <w:jc w:val="left"/>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为了保证环境管理工作的有效性，项目环境管理应指定专人主管，由专人负责运营期环境保护工作，环境监测可委托具有</w:t>
            </w:r>
            <w:r>
              <w:rPr>
                <w:rFonts w:hint="eastAsia" w:ascii="Times New Roman" w:hAnsi="Times New Roman" w:cs="Times New Roman"/>
                <w:sz w:val="21"/>
                <w:szCs w:val="21"/>
                <w:lang w:eastAsia="zh-CN"/>
              </w:rPr>
              <w:t>环境监测</w:t>
            </w:r>
            <w:r>
              <w:rPr>
                <w:rFonts w:hint="default" w:ascii="Times New Roman" w:hAnsi="Times New Roman" w:cs="Times New Roman"/>
                <w:sz w:val="21"/>
                <w:szCs w:val="21"/>
              </w:rPr>
              <w:t>资质的单位进行监测监控，废气、废水排放情况及环保设施的运转状况。</w:t>
            </w:r>
          </w:p>
          <w:p w14:paraId="1554B39D">
            <w:pPr>
              <w:adjustRightInd w:val="0"/>
              <w:snapToGrid w:val="0"/>
              <w:jc w:val="left"/>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2.管理职责</w:t>
            </w:r>
          </w:p>
          <w:p w14:paraId="7CB4BF88">
            <w:pPr>
              <w:adjustRightInd w:val="0"/>
              <w:snapToGrid w:val="0"/>
              <w:jc w:val="left"/>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（1）贯彻执行国家，省级，地方各项环保政策法规标准，根据项目实际编制环境保护规划和实施细则，并组织实施监督执行。</w:t>
            </w:r>
          </w:p>
          <w:p w14:paraId="45976F68">
            <w:pPr>
              <w:adjustRightInd w:val="0"/>
              <w:snapToGrid w:val="0"/>
              <w:jc w:val="left"/>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（2）建立污染源档案，定期由具有环境监测资质的单位对污染物进行监督监测和应急监测，掌握项目各污染源排放动态，以便为环境管理与污染防治提供科学依据。</w:t>
            </w:r>
          </w:p>
          <w:p w14:paraId="0D06565C">
            <w:pPr>
              <w:adjustRightInd w:val="0"/>
              <w:snapToGrid w:val="0"/>
              <w:jc w:val="left"/>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（3）制定切实可行的污染物排放控制指标，环保治理设施运行考核指标，组织落实实施，定期进行检查。</w:t>
            </w:r>
          </w:p>
          <w:p w14:paraId="4C8D4583">
            <w:pPr>
              <w:adjustRightInd w:val="0"/>
              <w:snapToGrid w:val="0"/>
              <w:jc w:val="left"/>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（4）组织和管理项目的污染治理工作，负责环保治理设施的运行及管理工作，建立污染物浓度和排放总量双向控制制度，并彻底做到各项污染物达标排放。</w:t>
            </w:r>
          </w:p>
          <w:p w14:paraId="66A7F2E7">
            <w:pPr>
              <w:adjustRightInd w:val="0"/>
              <w:snapToGrid w:val="0"/>
              <w:jc w:val="left"/>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（5）定期进行项目环境管理人员环保知识和技术培训工作。</w:t>
            </w:r>
          </w:p>
          <w:p w14:paraId="3CF5ADFE">
            <w:pPr>
              <w:adjustRightInd w:val="0"/>
              <w:snapToGrid w:val="0"/>
              <w:rPr>
                <w:rFonts w:hint="eastAsia" w:ascii="宋体" w:hAnsi="宋体" w:cs="宋体"/>
                <w:sz w:val="21"/>
                <w:szCs w:val="21"/>
              </w:rPr>
            </w:pPr>
            <w:r>
              <w:rPr>
                <w:rFonts w:hint="default" w:ascii="Times New Roman" w:hAnsi="Times New Roman" w:cs="Times New Roman"/>
                <w:sz w:val="21"/>
                <w:szCs w:val="21"/>
              </w:rPr>
              <w:t>（6）做好常规环境统计工作，掌握各项治理设施的运行状况。</w:t>
            </w:r>
          </w:p>
        </w:tc>
      </w:tr>
    </w:tbl>
    <w:p w14:paraId="318C4FBB">
      <w:pPr>
        <w:pStyle w:val="21"/>
        <w:jc w:val="center"/>
        <w:outlineLvl w:val="0"/>
        <w:rPr>
          <w:rFonts w:ascii="黑体" w:hAnsi="黑体" w:eastAsia="黑体"/>
          <w:snapToGrid w:val="0"/>
          <w:sz w:val="30"/>
          <w:szCs w:val="30"/>
        </w:rPr>
      </w:pPr>
      <w:r>
        <w:rPr>
          <w:snapToGrid w:val="0"/>
        </w:rPr>
        <w:br w:type="page"/>
      </w:r>
      <w:r>
        <w:rPr>
          <w:rFonts w:hint="eastAsia" w:ascii="黑体" w:hAnsi="黑体" w:eastAsia="黑体"/>
          <w:snapToGrid w:val="0"/>
          <w:sz w:val="30"/>
          <w:szCs w:val="30"/>
        </w:rPr>
        <w:t>六、结论</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
      <w:tblGrid>
        <w:gridCol w:w="8865"/>
      </w:tblGrid>
      <w:tr w14:paraId="08F30216">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11991" w:hRule="atLeast"/>
          <w:jc w:val="center"/>
        </w:trPr>
        <w:tc>
          <w:tcPr>
            <w:tcW w:w="8865" w:type="dxa"/>
            <w:tcBorders>
              <w:tl2br w:val="nil"/>
              <w:tr2bl w:val="nil"/>
            </w:tcBorders>
            <w:noWrap w:val="0"/>
            <w:vAlign w:val="center"/>
          </w:tcPr>
          <w:p w14:paraId="244635F9">
            <w:pPr>
              <w:spacing w:line="360" w:lineRule="auto"/>
              <w:ind w:firstLine="480" w:firstLineChars="200"/>
              <w:rPr>
                <w:rFonts w:hint="eastAsia" w:ascii="宋体" w:hAnsi="宋体" w:cs="宋体"/>
                <w:sz w:val="24"/>
              </w:rPr>
            </w:pPr>
            <w:r>
              <w:rPr>
                <w:rFonts w:hint="eastAsia" w:ascii="宋体" w:hAnsi="宋体" w:cs="宋体"/>
                <w:sz w:val="24"/>
              </w:rPr>
              <w:t>本项目生产运营会产生噪声、废气</w:t>
            </w:r>
            <w:r>
              <w:rPr>
                <w:rFonts w:hint="eastAsia" w:ascii="宋体" w:hAnsi="宋体" w:cs="宋体"/>
                <w:sz w:val="24"/>
                <w:lang w:eastAsia="zh-CN"/>
              </w:rPr>
              <w:t>、废水</w:t>
            </w:r>
            <w:r>
              <w:rPr>
                <w:rFonts w:hint="eastAsia" w:ascii="宋体" w:hAnsi="宋体" w:cs="宋体"/>
                <w:sz w:val="24"/>
              </w:rPr>
              <w:t>及固体废物，经评价分析，在全面落实本报告提出的各项环保措施和建议的基础上，落实本项目的污染防治对策，加强环保管理，环境污染可基本得到控制，做到污染物达标排放，对周围环境影响不大。因此，</w:t>
            </w:r>
            <w:r>
              <w:rPr>
                <w:rFonts w:hint="eastAsia" w:ascii="宋体" w:cs="宋体"/>
                <w:sz w:val="24"/>
              </w:rPr>
              <w:t>从环境保护角度，本建设项目环境影响可行</w:t>
            </w:r>
            <w:r>
              <w:rPr>
                <w:rFonts w:hint="eastAsia" w:ascii="宋体" w:hAnsi="宋体" w:cs="宋体"/>
                <w:sz w:val="24"/>
              </w:rPr>
              <w:t>。</w:t>
            </w:r>
          </w:p>
          <w:p w14:paraId="7C55B27D">
            <w:pPr>
              <w:pStyle w:val="24"/>
              <w:ind w:left="0" w:leftChars="0" w:firstLine="0" w:firstLineChars="0"/>
            </w:pPr>
          </w:p>
        </w:tc>
      </w:tr>
    </w:tbl>
    <w:p w14:paraId="7D9CD8B8">
      <w:pPr>
        <w:rPr>
          <w:rFonts w:ascii="宋体"/>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48EB5808">
      <w:pPr>
        <w:pStyle w:val="21"/>
        <w:adjustRightInd w:val="0"/>
        <w:snapToGrid w:val="0"/>
        <w:spacing w:before="0" w:beforeAutospacing="0" w:after="0" w:afterAutospacing="0" w:line="648" w:lineRule="auto"/>
        <w:outlineLvl w:val="0"/>
        <w:rPr>
          <w:rFonts w:ascii="黑体" w:hAnsi="黑体" w:eastAsia="黑体"/>
          <w:snapToGrid w:val="0"/>
          <w:sz w:val="32"/>
          <w:szCs w:val="32"/>
        </w:rPr>
      </w:pPr>
      <w:r>
        <w:rPr>
          <w:rFonts w:hint="eastAsia" w:ascii="黑体" w:hAnsi="黑体" w:eastAsia="黑体"/>
          <w:snapToGrid w:val="0"/>
          <w:sz w:val="32"/>
          <w:szCs w:val="32"/>
        </w:rPr>
        <w:t>附表</w:t>
      </w:r>
    </w:p>
    <w:p w14:paraId="672DADCA">
      <w:pPr>
        <w:pStyle w:val="21"/>
        <w:adjustRightInd w:val="0"/>
        <w:snapToGrid w:val="0"/>
        <w:spacing w:before="0" w:beforeAutospacing="0" w:after="0" w:afterAutospacing="0" w:line="240" w:lineRule="auto"/>
        <w:jc w:val="center"/>
        <w:outlineLvl w:val="0"/>
        <w:rPr>
          <w:rFonts w:hint="eastAsia" w:ascii="方正小标宋_GBK" w:hAnsi="黑体" w:eastAsia="方正小标宋_GBK"/>
          <w:snapToGrid w:val="0"/>
          <w:sz w:val="38"/>
          <w:szCs w:val="38"/>
        </w:rPr>
      </w:pPr>
      <w:r>
        <w:rPr>
          <w:rFonts w:hint="eastAsia" w:ascii="方正小标宋_GBK" w:hAnsi="黑体" w:eastAsia="方正小标宋_GBK"/>
          <w:snapToGrid w:val="0"/>
          <w:sz w:val="38"/>
          <w:szCs w:val="38"/>
        </w:rPr>
        <w:t>建设项目污染物排放量汇总表</w:t>
      </w:r>
    </w:p>
    <w:tbl>
      <w:tblPr>
        <w:tblStyle w:val="2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497"/>
        <w:gridCol w:w="1288"/>
      </w:tblGrid>
      <w:tr w14:paraId="632709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1588" w:type="dxa"/>
            <w:tcBorders>
              <w:tl2br w:val="nil"/>
              <w:tr2bl w:val="nil"/>
            </w:tcBorders>
            <w:noWrap w:val="0"/>
            <w:tcMar>
              <w:left w:w="28" w:type="dxa"/>
              <w:right w:w="28" w:type="dxa"/>
            </w:tcMar>
            <w:vAlign w:val="center"/>
          </w:tcPr>
          <w:p w14:paraId="2977D518">
            <w:pPr>
              <w:pStyle w:val="46"/>
              <w:spacing w:beforeLines="0" w:afterLines="0" w:line="240" w:lineRule="auto"/>
              <w:jc w:val="right"/>
              <w:rPr>
                <w:rFonts w:hint="eastAsia" w:ascii="黑体" w:hAnsi="黑体" w:eastAsia="黑体" w:cs="宋体"/>
                <w:snapToGrid w:val="0"/>
                <w:color w:val="000000"/>
                <w:spacing w:val="-6"/>
                <w:kern w:val="21"/>
                <w:szCs w:val="21"/>
              </w:rPr>
            </w:pPr>
            <w:r>
              <w:rPr>
                <w:rFonts w:hint="eastAsia" w:ascii="黑体" w:hAnsi="黑体" w:eastAsia="黑体" w:cs="宋体"/>
                <w:snapToGrid w:val="0"/>
                <w:color w:val="000000"/>
                <w:spacing w:val="-6"/>
                <w:kern w:val="21"/>
                <w:szCs w:val="21"/>
              </w:rPr>
              <w:t>项目</w:t>
            </w:r>
          </w:p>
          <w:p w14:paraId="23603D53">
            <w:pPr>
              <w:pStyle w:val="46"/>
              <w:spacing w:beforeLines="0" w:afterLines="0" w:line="240" w:lineRule="auto"/>
              <w:jc w:val="left"/>
              <w:rPr>
                <w:rFonts w:hint="eastAsia" w:ascii="黑体" w:hAnsi="黑体" w:eastAsia="黑体" w:cs="宋体"/>
                <w:snapToGrid w:val="0"/>
                <w:color w:val="000000"/>
                <w:spacing w:val="-6"/>
                <w:kern w:val="21"/>
                <w:szCs w:val="21"/>
              </w:rPr>
            </w:pPr>
            <w:r>
              <w:rPr>
                <w:rFonts w:hint="eastAsia" w:ascii="黑体" w:hAnsi="黑体" w:eastAsia="黑体" w:cs="宋体"/>
                <w:snapToGrid w:val="0"/>
                <w:color w:val="000000"/>
                <w:spacing w:val="-6"/>
                <w:kern w:val="21"/>
                <w:szCs w:val="21"/>
              </w:rPr>
              <w:t>分类</w:t>
            </w:r>
          </w:p>
        </w:tc>
        <w:tc>
          <w:tcPr>
            <w:tcW w:w="1417" w:type="dxa"/>
            <w:tcBorders>
              <w:tl2br w:val="nil"/>
              <w:tr2bl w:val="nil"/>
            </w:tcBorders>
            <w:noWrap w:val="0"/>
            <w:tcMar>
              <w:left w:w="28" w:type="dxa"/>
              <w:right w:w="28" w:type="dxa"/>
            </w:tcMar>
            <w:vAlign w:val="center"/>
          </w:tcPr>
          <w:p w14:paraId="4859F66A">
            <w:pPr>
              <w:pStyle w:val="46"/>
              <w:spacing w:beforeLines="0" w:afterLines="0" w:line="240" w:lineRule="auto"/>
              <w:rPr>
                <w:rFonts w:hint="eastAsia" w:ascii="黑体" w:hAnsi="黑体" w:eastAsia="黑体" w:cs="宋体"/>
                <w:snapToGrid w:val="0"/>
                <w:color w:val="000000"/>
                <w:spacing w:val="-6"/>
                <w:kern w:val="21"/>
                <w:szCs w:val="21"/>
              </w:rPr>
            </w:pPr>
            <w:r>
              <w:rPr>
                <w:rFonts w:hint="eastAsia" w:ascii="黑体" w:hAnsi="黑体" w:eastAsia="黑体" w:cs="宋体"/>
                <w:snapToGrid w:val="0"/>
                <w:color w:val="000000"/>
                <w:spacing w:val="-6"/>
                <w:kern w:val="21"/>
                <w:szCs w:val="21"/>
              </w:rPr>
              <w:t>污染物名称</w:t>
            </w:r>
          </w:p>
        </w:tc>
        <w:tc>
          <w:tcPr>
            <w:tcW w:w="1701" w:type="dxa"/>
            <w:tcBorders>
              <w:tl2br w:val="nil"/>
              <w:tr2bl w:val="nil"/>
            </w:tcBorders>
            <w:noWrap w:val="0"/>
            <w:tcMar>
              <w:left w:w="28" w:type="dxa"/>
              <w:right w:w="28" w:type="dxa"/>
            </w:tcMar>
            <w:vAlign w:val="center"/>
          </w:tcPr>
          <w:p w14:paraId="6176C58A">
            <w:pPr>
              <w:pStyle w:val="46"/>
              <w:spacing w:beforeLines="0" w:afterLines="0" w:line="240" w:lineRule="auto"/>
              <w:rPr>
                <w:rFonts w:hint="eastAsia" w:ascii="黑体" w:hAnsi="黑体" w:eastAsia="黑体"/>
                <w:snapToGrid w:val="0"/>
                <w:color w:val="000000"/>
                <w:spacing w:val="-6"/>
                <w:kern w:val="21"/>
                <w:szCs w:val="21"/>
              </w:rPr>
            </w:pPr>
            <w:r>
              <w:rPr>
                <w:rFonts w:ascii="黑体" w:hAnsi="黑体" w:eastAsia="黑体"/>
                <w:snapToGrid w:val="0"/>
                <w:color w:val="000000"/>
                <w:spacing w:val="-6"/>
                <w:kern w:val="21"/>
                <w:szCs w:val="21"/>
              </w:rPr>
              <w:t>现有工程</w:t>
            </w:r>
          </w:p>
          <w:p w14:paraId="3FCC595D">
            <w:pPr>
              <w:pStyle w:val="46"/>
              <w:spacing w:beforeLines="0" w:afterLines="0" w:line="240" w:lineRule="auto"/>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t>排放量（固</w:t>
            </w:r>
            <w:r>
              <w:rPr>
                <w:rFonts w:hint="eastAsia" w:ascii="黑体" w:hAnsi="黑体" w:eastAsia="黑体"/>
                <w:snapToGrid w:val="0"/>
                <w:color w:val="000000"/>
                <w:spacing w:val="-6"/>
                <w:kern w:val="21"/>
                <w:szCs w:val="21"/>
              </w:rPr>
              <w:t>体</w:t>
            </w:r>
            <w:r>
              <w:rPr>
                <w:rFonts w:ascii="黑体" w:hAnsi="黑体" w:eastAsia="黑体"/>
                <w:snapToGrid w:val="0"/>
                <w:color w:val="000000"/>
                <w:spacing w:val="-6"/>
                <w:kern w:val="21"/>
                <w:szCs w:val="21"/>
              </w:rPr>
              <w:t>废</w:t>
            </w:r>
            <w:r>
              <w:rPr>
                <w:rFonts w:hint="eastAsia" w:ascii="黑体" w:hAnsi="黑体" w:eastAsia="黑体"/>
                <w:snapToGrid w:val="0"/>
                <w:color w:val="000000"/>
                <w:spacing w:val="-6"/>
                <w:kern w:val="21"/>
                <w:szCs w:val="21"/>
              </w:rPr>
              <w:t>物</w:t>
            </w:r>
            <w:r>
              <w:rPr>
                <w:rFonts w:ascii="黑体" w:hAnsi="黑体" w:eastAsia="黑体"/>
                <w:snapToGrid w:val="0"/>
                <w:color w:val="000000"/>
                <w:spacing w:val="-6"/>
                <w:kern w:val="21"/>
                <w:szCs w:val="21"/>
              </w:rPr>
              <w:t>产生量）</w:t>
            </w:r>
            <w:r>
              <w:rPr>
                <w:rFonts w:ascii="黑体" w:hAnsi="黑体" w:eastAsia="黑体"/>
                <w:snapToGrid w:val="0"/>
                <w:color w:val="000000"/>
                <w:spacing w:val="-6"/>
                <w:kern w:val="21"/>
                <w:szCs w:val="21"/>
              </w:rPr>
              <w:fldChar w:fldCharType="begin"/>
            </w:r>
            <w:r>
              <w:rPr>
                <w:rFonts w:ascii="黑体" w:hAnsi="黑体" w:eastAsia="黑体"/>
                <w:snapToGrid w:val="0"/>
                <w:color w:val="000000"/>
                <w:spacing w:val="-6"/>
                <w:kern w:val="21"/>
                <w:szCs w:val="21"/>
              </w:rPr>
              <w:instrText xml:space="preserve"> = 1 \* GB3 \* MERGEFORMAT </w:instrText>
            </w:r>
            <w:r>
              <w:rPr>
                <w:rFonts w:ascii="黑体" w:hAnsi="黑体" w:eastAsia="黑体"/>
                <w:snapToGrid w:val="0"/>
                <w:color w:val="000000"/>
                <w:spacing w:val="-6"/>
                <w:kern w:val="21"/>
                <w:szCs w:val="21"/>
              </w:rPr>
              <w:fldChar w:fldCharType="separate"/>
            </w:r>
            <w:r>
              <w:rPr>
                <w:rFonts w:hint="eastAsia" w:ascii="黑体" w:hAnsi="黑体" w:eastAsia="黑体" w:cs="宋体"/>
                <w:kern w:val="2"/>
                <w:szCs w:val="21"/>
              </w:rPr>
              <w:t>①</w:t>
            </w:r>
            <w:r>
              <w:rPr>
                <w:rFonts w:ascii="黑体" w:hAnsi="黑体" w:eastAsia="黑体"/>
                <w:snapToGrid w:val="0"/>
                <w:color w:val="000000"/>
                <w:spacing w:val="-6"/>
                <w:kern w:val="21"/>
                <w:szCs w:val="21"/>
              </w:rPr>
              <w:fldChar w:fldCharType="end"/>
            </w:r>
          </w:p>
        </w:tc>
        <w:tc>
          <w:tcPr>
            <w:tcW w:w="1276" w:type="dxa"/>
            <w:tcBorders>
              <w:tl2br w:val="nil"/>
              <w:tr2bl w:val="nil"/>
            </w:tcBorders>
            <w:noWrap w:val="0"/>
            <w:tcMar>
              <w:left w:w="28" w:type="dxa"/>
              <w:right w:w="28" w:type="dxa"/>
            </w:tcMar>
            <w:vAlign w:val="center"/>
          </w:tcPr>
          <w:p w14:paraId="25C3AACA">
            <w:pPr>
              <w:pStyle w:val="46"/>
              <w:spacing w:beforeLines="0" w:afterLines="0" w:line="240" w:lineRule="auto"/>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t>现有工程</w:t>
            </w:r>
          </w:p>
          <w:p w14:paraId="2D24A9F5">
            <w:pPr>
              <w:pStyle w:val="46"/>
              <w:spacing w:beforeLines="0" w:afterLines="0" w:line="240" w:lineRule="auto"/>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t>许可排放量</w:t>
            </w:r>
          </w:p>
          <w:p w14:paraId="09A47FF8">
            <w:pPr>
              <w:pStyle w:val="46"/>
              <w:spacing w:beforeLines="0" w:afterLines="0"/>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fldChar w:fldCharType="begin"/>
            </w:r>
            <w:r>
              <w:rPr>
                <w:rFonts w:ascii="黑体" w:hAnsi="黑体" w:eastAsia="黑体"/>
                <w:snapToGrid w:val="0"/>
                <w:color w:val="000000"/>
                <w:spacing w:val="-6"/>
                <w:kern w:val="21"/>
                <w:szCs w:val="21"/>
              </w:rPr>
              <w:instrText xml:space="preserve"> = 2 \* GB3 \* MERGEFORMAT </w:instrText>
            </w:r>
            <w:r>
              <w:rPr>
                <w:rFonts w:ascii="黑体" w:hAnsi="黑体" w:eastAsia="黑体"/>
                <w:snapToGrid w:val="0"/>
                <w:color w:val="000000"/>
                <w:spacing w:val="-6"/>
                <w:kern w:val="21"/>
                <w:szCs w:val="21"/>
              </w:rPr>
              <w:fldChar w:fldCharType="separate"/>
            </w:r>
            <w:r>
              <w:rPr>
                <w:rFonts w:hint="eastAsia" w:ascii="黑体" w:hAnsi="黑体" w:eastAsia="黑体" w:cs="宋体"/>
                <w:snapToGrid w:val="0"/>
                <w:color w:val="000000"/>
                <w:spacing w:val="-6"/>
                <w:kern w:val="21"/>
                <w:szCs w:val="21"/>
              </w:rPr>
              <w:t>②</w:t>
            </w:r>
            <w:r>
              <w:rPr>
                <w:rFonts w:ascii="黑体" w:hAnsi="黑体" w:eastAsia="黑体"/>
                <w:snapToGrid w:val="0"/>
                <w:color w:val="000000"/>
                <w:spacing w:val="-6"/>
                <w:kern w:val="21"/>
                <w:szCs w:val="21"/>
              </w:rPr>
              <w:fldChar w:fldCharType="end"/>
            </w:r>
          </w:p>
        </w:tc>
        <w:tc>
          <w:tcPr>
            <w:tcW w:w="1701" w:type="dxa"/>
            <w:tcBorders>
              <w:tl2br w:val="nil"/>
              <w:tr2bl w:val="nil"/>
            </w:tcBorders>
            <w:noWrap w:val="0"/>
            <w:tcMar>
              <w:left w:w="28" w:type="dxa"/>
              <w:right w:w="28" w:type="dxa"/>
            </w:tcMar>
            <w:vAlign w:val="center"/>
          </w:tcPr>
          <w:p w14:paraId="3968E555">
            <w:pPr>
              <w:pStyle w:val="46"/>
              <w:spacing w:beforeLines="0" w:afterLines="0" w:line="240" w:lineRule="auto"/>
              <w:rPr>
                <w:rFonts w:hint="eastAsia" w:ascii="黑体" w:hAnsi="黑体" w:eastAsia="黑体"/>
                <w:snapToGrid w:val="0"/>
                <w:color w:val="000000"/>
                <w:spacing w:val="-6"/>
                <w:kern w:val="21"/>
                <w:szCs w:val="21"/>
              </w:rPr>
            </w:pPr>
            <w:r>
              <w:rPr>
                <w:rFonts w:ascii="黑体" w:hAnsi="黑体" w:eastAsia="黑体"/>
                <w:snapToGrid w:val="0"/>
                <w:color w:val="000000"/>
                <w:spacing w:val="-6"/>
                <w:kern w:val="21"/>
                <w:szCs w:val="21"/>
              </w:rPr>
              <w:t>在建工程</w:t>
            </w:r>
          </w:p>
          <w:p w14:paraId="2F63F716">
            <w:pPr>
              <w:pStyle w:val="46"/>
              <w:spacing w:beforeLines="0" w:afterLines="0" w:line="240" w:lineRule="auto"/>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t>排放量（固</w:t>
            </w:r>
            <w:r>
              <w:rPr>
                <w:rFonts w:hint="eastAsia" w:ascii="黑体" w:hAnsi="黑体" w:eastAsia="黑体"/>
                <w:snapToGrid w:val="0"/>
                <w:color w:val="000000"/>
                <w:spacing w:val="-6"/>
                <w:kern w:val="21"/>
                <w:szCs w:val="21"/>
              </w:rPr>
              <w:t>体</w:t>
            </w:r>
            <w:r>
              <w:rPr>
                <w:rFonts w:ascii="黑体" w:hAnsi="黑体" w:eastAsia="黑体"/>
                <w:snapToGrid w:val="0"/>
                <w:color w:val="000000"/>
                <w:spacing w:val="-6"/>
                <w:kern w:val="21"/>
                <w:szCs w:val="21"/>
              </w:rPr>
              <w:t>废</w:t>
            </w:r>
            <w:r>
              <w:rPr>
                <w:rFonts w:hint="eastAsia" w:ascii="黑体" w:hAnsi="黑体" w:eastAsia="黑体"/>
                <w:snapToGrid w:val="0"/>
                <w:color w:val="000000"/>
                <w:spacing w:val="-6"/>
                <w:kern w:val="21"/>
                <w:szCs w:val="21"/>
              </w:rPr>
              <w:t>物</w:t>
            </w:r>
            <w:r>
              <w:rPr>
                <w:rFonts w:ascii="黑体" w:hAnsi="黑体" w:eastAsia="黑体"/>
                <w:snapToGrid w:val="0"/>
                <w:color w:val="000000"/>
                <w:spacing w:val="-6"/>
                <w:kern w:val="21"/>
                <w:szCs w:val="21"/>
              </w:rPr>
              <w:t>产生量）</w:t>
            </w:r>
            <w:r>
              <w:rPr>
                <w:rFonts w:ascii="黑体" w:hAnsi="黑体" w:eastAsia="黑体"/>
                <w:snapToGrid w:val="0"/>
                <w:color w:val="000000"/>
                <w:spacing w:val="-6"/>
                <w:kern w:val="21"/>
                <w:szCs w:val="21"/>
              </w:rPr>
              <w:fldChar w:fldCharType="begin"/>
            </w:r>
            <w:r>
              <w:rPr>
                <w:rFonts w:ascii="黑体" w:hAnsi="黑体" w:eastAsia="黑体"/>
                <w:snapToGrid w:val="0"/>
                <w:color w:val="000000"/>
                <w:spacing w:val="-6"/>
                <w:kern w:val="21"/>
                <w:szCs w:val="21"/>
              </w:rPr>
              <w:instrText xml:space="preserve"> = 3 \* GB3 \* MERGEFORMAT </w:instrText>
            </w:r>
            <w:r>
              <w:rPr>
                <w:rFonts w:ascii="黑体" w:hAnsi="黑体" w:eastAsia="黑体"/>
                <w:snapToGrid w:val="0"/>
                <w:color w:val="000000"/>
                <w:spacing w:val="-6"/>
                <w:kern w:val="21"/>
                <w:szCs w:val="21"/>
              </w:rPr>
              <w:fldChar w:fldCharType="separate"/>
            </w:r>
            <w:r>
              <w:rPr>
                <w:rFonts w:hint="eastAsia" w:ascii="黑体" w:hAnsi="黑体" w:eastAsia="黑体" w:cs="宋体"/>
                <w:kern w:val="2"/>
                <w:szCs w:val="21"/>
              </w:rPr>
              <w:t>③</w:t>
            </w:r>
            <w:r>
              <w:rPr>
                <w:rFonts w:ascii="黑体" w:hAnsi="黑体" w:eastAsia="黑体"/>
                <w:snapToGrid w:val="0"/>
                <w:color w:val="000000"/>
                <w:spacing w:val="-6"/>
                <w:kern w:val="21"/>
                <w:szCs w:val="21"/>
              </w:rPr>
              <w:fldChar w:fldCharType="end"/>
            </w:r>
          </w:p>
        </w:tc>
        <w:tc>
          <w:tcPr>
            <w:tcW w:w="1559" w:type="dxa"/>
            <w:tcBorders>
              <w:tl2br w:val="nil"/>
              <w:tr2bl w:val="nil"/>
            </w:tcBorders>
            <w:noWrap w:val="0"/>
            <w:tcMar>
              <w:left w:w="28" w:type="dxa"/>
              <w:right w:w="28" w:type="dxa"/>
            </w:tcMar>
            <w:vAlign w:val="center"/>
          </w:tcPr>
          <w:p w14:paraId="6A23CE84">
            <w:pPr>
              <w:pStyle w:val="46"/>
              <w:spacing w:beforeLines="0" w:afterLines="0" w:line="240" w:lineRule="auto"/>
              <w:rPr>
                <w:rFonts w:hint="eastAsia" w:ascii="黑体" w:hAnsi="黑体" w:eastAsia="黑体"/>
                <w:snapToGrid w:val="0"/>
                <w:color w:val="000000"/>
                <w:spacing w:val="-6"/>
                <w:kern w:val="21"/>
                <w:szCs w:val="21"/>
              </w:rPr>
            </w:pPr>
            <w:r>
              <w:rPr>
                <w:rFonts w:ascii="黑体" w:hAnsi="黑体" w:eastAsia="黑体"/>
                <w:snapToGrid w:val="0"/>
                <w:color w:val="000000"/>
                <w:spacing w:val="-6"/>
                <w:kern w:val="21"/>
                <w:szCs w:val="21"/>
              </w:rPr>
              <w:t>本项目</w:t>
            </w:r>
          </w:p>
          <w:p w14:paraId="37BBB570">
            <w:pPr>
              <w:pStyle w:val="46"/>
              <w:spacing w:beforeLines="0" w:afterLines="0" w:line="240" w:lineRule="auto"/>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t>排放量（固</w:t>
            </w:r>
            <w:r>
              <w:rPr>
                <w:rFonts w:hint="eastAsia" w:ascii="黑体" w:hAnsi="黑体" w:eastAsia="黑体"/>
                <w:snapToGrid w:val="0"/>
                <w:color w:val="000000"/>
                <w:spacing w:val="-6"/>
                <w:kern w:val="21"/>
                <w:szCs w:val="21"/>
              </w:rPr>
              <w:t>体</w:t>
            </w:r>
            <w:r>
              <w:rPr>
                <w:rFonts w:ascii="黑体" w:hAnsi="黑体" w:eastAsia="黑体"/>
                <w:snapToGrid w:val="0"/>
                <w:color w:val="000000"/>
                <w:spacing w:val="-6"/>
                <w:kern w:val="21"/>
                <w:szCs w:val="21"/>
              </w:rPr>
              <w:t>废</w:t>
            </w:r>
            <w:r>
              <w:rPr>
                <w:rFonts w:hint="eastAsia" w:ascii="黑体" w:hAnsi="黑体" w:eastAsia="黑体"/>
                <w:snapToGrid w:val="0"/>
                <w:color w:val="000000"/>
                <w:spacing w:val="-6"/>
                <w:kern w:val="21"/>
                <w:szCs w:val="21"/>
              </w:rPr>
              <w:t>物</w:t>
            </w:r>
            <w:r>
              <w:rPr>
                <w:rFonts w:ascii="黑体" w:hAnsi="黑体" w:eastAsia="黑体"/>
                <w:snapToGrid w:val="0"/>
                <w:color w:val="000000"/>
                <w:spacing w:val="-6"/>
                <w:kern w:val="21"/>
                <w:szCs w:val="21"/>
              </w:rPr>
              <w:t>产生量）</w:t>
            </w:r>
            <w:r>
              <w:rPr>
                <w:rFonts w:ascii="黑体" w:hAnsi="黑体" w:eastAsia="黑体"/>
                <w:snapToGrid w:val="0"/>
                <w:color w:val="000000"/>
                <w:spacing w:val="-6"/>
                <w:kern w:val="21"/>
                <w:szCs w:val="21"/>
              </w:rPr>
              <w:fldChar w:fldCharType="begin"/>
            </w:r>
            <w:r>
              <w:rPr>
                <w:rFonts w:ascii="黑体" w:hAnsi="黑体" w:eastAsia="黑体"/>
                <w:snapToGrid w:val="0"/>
                <w:color w:val="000000"/>
                <w:spacing w:val="-6"/>
                <w:kern w:val="21"/>
                <w:szCs w:val="21"/>
              </w:rPr>
              <w:instrText xml:space="preserve"> = 4 \* GB3 \* MERGEFORMAT </w:instrText>
            </w:r>
            <w:r>
              <w:rPr>
                <w:rFonts w:ascii="黑体" w:hAnsi="黑体" w:eastAsia="黑体"/>
                <w:snapToGrid w:val="0"/>
                <w:color w:val="000000"/>
                <w:spacing w:val="-6"/>
                <w:kern w:val="21"/>
                <w:szCs w:val="21"/>
              </w:rPr>
              <w:fldChar w:fldCharType="separate"/>
            </w:r>
            <w:r>
              <w:rPr>
                <w:rFonts w:hint="eastAsia" w:ascii="黑体" w:hAnsi="黑体" w:eastAsia="黑体" w:cs="宋体"/>
                <w:kern w:val="2"/>
                <w:szCs w:val="21"/>
              </w:rPr>
              <w:t>④</w:t>
            </w:r>
            <w:r>
              <w:rPr>
                <w:rFonts w:ascii="黑体" w:hAnsi="黑体" w:eastAsia="黑体"/>
                <w:snapToGrid w:val="0"/>
                <w:color w:val="000000"/>
                <w:spacing w:val="-6"/>
                <w:kern w:val="21"/>
                <w:szCs w:val="21"/>
              </w:rPr>
              <w:fldChar w:fldCharType="end"/>
            </w:r>
          </w:p>
        </w:tc>
        <w:tc>
          <w:tcPr>
            <w:tcW w:w="1761" w:type="dxa"/>
            <w:tcBorders>
              <w:tl2br w:val="nil"/>
              <w:tr2bl w:val="nil"/>
            </w:tcBorders>
            <w:noWrap w:val="0"/>
            <w:tcMar>
              <w:left w:w="28" w:type="dxa"/>
              <w:right w:w="28" w:type="dxa"/>
            </w:tcMar>
            <w:vAlign w:val="center"/>
          </w:tcPr>
          <w:p w14:paraId="2760948A">
            <w:pPr>
              <w:pStyle w:val="46"/>
              <w:spacing w:beforeLines="0" w:afterLines="0" w:line="240" w:lineRule="auto"/>
              <w:rPr>
                <w:rFonts w:hint="eastAsia" w:ascii="黑体" w:hAnsi="黑体" w:eastAsia="黑体"/>
                <w:snapToGrid w:val="0"/>
                <w:color w:val="000000"/>
                <w:spacing w:val="-16"/>
                <w:kern w:val="21"/>
                <w:szCs w:val="21"/>
              </w:rPr>
            </w:pPr>
            <w:r>
              <w:rPr>
                <w:rFonts w:ascii="黑体" w:hAnsi="黑体" w:eastAsia="黑体"/>
                <w:snapToGrid w:val="0"/>
                <w:color w:val="000000"/>
                <w:spacing w:val="-16"/>
                <w:kern w:val="21"/>
                <w:szCs w:val="21"/>
              </w:rPr>
              <w:t>以新带老削减量</w:t>
            </w:r>
          </w:p>
          <w:p w14:paraId="728CA8A4">
            <w:pPr>
              <w:pStyle w:val="46"/>
              <w:spacing w:beforeLines="0" w:afterLines="0" w:line="240" w:lineRule="auto"/>
              <w:rPr>
                <w:rFonts w:ascii="黑体" w:hAnsi="黑体" w:eastAsia="黑体"/>
                <w:snapToGrid w:val="0"/>
                <w:color w:val="000000"/>
                <w:spacing w:val="-16"/>
                <w:kern w:val="21"/>
                <w:szCs w:val="21"/>
              </w:rPr>
            </w:pPr>
            <w:r>
              <w:rPr>
                <w:rFonts w:ascii="黑体" w:hAnsi="黑体" w:eastAsia="黑体"/>
                <w:snapToGrid w:val="0"/>
                <w:color w:val="000000"/>
                <w:spacing w:val="-16"/>
                <w:kern w:val="21"/>
                <w:szCs w:val="21"/>
              </w:rPr>
              <w:t>（新建项目不填）</w:t>
            </w:r>
            <w:r>
              <w:rPr>
                <w:rFonts w:ascii="黑体" w:hAnsi="黑体" w:eastAsia="黑体"/>
                <w:snapToGrid w:val="0"/>
                <w:color w:val="000000"/>
                <w:spacing w:val="-16"/>
                <w:kern w:val="21"/>
                <w:szCs w:val="21"/>
              </w:rPr>
              <w:fldChar w:fldCharType="begin"/>
            </w:r>
            <w:r>
              <w:rPr>
                <w:rFonts w:ascii="黑体" w:hAnsi="黑体" w:eastAsia="黑体"/>
                <w:snapToGrid w:val="0"/>
                <w:color w:val="000000"/>
                <w:spacing w:val="-16"/>
                <w:kern w:val="21"/>
                <w:szCs w:val="21"/>
              </w:rPr>
              <w:instrText xml:space="preserve"> = 5 \* GB3 \* MERGEFORMAT </w:instrText>
            </w:r>
            <w:r>
              <w:rPr>
                <w:rFonts w:ascii="黑体" w:hAnsi="黑体" w:eastAsia="黑体"/>
                <w:snapToGrid w:val="0"/>
                <w:color w:val="000000"/>
                <w:spacing w:val="-16"/>
                <w:kern w:val="21"/>
                <w:szCs w:val="21"/>
              </w:rPr>
              <w:fldChar w:fldCharType="separate"/>
            </w:r>
            <w:r>
              <w:rPr>
                <w:rFonts w:hint="eastAsia" w:ascii="黑体" w:hAnsi="黑体" w:eastAsia="黑体" w:cs="宋体"/>
                <w:kern w:val="2"/>
                <w:szCs w:val="21"/>
              </w:rPr>
              <w:t>⑤</w:t>
            </w:r>
            <w:r>
              <w:rPr>
                <w:rFonts w:ascii="黑体" w:hAnsi="黑体" w:eastAsia="黑体"/>
                <w:snapToGrid w:val="0"/>
                <w:color w:val="000000"/>
                <w:spacing w:val="-16"/>
                <w:kern w:val="21"/>
                <w:szCs w:val="21"/>
              </w:rPr>
              <w:fldChar w:fldCharType="end"/>
            </w:r>
          </w:p>
        </w:tc>
        <w:tc>
          <w:tcPr>
            <w:tcW w:w="1497" w:type="dxa"/>
            <w:tcBorders>
              <w:tl2br w:val="nil"/>
              <w:tr2bl w:val="nil"/>
            </w:tcBorders>
            <w:noWrap w:val="0"/>
            <w:tcMar>
              <w:left w:w="28" w:type="dxa"/>
              <w:right w:w="28" w:type="dxa"/>
            </w:tcMar>
            <w:vAlign w:val="center"/>
          </w:tcPr>
          <w:p w14:paraId="316B9E68">
            <w:pPr>
              <w:pStyle w:val="46"/>
              <w:spacing w:beforeLines="0" w:afterLines="0" w:line="240" w:lineRule="auto"/>
              <w:rPr>
                <w:rFonts w:hint="eastAsia" w:ascii="黑体" w:hAnsi="黑体" w:eastAsia="黑体"/>
                <w:snapToGrid w:val="0"/>
                <w:color w:val="000000"/>
                <w:spacing w:val="-16"/>
                <w:kern w:val="21"/>
                <w:szCs w:val="21"/>
              </w:rPr>
            </w:pPr>
            <w:r>
              <w:rPr>
                <w:rFonts w:ascii="黑体" w:hAnsi="黑体" w:eastAsia="黑体"/>
                <w:snapToGrid w:val="0"/>
                <w:color w:val="000000"/>
                <w:spacing w:val="-16"/>
                <w:kern w:val="21"/>
                <w:szCs w:val="21"/>
              </w:rPr>
              <w:t>本项目建成后</w:t>
            </w:r>
          </w:p>
          <w:p w14:paraId="26BD1BD5">
            <w:pPr>
              <w:pStyle w:val="46"/>
              <w:spacing w:beforeLines="0" w:afterLines="0" w:line="240" w:lineRule="auto"/>
              <w:rPr>
                <w:rFonts w:ascii="黑体" w:hAnsi="黑体" w:eastAsia="黑体"/>
                <w:snapToGrid w:val="0"/>
                <w:color w:val="000000"/>
                <w:spacing w:val="-16"/>
                <w:kern w:val="21"/>
                <w:szCs w:val="21"/>
              </w:rPr>
            </w:pPr>
            <w:r>
              <w:rPr>
                <w:rFonts w:hint="eastAsia" w:ascii="黑体" w:hAnsi="黑体" w:eastAsia="黑体"/>
                <w:snapToGrid w:val="0"/>
                <w:color w:val="000000"/>
                <w:spacing w:val="-16"/>
                <w:kern w:val="21"/>
                <w:szCs w:val="21"/>
              </w:rPr>
              <w:t>全厂</w:t>
            </w:r>
            <w:r>
              <w:rPr>
                <w:rFonts w:ascii="黑体" w:hAnsi="黑体" w:eastAsia="黑体"/>
                <w:snapToGrid w:val="0"/>
                <w:color w:val="000000"/>
                <w:spacing w:val="-16"/>
                <w:kern w:val="21"/>
                <w:szCs w:val="21"/>
              </w:rPr>
              <w:t>排放量（固</w:t>
            </w:r>
            <w:r>
              <w:rPr>
                <w:rFonts w:hint="eastAsia" w:ascii="黑体" w:hAnsi="黑体" w:eastAsia="黑体"/>
                <w:snapToGrid w:val="0"/>
                <w:color w:val="000000"/>
                <w:spacing w:val="-16"/>
                <w:kern w:val="21"/>
                <w:szCs w:val="21"/>
              </w:rPr>
              <w:t>体</w:t>
            </w:r>
            <w:r>
              <w:rPr>
                <w:rFonts w:ascii="黑体" w:hAnsi="黑体" w:eastAsia="黑体"/>
                <w:snapToGrid w:val="0"/>
                <w:color w:val="000000"/>
                <w:spacing w:val="-16"/>
                <w:kern w:val="21"/>
                <w:szCs w:val="21"/>
              </w:rPr>
              <w:t>废</w:t>
            </w:r>
            <w:r>
              <w:rPr>
                <w:rFonts w:hint="eastAsia" w:ascii="黑体" w:hAnsi="黑体" w:eastAsia="黑体"/>
                <w:snapToGrid w:val="0"/>
                <w:color w:val="000000"/>
                <w:spacing w:val="-16"/>
                <w:kern w:val="21"/>
                <w:szCs w:val="21"/>
              </w:rPr>
              <w:t>物</w:t>
            </w:r>
            <w:r>
              <w:rPr>
                <w:rFonts w:ascii="黑体" w:hAnsi="黑体" w:eastAsia="黑体"/>
                <w:snapToGrid w:val="0"/>
                <w:color w:val="000000"/>
                <w:spacing w:val="-16"/>
                <w:kern w:val="21"/>
                <w:szCs w:val="21"/>
              </w:rPr>
              <w:t>产生量）</w:t>
            </w:r>
            <w:r>
              <w:rPr>
                <w:rFonts w:ascii="黑体" w:hAnsi="黑体" w:eastAsia="黑体"/>
                <w:snapToGrid w:val="0"/>
                <w:color w:val="000000"/>
                <w:spacing w:val="-16"/>
                <w:kern w:val="21"/>
                <w:szCs w:val="21"/>
              </w:rPr>
              <w:fldChar w:fldCharType="begin"/>
            </w:r>
            <w:r>
              <w:rPr>
                <w:rFonts w:ascii="黑体" w:hAnsi="黑体" w:eastAsia="黑体"/>
                <w:snapToGrid w:val="0"/>
                <w:color w:val="000000"/>
                <w:spacing w:val="-16"/>
                <w:kern w:val="21"/>
                <w:szCs w:val="21"/>
              </w:rPr>
              <w:instrText xml:space="preserve"> = 6 \* GB3 \* MERGEFORMAT </w:instrText>
            </w:r>
            <w:r>
              <w:rPr>
                <w:rFonts w:ascii="黑体" w:hAnsi="黑体" w:eastAsia="黑体"/>
                <w:snapToGrid w:val="0"/>
                <w:color w:val="000000"/>
                <w:spacing w:val="-16"/>
                <w:kern w:val="21"/>
                <w:szCs w:val="21"/>
              </w:rPr>
              <w:fldChar w:fldCharType="separate"/>
            </w:r>
            <w:r>
              <w:rPr>
                <w:rFonts w:hint="eastAsia" w:ascii="黑体" w:hAnsi="黑体" w:eastAsia="黑体" w:cs="宋体"/>
                <w:kern w:val="2"/>
                <w:szCs w:val="21"/>
              </w:rPr>
              <w:t>⑥</w:t>
            </w:r>
            <w:r>
              <w:rPr>
                <w:rFonts w:ascii="黑体" w:hAnsi="黑体" w:eastAsia="黑体"/>
                <w:snapToGrid w:val="0"/>
                <w:color w:val="000000"/>
                <w:spacing w:val="-16"/>
                <w:kern w:val="21"/>
                <w:szCs w:val="21"/>
              </w:rPr>
              <w:fldChar w:fldCharType="end"/>
            </w:r>
          </w:p>
        </w:tc>
        <w:tc>
          <w:tcPr>
            <w:tcW w:w="1288" w:type="dxa"/>
            <w:tcBorders>
              <w:tl2br w:val="nil"/>
              <w:tr2bl w:val="nil"/>
            </w:tcBorders>
            <w:noWrap w:val="0"/>
            <w:tcMar>
              <w:left w:w="28" w:type="dxa"/>
              <w:right w:w="28" w:type="dxa"/>
            </w:tcMar>
            <w:vAlign w:val="center"/>
          </w:tcPr>
          <w:p w14:paraId="15428FB1">
            <w:pPr>
              <w:pStyle w:val="46"/>
              <w:spacing w:beforeLines="0" w:afterLines="0" w:line="240" w:lineRule="auto"/>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t>变化量</w:t>
            </w:r>
          </w:p>
          <w:p w14:paraId="5DE2C502">
            <w:pPr>
              <w:pStyle w:val="46"/>
              <w:spacing w:beforeLines="0" w:afterLines="0" w:line="240" w:lineRule="auto"/>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fldChar w:fldCharType="begin"/>
            </w:r>
            <w:r>
              <w:rPr>
                <w:rFonts w:ascii="黑体" w:hAnsi="黑体" w:eastAsia="黑体"/>
                <w:snapToGrid w:val="0"/>
                <w:color w:val="000000"/>
                <w:spacing w:val="-6"/>
                <w:kern w:val="21"/>
                <w:szCs w:val="21"/>
              </w:rPr>
              <w:instrText xml:space="preserve"> = 7 \* GB3 \* MERGEFORMAT </w:instrText>
            </w:r>
            <w:r>
              <w:rPr>
                <w:rFonts w:ascii="黑体" w:hAnsi="黑体" w:eastAsia="黑体"/>
                <w:snapToGrid w:val="0"/>
                <w:color w:val="000000"/>
                <w:spacing w:val="-6"/>
                <w:kern w:val="21"/>
                <w:szCs w:val="21"/>
              </w:rPr>
              <w:fldChar w:fldCharType="separate"/>
            </w:r>
            <w:r>
              <w:rPr>
                <w:rFonts w:hint="eastAsia" w:ascii="黑体" w:hAnsi="黑体" w:eastAsia="黑体" w:cs="宋体"/>
                <w:kern w:val="2"/>
                <w:szCs w:val="21"/>
              </w:rPr>
              <w:t>⑦</w:t>
            </w:r>
            <w:r>
              <w:rPr>
                <w:rFonts w:ascii="黑体" w:hAnsi="黑体" w:eastAsia="黑体"/>
                <w:snapToGrid w:val="0"/>
                <w:color w:val="000000"/>
                <w:spacing w:val="-6"/>
                <w:kern w:val="21"/>
                <w:szCs w:val="21"/>
              </w:rPr>
              <w:fldChar w:fldCharType="end"/>
            </w:r>
          </w:p>
        </w:tc>
      </w:tr>
      <w:tr w14:paraId="4779C0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tcBorders>
              <w:tl2br w:val="nil"/>
              <w:tr2bl w:val="nil"/>
            </w:tcBorders>
            <w:noWrap w:val="0"/>
            <w:vAlign w:val="center"/>
          </w:tcPr>
          <w:p w14:paraId="27655821">
            <w:pPr>
              <w:pStyle w:val="46"/>
              <w:spacing w:beforeLines="0" w:afterLines="0" w:line="240" w:lineRule="auto"/>
              <w:rPr>
                <w:rFonts w:hint="eastAsia" w:hAnsi="宋体" w:cs="宋体"/>
                <w:snapToGrid w:val="0"/>
                <w:color w:val="000000"/>
                <w:kern w:val="21"/>
                <w:szCs w:val="21"/>
              </w:rPr>
            </w:pPr>
            <w:r>
              <w:rPr>
                <w:rFonts w:hint="eastAsia" w:hAnsi="宋体" w:cs="宋体"/>
                <w:snapToGrid w:val="0"/>
                <w:color w:val="000000"/>
                <w:kern w:val="21"/>
                <w:szCs w:val="21"/>
              </w:rPr>
              <w:t>废气</w:t>
            </w:r>
          </w:p>
        </w:tc>
        <w:tc>
          <w:tcPr>
            <w:tcW w:w="1417" w:type="dxa"/>
            <w:tcBorders>
              <w:tl2br w:val="nil"/>
              <w:tr2bl w:val="nil"/>
            </w:tcBorders>
            <w:noWrap w:val="0"/>
            <w:vAlign w:val="center"/>
          </w:tcPr>
          <w:p w14:paraId="1C8C91D0">
            <w:pPr>
              <w:pStyle w:val="46"/>
              <w:spacing w:beforeLines="0" w:afterLines="0" w:line="240" w:lineRule="auto"/>
              <w:rPr>
                <w:rFonts w:hAnsi="宋体" w:cs="宋体"/>
                <w:snapToGrid w:val="0"/>
                <w:color w:val="000000"/>
                <w:kern w:val="21"/>
                <w:szCs w:val="21"/>
              </w:rPr>
            </w:pPr>
            <w:r>
              <w:rPr>
                <w:rFonts w:hint="eastAsia" w:ascii="Times New Roman"/>
                <w:snapToGrid w:val="0"/>
                <w:color w:val="auto"/>
                <w:kern w:val="21"/>
                <w:szCs w:val="21"/>
                <w:lang w:val="en-US" w:eastAsia="zh-CN"/>
              </w:rPr>
              <w:t>颗粒物</w:t>
            </w:r>
          </w:p>
        </w:tc>
        <w:tc>
          <w:tcPr>
            <w:tcW w:w="1701" w:type="dxa"/>
            <w:tcBorders>
              <w:tl2br w:val="nil"/>
              <w:tr2bl w:val="nil"/>
            </w:tcBorders>
            <w:noWrap w:val="0"/>
            <w:vAlign w:val="center"/>
          </w:tcPr>
          <w:p w14:paraId="3EF85AB1">
            <w:pPr>
              <w:pStyle w:val="46"/>
              <w:spacing w:beforeLines="0" w:afterLines="0" w:line="240" w:lineRule="auto"/>
              <w:rPr>
                <w:rFonts w:hint="eastAsia" w:hAnsi="宋体" w:eastAsia="宋体" w:cs="宋体"/>
                <w:snapToGrid w:val="0"/>
                <w:color w:val="000000"/>
                <w:kern w:val="21"/>
                <w:szCs w:val="21"/>
                <w:lang w:val="en-US" w:eastAsia="zh-CN"/>
              </w:rPr>
            </w:pPr>
            <w:r>
              <w:rPr>
                <w:rFonts w:hint="eastAsia" w:hAnsi="宋体" w:cs="宋体"/>
                <w:snapToGrid w:val="0"/>
                <w:color w:val="000000"/>
                <w:kern w:val="21"/>
                <w:szCs w:val="21"/>
                <w:lang w:val="en-US" w:eastAsia="zh-CN"/>
              </w:rPr>
              <w:t>/</w:t>
            </w:r>
          </w:p>
        </w:tc>
        <w:tc>
          <w:tcPr>
            <w:tcW w:w="1276" w:type="dxa"/>
            <w:tcBorders>
              <w:tl2br w:val="nil"/>
              <w:tr2bl w:val="nil"/>
            </w:tcBorders>
            <w:noWrap w:val="0"/>
            <w:vAlign w:val="center"/>
          </w:tcPr>
          <w:p w14:paraId="521C9076">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701" w:type="dxa"/>
            <w:tcBorders>
              <w:tl2br w:val="nil"/>
              <w:tr2bl w:val="nil"/>
            </w:tcBorders>
            <w:noWrap w:val="0"/>
            <w:vAlign w:val="center"/>
          </w:tcPr>
          <w:p w14:paraId="3A065349">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559" w:type="dxa"/>
            <w:tcBorders>
              <w:tl2br w:val="nil"/>
              <w:tr2bl w:val="nil"/>
            </w:tcBorders>
            <w:noWrap w:val="0"/>
            <w:vAlign w:val="center"/>
          </w:tcPr>
          <w:p w14:paraId="7C1F026B">
            <w:pPr>
              <w:pStyle w:val="46"/>
              <w:spacing w:beforeLines="0" w:afterLines="0" w:line="240" w:lineRule="auto"/>
              <w:rPr>
                <w:rFonts w:hint="default" w:hAnsi="宋体" w:eastAsia="宋体" w:cs="宋体"/>
                <w:snapToGrid w:val="0"/>
                <w:color w:val="000000"/>
                <w:kern w:val="21"/>
                <w:szCs w:val="21"/>
                <w:lang w:val="en-US" w:eastAsia="zh-CN"/>
              </w:rPr>
            </w:pPr>
            <w:r>
              <w:rPr>
                <w:rFonts w:hint="eastAsia" w:ascii="Times New Roman" w:hAnsi="Times New Roman" w:cs="Times New Roman"/>
                <w:snapToGrid w:val="0"/>
                <w:color w:val="000000"/>
                <w:kern w:val="21"/>
                <w:szCs w:val="21"/>
                <w:lang w:val="en-US" w:eastAsia="zh-CN"/>
              </w:rPr>
              <w:t>3.789</w:t>
            </w:r>
            <w:r>
              <w:rPr>
                <w:rFonts w:hint="default" w:ascii="Times New Roman" w:hAnsi="Times New Roman" w:cs="Times New Roman"/>
                <w:snapToGrid w:val="0"/>
                <w:color w:val="000000"/>
                <w:kern w:val="21"/>
                <w:szCs w:val="21"/>
                <w:lang w:val="en-US" w:eastAsia="zh-CN"/>
              </w:rPr>
              <w:t>t/a</w:t>
            </w:r>
          </w:p>
        </w:tc>
        <w:tc>
          <w:tcPr>
            <w:tcW w:w="1761" w:type="dxa"/>
            <w:tcBorders>
              <w:tl2br w:val="nil"/>
              <w:tr2bl w:val="nil"/>
            </w:tcBorders>
            <w:noWrap w:val="0"/>
            <w:vAlign w:val="center"/>
          </w:tcPr>
          <w:p w14:paraId="70594AE8">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497" w:type="dxa"/>
            <w:tcBorders>
              <w:tl2br w:val="nil"/>
              <w:tr2bl w:val="nil"/>
            </w:tcBorders>
            <w:shd w:val="clear" w:color="auto" w:fill="auto"/>
            <w:noWrap w:val="0"/>
            <w:vAlign w:val="center"/>
          </w:tcPr>
          <w:p w14:paraId="2CF4F02B">
            <w:pPr>
              <w:pStyle w:val="46"/>
              <w:spacing w:beforeLines="0" w:afterLines="0" w:line="240" w:lineRule="auto"/>
              <w:rPr>
                <w:rFonts w:hint="default" w:ascii="宋体" w:hAnsi="宋体" w:eastAsia="宋体" w:cs="宋体"/>
                <w:snapToGrid w:val="0"/>
                <w:color w:val="000000"/>
                <w:kern w:val="21"/>
                <w:sz w:val="21"/>
                <w:szCs w:val="21"/>
                <w:lang w:val="en-US" w:eastAsia="zh-CN" w:bidi="zh-CN"/>
              </w:rPr>
            </w:pPr>
            <w:r>
              <w:rPr>
                <w:rFonts w:hint="eastAsia" w:ascii="Times New Roman" w:hAnsi="Times New Roman" w:cs="Times New Roman"/>
                <w:snapToGrid w:val="0"/>
                <w:color w:val="000000"/>
                <w:kern w:val="21"/>
                <w:szCs w:val="21"/>
                <w:lang w:val="en-US" w:eastAsia="zh-CN"/>
              </w:rPr>
              <w:t>3.789</w:t>
            </w:r>
            <w:r>
              <w:rPr>
                <w:rFonts w:hint="default" w:ascii="Times New Roman" w:hAnsi="Times New Roman" w:cs="Times New Roman"/>
                <w:snapToGrid w:val="0"/>
                <w:color w:val="000000"/>
                <w:kern w:val="21"/>
                <w:szCs w:val="21"/>
                <w:lang w:val="en-US" w:eastAsia="zh-CN"/>
              </w:rPr>
              <w:t>t/a</w:t>
            </w:r>
          </w:p>
        </w:tc>
        <w:tc>
          <w:tcPr>
            <w:tcW w:w="1288" w:type="dxa"/>
            <w:tcBorders>
              <w:tl2br w:val="nil"/>
              <w:tr2bl w:val="nil"/>
            </w:tcBorders>
            <w:shd w:val="clear" w:color="auto" w:fill="auto"/>
            <w:noWrap w:val="0"/>
            <w:vAlign w:val="center"/>
          </w:tcPr>
          <w:p w14:paraId="669AFD46">
            <w:pPr>
              <w:pStyle w:val="46"/>
              <w:spacing w:beforeLines="0" w:afterLines="0" w:line="240" w:lineRule="auto"/>
              <w:rPr>
                <w:rFonts w:hint="default" w:ascii="宋体" w:hAnsi="宋体" w:eastAsia="宋体" w:cs="宋体"/>
                <w:snapToGrid w:val="0"/>
                <w:color w:val="000000"/>
                <w:kern w:val="21"/>
                <w:sz w:val="21"/>
                <w:szCs w:val="21"/>
                <w:lang w:val="en-US" w:eastAsia="zh-CN" w:bidi="zh-CN"/>
              </w:rPr>
            </w:pPr>
            <w:r>
              <w:rPr>
                <w:rFonts w:hint="eastAsia" w:ascii="Times New Roman" w:hAnsi="Times New Roman" w:cs="Times New Roman"/>
                <w:snapToGrid w:val="0"/>
                <w:color w:val="000000"/>
                <w:kern w:val="21"/>
                <w:szCs w:val="21"/>
                <w:lang w:val="en-US" w:eastAsia="zh-CN"/>
              </w:rPr>
              <w:t>+3.789</w:t>
            </w:r>
            <w:r>
              <w:rPr>
                <w:rFonts w:hint="default" w:ascii="Times New Roman" w:hAnsi="Times New Roman" w:cs="Times New Roman"/>
                <w:snapToGrid w:val="0"/>
                <w:color w:val="000000"/>
                <w:kern w:val="21"/>
                <w:szCs w:val="21"/>
                <w:lang w:val="en-US" w:eastAsia="zh-CN"/>
              </w:rPr>
              <w:t>t/a</w:t>
            </w:r>
          </w:p>
        </w:tc>
      </w:tr>
      <w:tr w14:paraId="3540C5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vMerge w:val="restart"/>
            <w:tcBorders>
              <w:tl2br w:val="nil"/>
              <w:tr2bl w:val="nil"/>
            </w:tcBorders>
            <w:noWrap w:val="0"/>
            <w:vAlign w:val="center"/>
          </w:tcPr>
          <w:p w14:paraId="26A39CDF">
            <w:pPr>
              <w:pStyle w:val="46"/>
              <w:spacing w:beforeLines="0" w:afterLines="0" w:line="240" w:lineRule="auto"/>
              <w:rPr>
                <w:rFonts w:hint="eastAsia" w:hAnsi="宋体" w:cs="宋体"/>
                <w:snapToGrid w:val="0"/>
                <w:color w:val="000000"/>
                <w:kern w:val="21"/>
                <w:szCs w:val="21"/>
              </w:rPr>
            </w:pPr>
            <w:r>
              <w:rPr>
                <w:rFonts w:hint="eastAsia" w:hAnsi="宋体" w:cs="宋体"/>
                <w:snapToGrid w:val="0"/>
                <w:color w:val="000000"/>
                <w:kern w:val="21"/>
                <w:szCs w:val="21"/>
              </w:rPr>
              <w:t>废水</w:t>
            </w:r>
          </w:p>
        </w:tc>
        <w:tc>
          <w:tcPr>
            <w:tcW w:w="1417" w:type="dxa"/>
            <w:tcBorders>
              <w:tl2br w:val="nil"/>
              <w:tr2bl w:val="nil"/>
            </w:tcBorders>
            <w:noWrap w:val="0"/>
            <w:vAlign w:val="center"/>
          </w:tcPr>
          <w:p w14:paraId="54E63DFF">
            <w:pPr>
              <w:jc w:val="center"/>
              <w:rPr>
                <w:rFonts w:hAnsi="宋体" w:cs="宋体"/>
                <w:snapToGrid w:val="0"/>
                <w:color w:val="000000"/>
                <w:kern w:val="21"/>
                <w:szCs w:val="21"/>
              </w:rPr>
            </w:pPr>
            <w:r>
              <w:rPr>
                <w:color w:val="auto"/>
                <w:szCs w:val="21"/>
              </w:rPr>
              <w:t>COD</w:t>
            </w:r>
          </w:p>
        </w:tc>
        <w:tc>
          <w:tcPr>
            <w:tcW w:w="1701" w:type="dxa"/>
            <w:tcBorders>
              <w:tl2br w:val="nil"/>
              <w:tr2bl w:val="nil"/>
            </w:tcBorders>
            <w:noWrap w:val="0"/>
            <w:vAlign w:val="center"/>
          </w:tcPr>
          <w:p w14:paraId="1B12F9E8">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276" w:type="dxa"/>
            <w:tcBorders>
              <w:tl2br w:val="nil"/>
              <w:tr2bl w:val="nil"/>
            </w:tcBorders>
            <w:noWrap w:val="0"/>
            <w:vAlign w:val="center"/>
          </w:tcPr>
          <w:p w14:paraId="6BD5E53A">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701" w:type="dxa"/>
            <w:tcBorders>
              <w:tl2br w:val="nil"/>
              <w:tr2bl w:val="nil"/>
            </w:tcBorders>
            <w:noWrap w:val="0"/>
            <w:vAlign w:val="center"/>
          </w:tcPr>
          <w:p w14:paraId="774DD8DC">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559" w:type="dxa"/>
            <w:tcBorders>
              <w:tl2br w:val="nil"/>
              <w:tr2bl w:val="nil"/>
            </w:tcBorders>
            <w:noWrap w:val="0"/>
            <w:vAlign w:val="center"/>
          </w:tcPr>
          <w:p w14:paraId="145ED641">
            <w:pPr>
              <w:pStyle w:val="46"/>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cs="Times New Roman"/>
                <w:snapToGrid w:val="0"/>
                <w:color w:val="000000"/>
                <w:kern w:val="21"/>
                <w:szCs w:val="21"/>
                <w:lang w:val="en-US" w:eastAsia="zh-CN"/>
              </w:rPr>
              <w:t>0.0588t/a</w:t>
            </w:r>
          </w:p>
        </w:tc>
        <w:tc>
          <w:tcPr>
            <w:tcW w:w="1761" w:type="dxa"/>
            <w:tcBorders>
              <w:tl2br w:val="nil"/>
              <w:tr2bl w:val="nil"/>
            </w:tcBorders>
            <w:noWrap w:val="0"/>
            <w:vAlign w:val="center"/>
          </w:tcPr>
          <w:p w14:paraId="383008C1">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497" w:type="dxa"/>
            <w:tcBorders>
              <w:tl2br w:val="nil"/>
              <w:tr2bl w:val="nil"/>
            </w:tcBorders>
            <w:shd w:val="clear" w:color="auto" w:fill="auto"/>
            <w:noWrap w:val="0"/>
            <w:vAlign w:val="center"/>
          </w:tcPr>
          <w:p w14:paraId="09FDB2CC">
            <w:pPr>
              <w:pStyle w:val="46"/>
              <w:spacing w:beforeLines="0" w:afterLines="0" w:line="240" w:lineRule="auto"/>
              <w:rPr>
                <w:rFonts w:hint="default" w:ascii="Times New Roman" w:hAnsi="Times New Roman" w:eastAsia="宋体" w:cs="Times New Roman"/>
                <w:snapToGrid w:val="0"/>
                <w:color w:val="000000"/>
                <w:kern w:val="21"/>
                <w:sz w:val="21"/>
                <w:szCs w:val="21"/>
                <w:lang w:val="en-US" w:eastAsia="zh-CN" w:bidi="zh-CN"/>
              </w:rPr>
            </w:pPr>
            <w:r>
              <w:rPr>
                <w:rFonts w:hint="eastAsia" w:ascii="Times New Roman" w:hAnsi="Times New Roman" w:cs="Times New Roman"/>
                <w:snapToGrid w:val="0"/>
                <w:color w:val="000000"/>
                <w:kern w:val="21"/>
                <w:szCs w:val="21"/>
                <w:lang w:val="en-US" w:eastAsia="zh-CN"/>
              </w:rPr>
              <w:t>0.0588t/a</w:t>
            </w:r>
          </w:p>
        </w:tc>
        <w:tc>
          <w:tcPr>
            <w:tcW w:w="1288" w:type="dxa"/>
            <w:tcBorders>
              <w:tl2br w:val="nil"/>
              <w:tr2bl w:val="nil"/>
            </w:tcBorders>
            <w:shd w:val="clear" w:color="auto" w:fill="auto"/>
            <w:noWrap w:val="0"/>
            <w:vAlign w:val="center"/>
          </w:tcPr>
          <w:p w14:paraId="570B7DFB">
            <w:pPr>
              <w:pStyle w:val="46"/>
              <w:spacing w:beforeLines="0" w:afterLines="0" w:line="240" w:lineRule="auto"/>
              <w:rPr>
                <w:rFonts w:hint="default" w:ascii="Times New Roman" w:hAnsi="Times New Roman" w:eastAsia="宋体" w:cs="Times New Roman"/>
                <w:snapToGrid w:val="0"/>
                <w:color w:val="000000"/>
                <w:kern w:val="21"/>
                <w:sz w:val="21"/>
                <w:szCs w:val="21"/>
                <w:lang w:val="en-US" w:eastAsia="zh-CN" w:bidi="zh-CN"/>
              </w:rPr>
            </w:pPr>
            <w:r>
              <w:rPr>
                <w:rFonts w:hint="eastAsia" w:ascii="Times New Roman" w:hAnsi="Times New Roman" w:cs="Times New Roman"/>
                <w:snapToGrid w:val="0"/>
                <w:color w:val="000000"/>
                <w:kern w:val="21"/>
                <w:szCs w:val="21"/>
                <w:lang w:val="en-US" w:eastAsia="zh-CN"/>
              </w:rPr>
              <w:t>+0.0588t/a</w:t>
            </w:r>
          </w:p>
        </w:tc>
      </w:tr>
      <w:tr w14:paraId="73A6DA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vMerge w:val="continue"/>
            <w:tcBorders>
              <w:tl2br w:val="nil"/>
              <w:tr2bl w:val="nil"/>
            </w:tcBorders>
            <w:noWrap w:val="0"/>
            <w:vAlign w:val="center"/>
          </w:tcPr>
          <w:p w14:paraId="0E178526">
            <w:pPr>
              <w:pStyle w:val="46"/>
              <w:spacing w:beforeLines="0" w:afterLines="0" w:line="240" w:lineRule="auto"/>
              <w:rPr>
                <w:rFonts w:hint="eastAsia" w:hAnsi="宋体" w:cs="宋体"/>
                <w:snapToGrid w:val="0"/>
                <w:color w:val="000000"/>
                <w:kern w:val="21"/>
                <w:szCs w:val="21"/>
              </w:rPr>
            </w:pPr>
          </w:p>
        </w:tc>
        <w:tc>
          <w:tcPr>
            <w:tcW w:w="1417" w:type="dxa"/>
            <w:tcBorders>
              <w:tl2br w:val="nil"/>
              <w:tr2bl w:val="nil"/>
            </w:tcBorders>
            <w:noWrap w:val="0"/>
            <w:vAlign w:val="center"/>
          </w:tcPr>
          <w:p w14:paraId="2C41CBD4">
            <w:pPr>
              <w:jc w:val="center"/>
              <w:rPr>
                <w:rFonts w:hint="eastAsia" w:hAnsi="宋体" w:eastAsia="宋体" w:cs="宋体"/>
                <w:snapToGrid w:val="0"/>
                <w:color w:val="000000"/>
                <w:kern w:val="21"/>
                <w:szCs w:val="21"/>
                <w:lang w:val="en-US" w:eastAsia="zh-CN"/>
              </w:rPr>
            </w:pPr>
            <w:r>
              <w:rPr>
                <w:color w:val="auto"/>
                <w:szCs w:val="21"/>
              </w:rPr>
              <w:t>BOD</w:t>
            </w:r>
            <w:r>
              <w:rPr>
                <w:rFonts w:hint="eastAsia"/>
                <w:color w:val="auto"/>
                <w:szCs w:val="21"/>
                <w:vertAlign w:val="subscript"/>
                <w:lang w:val="en-US" w:eastAsia="zh-CN"/>
              </w:rPr>
              <w:t>5</w:t>
            </w:r>
          </w:p>
        </w:tc>
        <w:tc>
          <w:tcPr>
            <w:tcW w:w="1701" w:type="dxa"/>
            <w:tcBorders>
              <w:tl2br w:val="nil"/>
              <w:tr2bl w:val="nil"/>
            </w:tcBorders>
            <w:noWrap w:val="0"/>
            <w:vAlign w:val="center"/>
          </w:tcPr>
          <w:p w14:paraId="497C184A">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276" w:type="dxa"/>
            <w:tcBorders>
              <w:tl2br w:val="nil"/>
              <w:tr2bl w:val="nil"/>
            </w:tcBorders>
            <w:noWrap w:val="0"/>
            <w:vAlign w:val="center"/>
          </w:tcPr>
          <w:p w14:paraId="681A0251">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701" w:type="dxa"/>
            <w:tcBorders>
              <w:tl2br w:val="nil"/>
              <w:tr2bl w:val="nil"/>
            </w:tcBorders>
            <w:noWrap w:val="0"/>
            <w:vAlign w:val="center"/>
          </w:tcPr>
          <w:p w14:paraId="19FA2AF3">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559" w:type="dxa"/>
            <w:tcBorders>
              <w:tl2br w:val="nil"/>
              <w:tr2bl w:val="nil"/>
            </w:tcBorders>
            <w:noWrap w:val="0"/>
            <w:vAlign w:val="center"/>
          </w:tcPr>
          <w:p w14:paraId="33E14DD9">
            <w:pPr>
              <w:pStyle w:val="46"/>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cs="Times New Roman"/>
                <w:snapToGrid w:val="0"/>
                <w:color w:val="000000"/>
                <w:kern w:val="21"/>
                <w:szCs w:val="21"/>
                <w:lang w:val="en-US" w:eastAsia="zh-CN"/>
              </w:rPr>
              <w:t>0.0336t/a</w:t>
            </w:r>
          </w:p>
        </w:tc>
        <w:tc>
          <w:tcPr>
            <w:tcW w:w="1761" w:type="dxa"/>
            <w:tcBorders>
              <w:tl2br w:val="nil"/>
              <w:tr2bl w:val="nil"/>
            </w:tcBorders>
            <w:noWrap w:val="0"/>
            <w:vAlign w:val="center"/>
          </w:tcPr>
          <w:p w14:paraId="37001E46">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497" w:type="dxa"/>
            <w:tcBorders>
              <w:tl2br w:val="nil"/>
              <w:tr2bl w:val="nil"/>
            </w:tcBorders>
            <w:shd w:val="clear" w:color="auto" w:fill="auto"/>
            <w:noWrap w:val="0"/>
            <w:vAlign w:val="center"/>
          </w:tcPr>
          <w:p w14:paraId="0B575BCC">
            <w:pPr>
              <w:pStyle w:val="46"/>
              <w:spacing w:beforeLines="0" w:afterLines="0" w:line="240" w:lineRule="auto"/>
              <w:rPr>
                <w:rFonts w:hint="default" w:ascii="Times New Roman" w:hAnsi="Times New Roman" w:eastAsia="宋体" w:cs="Times New Roman"/>
                <w:snapToGrid w:val="0"/>
                <w:color w:val="000000"/>
                <w:kern w:val="21"/>
                <w:sz w:val="21"/>
                <w:szCs w:val="21"/>
                <w:lang w:val="en-US" w:eastAsia="zh-CN" w:bidi="zh-CN"/>
              </w:rPr>
            </w:pPr>
            <w:r>
              <w:rPr>
                <w:rFonts w:hint="eastAsia" w:ascii="Times New Roman" w:hAnsi="Times New Roman" w:cs="Times New Roman"/>
                <w:snapToGrid w:val="0"/>
                <w:color w:val="000000"/>
                <w:kern w:val="21"/>
                <w:szCs w:val="21"/>
                <w:lang w:val="en-US" w:eastAsia="zh-CN"/>
              </w:rPr>
              <w:t>0.0336t/a</w:t>
            </w:r>
          </w:p>
        </w:tc>
        <w:tc>
          <w:tcPr>
            <w:tcW w:w="1288" w:type="dxa"/>
            <w:tcBorders>
              <w:tl2br w:val="nil"/>
              <w:tr2bl w:val="nil"/>
            </w:tcBorders>
            <w:shd w:val="clear" w:color="auto" w:fill="auto"/>
            <w:noWrap w:val="0"/>
            <w:vAlign w:val="center"/>
          </w:tcPr>
          <w:p w14:paraId="00E115AC">
            <w:pPr>
              <w:pStyle w:val="46"/>
              <w:spacing w:beforeLines="0" w:afterLines="0" w:line="240" w:lineRule="auto"/>
              <w:rPr>
                <w:rFonts w:hint="default" w:ascii="Times New Roman" w:hAnsi="Times New Roman" w:eastAsia="宋体" w:cs="Times New Roman"/>
                <w:snapToGrid w:val="0"/>
                <w:color w:val="000000"/>
                <w:kern w:val="21"/>
                <w:sz w:val="21"/>
                <w:szCs w:val="21"/>
                <w:lang w:val="en-US" w:eastAsia="zh-CN" w:bidi="zh-CN"/>
              </w:rPr>
            </w:pPr>
            <w:r>
              <w:rPr>
                <w:rFonts w:hint="eastAsia" w:ascii="Times New Roman" w:hAnsi="Times New Roman" w:cs="Times New Roman"/>
                <w:snapToGrid w:val="0"/>
                <w:color w:val="000000"/>
                <w:kern w:val="21"/>
                <w:szCs w:val="21"/>
                <w:lang w:val="en-US" w:eastAsia="zh-CN"/>
              </w:rPr>
              <w:t>+0.0336t/a</w:t>
            </w:r>
          </w:p>
        </w:tc>
      </w:tr>
      <w:tr w14:paraId="2B2879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vMerge w:val="continue"/>
            <w:tcBorders>
              <w:tl2br w:val="nil"/>
              <w:tr2bl w:val="nil"/>
            </w:tcBorders>
            <w:noWrap w:val="0"/>
            <w:vAlign w:val="center"/>
          </w:tcPr>
          <w:p w14:paraId="230AFBD8">
            <w:pPr>
              <w:pStyle w:val="46"/>
              <w:spacing w:beforeLines="0" w:afterLines="0" w:line="240" w:lineRule="auto"/>
              <w:rPr>
                <w:rFonts w:hint="eastAsia" w:hAnsi="宋体" w:cs="宋体"/>
                <w:snapToGrid w:val="0"/>
                <w:color w:val="000000"/>
                <w:kern w:val="21"/>
                <w:szCs w:val="21"/>
              </w:rPr>
            </w:pPr>
          </w:p>
        </w:tc>
        <w:tc>
          <w:tcPr>
            <w:tcW w:w="1417" w:type="dxa"/>
            <w:tcBorders>
              <w:tl2br w:val="nil"/>
              <w:tr2bl w:val="nil"/>
            </w:tcBorders>
            <w:noWrap w:val="0"/>
            <w:vAlign w:val="center"/>
          </w:tcPr>
          <w:p w14:paraId="733933AA">
            <w:pPr>
              <w:jc w:val="center"/>
              <w:rPr>
                <w:rFonts w:hint="eastAsia" w:hAnsi="宋体" w:cs="宋体"/>
                <w:snapToGrid w:val="0"/>
                <w:color w:val="000000"/>
                <w:kern w:val="21"/>
                <w:szCs w:val="21"/>
              </w:rPr>
            </w:pPr>
            <w:r>
              <w:rPr>
                <w:color w:val="auto"/>
                <w:szCs w:val="21"/>
              </w:rPr>
              <w:t>SS</w:t>
            </w:r>
          </w:p>
        </w:tc>
        <w:tc>
          <w:tcPr>
            <w:tcW w:w="1701" w:type="dxa"/>
            <w:tcBorders>
              <w:tl2br w:val="nil"/>
              <w:tr2bl w:val="nil"/>
            </w:tcBorders>
            <w:noWrap w:val="0"/>
            <w:vAlign w:val="center"/>
          </w:tcPr>
          <w:p w14:paraId="5DD967CD">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276" w:type="dxa"/>
            <w:tcBorders>
              <w:tl2br w:val="nil"/>
              <w:tr2bl w:val="nil"/>
            </w:tcBorders>
            <w:noWrap w:val="0"/>
            <w:vAlign w:val="center"/>
          </w:tcPr>
          <w:p w14:paraId="4D4A711C">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701" w:type="dxa"/>
            <w:tcBorders>
              <w:tl2br w:val="nil"/>
              <w:tr2bl w:val="nil"/>
            </w:tcBorders>
            <w:noWrap w:val="0"/>
            <w:vAlign w:val="center"/>
          </w:tcPr>
          <w:p w14:paraId="0DDC0E34">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559" w:type="dxa"/>
            <w:tcBorders>
              <w:tl2br w:val="nil"/>
              <w:tr2bl w:val="nil"/>
            </w:tcBorders>
            <w:noWrap w:val="0"/>
            <w:vAlign w:val="center"/>
          </w:tcPr>
          <w:p w14:paraId="0A49643D">
            <w:pPr>
              <w:pStyle w:val="46"/>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cs="Times New Roman"/>
                <w:snapToGrid w:val="0"/>
                <w:color w:val="000000"/>
                <w:kern w:val="21"/>
                <w:szCs w:val="21"/>
                <w:lang w:val="en-US" w:eastAsia="zh-CN"/>
              </w:rPr>
              <w:t>0.0420t/a</w:t>
            </w:r>
          </w:p>
        </w:tc>
        <w:tc>
          <w:tcPr>
            <w:tcW w:w="1761" w:type="dxa"/>
            <w:tcBorders>
              <w:tl2br w:val="nil"/>
              <w:tr2bl w:val="nil"/>
            </w:tcBorders>
            <w:noWrap w:val="0"/>
            <w:vAlign w:val="center"/>
          </w:tcPr>
          <w:p w14:paraId="2B31773B">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497" w:type="dxa"/>
            <w:tcBorders>
              <w:tl2br w:val="nil"/>
              <w:tr2bl w:val="nil"/>
            </w:tcBorders>
            <w:shd w:val="clear" w:color="auto" w:fill="auto"/>
            <w:noWrap w:val="0"/>
            <w:vAlign w:val="center"/>
          </w:tcPr>
          <w:p w14:paraId="06C3C9FA">
            <w:pPr>
              <w:pStyle w:val="46"/>
              <w:spacing w:beforeLines="0" w:afterLines="0" w:line="240" w:lineRule="auto"/>
              <w:rPr>
                <w:rFonts w:hint="default" w:ascii="Times New Roman" w:hAnsi="Times New Roman" w:eastAsia="宋体" w:cs="Times New Roman"/>
                <w:snapToGrid w:val="0"/>
                <w:color w:val="000000"/>
                <w:kern w:val="21"/>
                <w:sz w:val="21"/>
                <w:szCs w:val="21"/>
                <w:lang w:val="en-US" w:eastAsia="zh-CN" w:bidi="zh-CN"/>
              </w:rPr>
            </w:pPr>
            <w:r>
              <w:rPr>
                <w:rFonts w:hint="eastAsia" w:ascii="Times New Roman" w:hAnsi="Times New Roman" w:cs="Times New Roman"/>
                <w:snapToGrid w:val="0"/>
                <w:color w:val="000000"/>
                <w:kern w:val="21"/>
                <w:szCs w:val="21"/>
                <w:lang w:val="en-US" w:eastAsia="zh-CN"/>
              </w:rPr>
              <w:t>0.0420t/a</w:t>
            </w:r>
          </w:p>
        </w:tc>
        <w:tc>
          <w:tcPr>
            <w:tcW w:w="1288" w:type="dxa"/>
            <w:tcBorders>
              <w:tl2br w:val="nil"/>
              <w:tr2bl w:val="nil"/>
            </w:tcBorders>
            <w:shd w:val="clear" w:color="auto" w:fill="auto"/>
            <w:noWrap w:val="0"/>
            <w:vAlign w:val="center"/>
          </w:tcPr>
          <w:p w14:paraId="40B26071">
            <w:pPr>
              <w:pStyle w:val="46"/>
              <w:spacing w:beforeLines="0" w:afterLines="0" w:line="240" w:lineRule="auto"/>
              <w:rPr>
                <w:rFonts w:hint="default" w:ascii="Times New Roman" w:hAnsi="Times New Roman" w:eastAsia="宋体" w:cs="Times New Roman"/>
                <w:snapToGrid w:val="0"/>
                <w:color w:val="000000"/>
                <w:kern w:val="21"/>
                <w:sz w:val="21"/>
                <w:szCs w:val="21"/>
                <w:lang w:val="en-US" w:eastAsia="zh-CN" w:bidi="zh-CN"/>
              </w:rPr>
            </w:pPr>
            <w:r>
              <w:rPr>
                <w:rFonts w:hint="eastAsia" w:ascii="Times New Roman" w:hAnsi="Times New Roman" w:cs="Times New Roman"/>
                <w:snapToGrid w:val="0"/>
                <w:color w:val="000000"/>
                <w:kern w:val="21"/>
                <w:szCs w:val="21"/>
                <w:lang w:val="en-US" w:eastAsia="zh-CN"/>
              </w:rPr>
              <w:t>+0.0420t/a</w:t>
            </w:r>
          </w:p>
        </w:tc>
      </w:tr>
      <w:tr w14:paraId="572D7B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vMerge w:val="continue"/>
            <w:tcBorders>
              <w:tl2br w:val="nil"/>
              <w:tr2bl w:val="nil"/>
            </w:tcBorders>
            <w:noWrap w:val="0"/>
            <w:vAlign w:val="center"/>
          </w:tcPr>
          <w:p w14:paraId="6C8FBB19">
            <w:pPr>
              <w:pStyle w:val="46"/>
              <w:spacing w:beforeLines="0" w:afterLines="0" w:line="240" w:lineRule="auto"/>
              <w:rPr>
                <w:rFonts w:hint="eastAsia" w:hAnsi="宋体" w:cs="宋体"/>
                <w:snapToGrid w:val="0"/>
                <w:color w:val="000000"/>
                <w:kern w:val="21"/>
                <w:szCs w:val="21"/>
              </w:rPr>
            </w:pPr>
          </w:p>
        </w:tc>
        <w:tc>
          <w:tcPr>
            <w:tcW w:w="1417" w:type="dxa"/>
            <w:tcBorders>
              <w:tl2br w:val="nil"/>
              <w:tr2bl w:val="nil"/>
            </w:tcBorders>
            <w:noWrap w:val="0"/>
            <w:vAlign w:val="center"/>
          </w:tcPr>
          <w:p w14:paraId="68506CF4">
            <w:pPr>
              <w:jc w:val="center"/>
              <w:rPr>
                <w:rFonts w:hint="eastAsia" w:hAnsi="宋体" w:cs="宋体"/>
                <w:snapToGrid w:val="0"/>
                <w:color w:val="000000"/>
                <w:kern w:val="21"/>
                <w:szCs w:val="21"/>
              </w:rPr>
            </w:pPr>
            <w:r>
              <w:rPr>
                <w:color w:val="auto"/>
                <w:szCs w:val="21"/>
              </w:rPr>
              <w:t>NH</w:t>
            </w:r>
            <w:r>
              <w:rPr>
                <w:color w:val="auto"/>
                <w:szCs w:val="21"/>
                <w:vertAlign w:val="subscript"/>
              </w:rPr>
              <w:t>3</w:t>
            </w:r>
            <w:r>
              <w:rPr>
                <w:color w:val="auto"/>
                <w:szCs w:val="21"/>
              </w:rPr>
              <w:t>-N</w:t>
            </w:r>
          </w:p>
        </w:tc>
        <w:tc>
          <w:tcPr>
            <w:tcW w:w="1701" w:type="dxa"/>
            <w:tcBorders>
              <w:tl2br w:val="nil"/>
              <w:tr2bl w:val="nil"/>
            </w:tcBorders>
            <w:noWrap w:val="0"/>
            <w:vAlign w:val="center"/>
          </w:tcPr>
          <w:p w14:paraId="3AA6AFBF">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276" w:type="dxa"/>
            <w:tcBorders>
              <w:tl2br w:val="nil"/>
              <w:tr2bl w:val="nil"/>
            </w:tcBorders>
            <w:noWrap w:val="0"/>
            <w:vAlign w:val="center"/>
          </w:tcPr>
          <w:p w14:paraId="5B2A82CC">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701" w:type="dxa"/>
            <w:tcBorders>
              <w:tl2br w:val="nil"/>
              <w:tr2bl w:val="nil"/>
            </w:tcBorders>
            <w:noWrap w:val="0"/>
            <w:vAlign w:val="center"/>
          </w:tcPr>
          <w:p w14:paraId="124F421F">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559" w:type="dxa"/>
            <w:tcBorders>
              <w:tl2br w:val="nil"/>
              <w:tr2bl w:val="nil"/>
            </w:tcBorders>
            <w:noWrap w:val="0"/>
            <w:vAlign w:val="center"/>
          </w:tcPr>
          <w:p w14:paraId="211F5622">
            <w:pPr>
              <w:pStyle w:val="46"/>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cs="Times New Roman"/>
                <w:snapToGrid w:val="0"/>
                <w:color w:val="000000"/>
                <w:kern w:val="21"/>
                <w:szCs w:val="21"/>
                <w:lang w:val="en-US" w:eastAsia="zh-CN"/>
              </w:rPr>
              <w:t>0.0050t/a</w:t>
            </w:r>
          </w:p>
        </w:tc>
        <w:tc>
          <w:tcPr>
            <w:tcW w:w="1761" w:type="dxa"/>
            <w:tcBorders>
              <w:tl2br w:val="nil"/>
              <w:tr2bl w:val="nil"/>
            </w:tcBorders>
            <w:noWrap w:val="0"/>
            <w:vAlign w:val="center"/>
          </w:tcPr>
          <w:p w14:paraId="2A35C4BF">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497" w:type="dxa"/>
            <w:tcBorders>
              <w:tl2br w:val="nil"/>
              <w:tr2bl w:val="nil"/>
            </w:tcBorders>
            <w:shd w:val="clear" w:color="auto" w:fill="auto"/>
            <w:noWrap w:val="0"/>
            <w:vAlign w:val="center"/>
          </w:tcPr>
          <w:p w14:paraId="155E01C3">
            <w:pPr>
              <w:pStyle w:val="46"/>
              <w:spacing w:beforeLines="0" w:afterLines="0" w:line="240" w:lineRule="auto"/>
              <w:rPr>
                <w:rFonts w:hint="default" w:ascii="Times New Roman" w:hAnsi="Times New Roman" w:eastAsia="宋体" w:cs="Times New Roman"/>
                <w:snapToGrid w:val="0"/>
                <w:color w:val="000000"/>
                <w:kern w:val="21"/>
                <w:sz w:val="21"/>
                <w:szCs w:val="21"/>
                <w:lang w:val="en-US" w:eastAsia="zh-CN" w:bidi="zh-CN"/>
              </w:rPr>
            </w:pPr>
            <w:r>
              <w:rPr>
                <w:rFonts w:hint="eastAsia" w:ascii="Times New Roman" w:hAnsi="Times New Roman" w:cs="Times New Roman"/>
                <w:snapToGrid w:val="0"/>
                <w:color w:val="000000"/>
                <w:kern w:val="21"/>
                <w:szCs w:val="21"/>
                <w:lang w:val="en-US" w:eastAsia="zh-CN"/>
              </w:rPr>
              <w:t>0.0050t/a</w:t>
            </w:r>
          </w:p>
        </w:tc>
        <w:tc>
          <w:tcPr>
            <w:tcW w:w="1288" w:type="dxa"/>
            <w:tcBorders>
              <w:tl2br w:val="nil"/>
              <w:tr2bl w:val="nil"/>
            </w:tcBorders>
            <w:shd w:val="clear" w:color="auto" w:fill="auto"/>
            <w:noWrap w:val="0"/>
            <w:vAlign w:val="center"/>
          </w:tcPr>
          <w:p w14:paraId="3F01A267">
            <w:pPr>
              <w:pStyle w:val="46"/>
              <w:spacing w:beforeLines="0" w:afterLines="0" w:line="240" w:lineRule="auto"/>
              <w:rPr>
                <w:rFonts w:hint="default" w:ascii="Times New Roman" w:hAnsi="Times New Roman" w:eastAsia="宋体" w:cs="Times New Roman"/>
                <w:snapToGrid w:val="0"/>
                <w:color w:val="000000"/>
                <w:kern w:val="21"/>
                <w:sz w:val="21"/>
                <w:szCs w:val="21"/>
                <w:lang w:val="en-US" w:eastAsia="zh-CN" w:bidi="zh-CN"/>
              </w:rPr>
            </w:pPr>
            <w:r>
              <w:rPr>
                <w:rFonts w:hint="eastAsia" w:ascii="Times New Roman" w:hAnsi="Times New Roman" w:cs="Times New Roman"/>
                <w:snapToGrid w:val="0"/>
                <w:color w:val="000000"/>
                <w:kern w:val="21"/>
                <w:szCs w:val="21"/>
                <w:lang w:val="en-US" w:eastAsia="zh-CN"/>
              </w:rPr>
              <w:t>+0.0050t/a</w:t>
            </w:r>
          </w:p>
        </w:tc>
      </w:tr>
      <w:tr w14:paraId="1BAF17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588" w:type="dxa"/>
            <w:vMerge w:val="restart"/>
            <w:tcBorders>
              <w:tl2br w:val="nil"/>
              <w:tr2bl w:val="nil"/>
            </w:tcBorders>
            <w:noWrap w:val="0"/>
            <w:vAlign w:val="center"/>
          </w:tcPr>
          <w:p w14:paraId="7DF6D6FF">
            <w:pPr>
              <w:pStyle w:val="46"/>
              <w:spacing w:beforeLines="0" w:afterLines="0" w:line="240" w:lineRule="auto"/>
              <w:rPr>
                <w:rFonts w:hAnsi="宋体" w:cs="宋体"/>
                <w:snapToGrid w:val="0"/>
                <w:color w:val="000000"/>
                <w:kern w:val="21"/>
                <w:szCs w:val="21"/>
              </w:rPr>
            </w:pPr>
            <w:r>
              <w:rPr>
                <w:rFonts w:hint="eastAsia" w:hAnsi="宋体" w:cs="宋体"/>
                <w:snapToGrid w:val="0"/>
                <w:color w:val="000000"/>
                <w:kern w:val="21"/>
                <w:szCs w:val="21"/>
              </w:rPr>
              <w:t>一般工业</w:t>
            </w:r>
          </w:p>
          <w:p w14:paraId="3E814C78">
            <w:pPr>
              <w:pStyle w:val="46"/>
              <w:spacing w:beforeLines="0" w:afterLines="0" w:line="240" w:lineRule="auto"/>
              <w:rPr>
                <w:rFonts w:hint="eastAsia" w:hAnsi="宋体" w:cs="宋体"/>
                <w:snapToGrid w:val="0"/>
                <w:color w:val="000000"/>
                <w:kern w:val="21"/>
                <w:szCs w:val="21"/>
              </w:rPr>
            </w:pPr>
            <w:r>
              <w:rPr>
                <w:rFonts w:hint="eastAsia" w:hAnsi="宋体" w:cs="宋体"/>
                <w:snapToGrid w:val="0"/>
                <w:color w:val="000000"/>
                <w:kern w:val="21"/>
                <w:szCs w:val="21"/>
              </w:rPr>
              <w:t>固体废物</w:t>
            </w:r>
          </w:p>
        </w:tc>
        <w:tc>
          <w:tcPr>
            <w:tcW w:w="1417" w:type="dxa"/>
            <w:tcBorders>
              <w:tl2br w:val="nil"/>
              <w:tr2bl w:val="nil"/>
            </w:tcBorders>
            <w:shd w:val="clear" w:color="auto" w:fill="auto"/>
            <w:noWrap w:val="0"/>
            <w:vAlign w:val="center"/>
          </w:tcPr>
          <w:p w14:paraId="429BB4F5">
            <w:pPr>
              <w:snapToGrid w:val="0"/>
              <w:jc w:val="center"/>
              <w:rPr>
                <w:rFonts w:ascii="Times New Roman" w:hAnsi="宋体" w:eastAsia="宋体" w:cs="宋体"/>
                <w:snapToGrid w:val="0"/>
                <w:color w:val="000000"/>
                <w:kern w:val="21"/>
                <w:sz w:val="21"/>
                <w:szCs w:val="21"/>
                <w:lang w:val="en-US" w:eastAsia="zh-CN" w:bidi="ar-SA"/>
              </w:rPr>
            </w:pPr>
            <w:r>
              <w:rPr>
                <w:rFonts w:hint="eastAsia"/>
                <w:color w:val="auto"/>
                <w:szCs w:val="21"/>
                <w:lang w:eastAsia="zh-CN"/>
              </w:rPr>
              <w:t>沉淀池沉渣</w:t>
            </w:r>
          </w:p>
        </w:tc>
        <w:tc>
          <w:tcPr>
            <w:tcW w:w="1701" w:type="dxa"/>
            <w:tcBorders>
              <w:tl2br w:val="nil"/>
              <w:tr2bl w:val="nil"/>
            </w:tcBorders>
            <w:shd w:val="clear" w:color="auto" w:fill="auto"/>
            <w:noWrap w:val="0"/>
            <w:vAlign w:val="center"/>
          </w:tcPr>
          <w:p w14:paraId="052669F3">
            <w:pPr>
              <w:spacing w:beforeLines="0" w:afterLines="0" w:line="240" w:lineRule="auto"/>
              <w:jc w:val="center"/>
              <w:rPr>
                <w:rFonts w:ascii="Times New Roman" w:hAnsi="宋体" w:eastAsia="宋体" w:cs="宋体"/>
                <w:snapToGrid w:val="0"/>
                <w:color w:val="000000"/>
                <w:kern w:val="21"/>
                <w:sz w:val="21"/>
                <w:szCs w:val="21"/>
                <w:lang w:val="en-US" w:eastAsia="zh-CN" w:bidi="ar-SA"/>
              </w:rPr>
            </w:pPr>
            <w:r>
              <w:rPr>
                <w:rFonts w:hint="eastAsia" w:hAnsi="宋体" w:cs="宋体"/>
                <w:snapToGrid w:val="0"/>
                <w:color w:val="000000"/>
                <w:kern w:val="21"/>
                <w:szCs w:val="21"/>
                <w:lang w:val="en-US" w:eastAsia="zh-CN"/>
              </w:rPr>
              <w:t>/</w:t>
            </w:r>
          </w:p>
        </w:tc>
        <w:tc>
          <w:tcPr>
            <w:tcW w:w="1276" w:type="dxa"/>
            <w:tcBorders>
              <w:tl2br w:val="nil"/>
              <w:tr2bl w:val="nil"/>
            </w:tcBorders>
            <w:shd w:val="clear" w:color="auto" w:fill="auto"/>
            <w:noWrap w:val="0"/>
            <w:vAlign w:val="center"/>
          </w:tcPr>
          <w:p w14:paraId="1C285050">
            <w:pPr>
              <w:spacing w:beforeLines="0" w:afterLines="0" w:line="240" w:lineRule="auto"/>
              <w:jc w:val="center"/>
              <w:rPr>
                <w:rFonts w:ascii="Times New Roman" w:hAnsi="宋体" w:eastAsia="宋体" w:cs="宋体"/>
                <w:snapToGrid w:val="0"/>
                <w:color w:val="000000"/>
                <w:kern w:val="21"/>
                <w:sz w:val="21"/>
                <w:szCs w:val="21"/>
                <w:lang w:val="en-US" w:eastAsia="zh-CN" w:bidi="ar-SA"/>
              </w:rPr>
            </w:pPr>
            <w:r>
              <w:rPr>
                <w:rFonts w:hint="eastAsia" w:hAnsi="宋体" w:cs="宋体"/>
                <w:snapToGrid w:val="0"/>
                <w:color w:val="000000"/>
                <w:kern w:val="21"/>
                <w:szCs w:val="21"/>
                <w:lang w:val="en-US" w:eastAsia="zh-CN"/>
              </w:rPr>
              <w:t>/</w:t>
            </w:r>
          </w:p>
        </w:tc>
        <w:tc>
          <w:tcPr>
            <w:tcW w:w="1701" w:type="dxa"/>
            <w:tcBorders>
              <w:tl2br w:val="nil"/>
              <w:tr2bl w:val="nil"/>
            </w:tcBorders>
            <w:shd w:val="clear" w:color="auto" w:fill="auto"/>
            <w:noWrap w:val="0"/>
            <w:vAlign w:val="center"/>
          </w:tcPr>
          <w:p w14:paraId="715A8A61">
            <w:pPr>
              <w:spacing w:beforeLines="0" w:afterLines="0" w:line="240" w:lineRule="auto"/>
              <w:jc w:val="center"/>
              <w:rPr>
                <w:rFonts w:ascii="Times New Roman" w:hAnsi="宋体" w:eastAsia="宋体" w:cs="宋体"/>
                <w:snapToGrid w:val="0"/>
                <w:color w:val="000000"/>
                <w:kern w:val="21"/>
                <w:sz w:val="21"/>
                <w:szCs w:val="21"/>
                <w:lang w:val="en-US" w:eastAsia="zh-CN" w:bidi="ar-SA"/>
              </w:rPr>
            </w:pPr>
            <w:r>
              <w:rPr>
                <w:rFonts w:hint="eastAsia" w:hAnsi="宋体" w:cs="宋体"/>
                <w:snapToGrid w:val="0"/>
                <w:color w:val="000000"/>
                <w:kern w:val="21"/>
                <w:szCs w:val="21"/>
                <w:lang w:val="en-US" w:eastAsia="zh-CN"/>
              </w:rPr>
              <w:t>/</w:t>
            </w:r>
          </w:p>
        </w:tc>
        <w:tc>
          <w:tcPr>
            <w:tcW w:w="1559" w:type="dxa"/>
            <w:tcBorders>
              <w:tl2br w:val="nil"/>
              <w:tr2bl w:val="nil"/>
            </w:tcBorders>
            <w:shd w:val="clear" w:color="auto" w:fill="auto"/>
            <w:noWrap w:val="0"/>
            <w:vAlign w:val="center"/>
          </w:tcPr>
          <w:p w14:paraId="600A648E">
            <w:pPr>
              <w:pStyle w:val="46"/>
              <w:spacing w:beforeLines="0" w:afterLines="0" w:line="240" w:lineRule="auto"/>
              <w:rPr>
                <w:rFonts w:hint="default" w:ascii="Times New Roman" w:hAnsi="Times New Roman" w:eastAsia="宋体" w:cs="Times New Roman"/>
                <w:snapToGrid w:val="0"/>
                <w:color w:val="000000"/>
                <w:kern w:val="21"/>
                <w:sz w:val="21"/>
                <w:szCs w:val="21"/>
                <w:lang w:val="en-US" w:eastAsia="zh-CN" w:bidi="zh-CN"/>
              </w:rPr>
            </w:pPr>
            <w:r>
              <w:rPr>
                <w:rFonts w:hint="eastAsia" w:ascii="Times New Roman" w:hAnsi="Times New Roman" w:cs="Times New Roman"/>
                <w:snapToGrid w:val="0"/>
                <w:color w:val="000000"/>
                <w:kern w:val="21"/>
                <w:szCs w:val="21"/>
                <w:lang w:val="en-US" w:eastAsia="zh-CN"/>
              </w:rPr>
              <w:t>1.5t/a</w:t>
            </w:r>
          </w:p>
        </w:tc>
        <w:tc>
          <w:tcPr>
            <w:tcW w:w="1761" w:type="dxa"/>
            <w:tcBorders>
              <w:tl2br w:val="nil"/>
              <w:tr2bl w:val="nil"/>
            </w:tcBorders>
            <w:shd w:val="clear" w:color="auto" w:fill="auto"/>
            <w:noWrap w:val="0"/>
            <w:vAlign w:val="center"/>
          </w:tcPr>
          <w:p w14:paraId="473BC738">
            <w:pPr>
              <w:spacing w:beforeLines="0" w:afterLines="0" w:line="240" w:lineRule="auto"/>
              <w:jc w:val="center"/>
              <w:rPr>
                <w:rFonts w:ascii="Times New Roman" w:hAnsi="宋体" w:eastAsia="宋体" w:cs="宋体"/>
                <w:snapToGrid w:val="0"/>
                <w:color w:val="000000"/>
                <w:kern w:val="21"/>
                <w:sz w:val="21"/>
                <w:szCs w:val="21"/>
                <w:lang w:val="en-US" w:eastAsia="zh-CN" w:bidi="ar-SA"/>
              </w:rPr>
            </w:pPr>
            <w:r>
              <w:rPr>
                <w:rFonts w:hint="eastAsia" w:hAnsi="宋体" w:cs="宋体"/>
                <w:snapToGrid w:val="0"/>
                <w:color w:val="000000"/>
                <w:kern w:val="21"/>
                <w:szCs w:val="21"/>
                <w:lang w:val="en-US" w:eastAsia="zh-CN"/>
              </w:rPr>
              <w:t>/</w:t>
            </w:r>
          </w:p>
        </w:tc>
        <w:tc>
          <w:tcPr>
            <w:tcW w:w="1497" w:type="dxa"/>
            <w:tcBorders>
              <w:tl2br w:val="nil"/>
              <w:tr2bl w:val="nil"/>
            </w:tcBorders>
            <w:shd w:val="clear" w:color="auto" w:fill="auto"/>
            <w:noWrap w:val="0"/>
            <w:vAlign w:val="center"/>
          </w:tcPr>
          <w:p w14:paraId="191665D7">
            <w:pPr>
              <w:pStyle w:val="46"/>
              <w:spacing w:beforeLines="0" w:afterLines="0" w:line="240" w:lineRule="auto"/>
              <w:rPr>
                <w:rFonts w:hint="default" w:ascii="Times New Roman" w:hAnsi="Times New Roman" w:eastAsia="宋体" w:cs="Times New Roman"/>
                <w:snapToGrid w:val="0"/>
                <w:color w:val="000000"/>
                <w:kern w:val="21"/>
                <w:sz w:val="21"/>
                <w:szCs w:val="21"/>
                <w:lang w:val="zh-CN" w:eastAsia="zh-CN" w:bidi="zh-CN"/>
              </w:rPr>
            </w:pPr>
            <w:r>
              <w:rPr>
                <w:rFonts w:hint="eastAsia" w:ascii="Times New Roman" w:hAnsi="Times New Roman" w:cs="Times New Roman"/>
                <w:snapToGrid w:val="0"/>
                <w:color w:val="000000"/>
                <w:kern w:val="21"/>
                <w:szCs w:val="21"/>
                <w:lang w:val="en-US" w:eastAsia="zh-CN"/>
              </w:rPr>
              <w:t>1.5t/a</w:t>
            </w:r>
          </w:p>
        </w:tc>
        <w:tc>
          <w:tcPr>
            <w:tcW w:w="1288" w:type="dxa"/>
            <w:tcBorders>
              <w:tl2br w:val="nil"/>
              <w:tr2bl w:val="nil"/>
            </w:tcBorders>
            <w:shd w:val="clear" w:color="auto" w:fill="auto"/>
            <w:noWrap w:val="0"/>
            <w:vAlign w:val="center"/>
          </w:tcPr>
          <w:p w14:paraId="2E9B15E3">
            <w:pPr>
              <w:pStyle w:val="46"/>
              <w:spacing w:beforeLines="0" w:afterLines="0" w:line="240" w:lineRule="auto"/>
              <w:rPr>
                <w:rFonts w:hint="default" w:ascii="Times New Roman" w:hAnsi="Times New Roman" w:eastAsia="宋体" w:cs="Times New Roman"/>
                <w:snapToGrid w:val="0"/>
                <w:color w:val="000000"/>
                <w:kern w:val="21"/>
                <w:sz w:val="21"/>
                <w:szCs w:val="21"/>
                <w:lang w:val="zh-CN" w:eastAsia="zh-CN" w:bidi="zh-CN"/>
              </w:rPr>
            </w:pPr>
            <w:r>
              <w:rPr>
                <w:rFonts w:hint="eastAsia" w:ascii="Times New Roman" w:hAnsi="Times New Roman" w:cs="Times New Roman"/>
                <w:snapToGrid w:val="0"/>
                <w:color w:val="000000"/>
                <w:kern w:val="21"/>
                <w:szCs w:val="21"/>
                <w:lang w:val="en-US" w:eastAsia="zh-CN"/>
              </w:rPr>
              <w:t>+1.5t/a</w:t>
            </w:r>
          </w:p>
        </w:tc>
      </w:tr>
      <w:tr w14:paraId="74A1DA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tcBorders>
              <w:tl2br w:val="nil"/>
              <w:tr2bl w:val="nil"/>
            </w:tcBorders>
            <w:noWrap w:val="0"/>
            <w:vAlign w:val="center"/>
          </w:tcPr>
          <w:p w14:paraId="1D5DC0AD">
            <w:pPr>
              <w:pStyle w:val="46"/>
              <w:spacing w:beforeLines="0" w:afterLines="0" w:line="240" w:lineRule="auto"/>
              <w:rPr>
                <w:rFonts w:hAnsi="宋体" w:cs="宋体"/>
                <w:snapToGrid w:val="0"/>
                <w:color w:val="000000"/>
                <w:kern w:val="21"/>
                <w:szCs w:val="21"/>
              </w:rPr>
            </w:pPr>
          </w:p>
        </w:tc>
        <w:tc>
          <w:tcPr>
            <w:tcW w:w="1417" w:type="dxa"/>
            <w:tcBorders>
              <w:tl2br w:val="nil"/>
              <w:tr2bl w:val="nil"/>
            </w:tcBorders>
            <w:shd w:val="clear" w:color="auto" w:fill="auto"/>
            <w:noWrap w:val="0"/>
            <w:vAlign w:val="center"/>
          </w:tcPr>
          <w:p w14:paraId="6A035842">
            <w:pPr>
              <w:snapToGrid w:val="0"/>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生活垃圾</w:t>
            </w:r>
          </w:p>
        </w:tc>
        <w:tc>
          <w:tcPr>
            <w:tcW w:w="1701" w:type="dxa"/>
            <w:tcBorders>
              <w:tl2br w:val="nil"/>
              <w:tr2bl w:val="nil"/>
            </w:tcBorders>
            <w:shd w:val="clear" w:color="auto" w:fill="auto"/>
            <w:noWrap w:val="0"/>
            <w:vAlign w:val="center"/>
          </w:tcPr>
          <w:p w14:paraId="6074BFB2">
            <w:pPr>
              <w:spacing w:beforeLines="0" w:afterLines="0" w:line="240" w:lineRule="auto"/>
              <w:jc w:val="center"/>
              <w:rPr>
                <w:rFonts w:ascii="Times New Roman" w:hAnsi="宋体" w:eastAsia="宋体" w:cs="宋体"/>
                <w:snapToGrid w:val="0"/>
                <w:color w:val="000000"/>
                <w:kern w:val="21"/>
                <w:sz w:val="21"/>
                <w:szCs w:val="21"/>
                <w:lang w:val="en-US" w:eastAsia="zh-CN" w:bidi="ar-SA"/>
              </w:rPr>
            </w:pPr>
            <w:r>
              <w:rPr>
                <w:rFonts w:hint="eastAsia" w:hAnsi="宋体" w:cs="宋体"/>
                <w:snapToGrid w:val="0"/>
                <w:color w:val="000000"/>
                <w:kern w:val="21"/>
                <w:szCs w:val="21"/>
                <w:lang w:val="en-US" w:eastAsia="zh-CN"/>
              </w:rPr>
              <w:t>/</w:t>
            </w:r>
          </w:p>
        </w:tc>
        <w:tc>
          <w:tcPr>
            <w:tcW w:w="1276" w:type="dxa"/>
            <w:tcBorders>
              <w:tl2br w:val="nil"/>
              <w:tr2bl w:val="nil"/>
            </w:tcBorders>
            <w:shd w:val="clear" w:color="auto" w:fill="auto"/>
            <w:noWrap w:val="0"/>
            <w:vAlign w:val="center"/>
          </w:tcPr>
          <w:p w14:paraId="2CF4D7AD">
            <w:pPr>
              <w:spacing w:beforeLines="0" w:afterLines="0" w:line="240" w:lineRule="auto"/>
              <w:jc w:val="center"/>
              <w:rPr>
                <w:rFonts w:ascii="Times New Roman" w:hAnsi="宋体" w:eastAsia="宋体" w:cs="宋体"/>
                <w:snapToGrid w:val="0"/>
                <w:color w:val="000000"/>
                <w:kern w:val="21"/>
                <w:sz w:val="21"/>
                <w:szCs w:val="21"/>
                <w:lang w:val="en-US" w:eastAsia="zh-CN" w:bidi="ar-SA"/>
              </w:rPr>
            </w:pPr>
            <w:r>
              <w:rPr>
                <w:rFonts w:hint="eastAsia" w:hAnsi="宋体" w:cs="宋体"/>
                <w:snapToGrid w:val="0"/>
                <w:color w:val="000000"/>
                <w:kern w:val="21"/>
                <w:szCs w:val="21"/>
                <w:lang w:val="en-US" w:eastAsia="zh-CN"/>
              </w:rPr>
              <w:t>/</w:t>
            </w:r>
          </w:p>
        </w:tc>
        <w:tc>
          <w:tcPr>
            <w:tcW w:w="1701" w:type="dxa"/>
            <w:tcBorders>
              <w:tl2br w:val="nil"/>
              <w:tr2bl w:val="nil"/>
            </w:tcBorders>
            <w:shd w:val="clear" w:color="auto" w:fill="auto"/>
            <w:noWrap w:val="0"/>
            <w:vAlign w:val="center"/>
          </w:tcPr>
          <w:p w14:paraId="754D449A">
            <w:pPr>
              <w:spacing w:beforeLines="0" w:afterLines="0" w:line="240" w:lineRule="auto"/>
              <w:jc w:val="center"/>
              <w:rPr>
                <w:rFonts w:ascii="Times New Roman" w:hAnsi="宋体" w:eastAsia="宋体" w:cs="宋体"/>
                <w:snapToGrid w:val="0"/>
                <w:color w:val="000000"/>
                <w:kern w:val="21"/>
                <w:sz w:val="21"/>
                <w:szCs w:val="21"/>
                <w:lang w:val="en-US" w:eastAsia="zh-CN" w:bidi="ar-SA"/>
              </w:rPr>
            </w:pPr>
            <w:r>
              <w:rPr>
                <w:rFonts w:hint="eastAsia" w:hAnsi="宋体" w:cs="宋体"/>
                <w:snapToGrid w:val="0"/>
                <w:color w:val="000000"/>
                <w:kern w:val="21"/>
                <w:szCs w:val="21"/>
                <w:lang w:val="en-US" w:eastAsia="zh-CN"/>
              </w:rPr>
              <w:t>/</w:t>
            </w:r>
          </w:p>
        </w:tc>
        <w:tc>
          <w:tcPr>
            <w:tcW w:w="1559" w:type="dxa"/>
            <w:tcBorders>
              <w:tl2br w:val="nil"/>
              <w:tr2bl w:val="nil"/>
            </w:tcBorders>
            <w:shd w:val="clear" w:color="auto" w:fill="auto"/>
            <w:noWrap w:val="0"/>
            <w:vAlign w:val="center"/>
          </w:tcPr>
          <w:p w14:paraId="2996DA17">
            <w:pPr>
              <w:pStyle w:val="46"/>
              <w:spacing w:beforeLines="0" w:afterLines="0" w:line="240" w:lineRule="auto"/>
              <w:rPr>
                <w:rFonts w:hint="default" w:ascii="Times New Roman" w:hAnsi="Times New Roman" w:eastAsia="宋体" w:cs="Times New Roman"/>
                <w:snapToGrid w:val="0"/>
                <w:color w:val="000000"/>
                <w:kern w:val="21"/>
                <w:sz w:val="21"/>
                <w:szCs w:val="21"/>
                <w:lang w:val="en-US" w:eastAsia="zh-CN" w:bidi="zh-CN"/>
              </w:rPr>
            </w:pPr>
            <w:r>
              <w:rPr>
                <w:rFonts w:hint="eastAsia" w:ascii="Times New Roman" w:hAnsi="Times New Roman" w:cs="Times New Roman"/>
                <w:snapToGrid w:val="0"/>
                <w:color w:val="000000"/>
                <w:kern w:val="21"/>
                <w:szCs w:val="21"/>
                <w:lang w:val="en-US" w:eastAsia="zh-CN"/>
              </w:rPr>
              <w:t>1.5t/a</w:t>
            </w:r>
          </w:p>
        </w:tc>
        <w:tc>
          <w:tcPr>
            <w:tcW w:w="1761" w:type="dxa"/>
            <w:tcBorders>
              <w:tl2br w:val="nil"/>
              <w:tr2bl w:val="nil"/>
            </w:tcBorders>
            <w:shd w:val="clear" w:color="auto" w:fill="auto"/>
            <w:noWrap w:val="0"/>
            <w:vAlign w:val="center"/>
          </w:tcPr>
          <w:p w14:paraId="4D29FAF6">
            <w:pPr>
              <w:spacing w:beforeLines="0" w:afterLines="0" w:line="240" w:lineRule="auto"/>
              <w:jc w:val="center"/>
              <w:rPr>
                <w:rFonts w:ascii="Times New Roman" w:hAnsi="宋体" w:eastAsia="宋体" w:cs="宋体"/>
                <w:snapToGrid w:val="0"/>
                <w:color w:val="000000"/>
                <w:kern w:val="21"/>
                <w:sz w:val="21"/>
                <w:szCs w:val="21"/>
                <w:lang w:val="en-US" w:eastAsia="zh-CN" w:bidi="ar-SA"/>
              </w:rPr>
            </w:pPr>
            <w:r>
              <w:rPr>
                <w:rFonts w:hint="eastAsia" w:hAnsi="宋体" w:cs="宋体"/>
                <w:snapToGrid w:val="0"/>
                <w:color w:val="000000"/>
                <w:kern w:val="21"/>
                <w:szCs w:val="21"/>
                <w:lang w:val="en-US" w:eastAsia="zh-CN"/>
              </w:rPr>
              <w:t>/</w:t>
            </w:r>
          </w:p>
        </w:tc>
        <w:tc>
          <w:tcPr>
            <w:tcW w:w="1497" w:type="dxa"/>
            <w:tcBorders>
              <w:tl2br w:val="nil"/>
              <w:tr2bl w:val="nil"/>
            </w:tcBorders>
            <w:shd w:val="clear" w:color="auto" w:fill="auto"/>
            <w:noWrap w:val="0"/>
            <w:vAlign w:val="center"/>
          </w:tcPr>
          <w:p w14:paraId="3A43C503">
            <w:pPr>
              <w:pStyle w:val="46"/>
              <w:spacing w:beforeLines="0" w:afterLines="0" w:line="240" w:lineRule="auto"/>
              <w:rPr>
                <w:rFonts w:hint="default" w:ascii="Times New Roman" w:hAnsi="Times New Roman" w:eastAsia="宋体" w:cs="Times New Roman"/>
                <w:snapToGrid w:val="0"/>
                <w:color w:val="000000"/>
                <w:kern w:val="21"/>
                <w:sz w:val="21"/>
                <w:szCs w:val="21"/>
                <w:lang w:val="zh-CN" w:eastAsia="zh-CN" w:bidi="zh-CN"/>
              </w:rPr>
            </w:pPr>
            <w:r>
              <w:rPr>
                <w:rFonts w:hint="eastAsia" w:ascii="Times New Roman" w:hAnsi="Times New Roman" w:cs="Times New Roman"/>
                <w:snapToGrid w:val="0"/>
                <w:color w:val="000000"/>
                <w:kern w:val="21"/>
                <w:szCs w:val="21"/>
                <w:lang w:val="en-US" w:eastAsia="zh-CN"/>
              </w:rPr>
              <w:t>1.5t/a</w:t>
            </w:r>
          </w:p>
        </w:tc>
        <w:tc>
          <w:tcPr>
            <w:tcW w:w="1288" w:type="dxa"/>
            <w:tcBorders>
              <w:tl2br w:val="nil"/>
              <w:tr2bl w:val="nil"/>
            </w:tcBorders>
            <w:shd w:val="clear" w:color="auto" w:fill="auto"/>
            <w:noWrap w:val="0"/>
            <w:vAlign w:val="center"/>
          </w:tcPr>
          <w:p w14:paraId="2254C6B3">
            <w:pPr>
              <w:pStyle w:val="46"/>
              <w:spacing w:beforeLines="0" w:afterLines="0" w:line="240" w:lineRule="auto"/>
              <w:rPr>
                <w:rFonts w:hint="default" w:ascii="Times New Roman" w:hAnsi="Times New Roman" w:eastAsia="宋体" w:cs="Times New Roman"/>
                <w:snapToGrid w:val="0"/>
                <w:color w:val="000000"/>
                <w:kern w:val="21"/>
                <w:sz w:val="21"/>
                <w:szCs w:val="21"/>
                <w:lang w:val="zh-CN" w:eastAsia="zh-CN" w:bidi="zh-CN"/>
              </w:rPr>
            </w:pPr>
            <w:r>
              <w:rPr>
                <w:rFonts w:hint="eastAsia" w:ascii="Times New Roman" w:hAnsi="Times New Roman" w:cs="Times New Roman"/>
                <w:snapToGrid w:val="0"/>
                <w:color w:val="000000"/>
                <w:kern w:val="21"/>
                <w:szCs w:val="21"/>
                <w:lang w:val="en-US" w:eastAsia="zh-CN"/>
              </w:rPr>
              <w:t>+1.5t/a</w:t>
            </w:r>
          </w:p>
        </w:tc>
      </w:tr>
    </w:tbl>
    <w:p w14:paraId="20A6880F">
      <w:pPr>
        <w:pStyle w:val="46"/>
        <w:spacing w:before="192" w:beforeLines="80" w:after="24"/>
        <w:jc w:val="left"/>
        <w:rPr>
          <w:rFonts w:hint="eastAsia" w:hAnsi="宋体"/>
          <w:snapToGrid w:val="0"/>
          <w:color w:val="000000"/>
          <w:spacing w:val="-6"/>
          <w:kern w:val="21"/>
          <w:szCs w:val="21"/>
        </w:rPr>
      </w:pPr>
      <w:r>
        <w:rPr>
          <w:rFonts w:hAnsi="宋体"/>
          <w:snapToGrid w:val="0"/>
          <w:color w:val="000000"/>
          <w:kern w:val="21"/>
          <w:szCs w:val="21"/>
        </w:rPr>
        <w:t>注：</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6 \* GB3 \* MERGEFORMAT </w:instrText>
      </w:r>
      <w:r>
        <w:rPr>
          <w:rFonts w:hAnsi="宋体"/>
          <w:snapToGrid w:val="0"/>
          <w:color w:val="000000"/>
          <w:spacing w:val="-16"/>
          <w:kern w:val="21"/>
          <w:szCs w:val="21"/>
        </w:rPr>
        <w:fldChar w:fldCharType="separate"/>
      </w:r>
      <w:r>
        <w:rPr>
          <w:rFonts w:hint="eastAsia" w:hAnsi="宋体"/>
          <w:szCs w:val="21"/>
        </w:rPr>
        <w:t>⑥</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1 \* GB3 \* MERGEFORMAT </w:instrText>
      </w:r>
      <w:r>
        <w:rPr>
          <w:rFonts w:hAnsi="宋体"/>
          <w:snapToGrid w:val="0"/>
          <w:color w:val="000000"/>
          <w:spacing w:val="-6"/>
          <w:kern w:val="21"/>
          <w:szCs w:val="21"/>
        </w:rPr>
        <w:fldChar w:fldCharType="separate"/>
      </w:r>
      <w:r>
        <w:rPr>
          <w:rFonts w:hint="eastAsia" w:hAnsi="宋体"/>
          <w:szCs w:val="21"/>
        </w:rPr>
        <w:t>①</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3 \* GB3 \* MERGEFORMAT </w:instrText>
      </w:r>
      <w:r>
        <w:rPr>
          <w:rFonts w:hAnsi="宋体"/>
          <w:snapToGrid w:val="0"/>
          <w:color w:val="000000"/>
          <w:spacing w:val="-6"/>
          <w:kern w:val="21"/>
          <w:szCs w:val="21"/>
        </w:rPr>
        <w:fldChar w:fldCharType="separate"/>
      </w:r>
      <w:r>
        <w:rPr>
          <w:rFonts w:hint="eastAsia" w:hAnsi="宋体"/>
          <w:szCs w:val="21"/>
        </w:rPr>
        <w:t>③</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4 \* GB3 \* MERGEFORMAT </w:instrText>
      </w:r>
      <w:r>
        <w:rPr>
          <w:rFonts w:hAnsi="宋体"/>
          <w:snapToGrid w:val="0"/>
          <w:color w:val="000000"/>
          <w:spacing w:val="-6"/>
          <w:kern w:val="21"/>
          <w:szCs w:val="21"/>
        </w:rPr>
        <w:fldChar w:fldCharType="separate"/>
      </w:r>
      <w:r>
        <w:rPr>
          <w:rFonts w:hint="eastAsia" w:hAnsi="宋体"/>
          <w:szCs w:val="21"/>
        </w:rPr>
        <w:t>④</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5 \* GB3 \* MERGEFORMAT </w:instrText>
      </w:r>
      <w:r>
        <w:rPr>
          <w:rFonts w:hAnsi="宋体"/>
          <w:snapToGrid w:val="0"/>
          <w:color w:val="000000"/>
          <w:spacing w:val="-16"/>
          <w:kern w:val="21"/>
          <w:szCs w:val="21"/>
        </w:rPr>
        <w:fldChar w:fldCharType="separate"/>
      </w:r>
      <w:r>
        <w:rPr>
          <w:rFonts w:hint="eastAsia" w:hAnsi="宋体"/>
          <w:szCs w:val="21"/>
        </w:rPr>
        <w:t>⑤</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7 \* GB3 \* MERGEFORMAT </w:instrText>
      </w:r>
      <w:r>
        <w:rPr>
          <w:rFonts w:hAnsi="宋体"/>
          <w:snapToGrid w:val="0"/>
          <w:color w:val="000000"/>
          <w:spacing w:val="-6"/>
          <w:kern w:val="21"/>
          <w:szCs w:val="21"/>
        </w:rPr>
        <w:fldChar w:fldCharType="separate"/>
      </w:r>
      <w:r>
        <w:rPr>
          <w:rFonts w:hint="eastAsia" w:hAnsi="宋体"/>
          <w:szCs w:val="21"/>
        </w:rPr>
        <w:t>⑦</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6 \* GB3 \* MERGEFORMAT </w:instrText>
      </w:r>
      <w:r>
        <w:rPr>
          <w:rFonts w:hAnsi="宋体"/>
          <w:snapToGrid w:val="0"/>
          <w:color w:val="000000"/>
          <w:spacing w:val="-16"/>
          <w:kern w:val="21"/>
          <w:szCs w:val="21"/>
        </w:rPr>
        <w:fldChar w:fldCharType="separate"/>
      </w:r>
      <w:r>
        <w:rPr>
          <w:rFonts w:hint="eastAsia" w:hAnsi="宋体"/>
          <w:szCs w:val="21"/>
        </w:rPr>
        <w:t>⑥</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1 \* GB3 \* MERGEFORMAT </w:instrText>
      </w:r>
      <w:r>
        <w:rPr>
          <w:rFonts w:hAnsi="宋体"/>
          <w:snapToGrid w:val="0"/>
          <w:color w:val="000000"/>
          <w:spacing w:val="-6"/>
          <w:kern w:val="21"/>
          <w:szCs w:val="21"/>
        </w:rPr>
        <w:fldChar w:fldCharType="separate"/>
      </w:r>
      <w:r>
        <w:rPr>
          <w:rFonts w:hint="eastAsia" w:hAnsi="宋体"/>
          <w:szCs w:val="21"/>
        </w:rPr>
        <w:t>①</w:t>
      </w:r>
      <w:r>
        <w:rPr>
          <w:rFonts w:hAnsi="宋体"/>
          <w:snapToGrid w:val="0"/>
          <w:color w:val="000000"/>
          <w:spacing w:val="-6"/>
          <w:kern w:val="21"/>
          <w:szCs w:val="21"/>
        </w:rPr>
        <w:fldChar w:fldCharType="end"/>
      </w:r>
    </w:p>
    <w:p w14:paraId="093570DB">
      <w:pPr>
        <w:rPr>
          <w:rFonts w:ascii="宋体" w:hAnsi="宋体" w:eastAsia="黑体"/>
        </w:rPr>
      </w:pPr>
    </w:p>
    <w:sectPr>
      <w:footerReference r:id="rId7"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新宋体">
    <w:panose1 w:val="02010609030101010101"/>
    <w:charset w:val="86"/>
    <w:family w:val="auto"/>
    <w:pitch w:val="default"/>
    <w:sig w:usb0="00000203" w:usb1="288F0000" w:usb2="00000006" w:usb3="00000000" w:csb0="00040001" w:csb1="00000000"/>
  </w:font>
  <w:font w:name="Cambria Math">
    <w:panose1 w:val="02040503050406030204"/>
    <w:charset w:val="00"/>
    <w:family w:val="auto"/>
    <w:pitch w:val="default"/>
    <w:sig w:usb0="E00006FF" w:usb1="420024FF" w:usb2="02000000" w:usb3="00000000" w:csb0="2000019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09F02">
    <w:pPr>
      <w:pStyle w:val="14"/>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43D27">
    <w:pPr>
      <w:pStyle w:val="14"/>
      <w:framePr w:wrap="around" w:vAnchor="text" w:hAnchor="margin" w:xAlign="center" w:y="1"/>
      <w:rPr>
        <w:rStyle w:val="29"/>
      </w:rPr>
    </w:pPr>
    <w:r>
      <w:fldChar w:fldCharType="begin"/>
    </w:r>
    <w:r>
      <w:rPr>
        <w:rStyle w:val="29"/>
      </w:rPr>
      <w:instrText xml:space="preserve">PAGE  </w:instrText>
    </w:r>
    <w:r>
      <w:fldChar w:fldCharType="end"/>
    </w:r>
  </w:p>
  <w:p w14:paraId="1B25D4B3">
    <w:pPr>
      <w:pStyle w:val="1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50BFF">
    <w:pPr>
      <w:pStyle w:val="14"/>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20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21E958">
                          <w:pPr>
                            <w:pStyle w:val="14"/>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05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W7WgU4QEAAMIDAAAOAAAA&#10;AAAAAAEAIAAAAB4BAABkcnMvZTJvRG9jLnhtbFBLBQYAAAAABgAGAFkBAABxBQAAAAA=&#10;">
              <v:fill on="f" focussize="0,0"/>
              <v:stroke on="f"/>
              <v:imagedata o:title=""/>
              <o:lock v:ext="edit" aspectratio="f"/>
              <v:textbox inset="0mm,0mm,0mm,0mm" style="mso-fit-shape-to-text:t;">
                <w:txbxContent>
                  <w:p w14:paraId="4C21E958">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3CC4D">
    <w:pPr>
      <w:pStyle w:val="14"/>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20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69228">
                          <w:pPr>
                            <w:pStyle w:val="14"/>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205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KA8ZGTgAQAAwgMAAA4AAAAA&#10;AAAAAQAgAAAAHgEAAGRycy9lMm9Eb2MueG1sUEsFBgAAAAAGAAYAWQEAAHAFAAAAAA==&#10;">
              <v:fill on="f" focussize="0,0"/>
              <v:stroke on="f"/>
              <v:imagedata o:title=""/>
              <o:lock v:ext="edit" aspectratio="f"/>
              <v:textbox inset="0mm,0mm,0mm,0mm" style="mso-fit-shape-to-text:t;">
                <w:txbxContent>
                  <w:p w14:paraId="1F169228">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B58D">
    <w:pPr>
      <w:pStyle w:val="14"/>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20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CBDCF1">
                          <w:pPr>
                            <w:pStyle w:val="14"/>
                          </w:pPr>
                          <w:r>
                            <w:fldChar w:fldCharType="begin"/>
                          </w:r>
                          <w:r>
                            <w:instrText xml:space="preserve"> PAGE  \* MERGEFORMAT </w:instrText>
                          </w:r>
                          <w:r>
                            <w:fldChar w:fldCharType="separate"/>
                          </w:r>
                          <w:r>
                            <w:t>8</w:t>
                          </w:r>
                          <w:r>
                            <w:fldChar w:fldCharType="end"/>
                          </w:r>
                        </w:p>
                      </w:txbxContent>
                    </wps:txbx>
                    <wps:bodyPr vert="horz" wrap="none" lIns="0" tIns="0" rIns="0" bIns="0" anchor="t" anchorCtr="0" upright="0">
                      <a:spAutoFit/>
                    </wps:bodyPr>
                  </wps:wsp>
                </a:graphicData>
              </a:graphic>
            </wp:anchor>
          </w:drawing>
        </mc:Choice>
        <mc:Fallback>
          <w:pict>
            <v:shape id="文本框 205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GdZu6ngAQAAwgMAAA4AAAAA&#10;AAAAAQAgAAAAHgEAAGRycy9lMm9Eb2MueG1sUEsFBgAAAAAGAAYAWQEAAHAFAAAAAA==&#10;">
              <v:fill on="f" focussize="0,0"/>
              <v:stroke on="f"/>
              <v:imagedata o:title=""/>
              <o:lock v:ext="edit" aspectratio="f"/>
              <v:textbox inset="0mm,0mm,0mm,0mm" style="mso-fit-shape-to-text:t;">
                <w:txbxContent>
                  <w:p w14:paraId="74CBDCF1">
                    <w:pPr>
                      <w:pStyle w:val="14"/>
                    </w:pPr>
                    <w:r>
                      <w:fldChar w:fldCharType="begin"/>
                    </w:r>
                    <w:r>
                      <w:instrText xml:space="preserve"> PAGE  \* MERGEFORMAT </w:instrText>
                    </w:r>
                    <w:r>
                      <w:fldChar w:fldCharType="separate"/>
                    </w:r>
                    <w:r>
                      <w:t>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A7A2CF"/>
    <w:multiLevelType w:val="singleLevel"/>
    <w:tmpl w:val="0BA7A2CF"/>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kYTEyNWVmNDE5OTZiMjg3MjRhYWMzMTRhZjI5YTUifQ=="/>
  </w:docVars>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C44D9"/>
    <w:rsid w:val="007E4BD2"/>
    <w:rsid w:val="00801393"/>
    <w:rsid w:val="00802F88"/>
    <w:rsid w:val="0081293E"/>
    <w:rsid w:val="00815465"/>
    <w:rsid w:val="00817E9A"/>
    <w:rsid w:val="008306BD"/>
    <w:rsid w:val="00831A80"/>
    <w:rsid w:val="00833743"/>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3542F"/>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2BC6"/>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663F"/>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94FC0"/>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2B19"/>
    <w:rsid w:val="00F9212D"/>
    <w:rsid w:val="00F965DA"/>
    <w:rsid w:val="00FA406A"/>
    <w:rsid w:val="00FB503A"/>
    <w:rsid w:val="00FB516C"/>
    <w:rsid w:val="00FD0236"/>
    <w:rsid w:val="00FD18F4"/>
    <w:rsid w:val="00FD54DB"/>
    <w:rsid w:val="00FD619F"/>
    <w:rsid w:val="01120306"/>
    <w:rsid w:val="01290F7E"/>
    <w:rsid w:val="01320AEA"/>
    <w:rsid w:val="01325A8F"/>
    <w:rsid w:val="01433C35"/>
    <w:rsid w:val="015D1E09"/>
    <w:rsid w:val="01D8072C"/>
    <w:rsid w:val="02697903"/>
    <w:rsid w:val="02CB70F9"/>
    <w:rsid w:val="02F07B7C"/>
    <w:rsid w:val="02F96569"/>
    <w:rsid w:val="032264FD"/>
    <w:rsid w:val="036304B5"/>
    <w:rsid w:val="03D251BA"/>
    <w:rsid w:val="03D544B9"/>
    <w:rsid w:val="03D56A09"/>
    <w:rsid w:val="03E4417A"/>
    <w:rsid w:val="03EA7B21"/>
    <w:rsid w:val="040766C5"/>
    <w:rsid w:val="04483997"/>
    <w:rsid w:val="047041B8"/>
    <w:rsid w:val="04897582"/>
    <w:rsid w:val="04A62A1C"/>
    <w:rsid w:val="058A1F49"/>
    <w:rsid w:val="05AF3BC6"/>
    <w:rsid w:val="05D67331"/>
    <w:rsid w:val="05F83EAE"/>
    <w:rsid w:val="063E7D85"/>
    <w:rsid w:val="07187CE2"/>
    <w:rsid w:val="071A4324"/>
    <w:rsid w:val="072916E2"/>
    <w:rsid w:val="07293586"/>
    <w:rsid w:val="07295285"/>
    <w:rsid w:val="07636392"/>
    <w:rsid w:val="076E3F95"/>
    <w:rsid w:val="07770C56"/>
    <w:rsid w:val="077F1449"/>
    <w:rsid w:val="07A71CE5"/>
    <w:rsid w:val="07EA0359"/>
    <w:rsid w:val="086E3D25"/>
    <w:rsid w:val="09205A07"/>
    <w:rsid w:val="092217DD"/>
    <w:rsid w:val="093A7294"/>
    <w:rsid w:val="09C33700"/>
    <w:rsid w:val="09C46172"/>
    <w:rsid w:val="09D83B6F"/>
    <w:rsid w:val="0A263993"/>
    <w:rsid w:val="0A2D3AC2"/>
    <w:rsid w:val="0A602699"/>
    <w:rsid w:val="0A7E5D29"/>
    <w:rsid w:val="0AA755DF"/>
    <w:rsid w:val="0B120D44"/>
    <w:rsid w:val="0B670E2B"/>
    <w:rsid w:val="0BD27BF6"/>
    <w:rsid w:val="0BEA4573"/>
    <w:rsid w:val="0C3B3C7D"/>
    <w:rsid w:val="0C59782A"/>
    <w:rsid w:val="0C9601AC"/>
    <w:rsid w:val="0CAA5073"/>
    <w:rsid w:val="0CAB2EAE"/>
    <w:rsid w:val="0CE40585"/>
    <w:rsid w:val="0D621C7D"/>
    <w:rsid w:val="0D640F86"/>
    <w:rsid w:val="0D6D0A77"/>
    <w:rsid w:val="0E3167A6"/>
    <w:rsid w:val="0E73034D"/>
    <w:rsid w:val="0F13775A"/>
    <w:rsid w:val="0F1912FE"/>
    <w:rsid w:val="0F5F45FE"/>
    <w:rsid w:val="0F9A112B"/>
    <w:rsid w:val="1061296D"/>
    <w:rsid w:val="106D2F64"/>
    <w:rsid w:val="10B63710"/>
    <w:rsid w:val="10F10820"/>
    <w:rsid w:val="111C2F7A"/>
    <w:rsid w:val="11665CA1"/>
    <w:rsid w:val="118A7DBE"/>
    <w:rsid w:val="119A6428"/>
    <w:rsid w:val="11FB054B"/>
    <w:rsid w:val="11FC3C7B"/>
    <w:rsid w:val="12695010"/>
    <w:rsid w:val="12845757"/>
    <w:rsid w:val="128F4AEF"/>
    <w:rsid w:val="12B76DFD"/>
    <w:rsid w:val="13951726"/>
    <w:rsid w:val="13973C12"/>
    <w:rsid w:val="13C72D3C"/>
    <w:rsid w:val="13F45C9D"/>
    <w:rsid w:val="14091CC1"/>
    <w:rsid w:val="14233410"/>
    <w:rsid w:val="14396509"/>
    <w:rsid w:val="146A2D0C"/>
    <w:rsid w:val="149965EF"/>
    <w:rsid w:val="149D3F1B"/>
    <w:rsid w:val="14DD2C3C"/>
    <w:rsid w:val="15062F99"/>
    <w:rsid w:val="153624FB"/>
    <w:rsid w:val="153D1B4F"/>
    <w:rsid w:val="154856C5"/>
    <w:rsid w:val="157B34C1"/>
    <w:rsid w:val="159C20D8"/>
    <w:rsid w:val="15A50D5A"/>
    <w:rsid w:val="16087E1D"/>
    <w:rsid w:val="166B5AD5"/>
    <w:rsid w:val="168E6CBB"/>
    <w:rsid w:val="16C92653"/>
    <w:rsid w:val="16FF23A3"/>
    <w:rsid w:val="17701D14"/>
    <w:rsid w:val="17735226"/>
    <w:rsid w:val="1892394A"/>
    <w:rsid w:val="189F624C"/>
    <w:rsid w:val="18B2778A"/>
    <w:rsid w:val="19666953"/>
    <w:rsid w:val="19D1065C"/>
    <w:rsid w:val="1A124AD2"/>
    <w:rsid w:val="1A1C66C0"/>
    <w:rsid w:val="1A42393B"/>
    <w:rsid w:val="1AAD45DE"/>
    <w:rsid w:val="1AD56FDD"/>
    <w:rsid w:val="1B046F80"/>
    <w:rsid w:val="1B3267B5"/>
    <w:rsid w:val="1B40161D"/>
    <w:rsid w:val="1B441859"/>
    <w:rsid w:val="1B6606B1"/>
    <w:rsid w:val="1BB771B1"/>
    <w:rsid w:val="1BC20989"/>
    <w:rsid w:val="1C5E671F"/>
    <w:rsid w:val="1C5E7925"/>
    <w:rsid w:val="1C646CE7"/>
    <w:rsid w:val="1CFD070F"/>
    <w:rsid w:val="1D5F6196"/>
    <w:rsid w:val="1D6132A5"/>
    <w:rsid w:val="1D8E56D5"/>
    <w:rsid w:val="1E7A43DA"/>
    <w:rsid w:val="1EC524E9"/>
    <w:rsid w:val="1F394761"/>
    <w:rsid w:val="1F706352"/>
    <w:rsid w:val="1FE7539E"/>
    <w:rsid w:val="20164DF6"/>
    <w:rsid w:val="20671BE0"/>
    <w:rsid w:val="20963CB8"/>
    <w:rsid w:val="20A81A1B"/>
    <w:rsid w:val="20B07FB6"/>
    <w:rsid w:val="20B646FB"/>
    <w:rsid w:val="20F85B0D"/>
    <w:rsid w:val="213B74B1"/>
    <w:rsid w:val="215A2310"/>
    <w:rsid w:val="21DE318A"/>
    <w:rsid w:val="21EF5B80"/>
    <w:rsid w:val="22576990"/>
    <w:rsid w:val="22F47480"/>
    <w:rsid w:val="23437C68"/>
    <w:rsid w:val="23567430"/>
    <w:rsid w:val="23AD7C58"/>
    <w:rsid w:val="23DE1C48"/>
    <w:rsid w:val="240210CD"/>
    <w:rsid w:val="24BF09F7"/>
    <w:rsid w:val="24C4201C"/>
    <w:rsid w:val="252D53FE"/>
    <w:rsid w:val="25EC2D81"/>
    <w:rsid w:val="25FC3DF2"/>
    <w:rsid w:val="26897BF3"/>
    <w:rsid w:val="26F237F8"/>
    <w:rsid w:val="277057A2"/>
    <w:rsid w:val="28575C58"/>
    <w:rsid w:val="28E026ED"/>
    <w:rsid w:val="29206EB8"/>
    <w:rsid w:val="29593258"/>
    <w:rsid w:val="29595666"/>
    <w:rsid w:val="29874881"/>
    <w:rsid w:val="29B91541"/>
    <w:rsid w:val="29E325E0"/>
    <w:rsid w:val="2A181417"/>
    <w:rsid w:val="2A452503"/>
    <w:rsid w:val="2A631327"/>
    <w:rsid w:val="2B626A25"/>
    <w:rsid w:val="2B8E7D9D"/>
    <w:rsid w:val="2BA936A8"/>
    <w:rsid w:val="2C315A5A"/>
    <w:rsid w:val="2C4B1C25"/>
    <w:rsid w:val="2C9F042E"/>
    <w:rsid w:val="2CF15AA0"/>
    <w:rsid w:val="2D734326"/>
    <w:rsid w:val="2D9E56F5"/>
    <w:rsid w:val="2DF8708D"/>
    <w:rsid w:val="2E667F96"/>
    <w:rsid w:val="2E8226AB"/>
    <w:rsid w:val="2F6C1AB1"/>
    <w:rsid w:val="2F9C03F4"/>
    <w:rsid w:val="2FD065E6"/>
    <w:rsid w:val="2FD96870"/>
    <w:rsid w:val="30410133"/>
    <w:rsid w:val="30580BC9"/>
    <w:rsid w:val="30591303"/>
    <w:rsid w:val="30BB1455"/>
    <w:rsid w:val="30EF510D"/>
    <w:rsid w:val="311B2619"/>
    <w:rsid w:val="311E2ED7"/>
    <w:rsid w:val="313243EF"/>
    <w:rsid w:val="315619EE"/>
    <w:rsid w:val="31567C26"/>
    <w:rsid w:val="315C449C"/>
    <w:rsid w:val="31B053AA"/>
    <w:rsid w:val="31B82709"/>
    <w:rsid w:val="31C04687"/>
    <w:rsid w:val="31D05482"/>
    <w:rsid w:val="32400B34"/>
    <w:rsid w:val="329E6876"/>
    <w:rsid w:val="329F7FAF"/>
    <w:rsid w:val="32BE36C6"/>
    <w:rsid w:val="333015F2"/>
    <w:rsid w:val="334B6320"/>
    <w:rsid w:val="335C6DF7"/>
    <w:rsid w:val="33D934D4"/>
    <w:rsid w:val="33FE2F6A"/>
    <w:rsid w:val="340E07E5"/>
    <w:rsid w:val="34235BF7"/>
    <w:rsid w:val="344F5EC1"/>
    <w:rsid w:val="34652971"/>
    <w:rsid w:val="34AA0130"/>
    <w:rsid w:val="34D47380"/>
    <w:rsid w:val="34D671C9"/>
    <w:rsid w:val="34D90A75"/>
    <w:rsid w:val="356A2A1B"/>
    <w:rsid w:val="358C5FA8"/>
    <w:rsid w:val="35C1554B"/>
    <w:rsid w:val="35C15DF1"/>
    <w:rsid w:val="35E05D71"/>
    <w:rsid w:val="36074A7F"/>
    <w:rsid w:val="36923549"/>
    <w:rsid w:val="36B75FBF"/>
    <w:rsid w:val="36BD0C45"/>
    <w:rsid w:val="37166086"/>
    <w:rsid w:val="37E00298"/>
    <w:rsid w:val="38190D1A"/>
    <w:rsid w:val="3833504E"/>
    <w:rsid w:val="38B302F9"/>
    <w:rsid w:val="38B9111F"/>
    <w:rsid w:val="38BD3FCF"/>
    <w:rsid w:val="38E553AA"/>
    <w:rsid w:val="38F12CD3"/>
    <w:rsid w:val="38F94775"/>
    <w:rsid w:val="392971ED"/>
    <w:rsid w:val="39325651"/>
    <w:rsid w:val="39622244"/>
    <w:rsid w:val="3A425582"/>
    <w:rsid w:val="3A872856"/>
    <w:rsid w:val="3A8C131B"/>
    <w:rsid w:val="3AE00824"/>
    <w:rsid w:val="3AE0752F"/>
    <w:rsid w:val="3AF3743B"/>
    <w:rsid w:val="3AF94070"/>
    <w:rsid w:val="3B1130DB"/>
    <w:rsid w:val="3B1A0A62"/>
    <w:rsid w:val="3B3763D1"/>
    <w:rsid w:val="3B73406E"/>
    <w:rsid w:val="3C2F6E1E"/>
    <w:rsid w:val="3C4F64BA"/>
    <w:rsid w:val="3CDA245A"/>
    <w:rsid w:val="3D1E06B7"/>
    <w:rsid w:val="3D8B669A"/>
    <w:rsid w:val="3DC42043"/>
    <w:rsid w:val="3EB92D70"/>
    <w:rsid w:val="3EDA0523"/>
    <w:rsid w:val="3F2F1A7D"/>
    <w:rsid w:val="3FBB48C6"/>
    <w:rsid w:val="407A6407"/>
    <w:rsid w:val="40822146"/>
    <w:rsid w:val="4091314B"/>
    <w:rsid w:val="40FF0D77"/>
    <w:rsid w:val="4200449D"/>
    <w:rsid w:val="423574D9"/>
    <w:rsid w:val="423A3BCC"/>
    <w:rsid w:val="424E57D2"/>
    <w:rsid w:val="42825A3B"/>
    <w:rsid w:val="42B26C49"/>
    <w:rsid w:val="42F8373B"/>
    <w:rsid w:val="433A6FE6"/>
    <w:rsid w:val="43480868"/>
    <w:rsid w:val="4350713C"/>
    <w:rsid w:val="436653E0"/>
    <w:rsid w:val="4373683C"/>
    <w:rsid w:val="43A4196C"/>
    <w:rsid w:val="43C4431A"/>
    <w:rsid w:val="43D63D12"/>
    <w:rsid w:val="44411231"/>
    <w:rsid w:val="44B951CC"/>
    <w:rsid w:val="44CD14E0"/>
    <w:rsid w:val="44F20B0B"/>
    <w:rsid w:val="452E5F4C"/>
    <w:rsid w:val="45612018"/>
    <w:rsid w:val="458946E9"/>
    <w:rsid w:val="45A47C0E"/>
    <w:rsid w:val="46577FD6"/>
    <w:rsid w:val="469941C5"/>
    <w:rsid w:val="46AA1B70"/>
    <w:rsid w:val="46D955A7"/>
    <w:rsid w:val="46D96838"/>
    <w:rsid w:val="47133957"/>
    <w:rsid w:val="473D6566"/>
    <w:rsid w:val="47507FEA"/>
    <w:rsid w:val="478A103A"/>
    <w:rsid w:val="479D063B"/>
    <w:rsid w:val="47A07E0C"/>
    <w:rsid w:val="47A7327A"/>
    <w:rsid w:val="47D862CC"/>
    <w:rsid w:val="483D2170"/>
    <w:rsid w:val="48455BBC"/>
    <w:rsid w:val="4870272E"/>
    <w:rsid w:val="499804DD"/>
    <w:rsid w:val="49DC70E4"/>
    <w:rsid w:val="49DC7715"/>
    <w:rsid w:val="4A023139"/>
    <w:rsid w:val="4A7B576F"/>
    <w:rsid w:val="4A835FEC"/>
    <w:rsid w:val="4AF561A9"/>
    <w:rsid w:val="4B161AC9"/>
    <w:rsid w:val="4B3337B7"/>
    <w:rsid w:val="4B5421DE"/>
    <w:rsid w:val="4B954E74"/>
    <w:rsid w:val="4B9F101C"/>
    <w:rsid w:val="4BB02348"/>
    <w:rsid w:val="4BBC34E3"/>
    <w:rsid w:val="4C4A0649"/>
    <w:rsid w:val="4C684666"/>
    <w:rsid w:val="4C7E5ECA"/>
    <w:rsid w:val="4C876AA5"/>
    <w:rsid w:val="4CF431C6"/>
    <w:rsid w:val="4D0E00FB"/>
    <w:rsid w:val="4D176606"/>
    <w:rsid w:val="4D395638"/>
    <w:rsid w:val="4D471547"/>
    <w:rsid w:val="4D4A578A"/>
    <w:rsid w:val="4DD50F78"/>
    <w:rsid w:val="4DEC4FB0"/>
    <w:rsid w:val="4E075D8A"/>
    <w:rsid w:val="4EA2112B"/>
    <w:rsid w:val="4EB130FC"/>
    <w:rsid w:val="4EC00FAD"/>
    <w:rsid w:val="4F066FE6"/>
    <w:rsid w:val="4F7718B4"/>
    <w:rsid w:val="4F9843DC"/>
    <w:rsid w:val="4FC46069"/>
    <w:rsid w:val="4FC62A8C"/>
    <w:rsid w:val="4FDD4342"/>
    <w:rsid w:val="4FE20F0D"/>
    <w:rsid w:val="4FE51552"/>
    <w:rsid w:val="50126A6D"/>
    <w:rsid w:val="50504C4B"/>
    <w:rsid w:val="508A1BBC"/>
    <w:rsid w:val="509C6E7C"/>
    <w:rsid w:val="50B630CB"/>
    <w:rsid w:val="511B6F73"/>
    <w:rsid w:val="5162104E"/>
    <w:rsid w:val="517F04E0"/>
    <w:rsid w:val="51A53B6D"/>
    <w:rsid w:val="51D26EA3"/>
    <w:rsid w:val="51EB103B"/>
    <w:rsid w:val="51F91E09"/>
    <w:rsid w:val="521E5557"/>
    <w:rsid w:val="52CB3AF8"/>
    <w:rsid w:val="531D78AB"/>
    <w:rsid w:val="53A039CC"/>
    <w:rsid w:val="53A1505A"/>
    <w:rsid w:val="53AD73D7"/>
    <w:rsid w:val="54063E08"/>
    <w:rsid w:val="543437E8"/>
    <w:rsid w:val="54F62113"/>
    <w:rsid w:val="54F73313"/>
    <w:rsid w:val="54F80955"/>
    <w:rsid w:val="555170A7"/>
    <w:rsid w:val="5587536D"/>
    <w:rsid w:val="559B174B"/>
    <w:rsid w:val="55CE0CF4"/>
    <w:rsid w:val="55DA0D7F"/>
    <w:rsid w:val="563C00B7"/>
    <w:rsid w:val="56B22A9C"/>
    <w:rsid w:val="56B64511"/>
    <w:rsid w:val="57035B47"/>
    <w:rsid w:val="5717642E"/>
    <w:rsid w:val="57B72A76"/>
    <w:rsid w:val="57C3426C"/>
    <w:rsid w:val="57CE1F93"/>
    <w:rsid w:val="580F00CC"/>
    <w:rsid w:val="583B32A5"/>
    <w:rsid w:val="588743D1"/>
    <w:rsid w:val="5887701A"/>
    <w:rsid w:val="59C0439F"/>
    <w:rsid w:val="5A4A2677"/>
    <w:rsid w:val="5A7278AD"/>
    <w:rsid w:val="5A82030A"/>
    <w:rsid w:val="5A9F3764"/>
    <w:rsid w:val="5AB970A9"/>
    <w:rsid w:val="5ABE2233"/>
    <w:rsid w:val="5B6634E0"/>
    <w:rsid w:val="5B922515"/>
    <w:rsid w:val="5BB052CF"/>
    <w:rsid w:val="5BDF5D95"/>
    <w:rsid w:val="5BFE7528"/>
    <w:rsid w:val="5C087DBD"/>
    <w:rsid w:val="5CA31420"/>
    <w:rsid w:val="5CB82E59"/>
    <w:rsid w:val="5D38033C"/>
    <w:rsid w:val="5D56589A"/>
    <w:rsid w:val="5D9C768D"/>
    <w:rsid w:val="5DF002E7"/>
    <w:rsid w:val="5E2467F1"/>
    <w:rsid w:val="5E2C6C63"/>
    <w:rsid w:val="5ED27354"/>
    <w:rsid w:val="5EE812CF"/>
    <w:rsid w:val="5F1A2B43"/>
    <w:rsid w:val="5F465B1A"/>
    <w:rsid w:val="5F5C5FB8"/>
    <w:rsid w:val="5FB837BB"/>
    <w:rsid w:val="5FCF0AC0"/>
    <w:rsid w:val="603B4DB6"/>
    <w:rsid w:val="606D4292"/>
    <w:rsid w:val="60CC405A"/>
    <w:rsid w:val="615F2FFE"/>
    <w:rsid w:val="6172099B"/>
    <w:rsid w:val="61823B1F"/>
    <w:rsid w:val="61DF3FED"/>
    <w:rsid w:val="61E215D8"/>
    <w:rsid w:val="61E94867"/>
    <w:rsid w:val="621B3775"/>
    <w:rsid w:val="62364782"/>
    <w:rsid w:val="62B249B4"/>
    <w:rsid w:val="62DA4BE4"/>
    <w:rsid w:val="6354487F"/>
    <w:rsid w:val="6374003F"/>
    <w:rsid w:val="6394356A"/>
    <w:rsid w:val="63C61B2C"/>
    <w:rsid w:val="63D40BE9"/>
    <w:rsid w:val="63DC401D"/>
    <w:rsid w:val="63ED70E7"/>
    <w:rsid w:val="64102431"/>
    <w:rsid w:val="64A50AA5"/>
    <w:rsid w:val="64A5243A"/>
    <w:rsid w:val="64F531DE"/>
    <w:rsid w:val="65260934"/>
    <w:rsid w:val="65373578"/>
    <w:rsid w:val="663B42E2"/>
    <w:rsid w:val="66E257DB"/>
    <w:rsid w:val="671F124A"/>
    <w:rsid w:val="677A33C6"/>
    <w:rsid w:val="67C972D1"/>
    <w:rsid w:val="681F6961"/>
    <w:rsid w:val="68610A2F"/>
    <w:rsid w:val="68805514"/>
    <w:rsid w:val="68834306"/>
    <w:rsid w:val="691F619D"/>
    <w:rsid w:val="692A78CC"/>
    <w:rsid w:val="69316E2F"/>
    <w:rsid w:val="693F3D06"/>
    <w:rsid w:val="694126D7"/>
    <w:rsid w:val="694E2071"/>
    <w:rsid w:val="69680E25"/>
    <w:rsid w:val="69766163"/>
    <w:rsid w:val="697A3B33"/>
    <w:rsid w:val="69D44760"/>
    <w:rsid w:val="69DF6EF3"/>
    <w:rsid w:val="69E746FF"/>
    <w:rsid w:val="69E94318"/>
    <w:rsid w:val="69F17429"/>
    <w:rsid w:val="69F544E6"/>
    <w:rsid w:val="69FC581C"/>
    <w:rsid w:val="6A417C93"/>
    <w:rsid w:val="6A520EC7"/>
    <w:rsid w:val="6AD650D7"/>
    <w:rsid w:val="6AF87E20"/>
    <w:rsid w:val="6B322639"/>
    <w:rsid w:val="6BB95E87"/>
    <w:rsid w:val="6BFD4F36"/>
    <w:rsid w:val="6C3D303F"/>
    <w:rsid w:val="6C636C38"/>
    <w:rsid w:val="6CD966B6"/>
    <w:rsid w:val="6CF46017"/>
    <w:rsid w:val="6D7A198E"/>
    <w:rsid w:val="6D83187C"/>
    <w:rsid w:val="6D944BA8"/>
    <w:rsid w:val="6DB34098"/>
    <w:rsid w:val="6DB545B6"/>
    <w:rsid w:val="6DC14A53"/>
    <w:rsid w:val="6DE02FB4"/>
    <w:rsid w:val="6E514CED"/>
    <w:rsid w:val="6EB563D5"/>
    <w:rsid w:val="6ED92677"/>
    <w:rsid w:val="6F225983"/>
    <w:rsid w:val="6FB5098B"/>
    <w:rsid w:val="6FDD73D7"/>
    <w:rsid w:val="6FFC5590"/>
    <w:rsid w:val="706D1DD0"/>
    <w:rsid w:val="70856B87"/>
    <w:rsid w:val="70BA1EAD"/>
    <w:rsid w:val="70C60603"/>
    <w:rsid w:val="70D527EE"/>
    <w:rsid w:val="711F0EDA"/>
    <w:rsid w:val="715B5300"/>
    <w:rsid w:val="715D6CD5"/>
    <w:rsid w:val="71887C57"/>
    <w:rsid w:val="71BC370B"/>
    <w:rsid w:val="71C01DF7"/>
    <w:rsid w:val="71D27F8A"/>
    <w:rsid w:val="71DD153E"/>
    <w:rsid w:val="71F4630D"/>
    <w:rsid w:val="71F91D7F"/>
    <w:rsid w:val="723265EE"/>
    <w:rsid w:val="72553024"/>
    <w:rsid w:val="726475CA"/>
    <w:rsid w:val="73122968"/>
    <w:rsid w:val="731F5D5E"/>
    <w:rsid w:val="73C51AD5"/>
    <w:rsid w:val="73CA2553"/>
    <w:rsid w:val="73D62E14"/>
    <w:rsid w:val="741E793C"/>
    <w:rsid w:val="745E3944"/>
    <w:rsid w:val="745F570D"/>
    <w:rsid w:val="75233A67"/>
    <w:rsid w:val="76325877"/>
    <w:rsid w:val="7635099D"/>
    <w:rsid w:val="76D914AF"/>
    <w:rsid w:val="770572D5"/>
    <w:rsid w:val="77762421"/>
    <w:rsid w:val="77B56B1F"/>
    <w:rsid w:val="77D33EC0"/>
    <w:rsid w:val="780F09F4"/>
    <w:rsid w:val="78A90480"/>
    <w:rsid w:val="78D43512"/>
    <w:rsid w:val="78D95971"/>
    <w:rsid w:val="78EE316E"/>
    <w:rsid w:val="79D134D8"/>
    <w:rsid w:val="7A364017"/>
    <w:rsid w:val="7A8265E1"/>
    <w:rsid w:val="7B3E19D5"/>
    <w:rsid w:val="7B5E5503"/>
    <w:rsid w:val="7B686D42"/>
    <w:rsid w:val="7B841746"/>
    <w:rsid w:val="7BD8246A"/>
    <w:rsid w:val="7C6C5AC7"/>
    <w:rsid w:val="7C784A4D"/>
    <w:rsid w:val="7CC33F0B"/>
    <w:rsid w:val="7CC6544B"/>
    <w:rsid w:val="7D0239FF"/>
    <w:rsid w:val="7D511669"/>
    <w:rsid w:val="7D5E40CD"/>
    <w:rsid w:val="7DCD56F2"/>
    <w:rsid w:val="7DF979E9"/>
    <w:rsid w:val="7DFC3B04"/>
    <w:rsid w:val="7EC97128"/>
    <w:rsid w:val="7F001CE7"/>
    <w:rsid w:val="7FAE52D2"/>
    <w:rsid w:val="7FE47E50"/>
    <w:rsid w:val="7FF94405"/>
    <w:rsid w:val="7FFB4A3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3"/>
    <w:basedOn w:val="1"/>
    <w:next w:val="1"/>
    <w:unhideWhenUsed/>
    <w:qFormat/>
    <w:uiPriority w:val="9"/>
    <w:pPr>
      <w:ind w:left="1301" w:hanging="561"/>
      <w:outlineLvl w:val="2"/>
    </w:pPr>
    <w:rPr>
      <w:b/>
      <w:bCs/>
      <w:sz w:val="28"/>
      <w:szCs w:val="28"/>
    </w:rPr>
  </w:style>
  <w:style w:type="paragraph" w:styleId="5">
    <w:name w:val="heading 4"/>
    <w:basedOn w:val="1"/>
    <w:next w:val="1"/>
    <w:unhideWhenUsed/>
    <w:qFormat/>
    <w:uiPriority w:val="0"/>
    <w:pPr>
      <w:spacing w:line="240" w:lineRule="auto"/>
      <w:ind w:firstLine="0" w:firstLineChars="0"/>
      <w:outlineLvl w:val="3"/>
    </w:pPr>
    <w:rPr>
      <w:rFonts w:eastAsia="宋体" w:cs="Times New Roman"/>
      <w:b/>
      <w:bCs/>
      <w:szCs w:val="28"/>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0"/>
    <w:pPr>
      <w:ind w:firstLine="420" w:firstLineChars="200"/>
    </w:pPr>
    <w:rPr>
      <w:szCs w:val="24"/>
    </w:rPr>
  </w:style>
  <w:style w:type="paragraph" w:styleId="7">
    <w:name w:val="annotation text"/>
    <w:basedOn w:val="1"/>
    <w:link w:val="32"/>
    <w:semiHidden/>
    <w:qFormat/>
    <w:uiPriority w:val="0"/>
    <w:pPr>
      <w:jc w:val="left"/>
    </w:pPr>
    <w:rPr>
      <w:kern w:val="0"/>
      <w:sz w:val="24"/>
      <w:szCs w:val="20"/>
    </w:rPr>
  </w:style>
  <w:style w:type="paragraph" w:styleId="8">
    <w:name w:val="Body Text"/>
    <w:basedOn w:val="1"/>
    <w:next w:val="1"/>
    <w:link w:val="33"/>
    <w:qFormat/>
    <w:uiPriority w:val="0"/>
    <w:pPr>
      <w:widowControl/>
      <w:snapToGrid w:val="0"/>
      <w:spacing w:before="60" w:after="160" w:line="259" w:lineRule="auto"/>
      <w:ind w:right="113"/>
    </w:pPr>
    <w:rPr>
      <w:kern w:val="0"/>
      <w:sz w:val="18"/>
      <w:szCs w:val="20"/>
    </w:rPr>
  </w:style>
  <w:style w:type="paragraph" w:styleId="9">
    <w:name w:val="Body Text Indent"/>
    <w:basedOn w:val="1"/>
    <w:next w:val="5"/>
    <w:link w:val="34"/>
    <w:qFormat/>
    <w:uiPriority w:val="0"/>
    <w:pPr>
      <w:spacing w:after="120"/>
      <w:ind w:left="420" w:leftChars="200"/>
    </w:pPr>
    <w:rPr>
      <w:kern w:val="0"/>
      <w:sz w:val="24"/>
      <w:szCs w:val="20"/>
    </w:rPr>
  </w:style>
  <w:style w:type="paragraph" w:styleId="10">
    <w:name w:val="Block Text"/>
    <w:basedOn w:val="1"/>
    <w:qFormat/>
    <w:uiPriority w:val="0"/>
    <w:pPr>
      <w:spacing w:after="120" w:afterAutospacing="0"/>
      <w:ind w:left="1440" w:leftChars="700" w:rightChars="700"/>
    </w:pPr>
  </w:style>
  <w:style w:type="paragraph" w:styleId="11">
    <w:name w:val="Date"/>
    <w:basedOn w:val="1"/>
    <w:next w:val="1"/>
    <w:link w:val="35"/>
    <w:qFormat/>
    <w:uiPriority w:val="0"/>
    <w:pPr>
      <w:ind w:left="100" w:leftChars="2500"/>
    </w:pPr>
    <w:rPr>
      <w:kern w:val="0"/>
      <w:sz w:val="24"/>
      <w:szCs w:val="20"/>
    </w:rPr>
  </w:style>
  <w:style w:type="paragraph" w:styleId="12">
    <w:name w:val="Body Text Indent 2"/>
    <w:basedOn w:val="1"/>
    <w:qFormat/>
    <w:uiPriority w:val="0"/>
    <w:pPr>
      <w:spacing w:after="120" w:line="360" w:lineRule="auto"/>
      <w:ind w:left="420" w:leftChars="200"/>
    </w:pPr>
    <w:rPr>
      <w:rFonts w:ascii="Times New Roman" w:hAnsi="Times New Roman"/>
      <w:sz w:val="24"/>
    </w:rPr>
  </w:style>
  <w:style w:type="paragraph" w:styleId="13">
    <w:name w:val="Balloon Text"/>
    <w:basedOn w:val="1"/>
    <w:link w:val="36"/>
    <w:semiHidden/>
    <w:qFormat/>
    <w:uiPriority w:val="0"/>
    <w:rPr>
      <w:kern w:val="0"/>
      <w:sz w:val="18"/>
      <w:szCs w:val="20"/>
    </w:rPr>
  </w:style>
  <w:style w:type="paragraph" w:styleId="14">
    <w:name w:val="footer"/>
    <w:basedOn w:val="1"/>
    <w:link w:val="37"/>
    <w:qFormat/>
    <w:uiPriority w:val="99"/>
    <w:pPr>
      <w:tabs>
        <w:tab w:val="center" w:pos="4153"/>
        <w:tab w:val="right" w:pos="8306"/>
      </w:tabs>
      <w:snapToGrid w:val="0"/>
      <w:jc w:val="left"/>
    </w:pPr>
    <w:rPr>
      <w:kern w:val="0"/>
      <w:sz w:val="18"/>
      <w:szCs w:val="20"/>
    </w:rPr>
  </w:style>
  <w:style w:type="paragraph" w:styleId="15">
    <w:name w:val="header"/>
    <w:basedOn w:val="1"/>
    <w:link w:val="38"/>
    <w:qFormat/>
    <w:uiPriority w:val="0"/>
    <w:pPr>
      <w:pBdr>
        <w:bottom w:val="single" w:color="auto" w:sz="6" w:space="1"/>
      </w:pBdr>
      <w:tabs>
        <w:tab w:val="center" w:pos="4153"/>
        <w:tab w:val="right" w:pos="8306"/>
      </w:tabs>
      <w:snapToGrid w:val="0"/>
      <w:jc w:val="center"/>
    </w:pPr>
    <w:rPr>
      <w:kern w:val="0"/>
      <w:sz w:val="18"/>
      <w:szCs w:val="20"/>
    </w:rPr>
  </w:style>
  <w:style w:type="paragraph" w:styleId="16">
    <w:name w:val="index heading"/>
    <w:basedOn w:val="1"/>
    <w:next w:val="17"/>
    <w:unhideWhenUsed/>
    <w:qFormat/>
    <w:uiPriority w:val="0"/>
    <w:pPr>
      <w:widowControl/>
      <w:jc w:val="left"/>
    </w:pPr>
    <w:rPr>
      <w:rFonts w:ascii="Cambria" w:hAnsi="Cambria"/>
      <w:b/>
      <w:bCs/>
      <w:sz w:val="25"/>
      <w:szCs w:val="25"/>
    </w:rPr>
  </w:style>
  <w:style w:type="paragraph" w:styleId="17">
    <w:name w:val="index 1"/>
    <w:basedOn w:val="1"/>
    <w:next w:val="1"/>
    <w:qFormat/>
    <w:uiPriority w:val="0"/>
    <w:pPr>
      <w:spacing w:before="240" w:line="360" w:lineRule="auto"/>
      <w:ind w:firstLine="420" w:firstLineChars="200"/>
    </w:pPr>
    <w:rPr>
      <w:rFonts w:ascii="宋体" w:hAnsi="宋体" w:eastAsia="宋体"/>
    </w:rPr>
  </w:style>
  <w:style w:type="paragraph" w:styleId="18">
    <w:name w:val="List"/>
    <w:basedOn w:val="1"/>
    <w:qFormat/>
    <w:uiPriority w:val="0"/>
    <w:pPr>
      <w:ind w:left="200" w:hanging="200" w:hangingChars="200"/>
    </w:pPr>
    <w:rPr>
      <w:rFonts w:ascii="Times New Roman" w:hAnsi="Times New Roman" w:eastAsia="宋体" w:cs="Times New Roman"/>
      <w:szCs w:val="24"/>
    </w:rPr>
  </w:style>
  <w:style w:type="paragraph" w:styleId="19">
    <w:name w:val="Body Text Indent 3"/>
    <w:basedOn w:val="1"/>
    <w:qFormat/>
    <w:uiPriority w:val="0"/>
    <w:pPr>
      <w:spacing w:line="560" w:lineRule="exact"/>
      <w:ind w:firstLine="560" w:firstLineChars="200"/>
    </w:pPr>
    <w:rPr>
      <w:rFonts w:ascii="宋体" w:hAnsi="宋体"/>
      <w:bCs/>
      <w:sz w:val="28"/>
      <w:szCs w:val="20"/>
    </w:rPr>
  </w:style>
  <w:style w:type="paragraph" w:styleId="20">
    <w:name w:val="table of figures"/>
    <w:basedOn w:val="1"/>
    <w:next w:val="1"/>
    <w:qFormat/>
    <w:uiPriority w:val="99"/>
    <w:pPr>
      <w:jc w:val="center"/>
    </w:pPr>
    <w:rPr>
      <w:sz w:val="24"/>
    </w:rPr>
  </w:style>
  <w:style w:type="paragraph" w:styleId="21">
    <w:name w:val="Normal (Web)"/>
    <w:basedOn w:val="1"/>
    <w:link w:val="39"/>
    <w:qFormat/>
    <w:uiPriority w:val="0"/>
    <w:pPr>
      <w:widowControl/>
      <w:spacing w:before="100" w:beforeAutospacing="1" w:after="100" w:afterAutospacing="1"/>
      <w:jc w:val="left"/>
    </w:pPr>
    <w:rPr>
      <w:rFonts w:ascii="宋体" w:hAnsi="宋体"/>
      <w:kern w:val="0"/>
      <w:sz w:val="24"/>
      <w:szCs w:val="20"/>
    </w:rPr>
  </w:style>
  <w:style w:type="paragraph" w:styleId="22">
    <w:name w:val="annotation subject"/>
    <w:basedOn w:val="7"/>
    <w:next w:val="7"/>
    <w:link w:val="40"/>
    <w:semiHidden/>
    <w:qFormat/>
    <w:uiPriority w:val="0"/>
    <w:rPr>
      <w:b/>
      <w:sz w:val="24"/>
      <w:szCs w:val="20"/>
    </w:rPr>
  </w:style>
  <w:style w:type="paragraph" w:styleId="23">
    <w:name w:val="Body Text First Indent"/>
    <w:basedOn w:val="8"/>
    <w:next w:val="1"/>
    <w:qFormat/>
    <w:uiPriority w:val="0"/>
    <w:pPr>
      <w:ind w:firstLine="420" w:firstLineChars="100"/>
    </w:pPr>
  </w:style>
  <w:style w:type="paragraph" w:styleId="24">
    <w:name w:val="Body Text First Indent 2"/>
    <w:basedOn w:val="9"/>
    <w:next w:val="1"/>
    <w:qFormat/>
    <w:uiPriority w:val="0"/>
    <w:pPr>
      <w:ind w:firstLine="420"/>
    </w:pPr>
  </w:style>
  <w:style w:type="table" w:styleId="26">
    <w:name w:val="Table Grid"/>
    <w:basedOn w:val="25"/>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rPr>
  </w:style>
  <w:style w:type="character" w:styleId="29">
    <w:name w:val="page number"/>
    <w:basedOn w:val="27"/>
    <w:qFormat/>
    <w:uiPriority w:val="0"/>
  </w:style>
  <w:style w:type="character" w:styleId="30">
    <w:name w:val="Hyperlink"/>
    <w:basedOn w:val="27"/>
    <w:qFormat/>
    <w:uiPriority w:val="0"/>
    <w:rPr>
      <w:color w:val="0000FF"/>
      <w:u w:val="single"/>
    </w:rPr>
  </w:style>
  <w:style w:type="character" w:styleId="31">
    <w:name w:val="annotation reference"/>
    <w:semiHidden/>
    <w:qFormat/>
    <w:uiPriority w:val="0"/>
    <w:rPr>
      <w:sz w:val="21"/>
    </w:rPr>
  </w:style>
  <w:style w:type="character" w:customStyle="1" w:styleId="32">
    <w:name w:val="批注文字 Char"/>
    <w:link w:val="7"/>
    <w:qFormat/>
    <w:uiPriority w:val="0"/>
    <w:rPr>
      <w:rFonts w:ascii="Times New Roman" w:hAnsi="Times New Roman" w:eastAsia="宋体"/>
      <w:sz w:val="24"/>
    </w:rPr>
  </w:style>
  <w:style w:type="character" w:customStyle="1" w:styleId="33">
    <w:name w:val="正文文本 Char"/>
    <w:link w:val="8"/>
    <w:qFormat/>
    <w:uiPriority w:val="0"/>
    <w:rPr>
      <w:sz w:val="18"/>
    </w:rPr>
  </w:style>
  <w:style w:type="character" w:customStyle="1" w:styleId="34">
    <w:name w:val="正文文本缩进 Char"/>
    <w:link w:val="9"/>
    <w:semiHidden/>
    <w:qFormat/>
    <w:uiPriority w:val="0"/>
    <w:rPr>
      <w:rFonts w:ascii="Times New Roman" w:hAnsi="Times New Roman" w:eastAsia="宋体"/>
      <w:sz w:val="24"/>
    </w:rPr>
  </w:style>
  <w:style w:type="character" w:customStyle="1" w:styleId="35">
    <w:name w:val="日期 Char"/>
    <w:link w:val="11"/>
    <w:qFormat/>
    <w:uiPriority w:val="0"/>
    <w:rPr>
      <w:rFonts w:ascii="Times New Roman" w:hAnsi="Times New Roman" w:eastAsia="宋体"/>
      <w:sz w:val="24"/>
    </w:rPr>
  </w:style>
  <w:style w:type="character" w:customStyle="1" w:styleId="36">
    <w:name w:val="批注框文本 Char"/>
    <w:link w:val="13"/>
    <w:semiHidden/>
    <w:qFormat/>
    <w:uiPriority w:val="0"/>
    <w:rPr>
      <w:rFonts w:ascii="Times New Roman" w:hAnsi="Times New Roman" w:eastAsia="宋体"/>
      <w:sz w:val="18"/>
    </w:rPr>
  </w:style>
  <w:style w:type="character" w:customStyle="1" w:styleId="37">
    <w:name w:val="页脚 Char"/>
    <w:link w:val="14"/>
    <w:qFormat/>
    <w:uiPriority w:val="99"/>
    <w:rPr>
      <w:sz w:val="18"/>
    </w:rPr>
  </w:style>
  <w:style w:type="character" w:customStyle="1" w:styleId="38">
    <w:name w:val="页眉 Char"/>
    <w:link w:val="15"/>
    <w:qFormat/>
    <w:uiPriority w:val="0"/>
    <w:rPr>
      <w:sz w:val="18"/>
    </w:rPr>
  </w:style>
  <w:style w:type="character" w:customStyle="1" w:styleId="39">
    <w:name w:val="普通(网站) Char"/>
    <w:link w:val="21"/>
    <w:qFormat/>
    <w:uiPriority w:val="0"/>
    <w:rPr>
      <w:rFonts w:ascii="宋体" w:hAnsi="宋体" w:eastAsia="宋体"/>
      <w:sz w:val="24"/>
    </w:rPr>
  </w:style>
  <w:style w:type="character" w:customStyle="1" w:styleId="40">
    <w:name w:val="批注主题 Char"/>
    <w:link w:val="22"/>
    <w:semiHidden/>
    <w:qFormat/>
    <w:uiPriority w:val="0"/>
    <w:rPr>
      <w:rFonts w:ascii="Times New Roman" w:hAnsi="Times New Roman" w:eastAsia="宋体"/>
      <w:b/>
      <w:kern w:val="2"/>
      <w:sz w:val="24"/>
    </w:rPr>
  </w:style>
  <w:style w:type="paragraph" w:customStyle="1" w:styleId="41">
    <w:name w:val="表头"/>
    <w:basedOn w:val="1"/>
    <w:next w:val="1"/>
    <w:qFormat/>
    <w:uiPriority w:val="0"/>
    <w:pPr>
      <w:tabs>
        <w:tab w:val="right" w:leader="dot" w:pos="9060"/>
      </w:tabs>
      <w:spacing w:line="240" w:lineRule="auto"/>
      <w:ind w:firstLine="0" w:firstLineChars="0"/>
      <w:jc w:val="center"/>
    </w:pPr>
    <w:rPr>
      <w:rFonts w:ascii="Times New Roman" w:hAnsi="Times New Roman"/>
      <w:b/>
      <w:bCs/>
      <w:sz w:val="21"/>
      <w:szCs w:val="21"/>
    </w:rPr>
  </w:style>
  <w:style w:type="paragraph" w:customStyle="1" w:styleId="42">
    <w:name w:val="Table Text"/>
    <w:basedOn w:val="1"/>
    <w:semiHidden/>
    <w:qFormat/>
    <w:uiPriority w:val="0"/>
    <w:pPr>
      <w:spacing w:line="360" w:lineRule="auto"/>
      <w:ind w:firstLine="544" w:firstLineChars="200"/>
    </w:pPr>
    <w:rPr>
      <w:rFonts w:ascii="Times New Roman" w:hAnsi="Times New Roman" w:eastAsia="宋体" w:cs="Times New Roman"/>
      <w:snapToGrid w:val="0"/>
      <w:color w:val="000000"/>
      <w:sz w:val="20"/>
      <w:szCs w:val="20"/>
      <w:lang w:eastAsia="en-US"/>
    </w:rPr>
  </w:style>
  <w:style w:type="character" w:customStyle="1" w:styleId="43">
    <w:name w:val="页脚 字符"/>
    <w:basedOn w:val="27"/>
    <w:qFormat/>
    <w:uiPriority w:val="99"/>
  </w:style>
  <w:style w:type="character" w:customStyle="1" w:styleId="44">
    <w:name w:val="正文文本 字符1"/>
    <w:semiHidden/>
    <w:qFormat/>
    <w:uiPriority w:val="0"/>
    <w:rPr>
      <w:rFonts w:ascii="Times New Roman" w:hAnsi="Times New Roman" w:eastAsia="宋体"/>
      <w:sz w:val="24"/>
    </w:rPr>
  </w:style>
  <w:style w:type="character" w:customStyle="1" w:styleId="45">
    <w:name w:val="表格 Char"/>
    <w:link w:val="46"/>
    <w:qFormat/>
    <w:uiPriority w:val="0"/>
    <w:rPr>
      <w:rFonts w:ascii="宋体"/>
      <w:sz w:val="21"/>
    </w:rPr>
  </w:style>
  <w:style w:type="paragraph" w:customStyle="1" w:styleId="46">
    <w:name w:val="表格"/>
    <w:basedOn w:val="47"/>
    <w:next w:val="48"/>
    <w:link w:val="45"/>
    <w:qFormat/>
    <w:uiPriority w:val="0"/>
    <w:pPr>
      <w:adjustRightInd w:val="0"/>
      <w:snapToGrid w:val="0"/>
      <w:spacing w:beforeLines="10" w:afterLines="10" w:line="259" w:lineRule="auto"/>
      <w:jc w:val="center"/>
    </w:pPr>
    <w:rPr>
      <w:rFonts w:ascii="宋体"/>
      <w:kern w:val="0"/>
      <w:szCs w:val="20"/>
    </w:rPr>
  </w:style>
  <w:style w:type="paragraph" w:customStyle="1" w:styleId="47">
    <w:name w:val="Table Paragraph"/>
    <w:basedOn w:val="1"/>
    <w:qFormat/>
    <w:uiPriority w:val="1"/>
    <w:rPr>
      <w:rFonts w:ascii="宋体" w:hAnsi="宋体" w:eastAsia="宋体" w:cs="宋体"/>
      <w:lang w:val="zh-CN" w:eastAsia="zh-CN" w:bidi="zh-CN"/>
    </w:rPr>
  </w:style>
  <w:style w:type="paragraph" w:customStyle="1" w:styleId="48">
    <w:name w:val="样式 标题 2 + 首行缩进:  2 字符"/>
    <w:basedOn w:val="3"/>
    <w:next w:val="49"/>
    <w:qFormat/>
    <w:uiPriority w:val="0"/>
    <w:pPr>
      <w:widowControl/>
      <w:autoSpaceDE/>
      <w:autoSpaceDN/>
      <w:spacing w:before="0" w:after="0" w:line="300" w:lineRule="auto"/>
      <w:ind w:left="1320" w:hanging="420"/>
      <w:outlineLvl w:val="1"/>
    </w:pPr>
    <w:rPr>
      <w:rFonts w:ascii="Times New Roman" w:eastAsia="黑体"/>
      <w:b w:val="0"/>
      <w:sz w:val="30"/>
    </w:rPr>
  </w:style>
  <w:style w:type="paragraph" w:customStyle="1" w:styleId="49">
    <w:name w:val="图号"/>
    <w:next w:val="50"/>
    <w:qFormat/>
    <w:uiPriority w:val="0"/>
    <w:pPr>
      <w:widowControl w:val="0"/>
      <w:spacing w:line="529" w:lineRule="exact"/>
      <w:ind w:left="198"/>
    </w:pPr>
    <w:rPr>
      <w:rFonts w:ascii="宋体" w:hAnsi="Times New Roman" w:eastAsia="宋体" w:cs="Times New Roman"/>
      <w:b/>
      <w:sz w:val="24"/>
      <w:lang w:val="en-US" w:eastAsia="zh-CN" w:bidi="ar-SA"/>
    </w:rPr>
  </w:style>
  <w:style w:type="paragraph" w:customStyle="1" w:styleId="50">
    <w:name w:val=" Char Char Char Char Char Char Char Char Char Char Char Char Char Char Char Char Char Char Char Char Char Char"/>
    <w:basedOn w:val="1"/>
    <w:next w:val="1"/>
    <w:qFormat/>
    <w:uiPriority w:val="0"/>
    <w:pPr>
      <w:widowControl w:val="0"/>
      <w:autoSpaceDE/>
      <w:autoSpaceDN/>
      <w:spacing w:before="0" w:after="0" w:line="360" w:lineRule="auto"/>
      <w:ind w:left="0" w:firstLine="200"/>
    </w:pPr>
    <w:rPr>
      <w:rFonts w:ascii="宋体" w:eastAsia="宋体"/>
      <w:sz w:val="24"/>
    </w:rPr>
  </w:style>
  <w:style w:type="character" w:customStyle="1" w:styleId="51">
    <w:name w:val="日期 字符"/>
    <w:semiHidden/>
    <w:qFormat/>
    <w:uiPriority w:val="0"/>
    <w:rPr>
      <w:rFonts w:ascii="Times New Roman" w:hAnsi="Times New Roman" w:eastAsia="宋体"/>
      <w:sz w:val="24"/>
    </w:rPr>
  </w:style>
  <w:style w:type="character" w:customStyle="1" w:styleId="52">
    <w:name w:val="批注文字 字符1"/>
    <w:semiHidden/>
    <w:qFormat/>
    <w:uiPriority w:val="0"/>
    <w:rPr>
      <w:rFonts w:ascii="Times New Roman" w:hAnsi="Times New Roman" w:eastAsia="宋体"/>
      <w:sz w:val="24"/>
    </w:rPr>
  </w:style>
  <w:style w:type="paragraph" w:customStyle="1" w:styleId="53">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4">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55">
    <w:name w:val="Default"/>
    <w:basedOn w:val="56"/>
    <w:next w:val="1"/>
    <w:qFormat/>
    <w:uiPriority w:val="99"/>
    <w:pPr>
      <w:widowControl w:val="0"/>
      <w:autoSpaceDE w:val="0"/>
      <w:autoSpaceDN w:val="0"/>
      <w:adjustRightInd w:val="0"/>
    </w:pPr>
    <w:rPr>
      <w:rFonts w:ascii="宋体" w:cs="宋体"/>
      <w:color w:val="000000"/>
      <w:sz w:val="24"/>
      <w:szCs w:val="24"/>
      <w:lang w:val="en-US" w:eastAsia="zh-CN" w:bidi="ar-SA"/>
    </w:rPr>
  </w:style>
  <w:style w:type="paragraph" w:customStyle="1" w:styleId="56">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57">
    <w:name w:val="新表格"/>
    <w:basedOn w:val="1"/>
    <w:qFormat/>
    <w:uiPriority w:val="0"/>
    <w:pPr>
      <w:snapToGrid w:val="0"/>
      <w:spacing w:line="264" w:lineRule="auto"/>
      <w:jc w:val="center"/>
    </w:pPr>
    <w:rPr>
      <w:bCs/>
      <w:kern w:val="0"/>
      <w:szCs w:val="21"/>
    </w:rPr>
  </w:style>
  <w:style w:type="paragraph" w:customStyle="1" w:styleId="58">
    <w:name w:val="0"/>
    <w:basedOn w:val="59"/>
    <w:qFormat/>
    <w:uiPriority w:val="0"/>
    <w:pPr>
      <w:overflowPunct w:val="0"/>
      <w:snapToGrid w:val="0"/>
      <w:jc w:val="center"/>
    </w:pPr>
    <w:rPr>
      <w:rFonts w:ascii="Arial" w:hAnsi="Arial" w:eastAsia="仿宋_GB2312" w:cs="Arial"/>
      <w:bCs/>
      <w:snapToGrid w:val="0"/>
      <w:kern w:val="0"/>
      <w:szCs w:val="28"/>
    </w:rPr>
  </w:style>
  <w:style w:type="paragraph" w:customStyle="1" w:styleId="59">
    <w:name w:val="Char"/>
    <w:basedOn w:val="1"/>
    <w:qFormat/>
    <w:uiPriority w:val="0"/>
    <w:rPr>
      <w:szCs w:val="24"/>
    </w:rPr>
  </w:style>
  <w:style w:type="paragraph" w:customStyle="1" w:styleId="60">
    <w:name w:val="正文1"/>
    <w:basedOn w:val="1"/>
    <w:qFormat/>
    <w:uiPriority w:val="0"/>
    <w:pPr>
      <w:adjustRightInd w:val="0"/>
      <w:snapToGrid w:val="0"/>
      <w:spacing w:line="500" w:lineRule="atLeast"/>
      <w:ind w:firstLine="567"/>
    </w:pPr>
    <w:rPr>
      <w:sz w:val="28"/>
    </w:rPr>
  </w:style>
  <w:style w:type="paragraph" w:customStyle="1" w:styleId="61">
    <w:name w:val="正文文字缩进"/>
    <w:basedOn w:val="1"/>
    <w:qFormat/>
    <w:uiPriority w:val="0"/>
    <w:pPr>
      <w:spacing w:line="440" w:lineRule="exact"/>
      <w:ind w:firstLine="425" w:firstLineChars="177"/>
    </w:pPr>
    <w:rPr>
      <w:rFonts w:ascii="Calibri" w:hAnsi="Calibri"/>
      <w:bCs/>
      <w:sz w:val="24"/>
      <w:szCs w:val="22"/>
    </w:rPr>
  </w:style>
  <w:style w:type="paragraph" w:customStyle="1" w:styleId="62">
    <w:name w:val="表"/>
    <w:basedOn w:val="1"/>
    <w:qFormat/>
    <w:uiPriority w:val="0"/>
    <w:pPr>
      <w:snapToGrid w:val="0"/>
      <w:jc w:val="center"/>
    </w:pPr>
    <w:rPr>
      <w:rFonts w:ascii="Times New Roman" w:hAnsi="Times New Roman" w:eastAsia="宋体" w:cs="Times New Roman"/>
      <w:spacing w:val="2"/>
    </w:rPr>
  </w:style>
  <w:style w:type="character" w:customStyle="1" w:styleId="63">
    <w:name w:val="content1"/>
    <w:basedOn w:val="27"/>
    <w:qFormat/>
    <w:uiPriority w:val="0"/>
    <w:rPr>
      <w:color w:val="000000"/>
      <w:sz w:val="20"/>
      <w:szCs w:val="20"/>
    </w:rPr>
  </w:style>
  <w:style w:type="paragraph" w:customStyle="1" w:styleId="64">
    <w:name w:val="表格后空行"/>
    <w:basedOn w:val="1"/>
    <w:qFormat/>
    <w:uiPriority w:val="0"/>
    <w:pPr>
      <w:widowControl/>
      <w:spacing w:line="240" w:lineRule="exact"/>
      <w:textAlignment w:val="baseline"/>
    </w:pPr>
    <w:rPr>
      <w:rFonts w:ascii="宋体" w:cs="宋体"/>
      <w:color w:val="000000"/>
      <w:kern w:val="0"/>
      <w:sz w:val="18"/>
      <w:szCs w:val="20"/>
      <w:u w:val="none" w:color="000000"/>
    </w:rPr>
  </w:style>
  <w:style w:type="paragraph" w:customStyle="1" w:styleId="65">
    <w:name w:val="J表格文字"/>
    <w:qFormat/>
    <w:uiPriority w:val="0"/>
    <w:pPr>
      <w:widowControl w:val="0"/>
      <w:adjustRightInd w:val="0"/>
      <w:snapToGrid w:val="0"/>
      <w:spacing w:before="20" w:line="264" w:lineRule="auto"/>
      <w:jc w:val="center"/>
    </w:pPr>
    <w:rPr>
      <w:rFonts w:ascii="Times New Roman" w:hAnsi="Times New Roman" w:eastAsia="宋体" w:cs="Times New Roman"/>
      <w:snapToGrid w:val="0"/>
      <w:sz w:val="21"/>
      <w:szCs w:val="21"/>
      <w:lang w:val="en-US" w:eastAsia="zh-CN" w:bidi="ar-SA"/>
    </w:rPr>
  </w:style>
  <w:style w:type="paragraph" w:customStyle="1" w:styleId="66">
    <w:name w:val="表格内"/>
    <w:basedOn w:val="1"/>
    <w:qFormat/>
    <w:uiPriority w:val="0"/>
    <w:pPr>
      <w:widowControl/>
      <w:adjustRightInd w:val="0"/>
      <w:snapToGrid w:val="0"/>
      <w:spacing w:after="200" w:line="360" w:lineRule="exact"/>
      <w:jc w:val="center"/>
    </w:pPr>
    <w:rPr>
      <w:rFonts w:eastAsia="微软雅黑"/>
      <w:snapToGrid w:val="0"/>
      <w:kern w:val="0"/>
      <w:sz w:val="22"/>
      <w:szCs w:val="21"/>
    </w:rPr>
  </w:style>
  <w:style w:type="paragraph" w:customStyle="1" w:styleId="67">
    <w:name w:val="标1"/>
    <w:basedOn w:val="1"/>
    <w:qFormat/>
    <w:uiPriority w:val="0"/>
    <w:pPr>
      <w:spacing w:before="60" w:beforeLines="0" w:beforeAutospacing="0" w:line="460" w:lineRule="exact"/>
      <w:outlineLvl w:val="0"/>
    </w:pPr>
    <w:rPr>
      <w:rFonts w:ascii="Times New Roman" w:hAnsi="Times New Roman" w:eastAsia="宋体" w:cs="Times New Roman"/>
      <w:b/>
      <w:kern w:val="2"/>
      <w:sz w:val="32"/>
      <w:lang w:val="en-US" w:eastAsia="zh-CN"/>
    </w:rPr>
  </w:style>
  <w:style w:type="paragraph" w:customStyle="1" w:styleId="68">
    <w:name w:val="样式 首行缩进:  2 字符1"/>
    <w:basedOn w:val="1"/>
    <w:qFormat/>
    <w:uiPriority w:val="0"/>
    <w:pPr>
      <w:adjustRightInd w:val="0"/>
      <w:snapToGrid w:val="0"/>
      <w:spacing w:line="360" w:lineRule="auto"/>
      <w:ind w:firstLine="480"/>
    </w:pPr>
    <w:rPr>
      <w:rFonts w:cs="宋体"/>
    </w:rPr>
  </w:style>
  <w:style w:type="paragraph" w:customStyle="1" w:styleId="69">
    <w:name w:val="中文报告书样式"/>
    <w:basedOn w:val="1"/>
    <w:qFormat/>
    <w:uiPriority w:val="0"/>
    <w:pPr>
      <w:adjustRightInd w:val="0"/>
      <w:spacing w:line="480" w:lineRule="atLeast"/>
      <w:ind w:firstLine="482"/>
      <w:textAlignment w:val="baseline"/>
    </w:pPr>
    <w:rPr>
      <w:rFonts w:ascii="Times New Roman" w:hAnsi="Times New Roman" w:eastAsia="宋体" w:cs="Times New Roman"/>
      <w:kern w:val="24"/>
      <w:sz w:val="24"/>
    </w:rPr>
  </w:style>
  <w:style w:type="character" w:customStyle="1" w:styleId="70">
    <w:name w:val="_Style 5"/>
    <w:qFormat/>
    <w:uiPriority w:val="0"/>
    <w:rPr>
      <w:b/>
      <w:smallCaps/>
      <w:spacing w:val="5"/>
    </w:rPr>
  </w:style>
  <w:style w:type="paragraph" w:customStyle="1" w:styleId="71">
    <w:name w:val="正文(首行缩进)"/>
    <w:basedOn w:val="1"/>
    <w:next w:val="1"/>
    <w:qFormat/>
    <w:uiPriority w:val="0"/>
    <w:pPr>
      <w:spacing w:line="360" w:lineRule="auto"/>
      <w:ind w:firstLine="480" w:firstLineChars="200"/>
    </w:pPr>
    <w:rPr>
      <w:rFonts w:eastAsia="宋体"/>
      <w:bCs/>
      <w:color w:val="000000"/>
      <w:kern w:val="24"/>
      <w:sz w:val="24"/>
      <w:szCs w:val="24"/>
    </w:rPr>
  </w:style>
  <w:style w:type="paragraph" w:customStyle="1" w:styleId="72">
    <w:name w:val="Normal"/>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73">
    <w:name w:val="CM9"/>
    <w:basedOn w:val="1"/>
    <w:next w:val="1"/>
    <w:qFormat/>
    <w:uiPriority w:val="0"/>
    <w:pPr>
      <w:autoSpaceDE w:val="0"/>
      <w:autoSpaceDN w:val="0"/>
      <w:adjustRightInd w:val="0"/>
      <w:spacing w:line="468" w:lineRule="atLeast"/>
      <w:jc w:val="left"/>
    </w:pPr>
    <w:rPr>
      <w:rFonts w:ascii="黑体" w:eastAsia="黑体"/>
      <w:kern w:val="0"/>
      <w:sz w:val="24"/>
      <w:szCs w:val="24"/>
    </w:rPr>
  </w:style>
  <w:style w:type="character" w:customStyle="1" w:styleId="74">
    <w:name w:val="正文文本缩进 2 Char"/>
    <w:basedOn w:val="27"/>
    <w:qFormat/>
    <w:uiPriority w:val="0"/>
    <w:rPr>
      <w:rFonts w:eastAsia="宋体"/>
      <w:kern w:val="2"/>
      <w:sz w:val="28"/>
      <w:szCs w:val="24"/>
      <w:lang w:val="en-US" w:eastAsia="zh-CN" w:bidi="ar-SA"/>
    </w:rPr>
  </w:style>
  <w:style w:type="paragraph" w:customStyle="1" w:styleId="75">
    <w:name w:val="文字"/>
    <w:basedOn w:val="1"/>
    <w:qFormat/>
    <w:uiPriority w:val="0"/>
    <w:pPr>
      <w:spacing w:line="360" w:lineRule="auto"/>
      <w:ind w:firstLine="600" w:firstLineChars="200"/>
    </w:pPr>
    <w:rPr>
      <w:rFonts w:ascii="Times New Roman" w:hAnsi="Times New Roman" w:eastAsia="宋体" w:cs="Times New Roman"/>
      <w:sz w:val="24"/>
    </w:rPr>
  </w:style>
  <w:style w:type="table" w:customStyle="1" w:styleId="76">
    <w:name w:val="Table Normal"/>
    <w:basedOn w:val="25"/>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8eeca1-c4ab-4d60-99d5-1823bbb6977e}">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52</Pages>
  <Words>387</Words>
  <Characters>444</Characters>
  <Lines>1</Lines>
  <Paragraphs>1</Paragraphs>
  <TotalTime>32</TotalTime>
  <ScaleCrop>false</ScaleCrop>
  <LinksUpToDate>false</LinksUpToDate>
  <CharactersWithSpaces>473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龍</cp:lastModifiedBy>
  <cp:lastPrinted>2020-12-29T02:43:00Z</cp:lastPrinted>
  <dcterms:modified xsi:type="dcterms:W3CDTF">2026-08-27T09:58:20Z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E94428D4D46E41069DFCCFDA04D986D0_13</vt:lpwstr>
  </property>
  <property fmtid="{D5CDD505-2E9C-101B-9397-08002B2CF9AE}" pid="4" name="KSOTemplateDocerSaveRecord">
    <vt:lpwstr>eyJoZGlkIjoiZDgzOTEyM2U4NGI3OTQzNDVkNDU2OTY3NjAzZTQxYTMiLCJ1c2VySWQiOiIzMTAyNzg2NTYifQ==</vt:lpwstr>
  </property>
</Properties>
</file>